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i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373a3c"/>
          <w:sz w:val="23"/>
          <w:szCs w:val="23"/>
          <w:rtl w:val="0"/>
        </w:rPr>
        <w:t xml:space="preserve">1.                  Форма правління:                            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373a3c"/>
          <w:sz w:val="23"/>
          <w:szCs w:val="23"/>
          <w:rtl w:val="0"/>
        </w:rPr>
        <w:t xml:space="preserve">۝              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це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спосіб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організації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вищої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державної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влади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373a3c"/>
          <w:sz w:val="23"/>
          <w:szCs w:val="23"/>
          <w:rtl w:val="0"/>
        </w:rPr>
        <w:t xml:space="preserve">۝              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форма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правління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за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якої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верховну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владу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державі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повністю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або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частково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здійснює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одна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особа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і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передається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по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спадку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x               форма правління, де верховна влада належить представницьким виборчим органам і здійснюється ними.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i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373a3c"/>
          <w:sz w:val="23"/>
          <w:szCs w:val="23"/>
          <w:rtl w:val="0"/>
        </w:rPr>
        <w:t xml:space="preserve">2.            Монархія :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              форма правління, за якої верховну владу в державі повністю або частково здійснює одна особа і передається по спадку.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373a3c"/>
          <w:sz w:val="23"/>
          <w:szCs w:val="23"/>
          <w:rtl w:val="0"/>
        </w:rPr>
        <w:t xml:space="preserve">۝              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форма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правління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де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верховна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влада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належить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представницьким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виборчим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органам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і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здійснюється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ними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373a3c"/>
          <w:sz w:val="23"/>
          <w:szCs w:val="23"/>
          <w:rtl w:val="0"/>
        </w:rPr>
        <w:t xml:space="preserve">۝              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у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рамках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систем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«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влада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центру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влада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на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місцях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, «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влада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федерального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центру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влада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суб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єктів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федерації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».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3.           Республіка: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x        форма правління, де верховна влада належить представницьким виборчим органам і здійснюється ними.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o        форма правління, за якої верховну владу в державі повністю або частково здійснює одна особа і передається по спадку.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o        це спосіб адміністративно - територіальної організації держави, яка проявляється у розподілі держави на складові частини і розподілі влади між ними та його керівним центром.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4. За </w:t>
      </w:r>
      <w:r w:rsidDel="00000000" w:rsidR="00000000" w:rsidRPr="00000000">
        <w:rPr>
          <w:rFonts w:ascii="Roboto" w:cs="Roboto" w:eastAsia="Roboto" w:hAnsi="Roboto"/>
          <w:i w:val="1"/>
          <w:color w:val="373a3c"/>
          <w:sz w:val="23"/>
          <w:szCs w:val="23"/>
          <w:rtl w:val="0"/>
        </w:rPr>
        <w:t xml:space="preserve">формою державного устрою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держава може бути: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x               простою (унітарною);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x               складною (федеративною, конфедеративною).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x               змішаною;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373a3c"/>
          <w:sz w:val="23"/>
          <w:szCs w:val="23"/>
          <w:rtl w:val="0"/>
        </w:rPr>
        <w:t xml:space="preserve">۝              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держава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існує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без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форм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правління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373a3c"/>
          <w:sz w:val="23"/>
          <w:szCs w:val="23"/>
          <w:rtl w:val="0"/>
        </w:rPr>
        <w:t xml:space="preserve">5. Юридичне право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373a3c"/>
          <w:sz w:val="23"/>
          <w:szCs w:val="23"/>
          <w:rtl w:val="0"/>
        </w:rPr>
        <w:t xml:space="preserve">۝              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це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певні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можливості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міра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свободи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що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належить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суб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єкту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який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сам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вирішує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користуватися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ними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чи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ні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373a3c"/>
          <w:sz w:val="23"/>
          <w:szCs w:val="23"/>
          <w:rtl w:val="0"/>
        </w:rPr>
        <w:t xml:space="preserve">۝              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це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основні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напрями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його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впливу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на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суспільні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відносини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Призначення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функцій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полягає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тому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щоб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визначити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активну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й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багатогранну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роль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права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громадянському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суспільстві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з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позиції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його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впливу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на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суспільні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відносини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між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людьми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x              це свобода та обґрунтованість поведінки людей, що задекларована державою відповідно до чинних нормативно-правових актів та інших джерел права.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