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CF9" w:rsidRPr="00DA3AB5" w:rsidRDefault="00D62B75" w:rsidP="00DA3AB5">
      <w:pPr>
        <w:pStyle w:val="Title"/>
        <w:rPr>
          <w:rFonts w:ascii="Times New Roman" w:hAnsi="Times New Roman" w:cs="Times New Roman"/>
        </w:rPr>
      </w:pPr>
      <w:r w:rsidRPr="00DA3AB5">
        <w:rPr>
          <w:rFonts w:ascii="Times New Roman" w:hAnsi="Times New Roman" w:cs="Times New Roman"/>
        </w:rPr>
        <w:t>Quiz 5</w:t>
      </w:r>
    </w:p>
    <w:p w:rsidR="00490CF9" w:rsidRPr="00DA3AB5" w:rsidRDefault="00D62B75" w:rsidP="00DA3AB5">
      <w:pPr>
        <w:pStyle w:val="Author"/>
        <w:rPr>
          <w:rFonts w:ascii="Times New Roman" w:hAnsi="Times New Roman" w:cs="Times New Roman"/>
        </w:rPr>
      </w:pPr>
      <w:r w:rsidRPr="00DA3AB5">
        <w:rPr>
          <w:rFonts w:ascii="Times New Roman" w:hAnsi="Times New Roman" w:cs="Times New Roman"/>
        </w:rPr>
        <w:t>Parco Sin</w:t>
      </w:r>
    </w:p>
    <w:p w:rsidR="00490CF9" w:rsidRPr="00DA3AB5" w:rsidRDefault="00D62B75" w:rsidP="00DA3AB5">
      <w:pPr>
        <w:pStyle w:val="Date"/>
        <w:rPr>
          <w:rFonts w:ascii="Times New Roman" w:hAnsi="Times New Roman" w:cs="Times New Roman"/>
        </w:rPr>
      </w:pPr>
      <w:r w:rsidRPr="00DA3AB5">
        <w:rPr>
          <w:rFonts w:ascii="Times New Roman" w:hAnsi="Times New Roman" w:cs="Times New Roman"/>
        </w:rPr>
        <w:t>November 15, 2016</w:t>
      </w:r>
    </w:p>
    <w:p w:rsidR="00F82157" w:rsidRDefault="00F82157" w:rsidP="00F82157">
      <w:pPr>
        <w:pStyle w:val="BodyText"/>
        <w:spacing w:line="480" w:lineRule="auto"/>
        <w:rPr>
          <w:rFonts w:ascii="Times New Roman" w:hAnsi="Times New Roman" w:cs="Times New Roman"/>
        </w:rPr>
      </w:pPr>
      <w:bookmarkStart w:id="0" w:name="hypothesis-1"/>
      <w:bookmarkStart w:id="1" w:name="_GoBack"/>
      <w:bookmarkEnd w:id="0"/>
      <w:bookmarkEnd w:id="1"/>
    </w:p>
    <w:p w:rsidR="00F82157" w:rsidRPr="00F82157" w:rsidRDefault="00F82157" w:rsidP="00F82157">
      <w:pPr>
        <w:pStyle w:val="BodyText"/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Results</w:t>
      </w:r>
    </w:p>
    <w:p w:rsidR="006845B0" w:rsidRPr="00DA3AB5" w:rsidRDefault="003F541F" w:rsidP="00F82157">
      <w:pPr>
        <w:pStyle w:val="BodyText"/>
        <w:spacing w:line="480" w:lineRule="auto"/>
        <w:rPr>
          <w:rFonts w:ascii="Times New Roman" w:hAnsi="Times New Roman" w:cs="Times New Roman"/>
        </w:rPr>
      </w:pPr>
      <w:r w:rsidRPr="00DA3AB5">
        <w:rPr>
          <w:rFonts w:ascii="Times New Roman" w:hAnsi="Times New Roman" w:cs="Times New Roman"/>
        </w:rPr>
        <w:t>The relations between self-esteem, academic success, positive affectivity, and negativity are shown in Table 1.</w:t>
      </w:r>
      <w:bookmarkStart w:id="2" w:name="hypothesis-2"/>
      <w:bookmarkEnd w:id="2"/>
      <w:r w:rsidR="00F82157">
        <w:rPr>
          <w:rFonts w:ascii="Times New Roman" w:hAnsi="Times New Roman" w:cs="Times New Roman"/>
        </w:rPr>
        <w:t xml:space="preserve"> S</w:t>
      </w:r>
      <w:r w:rsidRPr="00DA3AB5">
        <w:rPr>
          <w:rFonts w:ascii="Times New Roman" w:hAnsi="Times New Roman" w:cs="Times New Roman"/>
        </w:rPr>
        <w:t xml:space="preserve">elf-esteem scores </w:t>
      </w:r>
      <w:r w:rsidR="00D62B75" w:rsidRPr="00DA3AB5">
        <w:rPr>
          <w:rFonts w:ascii="Times New Roman" w:hAnsi="Times New Roman" w:cs="Times New Roman"/>
        </w:rPr>
        <w:t xml:space="preserve">contributed to </w:t>
      </w:r>
      <w:r w:rsidRPr="00DA3AB5">
        <w:rPr>
          <w:rFonts w:ascii="Times New Roman" w:hAnsi="Times New Roman" w:cs="Times New Roman"/>
        </w:rPr>
        <w:t xml:space="preserve">academic success </w:t>
      </w:r>
      <w:r w:rsidR="00D62B75" w:rsidRPr="00DA3AB5">
        <w:rPr>
          <w:rFonts w:ascii="Times New Roman" w:hAnsi="Times New Roman" w:cs="Times New Roman"/>
        </w:rPr>
        <w:t xml:space="preserve">beyond the variance accounted for by </w:t>
      </w:r>
      <w:r w:rsidRPr="00DA3AB5">
        <w:rPr>
          <w:rFonts w:ascii="Times New Roman" w:hAnsi="Times New Roman" w:cs="Times New Roman"/>
        </w:rPr>
        <w:t>positive affectivity</w:t>
      </w:r>
      <w:r w:rsidR="00D62B75" w:rsidRPr="00DA3AB5">
        <w:rPr>
          <w:rFonts w:ascii="Times New Roman" w:hAnsi="Times New Roman" w:cs="Times New Roman"/>
        </w:rPr>
        <w:t xml:space="preserve">, see Table </w:t>
      </w:r>
      <w:r w:rsidRPr="00DA3AB5">
        <w:rPr>
          <w:rFonts w:ascii="Times New Roman" w:hAnsi="Times New Roman" w:cs="Times New Roman"/>
        </w:rPr>
        <w:t>2</w:t>
      </w:r>
      <w:r w:rsidR="00D62B75" w:rsidRPr="00DA3AB5">
        <w:rPr>
          <w:rFonts w:ascii="Times New Roman" w:hAnsi="Times New Roman" w:cs="Times New Roman"/>
        </w:rPr>
        <w:t xml:space="preserve">. </w:t>
      </w:r>
      <w:r w:rsidRPr="00DA3AB5">
        <w:rPr>
          <w:rFonts w:ascii="Times New Roman" w:hAnsi="Times New Roman" w:cs="Times New Roman"/>
        </w:rPr>
        <w:t>Positive affectivity</w:t>
      </w:r>
      <w:r w:rsidR="00D62B75" w:rsidRPr="00DA3AB5">
        <w:rPr>
          <w:rFonts w:ascii="Times New Roman" w:hAnsi="Times New Roman" w:cs="Times New Roman"/>
        </w:rPr>
        <w:t xml:space="preserve"> alone predi</w:t>
      </w:r>
      <w:r w:rsidR="00D62B75" w:rsidRPr="00DA3AB5">
        <w:rPr>
          <w:rFonts w:ascii="Times New Roman" w:hAnsi="Times New Roman" w:cs="Times New Roman"/>
        </w:rPr>
        <w:t xml:space="preserve">cted </w:t>
      </w:r>
      <w:r w:rsidR="00F82157">
        <w:rPr>
          <w:rFonts w:ascii="Times New Roman" w:hAnsi="Times New Roman" w:cs="Times New Roman"/>
        </w:rPr>
        <w:t>seven</w:t>
      </w:r>
      <w:r w:rsidR="00D62B75" w:rsidRPr="00DA3AB5">
        <w:rPr>
          <w:rFonts w:ascii="Times New Roman" w:hAnsi="Times New Roman" w:cs="Times New Roman"/>
        </w:rPr>
        <w:t xml:space="preserve"> percent of the variance i</w:t>
      </w:r>
      <w:r w:rsidRPr="00DA3AB5">
        <w:rPr>
          <w:rFonts w:ascii="Times New Roman" w:hAnsi="Times New Roman" w:cs="Times New Roman"/>
        </w:rPr>
        <w:t>n job performance ratings, R2=.</w:t>
      </w:r>
      <w:r w:rsidR="008C6492" w:rsidRPr="00DA3AB5">
        <w:rPr>
          <w:rFonts w:ascii="Times New Roman" w:hAnsi="Times New Roman" w:cs="Times New Roman"/>
        </w:rPr>
        <w:t xml:space="preserve">7 [.01, .14]. Self-esteem accounted for an additional 22 percent, sr2=.22 [.12, .33], of the variance in academic success beyond positive affectivity alone </w:t>
      </w:r>
      <w:r w:rsidR="006845B0" w:rsidRPr="00DA3AB5">
        <w:rPr>
          <w:rFonts w:ascii="Times New Roman" w:hAnsi="Times New Roman" w:cs="Times New Roman"/>
        </w:rPr>
        <w:t>bringing</w:t>
      </w:r>
      <w:r w:rsidR="008C6492" w:rsidRPr="00DA3AB5">
        <w:rPr>
          <w:rFonts w:ascii="Times New Roman" w:hAnsi="Times New Roman" w:cs="Times New Roman"/>
        </w:rPr>
        <w:t xml:space="preserve"> the total percentage variance accounted for to 32.1 percent, R2=.32 [.21, .41].</w:t>
      </w:r>
      <w:r w:rsidR="00F82157">
        <w:rPr>
          <w:rFonts w:ascii="Times New Roman" w:hAnsi="Times New Roman" w:cs="Times New Roman"/>
        </w:rPr>
        <w:t xml:space="preserve"> Self</w:t>
      </w:r>
      <w:r w:rsidR="008C6492" w:rsidRPr="00DA3AB5">
        <w:rPr>
          <w:rFonts w:ascii="Times New Roman" w:hAnsi="Times New Roman" w:cs="Times New Roman"/>
        </w:rPr>
        <w:t xml:space="preserve">-esteem scores contributed to academic success beyond the variance accounted for by positive affectivity, see Table </w:t>
      </w:r>
      <w:r w:rsidR="00352472" w:rsidRPr="00DA3AB5">
        <w:rPr>
          <w:rFonts w:ascii="Times New Roman" w:hAnsi="Times New Roman" w:cs="Times New Roman"/>
        </w:rPr>
        <w:t>3</w:t>
      </w:r>
      <w:r w:rsidR="008C6492" w:rsidRPr="00DA3AB5">
        <w:rPr>
          <w:rFonts w:ascii="Times New Roman" w:hAnsi="Times New Roman" w:cs="Times New Roman"/>
        </w:rPr>
        <w:t xml:space="preserve">. Positive affectivity alone predicted </w:t>
      </w:r>
      <w:r w:rsidR="00F82157">
        <w:rPr>
          <w:rFonts w:ascii="Times New Roman" w:hAnsi="Times New Roman" w:cs="Times New Roman"/>
        </w:rPr>
        <w:t>three</w:t>
      </w:r>
      <w:r w:rsidR="008C6492" w:rsidRPr="00DA3AB5">
        <w:rPr>
          <w:rFonts w:ascii="Times New Roman" w:hAnsi="Times New Roman" w:cs="Times New Roman"/>
        </w:rPr>
        <w:t xml:space="preserve"> percent of the variance in job performance ratings, R2=.</w:t>
      </w:r>
      <w:r w:rsidR="00352472" w:rsidRPr="00DA3AB5">
        <w:rPr>
          <w:rFonts w:ascii="Times New Roman" w:hAnsi="Times New Roman" w:cs="Times New Roman"/>
        </w:rPr>
        <w:t>0</w:t>
      </w:r>
      <w:r w:rsidR="00F82157">
        <w:rPr>
          <w:rFonts w:ascii="Times New Roman" w:hAnsi="Times New Roman" w:cs="Times New Roman"/>
        </w:rPr>
        <w:t>3</w:t>
      </w:r>
      <w:r w:rsidR="00352472" w:rsidRPr="00DA3AB5">
        <w:rPr>
          <w:rFonts w:ascii="Times New Roman" w:hAnsi="Times New Roman" w:cs="Times New Roman"/>
        </w:rPr>
        <w:t xml:space="preserve"> </w:t>
      </w:r>
      <w:r w:rsidR="008C6492" w:rsidRPr="00DA3AB5">
        <w:rPr>
          <w:rFonts w:ascii="Times New Roman" w:hAnsi="Times New Roman" w:cs="Times New Roman"/>
        </w:rPr>
        <w:t>[</w:t>
      </w:r>
      <w:r w:rsidR="00352472" w:rsidRPr="00DA3AB5">
        <w:rPr>
          <w:rFonts w:ascii="Times New Roman" w:hAnsi="Times New Roman" w:cs="Times New Roman"/>
        </w:rPr>
        <w:t>-.01, .08</w:t>
      </w:r>
      <w:r w:rsidR="008C6492" w:rsidRPr="00DA3AB5">
        <w:rPr>
          <w:rFonts w:ascii="Times New Roman" w:hAnsi="Times New Roman" w:cs="Times New Roman"/>
        </w:rPr>
        <w:t xml:space="preserve">]. Self-esteem accounted for an additional </w:t>
      </w:r>
      <w:r w:rsidR="00352472" w:rsidRPr="00DA3AB5">
        <w:rPr>
          <w:rFonts w:ascii="Times New Roman" w:hAnsi="Times New Roman" w:cs="Times New Roman"/>
        </w:rPr>
        <w:t>23 percent, sr2=.23</w:t>
      </w:r>
      <w:r w:rsidR="008C6492" w:rsidRPr="00DA3AB5">
        <w:rPr>
          <w:rFonts w:ascii="Times New Roman" w:hAnsi="Times New Roman" w:cs="Times New Roman"/>
        </w:rPr>
        <w:t xml:space="preserve"> [.12, .33], of the variance in academic success beyond </w:t>
      </w:r>
      <w:r w:rsidR="00352472" w:rsidRPr="00DA3AB5">
        <w:rPr>
          <w:rFonts w:ascii="Times New Roman" w:hAnsi="Times New Roman" w:cs="Times New Roman"/>
        </w:rPr>
        <w:t>negative</w:t>
      </w:r>
      <w:r w:rsidR="008C6492" w:rsidRPr="00DA3AB5">
        <w:rPr>
          <w:rFonts w:ascii="Times New Roman" w:hAnsi="Times New Roman" w:cs="Times New Roman"/>
        </w:rPr>
        <w:t xml:space="preserve"> affectivity alone </w:t>
      </w:r>
      <w:r w:rsidR="006845B0" w:rsidRPr="00DA3AB5">
        <w:rPr>
          <w:rFonts w:ascii="Times New Roman" w:hAnsi="Times New Roman" w:cs="Times New Roman"/>
        </w:rPr>
        <w:t>bringing</w:t>
      </w:r>
      <w:r w:rsidR="008C6492" w:rsidRPr="00DA3AB5">
        <w:rPr>
          <w:rFonts w:ascii="Times New Roman" w:hAnsi="Times New Roman" w:cs="Times New Roman"/>
        </w:rPr>
        <w:t xml:space="preserve"> the total percentage variance accounted</w:t>
      </w:r>
      <w:r w:rsidR="00352472" w:rsidRPr="00DA3AB5">
        <w:rPr>
          <w:rFonts w:ascii="Times New Roman" w:hAnsi="Times New Roman" w:cs="Times New Roman"/>
        </w:rPr>
        <w:t xml:space="preserve"> for to 28</w:t>
      </w:r>
      <w:r w:rsidR="008C6492" w:rsidRPr="00DA3AB5">
        <w:rPr>
          <w:rFonts w:ascii="Times New Roman" w:hAnsi="Times New Roman" w:cs="Times New Roman"/>
        </w:rPr>
        <w:t xml:space="preserve"> percent, R2=.</w:t>
      </w:r>
      <w:r w:rsidR="00352472" w:rsidRPr="00DA3AB5">
        <w:rPr>
          <w:rFonts w:ascii="Times New Roman" w:hAnsi="Times New Roman" w:cs="Times New Roman"/>
        </w:rPr>
        <w:t>28 [.17</w:t>
      </w:r>
      <w:r w:rsidR="008C6492" w:rsidRPr="00DA3AB5">
        <w:rPr>
          <w:rFonts w:ascii="Times New Roman" w:hAnsi="Times New Roman" w:cs="Times New Roman"/>
        </w:rPr>
        <w:t>, .</w:t>
      </w:r>
      <w:r w:rsidR="00352472" w:rsidRPr="00DA3AB5">
        <w:rPr>
          <w:rFonts w:ascii="Times New Roman" w:hAnsi="Times New Roman" w:cs="Times New Roman"/>
        </w:rPr>
        <w:t>37</w:t>
      </w:r>
      <w:r w:rsidR="008C6492" w:rsidRPr="00DA3AB5">
        <w:rPr>
          <w:rFonts w:ascii="Times New Roman" w:hAnsi="Times New Roman" w:cs="Times New Roman"/>
        </w:rPr>
        <w:t>].</w:t>
      </w:r>
      <w:r w:rsidR="00F82157">
        <w:rPr>
          <w:rFonts w:ascii="Times New Roman" w:hAnsi="Times New Roman" w:cs="Times New Roman"/>
        </w:rPr>
        <w:t xml:space="preserve"> S</w:t>
      </w:r>
      <w:r w:rsidR="006845B0" w:rsidRPr="00DA3AB5">
        <w:rPr>
          <w:rFonts w:ascii="Times New Roman" w:hAnsi="Times New Roman" w:cs="Times New Roman"/>
        </w:rPr>
        <w:t>elf-esteem scores contributed to academic success beyond the variance accounted for by positive affectivity</w:t>
      </w:r>
      <w:r w:rsidR="006845B0">
        <w:rPr>
          <w:rFonts w:ascii="Times New Roman" w:hAnsi="Times New Roman" w:cs="Times New Roman"/>
        </w:rPr>
        <w:t xml:space="preserve"> and negative affectivity</w:t>
      </w:r>
      <w:r w:rsidR="006845B0" w:rsidRPr="00DA3AB5">
        <w:rPr>
          <w:rFonts w:ascii="Times New Roman" w:hAnsi="Times New Roman" w:cs="Times New Roman"/>
        </w:rPr>
        <w:t xml:space="preserve">, see Table </w:t>
      </w:r>
      <w:r w:rsidR="006845B0">
        <w:rPr>
          <w:rFonts w:ascii="Times New Roman" w:hAnsi="Times New Roman" w:cs="Times New Roman"/>
        </w:rPr>
        <w:t>4</w:t>
      </w:r>
      <w:r w:rsidR="006845B0" w:rsidRPr="00DA3AB5">
        <w:rPr>
          <w:rFonts w:ascii="Times New Roman" w:hAnsi="Times New Roman" w:cs="Times New Roman"/>
        </w:rPr>
        <w:t xml:space="preserve">. Positive affectivity </w:t>
      </w:r>
      <w:r w:rsidR="006845B0">
        <w:rPr>
          <w:rFonts w:ascii="Times New Roman" w:hAnsi="Times New Roman" w:cs="Times New Roman"/>
        </w:rPr>
        <w:t xml:space="preserve">and negative affectivity </w:t>
      </w:r>
      <w:r w:rsidR="006845B0" w:rsidRPr="00DA3AB5">
        <w:rPr>
          <w:rFonts w:ascii="Times New Roman" w:hAnsi="Times New Roman" w:cs="Times New Roman"/>
        </w:rPr>
        <w:t xml:space="preserve">predicted </w:t>
      </w:r>
      <w:r w:rsidR="006845B0">
        <w:rPr>
          <w:rFonts w:ascii="Times New Roman" w:hAnsi="Times New Roman" w:cs="Times New Roman"/>
        </w:rPr>
        <w:t>11.7</w:t>
      </w:r>
      <w:r w:rsidR="006845B0" w:rsidRPr="00DA3AB5">
        <w:rPr>
          <w:rFonts w:ascii="Times New Roman" w:hAnsi="Times New Roman" w:cs="Times New Roman"/>
        </w:rPr>
        <w:t xml:space="preserve"> percent of the variance in </w:t>
      </w:r>
      <w:r w:rsidR="006845B0" w:rsidRPr="006845B0">
        <w:rPr>
          <w:rFonts w:ascii="Times New Roman" w:hAnsi="Times New Roman" w:cs="Times New Roman"/>
        </w:rPr>
        <w:t>job performance ratings, R2=.</w:t>
      </w:r>
      <w:r w:rsidR="006845B0" w:rsidRPr="006845B0">
        <w:rPr>
          <w:rFonts w:ascii="Times New Roman" w:hAnsi="Times New Roman" w:cs="Times New Roman"/>
        </w:rPr>
        <w:t>12</w:t>
      </w:r>
      <w:r w:rsidR="006845B0" w:rsidRPr="006845B0">
        <w:rPr>
          <w:rFonts w:ascii="Times New Roman" w:hAnsi="Times New Roman" w:cs="Times New Roman"/>
        </w:rPr>
        <w:t xml:space="preserve"> [.0</w:t>
      </w:r>
      <w:r w:rsidR="006845B0" w:rsidRPr="006845B0">
        <w:rPr>
          <w:rFonts w:ascii="Times New Roman" w:hAnsi="Times New Roman" w:cs="Times New Roman"/>
        </w:rPr>
        <w:t>4</w:t>
      </w:r>
      <w:r w:rsidR="006845B0" w:rsidRPr="006845B0">
        <w:rPr>
          <w:rFonts w:ascii="Times New Roman" w:hAnsi="Times New Roman" w:cs="Times New Roman"/>
        </w:rPr>
        <w:t>, .</w:t>
      </w:r>
      <w:r w:rsidR="006845B0" w:rsidRPr="006845B0">
        <w:rPr>
          <w:rFonts w:ascii="Times New Roman" w:hAnsi="Times New Roman" w:cs="Times New Roman"/>
        </w:rPr>
        <w:t>20</w:t>
      </w:r>
      <w:r w:rsidR="006845B0" w:rsidRPr="006845B0">
        <w:rPr>
          <w:rFonts w:ascii="Times New Roman" w:hAnsi="Times New Roman" w:cs="Times New Roman"/>
        </w:rPr>
        <w:t>]. Self-esteem accounted for an additional 2</w:t>
      </w:r>
      <w:r w:rsidR="006845B0" w:rsidRPr="006845B0">
        <w:rPr>
          <w:rFonts w:ascii="Times New Roman" w:hAnsi="Times New Roman" w:cs="Times New Roman"/>
        </w:rPr>
        <w:t>1</w:t>
      </w:r>
      <w:r w:rsidR="006845B0" w:rsidRPr="006845B0">
        <w:rPr>
          <w:rFonts w:ascii="Times New Roman" w:hAnsi="Times New Roman" w:cs="Times New Roman"/>
        </w:rPr>
        <w:t xml:space="preserve"> percent, </w:t>
      </w:r>
      <w:r w:rsidR="006845B0" w:rsidRPr="006845B0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Δ</w:t>
      </w:r>
      <w:r w:rsidR="006845B0" w:rsidRPr="006845B0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R2</w:t>
      </w:r>
      <w:r w:rsidR="006845B0" w:rsidRPr="006845B0">
        <w:rPr>
          <w:rFonts w:ascii="Times New Roman" w:hAnsi="Times New Roman" w:cs="Times New Roman"/>
        </w:rPr>
        <w:t>=.2</w:t>
      </w:r>
      <w:r w:rsidR="006845B0">
        <w:rPr>
          <w:rFonts w:ascii="Times New Roman" w:hAnsi="Times New Roman" w:cs="Times New Roman"/>
        </w:rPr>
        <w:t>1</w:t>
      </w:r>
      <w:r w:rsidR="006845B0" w:rsidRPr="006845B0">
        <w:rPr>
          <w:rFonts w:ascii="Times New Roman" w:hAnsi="Times New Roman" w:cs="Times New Roman"/>
        </w:rPr>
        <w:t xml:space="preserve"> [.1</w:t>
      </w:r>
      <w:r w:rsidR="006845B0">
        <w:rPr>
          <w:rFonts w:ascii="Times New Roman" w:hAnsi="Times New Roman" w:cs="Times New Roman"/>
        </w:rPr>
        <w:t>1, .31</w:t>
      </w:r>
      <w:r w:rsidR="006845B0" w:rsidRPr="006845B0">
        <w:rPr>
          <w:rFonts w:ascii="Times New Roman" w:hAnsi="Times New Roman" w:cs="Times New Roman"/>
        </w:rPr>
        <w:t>], of the variance in academic success beyond negative affectivity alone bringing the</w:t>
      </w:r>
      <w:r w:rsidR="006845B0" w:rsidRPr="00DA3AB5">
        <w:rPr>
          <w:rFonts w:ascii="Times New Roman" w:hAnsi="Times New Roman" w:cs="Times New Roman"/>
        </w:rPr>
        <w:t xml:space="preserve"> total percentage variance accounted</w:t>
      </w:r>
      <w:r w:rsidR="006845B0">
        <w:rPr>
          <w:rFonts w:ascii="Times New Roman" w:hAnsi="Times New Roman" w:cs="Times New Roman"/>
        </w:rPr>
        <w:t xml:space="preserve"> for to 33</w:t>
      </w:r>
      <w:r w:rsidR="006845B0" w:rsidRPr="00DA3AB5">
        <w:rPr>
          <w:rFonts w:ascii="Times New Roman" w:hAnsi="Times New Roman" w:cs="Times New Roman"/>
        </w:rPr>
        <w:t xml:space="preserve"> percent, R2=.</w:t>
      </w:r>
      <w:r w:rsidR="006845B0">
        <w:rPr>
          <w:rFonts w:ascii="Times New Roman" w:hAnsi="Times New Roman" w:cs="Times New Roman"/>
        </w:rPr>
        <w:t>33 [.21</w:t>
      </w:r>
      <w:r w:rsidR="006845B0" w:rsidRPr="00DA3AB5">
        <w:rPr>
          <w:rFonts w:ascii="Times New Roman" w:hAnsi="Times New Roman" w:cs="Times New Roman"/>
        </w:rPr>
        <w:t>, .</w:t>
      </w:r>
      <w:r w:rsidR="006845B0">
        <w:rPr>
          <w:rFonts w:ascii="Times New Roman" w:hAnsi="Times New Roman" w:cs="Times New Roman"/>
        </w:rPr>
        <w:t>42</w:t>
      </w:r>
      <w:r w:rsidR="006845B0" w:rsidRPr="00DA3AB5">
        <w:rPr>
          <w:rFonts w:ascii="Times New Roman" w:hAnsi="Times New Roman" w:cs="Times New Roman"/>
        </w:rPr>
        <w:t>].</w:t>
      </w:r>
    </w:p>
    <w:p w:rsidR="008C6492" w:rsidRDefault="008C6492" w:rsidP="008C6492">
      <w:pPr>
        <w:pStyle w:val="FirstParagraph"/>
        <w:spacing w:line="480" w:lineRule="auto"/>
      </w:pPr>
    </w:p>
    <w:p w:rsidR="003F541F" w:rsidRDefault="003F541F"/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 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Means, standard deviations, and correlations with confidence intervals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35"/>
        <w:gridCol w:w="1225"/>
        <w:gridCol w:w="1224"/>
        <w:gridCol w:w="1224"/>
        <w:gridCol w:w="1224"/>
        <w:gridCol w:w="1224"/>
        <w:gridCol w:w="1224"/>
      </w:tblGrid>
      <w:tr w:rsidR="003F541F" w:rsidTr="00E6047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F541F" w:rsidTr="00E6047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1F" w:rsidTr="00E6047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aSuc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62.37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PAS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58.23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11.96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.31**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[.17, .44]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NAS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49.60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-.23**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-.31**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[-.36, -.08]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[-.43, -.17]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selfEsteem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63.21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.50**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.09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-.10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[.38, .60]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[-.06, .23]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[-.25, .04]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F541F" w:rsidTr="00E6047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galResp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61.45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.44**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.72**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-.69**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.18*</w:t>
            </w:r>
          </w:p>
        </w:tc>
      </w:tr>
      <w:tr w:rsidR="003F541F" w:rsidTr="00E6047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[.31, .55]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[.64, .78]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[-.76, -.61]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[.04, .32]</w:t>
            </w:r>
          </w:p>
        </w:tc>
      </w:tr>
      <w:tr w:rsidR="003F541F" w:rsidTr="00E60472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Note.</w:t>
      </w:r>
      <w:r>
        <w:rPr>
          <w:rFonts w:ascii="Times New Roman" w:hAnsi="Times New Roman" w:cs="Times New Roman"/>
        </w:rPr>
        <w:t xml:space="preserve"> 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.05; **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.01.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SD</w:t>
      </w:r>
      <w:r>
        <w:rPr>
          <w:rFonts w:ascii="Times New Roman" w:hAnsi="Times New Roman" w:cs="Times New Roman"/>
        </w:rPr>
        <w:t xml:space="preserve"> are used to represent mean and standard deviation, respectively. Values in square brackets indicate the 95% confidence interval for each correlation. The confidence interval is a plausible range of population correlations that could have caused the sample correlation (Cumming, 2014).</w:t>
      </w:r>
    </w:p>
    <w:p w:rsidR="003F541F" w:rsidRDefault="003F541F">
      <w:r>
        <w:br w:type="page"/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2 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Regression results using aSuc as the criterion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11689" w:type="dxa"/>
        <w:tblInd w:w="-116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68"/>
        <w:gridCol w:w="1368"/>
        <w:gridCol w:w="1846"/>
        <w:gridCol w:w="864"/>
        <w:gridCol w:w="1368"/>
        <w:gridCol w:w="864"/>
        <w:gridCol w:w="1368"/>
        <w:gridCol w:w="864"/>
        <w:gridCol w:w="1779"/>
      </w:tblGrid>
      <w:tr w:rsidR="003F541F" w:rsidTr="003F541F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Predictor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</w:t>
            </w:r>
          </w:p>
        </w:tc>
      </w:tr>
      <w:tr w:rsidR="003F541F" w:rsidTr="003F541F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17.38**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[7.61, 27.16]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1F" w:rsidTr="003F541F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selfEsteem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[0.40, 0.68]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[0.35, 0.60]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[.12, .33]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.50**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1F" w:rsidTr="003F541F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[0.10, 0.27]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[0.15, 0.39]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[.01, .14]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.31**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1F" w:rsidTr="003F541F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 xml:space="preserve">  = .321**</w:t>
            </w:r>
          </w:p>
        </w:tc>
      </w:tr>
      <w:tr w:rsidR="003F541F" w:rsidTr="003F541F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CI[.21,.41]</w:t>
            </w:r>
          </w:p>
        </w:tc>
      </w:tr>
      <w:tr w:rsidR="003F541F" w:rsidTr="003F541F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Note.</w:t>
      </w:r>
      <w:r>
        <w:rPr>
          <w:rFonts w:ascii="Times New Roman" w:hAnsi="Times New Roman" w:cs="Times New Roman"/>
        </w:rPr>
        <w:t xml:space="preserve"> 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.05; **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.01. A significant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-weight indicates the beta-weight and semi-partial correlation are also significant.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represents unstandardized regression weights; </w:t>
      </w:r>
      <w:r>
        <w:rPr>
          <w:rFonts w:ascii="Times New Roman" w:hAnsi="Times New Roman" w:cs="Times New Roman"/>
          <w:i/>
          <w:iCs/>
        </w:rPr>
        <w:t>beta</w:t>
      </w:r>
      <w:r>
        <w:rPr>
          <w:rFonts w:ascii="Times New Roman" w:hAnsi="Times New Roman" w:cs="Times New Roman"/>
        </w:rPr>
        <w:t xml:space="preserve"> indicates the standardized regression weights; </w:t>
      </w:r>
      <w:r>
        <w:rPr>
          <w:rFonts w:ascii="Times New Roman" w:hAnsi="Times New Roman" w:cs="Times New Roman"/>
          <w:i/>
          <w:iCs/>
        </w:rPr>
        <w:t>sr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</w:rPr>
        <w:t xml:space="preserve"> represents the semi-partial correlation squared;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represents the zero-order correlation. </w:t>
      </w:r>
      <w:r>
        <w:rPr>
          <w:rFonts w:ascii="Times New Roman" w:hAnsi="Times New Roman" w:cs="Times New Roman"/>
          <w:i/>
          <w:iCs/>
        </w:rPr>
        <w:t>LL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UL</w:t>
      </w:r>
      <w:r>
        <w:rPr>
          <w:rFonts w:ascii="Times New Roman" w:hAnsi="Times New Roman" w:cs="Times New Roman"/>
        </w:rPr>
        <w:t xml:space="preserve"> indicate the lower and upper limits of a confidence interval, respectively.</w:t>
      </w:r>
    </w:p>
    <w:p w:rsidR="003F541F" w:rsidRDefault="003F541F">
      <w:r>
        <w:br w:type="page"/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3 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Regression results using aSuc as the criterion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11689" w:type="dxa"/>
        <w:tblInd w:w="-116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68"/>
        <w:gridCol w:w="1368"/>
        <w:gridCol w:w="1846"/>
        <w:gridCol w:w="864"/>
        <w:gridCol w:w="1368"/>
        <w:gridCol w:w="864"/>
        <w:gridCol w:w="1368"/>
        <w:gridCol w:w="864"/>
        <w:gridCol w:w="1779"/>
      </w:tblGrid>
      <w:tr w:rsidR="003F541F" w:rsidTr="003F541F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Predictor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</w:t>
            </w:r>
          </w:p>
        </w:tc>
      </w:tr>
      <w:tr w:rsidR="003F541F" w:rsidTr="003F541F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34.16**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[23.46, 44.86]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1F" w:rsidTr="003F541F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selfEsteem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0.55**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[0.40, 0.69]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[0.35, 0.61]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[.12, .33]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.50**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1F" w:rsidTr="003F541F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-0.13**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[-0.22, -0.04]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[-0.31, -0.05]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[-.01, .08]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-.23**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F541F" w:rsidTr="003F541F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 xml:space="preserve">  = .280**</w:t>
            </w:r>
          </w:p>
        </w:tc>
      </w:tr>
      <w:tr w:rsidR="003F541F" w:rsidTr="003F541F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CI[.17,.37]</w:t>
            </w:r>
          </w:p>
        </w:tc>
      </w:tr>
      <w:tr w:rsidR="003F541F" w:rsidTr="003F541F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Note.</w:t>
      </w:r>
      <w:r>
        <w:rPr>
          <w:rFonts w:ascii="Times New Roman" w:hAnsi="Times New Roman" w:cs="Times New Roman"/>
        </w:rPr>
        <w:t xml:space="preserve"> 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.05; **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.01. A significant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-weight indicates the beta-weight and semi-partial correlation are also significant.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represents unstandardized regression weights; </w:t>
      </w:r>
      <w:r>
        <w:rPr>
          <w:rFonts w:ascii="Times New Roman" w:hAnsi="Times New Roman" w:cs="Times New Roman"/>
          <w:i/>
          <w:iCs/>
        </w:rPr>
        <w:t>beta</w:t>
      </w:r>
      <w:r>
        <w:rPr>
          <w:rFonts w:ascii="Times New Roman" w:hAnsi="Times New Roman" w:cs="Times New Roman"/>
        </w:rPr>
        <w:t xml:space="preserve"> indicates the standardized regression weights; </w:t>
      </w:r>
      <w:r>
        <w:rPr>
          <w:rFonts w:ascii="Times New Roman" w:hAnsi="Times New Roman" w:cs="Times New Roman"/>
          <w:i/>
          <w:iCs/>
        </w:rPr>
        <w:t>sr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</w:rPr>
        <w:t xml:space="preserve"> represents the semi-partial correlation squared;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represents the zero-order correlation. </w:t>
      </w:r>
      <w:r>
        <w:rPr>
          <w:rFonts w:ascii="Times New Roman" w:hAnsi="Times New Roman" w:cs="Times New Roman"/>
          <w:i/>
          <w:iCs/>
        </w:rPr>
        <w:t>LL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UL</w:t>
      </w:r>
      <w:r>
        <w:rPr>
          <w:rFonts w:ascii="Times New Roman" w:hAnsi="Times New Roman" w:cs="Times New Roman"/>
        </w:rPr>
        <w:t xml:space="preserve"> indicate the lower and upper limits of a confidence interval, respectively.</w:t>
      </w:r>
    </w:p>
    <w:p w:rsidR="003F541F" w:rsidRDefault="003F541F">
      <w:r>
        <w:br w:type="page"/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4 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Regression results using aSuc as the criterion</w:t>
      </w: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11492" w:type="dxa"/>
        <w:tblInd w:w="-1034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156"/>
        <w:gridCol w:w="1156"/>
        <w:gridCol w:w="1560"/>
        <w:gridCol w:w="729"/>
        <w:gridCol w:w="1156"/>
        <w:gridCol w:w="729"/>
        <w:gridCol w:w="1156"/>
        <w:gridCol w:w="729"/>
        <w:gridCol w:w="1503"/>
        <w:gridCol w:w="1618"/>
      </w:tblGrid>
      <w:tr w:rsidR="00055110" w:rsidTr="00055110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15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Predictor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72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beta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72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</w:t>
            </w:r>
          </w:p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[LL, UL]</w:t>
            </w:r>
          </w:p>
        </w:tc>
        <w:tc>
          <w:tcPr>
            <w:tcW w:w="72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</w:p>
        </w:tc>
        <w:tc>
          <w:tcPr>
            <w:tcW w:w="150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16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</w:t>
            </w:r>
          </w:p>
        </w:tc>
      </w:tr>
      <w:tr w:rsidR="00055110" w:rsidTr="0005511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15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57.05**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[48.01, 66.09]</w:t>
            </w:r>
          </w:p>
        </w:tc>
        <w:tc>
          <w:tcPr>
            <w:tcW w:w="72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[-0.21, 0.00]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[-0.29, 0.00]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[-.02, .06]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-.23**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[0.08, 0.28]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[0.12, 0.41]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[-.00, .13]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.31**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 xml:space="preserve">  = .117**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CI[.04,.20]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[11.20, 35.02]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[-0.17, 0.02]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[-0.24, 0.02]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[-.01, .03]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-.23**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[0.08, 0.25]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[0.11, 0.37]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[-.00, .11]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.31**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selfEsteem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0.53**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[0.39, 0.67]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[0.34, 0.59]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[.11, .31]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.50**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5110" w:rsidTr="0005511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 xml:space="preserve">  = .331**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Δ</w:t>
            </w: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 xml:space="preserve">  = .21**</w:t>
            </w:r>
          </w:p>
        </w:tc>
      </w:tr>
      <w:tr w:rsidR="00055110" w:rsidTr="0005511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CI[.21,.42]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95% CI[.11, .31]</w:t>
            </w:r>
          </w:p>
        </w:tc>
      </w:tr>
      <w:tr w:rsidR="00055110" w:rsidTr="0005511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115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3F541F" w:rsidRDefault="003F541F" w:rsidP="00E60472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3F541F" w:rsidRDefault="003F541F" w:rsidP="003F541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Note.</w:t>
      </w:r>
      <w:r>
        <w:rPr>
          <w:rFonts w:ascii="Times New Roman" w:hAnsi="Times New Roman" w:cs="Times New Roman"/>
        </w:rPr>
        <w:t xml:space="preserve"> 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.05; ** indicates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.01. A significant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-weight indicates the beta-weight and semi-partial correlation are also significant.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represents unstandardized regression weights; </w:t>
      </w:r>
      <w:r>
        <w:rPr>
          <w:rFonts w:ascii="Times New Roman" w:hAnsi="Times New Roman" w:cs="Times New Roman"/>
          <w:i/>
          <w:iCs/>
        </w:rPr>
        <w:t>beta</w:t>
      </w:r>
      <w:r>
        <w:rPr>
          <w:rFonts w:ascii="Times New Roman" w:hAnsi="Times New Roman" w:cs="Times New Roman"/>
        </w:rPr>
        <w:t xml:space="preserve"> indicates the standardized regression weights; </w:t>
      </w:r>
      <w:r>
        <w:rPr>
          <w:rFonts w:ascii="Times New Roman" w:hAnsi="Times New Roman" w:cs="Times New Roman"/>
          <w:i/>
          <w:iCs/>
        </w:rPr>
        <w:t>sr</w:t>
      </w:r>
      <w:r>
        <w:rPr>
          <w:rFonts w:ascii="Times New Roman" w:hAnsi="Times New Roman" w:cs="Times New Roman"/>
          <w:i/>
          <w:iCs/>
          <w:vertAlign w:val="superscript"/>
        </w:rPr>
        <w:t>2</w:t>
      </w:r>
      <w:r>
        <w:rPr>
          <w:rFonts w:ascii="Times New Roman" w:hAnsi="Times New Roman" w:cs="Times New Roman"/>
        </w:rPr>
        <w:t xml:space="preserve"> represents the semi-partial correlation squared;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 xml:space="preserve"> represents the zero-order correlation. </w:t>
      </w:r>
      <w:r>
        <w:rPr>
          <w:rFonts w:ascii="Times New Roman" w:hAnsi="Times New Roman" w:cs="Times New Roman"/>
          <w:i/>
          <w:iCs/>
        </w:rPr>
        <w:t>LL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UL</w:t>
      </w:r>
      <w:r>
        <w:rPr>
          <w:rFonts w:ascii="Times New Roman" w:hAnsi="Times New Roman" w:cs="Times New Roman"/>
        </w:rPr>
        <w:t xml:space="preserve"> indicate the lower and upper limits of a confidence interval, respectively.</w:t>
      </w:r>
    </w:p>
    <w:p w:rsidR="003F541F" w:rsidRPr="003F541F" w:rsidRDefault="003F541F" w:rsidP="003F541F"/>
    <w:sectPr w:rsidR="003F541F" w:rsidRPr="003F541F" w:rsidSect="008C6492">
      <w:pgSz w:w="12240" w:h="15840"/>
      <w:pgMar w:top="85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B75" w:rsidRDefault="00D62B75">
      <w:pPr>
        <w:spacing w:after="0"/>
      </w:pPr>
      <w:r>
        <w:separator/>
      </w:r>
    </w:p>
  </w:endnote>
  <w:endnote w:type="continuationSeparator" w:id="0">
    <w:p w:rsidR="00D62B75" w:rsidRDefault="00D62B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B75" w:rsidRDefault="00D62B75">
      <w:r>
        <w:separator/>
      </w:r>
    </w:p>
  </w:footnote>
  <w:footnote w:type="continuationSeparator" w:id="0">
    <w:p w:rsidR="00D62B75" w:rsidRDefault="00D62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94156F7"/>
    <w:multiLevelType w:val="multilevel"/>
    <w:tmpl w:val="D382C5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D18E1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F06ED9"/>
    <w:multiLevelType w:val="hybridMultilevel"/>
    <w:tmpl w:val="732AA5A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5110"/>
    <w:rsid w:val="002C5A74"/>
    <w:rsid w:val="00352472"/>
    <w:rsid w:val="003F541F"/>
    <w:rsid w:val="00490CF9"/>
    <w:rsid w:val="004E29B3"/>
    <w:rsid w:val="00590D07"/>
    <w:rsid w:val="00650D17"/>
    <w:rsid w:val="006845B0"/>
    <w:rsid w:val="00784D58"/>
    <w:rsid w:val="008C6492"/>
    <w:rsid w:val="008D6863"/>
    <w:rsid w:val="00B86B75"/>
    <w:rsid w:val="00BC48D5"/>
    <w:rsid w:val="00C36279"/>
    <w:rsid w:val="00D62B75"/>
    <w:rsid w:val="00DA3AB5"/>
    <w:rsid w:val="00E315A3"/>
    <w:rsid w:val="00F821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91D5"/>
  <w15:docId w15:val="{A88F8B0D-EF3A-47F1-A810-5F63B044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5</vt:lpstr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5</dc:title>
  <dc:creator>Parco Sin</dc:creator>
  <cp:lastModifiedBy>Parco Sin</cp:lastModifiedBy>
  <cp:revision>5</cp:revision>
  <dcterms:created xsi:type="dcterms:W3CDTF">2016-11-15T18:24:00Z</dcterms:created>
  <dcterms:modified xsi:type="dcterms:W3CDTF">2016-11-15T18:29:00Z</dcterms:modified>
</cp:coreProperties>
</file>