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12/08/2026 à 05:53</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45 ACHAT  |  2 NEUTRE  |  0 VENTE  (sur 47 sociétés)</w:t>
      </w:r>
    </w:p>
    <w:p>
      <w:pPr>
        <w:spacing w:before="20" w:after="20"/>
        <w:ind w:left="360" w:right="360"/>
        <w:shd w:val="clear" w:color="auto" w:fill="EBF5FB"/>
      </w:pPr>
      <w:r>
        <w:rPr>
          <w:b/>
          <w:sz w:val="19"/>
        </w:rPr>
        <w:t xml:space="preserve">Top opportunité :  </w:t>
      </w:r>
      <w:r>
        <w:rPr>
          <w:color w:val="008000"/>
          <w:sz w:val="19"/>
        </w:rPr>
        <w:t>STBC  (score 79/100)</w:t>
      </w:r>
    </w:p>
    <w:p>
      <w:pPr>
        <w:spacing w:before="20" w:after="20"/>
        <w:ind w:left="360" w:right="360"/>
        <w:shd w:val="clear" w:color="auto" w:fill="EBF5FB"/>
      </w:pPr>
      <w:r>
        <w:rPr>
          <w:b/>
          <w:sz w:val="19"/>
        </w:rPr>
        <w:t xml:space="preserve">Secteur surperformant :  </w:t>
      </w:r>
      <w:r>
        <w:rPr>
          <w:color w:val="008000"/>
          <w:sz w:val="19"/>
        </w:rPr>
        <w:t>SERVICES PUBLICS  (+54.2%)</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20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493.90 points </w:t>
      </w:r>
      <w:r>
        <w:rPr>
          <w:color w:val="008000"/>
        </w:rPr>
        <w:t>(+0.69%)</w:t>
      </w:r>
      <w:r>
        <w:t xml:space="preserve"> sur la séance. </w:t>
      </w:r>
      <w:r>
        <w:t>La capitalisation globale du marché atteint 19 045,410 milliards FCFA.</w:t>
      </w:r>
    </w:p>
    <w:p/>
    <w:p>
      <w:pPr>
        <w:pStyle w:val="Heading3"/>
      </w:pPr>
      <w:r>
        <w:t>📊 Évolution de l'indice BRVM Composite (100 derniers jours)</w:t>
      </w:r>
    </w:p>
    <w:p>
      <w:r>
        <w:rPr>
          <w:b/>
        </w:rPr>
        <w:t xml:space="preserve">BRVM Composite — </w:t>
      </w:r>
      <w:r>
        <w:t xml:space="preserve">Sur les 98 derniers jours de cotation (2026-03-17 au 2026-08-11), l'indice BRVM Composite a évolué de </w:t>
      </w:r>
      <w:r>
        <w:rPr>
          <w:b/>
          <w:color w:val="008000"/>
        </w:rPr>
        <w:t>+19.87%</w:t>
      </w:r>
      <w:r>
        <w:t>, passant de 412.02 pts à 493.90 pts. Le plus haut atteint est 493.90 pts et le plus bas 397.33 pts. Sur l'ensemble de la période, la moyenne de l'indice s'établit à 435.22 pts, la médiane à 431.69 pts et le mode à 403.36 pts</w:t>
      </w:r>
      <w:r>
        <w:t xml:space="preserve"> (asymétrie positive — plus de jours sous la moyenne). </w:t>
      </w:r>
      <w:r>
        <w:t xml:space="preserve">L'écart-type de 31.03 pts (CV=7.1%) traduit une modérée dispersion des cotations. Le kurtosis de -1.30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+19.89%</w:t>
      </w:r>
      <w:r>
        <w:t xml:space="preserve"> sur la période, passant de 15 885,659 Mds FCFA à 19 045,410 Mds FCFA. Le pic de capitalisation observé est de 19 045,410 Mds FCFA et le plancher de 15 319,235 Mds FCFA. La moyenne de la capitalisation sur la période s'établit à 16 772,711 Mds FCFA, la médiane à 16 638,626 Mds FCFA et le mode à 15 319,235 Mds FCFA</w:t>
      </w:r>
      <w:r>
        <w:t xml:space="preserve"> (asymétrie positive). </w:t>
      </w:r>
      <w:r>
        <w:t>L'écart-type de 1 190,408 Mds FCFA (CV=7.1%) reflète une modérée variabilité de la valorisation du marché. Le kurtosis de -1.30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3140 FCFA | </w:t>
      </w:r>
      <w:r>
        <w:rPr>
          <w:b/>
          <w:color w:val="008000"/>
        </w:rPr>
        <w:t>ACHAT</w:t>
      </w:r>
      <w:r>
        <w:t xml:space="preserve"> | Confiance: Faible | Risque: Moyen</w:t>
      </w:r>
    </w:p>
    <w:p>
      <w:pPr>
        <w:pStyle w:val="ListNumber"/>
      </w:pPr>
      <w:r>
        <w:rPr>
          <w:b/>
        </w:rPr>
        <w:t>BICB - BIIC BN - Banque internationale pour le commerce du benin</w:t>
      </w:r>
      <w:r>
        <w:t xml:space="preserve"> | Prix: 7950 FCFA | </w:t>
      </w:r>
      <w:r>
        <w:rPr>
          <w:b/>
          <w:color w:val="008000"/>
        </w:rPr>
        <w:t>ACHAT</w:t>
      </w:r>
      <w:r>
        <w:t xml:space="preserve"> | Confiance: Moyen | Risque: Faible</w:t>
      </w:r>
    </w:p>
    <w:p>
      <w:pPr>
        <w:pStyle w:val="ListNumber"/>
      </w:pPr>
      <w:r>
        <w:rPr>
          <w:b/>
        </w:rPr>
        <w:t>BICC - BICI CI - Banque internationale pour le commerce et l'industrie de la Côte d'Ivoire</w:t>
      </w:r>
      <w:r>
        <w:t xml:space="preserve"> | Prix: 29200 FCFA | </w:t>
      </w:r>
      <w:r>
        <w:rPr>
          <w:b/>
          <w:color w:val="008000"/>
        </w:rPr>
        <w:t>ACHAT</w:t>
      </w:r>
      <w:r>
        <w:t xml:space="preserve"> | Confiance: Faible | Risque: Moyen</w:t>
      </w:r>
    </w:p>
    <w:p>
      <w:pPr>
        <w:pStyle w:val="ListNumber"/>
      </w:pPr>
      <w:r>
        <w:rPr>
          <w:b/>
        </w:rPr>
        <w:t>BOAB - BANK OF AFRICA BENIN</w:t>
      </w:r>
      <w:r>
        <w:t xml:space="preserve"> | Prix: 8655 FCFA | </w:t>
      </w:r>
      <w:r>
        <w:rPr>
          <w:b/>
          <w:color w:val="008000"/>
        </w:rPr>
        <w:t>ACHAT</w:t>
      </w:r>
      <w:r>
        <w:t xml:space="preserve"> | Confiance: Moyen | Risque: Moyen</w:t>
      </w:r>
    </w:p>
    <w:p>
      <w:pPr>
        <w:pStyle w:val="ListNumber"/>
      </w:pPr>
      <w:r>
        <w:rPr>
          <w:b/>
        </w:rPr>
        <w:t>BOABF - BANK OF AFRICA BURKINA FASO</w:t>
      </w:r>
      <w:r>
        <w:t xml:space="preserve"> | Prix: 7350 FCFA | </w:t>
      </w:r>
      <w:r>
        <w:rPr>
          <w:b/>
          <w:color w:val="008000"/>
        </w:rPr>
        <w:t>ACHAT</w:t>
      </w:r>
      <w:r>
        <w:t xml:space="preserve"> | Confiance: Faible | Risque: Faible</w:t>
      </w:r>
    </w:p>
    <w:p>
      <w:pPr>
        <w:pStyle w:val="ListNumber"/>
      </w:pPr>
      <w:r>
        <w:rPr>
          <w:b/>
        </w:rPr>
        <w:t>BOAC - BANK OF AFRICA COTE D'IVOIRE</w:t>
      </w:r>
      <w:r>
        <w:t xml:space="preserve"> | Prix: 11905 FCFA | </w:t>
      </w:r>
      <w:r>
        <w:rPr>
          <w:b/>
          <w:color w:val="008000"/>
        </w:rPr>
        <w:t>ACHAT</w:t>
      </w:r>
      <w:r>
        <w:t xml:space="preserve"> | Confiance: Moyen | Risque: Faible</w:t>
      </w:r>
    </w:p>
    <w:p>
      <w:pPr>
        <w:pStyle w:val="ListNumber"/>
      </w:pPr>
      <w:r>
        <w:rPr>
          <w:b/>
        </w:rPr>
        <w:t>BOAM - BANK OF AFRICA MALI</w:t>
      </w:r>
      <w:r>
        <w:t xml:space="preserve"> | Prix: 5850 FCFA | </w:t>
      </w:r>
      <w:r>
        <w:rPr>
          <w:b/>
          <w:color w:val="008000"/>
        </w:rPr>
        <w:t>ACHAT</w:t>
      </w:r>
      <w:r>
        <w:t xml:space="preserve"> | Confiance: Faible | Risque: Faible</w:t>
      </w:r>
    </w:p>
    <w:p>
      <w:pPr>
        <w:pStyle w:val="ListNumber"/>
      </w:pPr>
      <w:r>
        <w:rPr>
          <w:b/>
        </w:rPr>
        <w:t>BOAN - BANK OF AFRICA NIGER</w:t>
      </w:r>
      <w:r>
        <w:t xml:space="preserve"> | Prix: 5100 FCFA | </w:t>
      </w:r>
      <w:r>
        <w:rPr>
          <w:b/>
          <w:color w:val="008000"/>
        </w:rPr>
        <w:t>ACHAT</w:t>
      </w:r>
      <w:r>
        <w:t xml:space="preserve"> | Confiance: Élevée | Risque: Moyen</w:t>
      </w:r>
    </w:p>
    <w:p>
      <w:pPr>
        <w:pStyle w:val="ListNumber"/>
      </w:pPr>
      <w:r>
        <w:rPr>
          <w:b/>
        </w:rPr>
        <w:t>BOAS - BANK OF AFRICA SENEGAL</w:t>
      </w:r>
      <w:r>
        <w:t xml:space="preserve"> | Prix: 7700 FCFA | </w:t>
      </w:r>
      <w:r>
        <w:rPr>
          <w:b/>
          <w:color w:val="008000"/>
        </w:rPr>
        <w:t>ACHAT</w:t>
      </w:r>
      <w:r>
        <w:t xml:space="preserve"> | Confiance: Moyen | Risque: Faible</w:t>
      </w:r>
    </w:p>
    <w:p>
      <w:pPr>
        <w:pStyle w:val="ListNumber"/>
      </w:pPr>
      <w:r>
        <w:rPr>
          <w:b/>
        </w:rPr>
        <w:t>CABC - CABC - SICABLE COTE D'IVOIRE</w:t>
      </w:r>
      <w:r>
        <w:t xml:space="preserve"> | Prix: 3500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FTSC - FTSC - FILTISAC COTE D'IVOIRE</w:t>
      </w:r>
      <w:r>
        <w:t xml:space="preserve"> | Prix: 2185 FCFA | </w:t>
      </w:r>
      <w:r>
        <w:rPr>
          <w:b/>
          <w:color w:val="C00000"/>
        </w:rPr>
        <w:t>CONSERVER ⚠️</w:t>
      </w:r>
      <w:r>
        <w:t xml:space="preserve"> | Confiance: Moyen | Risque: Faible</w:t>
      </w:r>
    </w:p>
    <w:p>
      <w:pPr>
        <w:pStyle w:val="ListNumber"/>
      </w:pPr>
      <w:r>
        <w:rPr>
          <w:b/>
        </w:rPr>
        <w:t>BNBC - BNBC - BERNABE CI</w:t>
      </w:r>
      <w:r>
        <w:t xml:space="preserve"> | Prix: 1985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54.17%</w:t>
      </w:r>
      <w:r>
        <w:t xml:space="preserve">  |  </w:t>
      </w:r>
      <w:r>
        <w:rPr>
          <w:b/>
        </w:rPr>
        <w:t xml:space="preserve">vs BRVM Composite: </w:t>
      </w:r>
      <w:r>
        <w:rPr>
          <w:b/>
          <w:color w:val="008000"/>
        </w:rPr>
        <w:t>+34.30%  🟢 Surperformance</w:t>
      </w:r>
      <w:r>
        <w:br/>
      </w:r>
      <w:r>
        <w:rPr>
          <w:b/>
        </w:rPr>
        <w:t xml:space="preserve">Sentiment général: </w:t>
      </w:r>
      <w:r>
        <w:t xml:space="preserve">ACHAT  |  </w:t>
      </w:r>
      <w:r>
        <w:rPr>
          <w:b/>
        </w:rPr>
        <w:t xml:space="preserve">Risque moyen: </w:t>
      </w:r>
      <w:r>
        <w:t xml:space="preserve">Moyen  |  </w:t>
      </w:r>
      <w:r>
        <w:rPr>
          <w:b/>
        </w:rPr>
        <w:t xml:space="preserve">Prix moyen: </w:t>
      </w:r>
      <w:r>
        <w:t>8480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34.28%</w:t>
      </w:r>
      <w:r>
        <w:t xml:space="preserve">  |  </w:t>
      </w:r>
      <w:r>
        <w:rPr>
          <w:b/>
        </w:rPr>
        <w:t xml:space="preserve">vs BRVM Composite: </w:t>
      </w:r>
      <w:r>
        <w:rPr>
          <w:b/>
          <w:color w:val="008000"/>
        </w:rPr>
        <w:t>+14.41%  🟢 Surperformance</w:t>
      </w:r>
      <w:r>
        <w:br/>
      </w:r>
      <w:r>
        <w:rPr>
          <w:b/>
        </w:rPr>
        <w:t xml:space="preserve">Sentiment général: </w:t>
      </w:r>
      <w:r>
        <w:t xml:space="preserve">ACHAT  |  </w:t>
      </w:r>
      <w:r>
        <w:rPr>
          <w:b/>
        </w:rPr>
        <w:t xml:space="preserve">Risque moyen: </w:t>
      </w:r>
      <w:r>
        <w:t xml:space="preserve">Faible  |  </w:t>
      </w:r>
      <w:r>
        <w:rPr>
          <w:b/>
        </w:rPr>
        <w:t xml:space="preserve">Prix moyen: </w:t>
      </w:r>
      <w:r>
        <w:t>13053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25.54%</w:t>
      </w:r>
      <w:r>
        <w:t xml:space="preserve">  |  </w:t>
      </w:r>
      <w:r>
        <w:rPr>
          <w:b/>
        </w:rPr>
        <w:t xml:space="preserve">vs BRVM Composite: </w:t>
      </w:r>
      <w:r>
        <w:rPr>
          <w:b/>
          <w:color w:val="008000"/>
        </w:rPr>
        <w:t>+5.67%  🟢 Surperformance</w:t>
      </w:r>
      <w:r>
        <w:br/>
      </w:r>
      <w:r>
        <w:rPr>
          <w:b/>
        </w:rPr>
        <w:t xml:space="preserve">Sentiment général: </w:t>
      </w:r>
      <w:r>
        <w:t xml:space="preserve">ACHAT  |  </w:t>
      </w:r>
      <w:r>
        <w:rPr>
          <w:b/>
        </w:rPr>
        <w:t xml:space="preserve">Risque moyen: </w:t>
      </w:r>
      <w:r>
        <w:t xml:space="preserve">Faible  |  </w:t>
      </w:r>
      <w:r>
        <w:rPr>
          <w:b/>
        </w:rPr>
        <w:t xml:space="preserve">Prix moyen: </w:t>
      </w:r>
      <w:r>
        <w:t>18919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12.26%</w:t>
      </w:r>
      <w:r>
        <w:t xml:space="preserve">  |  </w:t>
      </w:r>
      <w:r>
        <w:rPr>
          <w:b/>
        </w:rPr>
        <w:t xml:space="preserve">vs BRVM Composite: </w:t>
      </w:r>
      <w:r>
        <w:rPr>
          <w:b/>
          <w:color w:val="C00000"/>
        </w:rPr>
        <w:t>-7.61%  🔴 Sous-performance</w:t>
      </w:r>
      <w:r>
        <w:br/>
      </w:r>
      <w:r>
        <w:rPr>
          <w:b/>
        </w:rPr>
        <w:t xml:space="preserve">Sentiment général: </w:t>
      </w:r>
      <w:r>
        <w:t xml:space="preserve">ACHAT  |  </w:t>
      </w:r>
      <w:r>
        <w:rPr>
          <w:b/>
        </w:rPr>
        <w:t xml:space="preserve">Risque moyen: </w:t>
      </w:r>
      <w:r>
        <w:t xml:space="preserve">Moyen  |  </w:t>
      </w:r>
      <w:r>
        <w:rPr>
          <w:b/>
        </w:rPr>
        <w:t xml:space="preserve">Prix moyen: </w:t>
      </w:r>
      <w:r>
        <w:t>6359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10.34%</w:t>
      </w:r>
      <w:r>
        <w:t xml:space="preserve">  |  </w:t>
      </w:r>
      <w:r>
        <w:rPr>
          <w:b/>
        </w:rPr>
        <w:t xml:space="preserve">vs BRVM Composite: </w:t>
      </w:r>
      <w:r>
        <w:rPr>
          <w:b/>
          <w:color w:val="C00000"/>
        </w:rPr>
        <w:t>-9.54%  🔴 Sous-performance</w:t>
      </w:r>
      <w:r>
        <w:br/>
      </w:r>
      <w:r>
        <w:rPr>
          <w:b/>
        </w:rPr>
        <w:t xml:space="preserve">Sentiment général: </w:t>
      </w:r>
      <w:r>
        <w:t xml:space="preserve">ACHAT  |  </w:t>
      </w:r>
      <w:r>
        <w:rPr>
          <w:b/>
        </w:rPr>
        <w:t xml:space="preserve">Risque moyen: </w:t>
      </w:r>
      <w:r>
        <w:t xml:space="preserve">Moyen  |  </w:t>
      </w:r>
      <w:r>
        <w:rPr>
          <w:b/>
        </w:rPr>
        <w:t xml:space="preserve">Prix moyen: </w:t>
      </w:r>
      <w:r>
        <w:t>2804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5.45%</w:t>
      </w:r>
      <w:r>
        <w:t xml:space="preserve">  |  </w:t>
      </w:r>
      <w:r>
        <w:rPr>
          <w:b/>
        </w:rPr>
        <w:t xml:space="preserve">vs BRVM Composite: </w:t>
      </w:r>
      <w:r>
        <w:rPr>
          <w:b/>
          <w:color w:val="C00000"/>
        </w:rPr>
        <w:t>-14.43%  🔴 Sous-performance</w:t>
      </w:r>
      <w:r>
        <w:br/>
      </w:r>
      <w:r>
        <w:rPr>
          <w:b/>
        </w:rPr>
        <w:t xml:space="preserve">Sentiment général: </w:t>
      </w:r>
      <w:r>
        <w:t xml:space="preserve">ACHAT  |  </w:t>
      </w:r>
      <w:r>
        <w:rPr>
          <w:b/>
        </w:rPr>
        <w:t xml:space="preserve">Risque moyen: </w:t>
      </w:r>
      <w:r>
        <w:t xml:space="preserve">Faible  |  </w:t>
      </w:r>
      <w:r>
        <w:rPr>
          <w:b/>
        </w:rPr>
        <w:t xml:space="preserve">Prix moyen: </w:t>
      </w:r>
      <w:r>
        <w:t>17318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008000"/>
        </w:rPr>
        <w:t>0.20%</w:t>
      </w:r>
      <w:r>
        <w:t xml:space="preserve">  |  </w:t>
      </w:r>
      <w:r>
        <w:rPr>
          <w:b/>
        </w:rPr>
        <w:t xml:space="preserve">vs BRVM Composite: </w:t>
      </w:r>
      <w:r>
        <w:rPr>
          <w:b/>
          <w:color w:val="C00000"/>
        </w:rPr>
        <w:t>-19.68%  🔴 Sous-performance</w:t>
      </w:r>
      <w:r>
        <w:br/>
      </w:r>
      <w:r>
        <w:rPr>
          <w:b/>
        </w:rPr>
        <w:t xml:space="preserve">Sentiment général: </w:t>
      </w:r>
      <w:r>
        <w:t xml:space="preserve">ACHAT  |  </w:t>
      </w:r>
      <w:r>
        <w:rPr>
          <w:b/>
        </w:rPr>
        <w:t xml:space="preserve">Risque moyen: </w:t>
      </w:r>
      <w:r>
        <w:t xml:space="preserve">Moyen  |  </w:t>
      </w:r>
      <w:r>
        <w:rPr>
          <w:b/>
        </w:rPr>
        <w:t xml:space="preserve">Prix moyen: </w:t>
      </w:r>
      <w:r>
        <w:t>2482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BOAN, CFAC, LNBB, PALC, PRSC, SHEC, STBC,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BOAB, BOAC, BOAS, CIEC, ECOC, ETIT, NEIC, ONTBF, ORAC, ORGT, SAFC, SCRC, SDSC, SEMC, SIBC, STAC, TTLC, TTLS</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BICC, BOABF, BOAM, CABC, CBIBF, NSBC, NTLC, SDCC, SGBC, SICC, SIVC, SLBC, SMBC, SNTS, SOGC, SPHC, UNLC</w:t>
            </w:r>
          </w:p>
        </w:tc>
        <w:tc>
          <w:tcPr>
            <w:tcW w:type="dxa" w:w="2160"/>
            <w:shd w:fill="FFC7CE" w:val="clear"/>
          </w:tcPr>
          <w:p>
            <w:pPr>
              <w:spacing w:before="40" w:after="40"/>
            </w:pPr>
            <w:r/>
            <w:r>
              <w:rPr>
                <w:b w:val="0"/>
                <w:sz w:val="16"/>
              </w:rPr>
              <w:t>BNBC, FTSC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2433991</w:t>
            </w:r>
          </w:p>
        </w:tc>
        <w:tc>
          <w:tcPr>
            <w:tcW w:type="dxa" w:w="1728"/>
          </w:tcPr>
          <w:p>
            <w:r>
              <w:t>168022317 FCFA</w:t>
            </w:r>
          </w:p>
        </w:tc>
        <w:tc>
          <w:tcPr>
            <w:tcW w:type="dxa" w:w="1728"/>
          </w:tcPr>
          <w:p>
            <w:r>
              <w:t>115.62%</w:t>
            </w:r>
          </w:p>
        </w:tc>
        <w:tc>
          <w:tcPr>
            <w:tcW w:type="dxa" w:w="1728"/>
          </w:tcPr>
          <w:p>
            <w:r>
              <w:t>ACHAT</w:t>
            </w:r>
          </w:p>
        </w:tc>
      </w:tr>
      <w:tr>
        <w:tc>
          <w:tcPr>
            <w:tcW w:type="dxa" w:w="1728"/>
          </w:tcPr>
          <w:p>
            <w:r>
              <w:t>SDSC (SDSC - AFRICA GLOBAL LOGISTICS CI)</w:t>
            </w:r>
          </w:p>
        </w:tc>
        <w:tc>
          <w:tcPr>
            <w:tcW w:type="dxa" w:w="1728"/>
          </w:tcPr>
          <w:p>
            <w:r>
              <w:t>16681</w:t>
            </w:r>
          </w:p>
        </w:tc>
        <w:tc>
          <w:tcPr>
            <w:tcW w:type="dxa" w:w="1728"/>
          </w:tcPr>
          <w:p>
            <w:r>
              <w:t>42433726 FCFA</w:t>
            </w:r>
          </w:p>
        </w:tc>
        <w:tc>
          <w:tcPr>
            <w:tcW w:type="dxa" w:w="1728"/>
          </w:tcPr>
          <w:p>
            <w:r>
              <w:t>33.17%</w:t>
            </w:r>
          </w:p>
        </w:tc>
        <w:tc>
          <w:tcPr>
            <w:tcW w:type="dxa" w:w="1728"/>
          </w:tcPr>
          <w:p>
            <w:r>
              <w:t>ACHAT</w:t>
            </w:r>
          </w:p>
        </w:tc>
      </w:tr>
      <w:tr>
        <w:tc>
          <w:tcPr>
            <w:tcW w:type="dxa" w:w="1728"/>
          </w:tcPr>
          <w:p>
            <w:r>
              <w:t>SNTS (SNTS - SONATEL SN)</w:t>
            </w:r>
          </w:p>
        </w:tc>
        <w:tc>
          <w:tcPr>
            <w:tcW w:type="dxa" w:w="1728"/>
          </w:tcPr>
          <w:p>
            <w:r>
              <w:t>12851</w:t>
            </w:r>
          </w:p>
        </w:tc>
        <w:tc>
          <w:tcPr>
            <w:tcW w:type="dxa" w:w="1728"/>
          </w:tcPr>
          <w:p>
            <w:r>
              <w:t>400413182 FCFA</w:t>
            </w:r>
          </w:p>
        </w:tc>
        <w:tc>
          <w:tcPr>
            <w:tcW w:type="dxa" w:w="1728"/>
          </w:tcPr>
          <w:p>
            <w:r>
              <w:t>10.34%</w:t>
            </w:r>
          </w:p>
        </w:tc>
        <w:tc>
          <w:tcPr>
            <w:tcW w:type="dxa" w:w="1728"/>
          </w:tcPr>
          <w:p>
            <w:r>
              <w:t>ACHAT</w:t>
            </w:r>
          </w:p>
        </w:tc>
      </w:tr>
      <w:tr>
        <w:tc>
          <w:tcPr>
            <w:tcW w:type="dxa" w:w="1728"/>
          </w:tcPr>
          <w:p>
            <w:r>
              <w:t>UNXC (UNXC - UNIWAX COTE D'IVOIRE)</w:t>
            </w:r>
          </w:p>
        </w:tc>
        <w:tc>
          <w:tcPr>
            <w:tcW w:type="dxa" w:w="1728"/>
          </w:tcPr>
          <w:p>
            <w:r>
              <w:t>10618</w:t>
            </w:r>
          </w:p>
        </w:tc>
        <w:tc>
          <w:tcPr>
            <w:tcW w:type="dxa" w:w="1728"/>
          </w:tcPr>
          <w:p>
            <w:r>
              <w:t>19744222 FCFA</w:t>
            </w:r>
          </w:p>
        </w:tc>
        <w:tc>
          <w:tcPr>
            <w:tcW w:type="dxa" w:w="1728"/>
          </w:tcPr>
          <w:p>
            <w:r>
              <w:t>-5.00%</w:t>
            </w:r>
          </w:p>
        </w:tc>
        <w:tc>
          <w:tcPr>
            <w:tcW w:type="dxa" w:w="1728"/>
          </w:tcPr>
          <w:p>
            <w:r>
              <w:t>ACHAT</w:t>
            </w:r>
          </w:p>
        </w:tc>
      </w:tr>
      <w:tr>
        <w:tc>
          <w:tcPr>
            <w:tcW w:type="dxa" w:w="1728"/>
          </w:tcPr>
          <w:p>
            <w:r>
              <w:t>SIBC (SIBC - SOCIETE IVOIRIENNE DE BANQUE)</w:t>
            </w:r>
          </w:p>
        </w:tc>
        <w:tc>
          <w:tcPr>
            <w:tcW w:type="dxa" w:w="1728"/>
          </w:tcPr>
          <w:p>
            <w:r>
              <w:t>9506</w:t>
            </w:r>
          </w:p>
        </w:tc>
        <w:tc>
          <w:tcPr>
            <w:tcW w:type="dxa" w:w="1728"/>
          </w:tcPr>
          <w:p>
            <w:r>
              <w:t>84907165 FCFA</w:t>
            </w:r>
          </w:p>
        </w:tc>
        <w:tc>
          <w:tcPr>
            <w:tcW w:type="dxa" w:w="1728"/>
          </w:tcPr>
          <w:p>
            <w:r>
              <w:t>32.96%</w:t>
            </w:r>
          </w:p>
        </w:tc>
        <w:tc>
          <w:tcPr>
            <w:tcW w:type="dxa" w:w="1728"/>
          </w:tcPr>
          <w:p>
            <w:r>
              <w:t>ACHAT</w:t>
            </w:r>
          </w:p>
        </w:tc>
      </w:tr>
      <w:tr>
        <w:tc>
          <w:tcPr>
            <w:tcW w:type="dxa" w:w="1728"/>
          </w:tcPr>
          <w:p>
            <w:r>
              <w:t>BOAS (BANK OF AFRICA SENEGAL)</w:t>
            </w:r>
          </w:p>
        </w:tc>
        <w:tc>
          <w:tcPr>
            <w:tcW w:type="dxa" w:w="1728"/>
          </w:tcPr>
          <w:p>
            <w:r>
              <w:t>8987</w:t>
            </w:r>
          </w:p>
        </w:tc>
        <w:tc>
          <w:tcPr>
            <w:tcW w:type="dxa" w:w="1728"/>
          </w:tcPr>
          <w:p>
            <w:r>
              <w:t>67264476 FCFA</w:t>
            </w:r>
          </w:p>
        </w:tc>
        <w:tc>
          <w:tcPr>
            <w:tcW w:type="dxa" w:w="1728"/>
          </w:tcPr>
          <w:p>
            <w:r>
              <w:t>10.00%</w:t>
            </w:r>
          </w:p>
        </w:tc>
        <w:tc>
          <w:tcPr>
            <w:tcW w:type="dxa" w:w="1728"/>
          </w:tcPr>
          <w:p>
            <w:r>
              <w:t>ACHAT</w:t>
            </w:r>
          </w:p>
        </w:tc>
      </w:tr>
      <w:tr>
        <w:tc>
          <w:tcPr>
            <w:tcW w:type="dxa" w:w="1728"/>
          </w:tcPr>
          <w:p>
            <w:r>
              <w:t>ONTBF (ONTBF - ONATEL BURKINA FASO)</w:t>
            </w:r>
          </w:p>
        </w:tc>
        <w:tc>
          <w:tcPr>
            <w:tcW w:type="dxa" w:w="1728"/>
          </w:tcPr>
          <w:p>
            <w:r>
              <w:t>8739</w:t>
            </w:r>
          </w:p>
        </w:tc>
        <w:tc>
          <w:tcPr>
            <w:tcW w:type="dxa" w:w="1728"/>
          </w:tcPr>
          <w:p>
            <w:r>
              <w:t>24004799 FCFA</w:t>
            </w:r>
          </w:p>
        </w:tc>
        <w:tc>
          <w:tcPr>
            <w:tcW w:type="dxa" w:w="1728"/>
          </w:tcPr>
          <w:p>
            <w:r>
              <w:t>-6.14%</w:t>
            </w:r>
          </w:p>
        </w:tc>
        <w:tc>
          <w:tcPr>
            <w:tcW w:type="dxa" w:w="1728"/>
          </w:tcPr>
          <w:p>
            <w:r>
              <w:t>ACHAT</w:t>
            </w:r>
          </w:p>
        </w:tc>
      </w:tr>
      <w:tr>
        <w:tc>
          <w:tcPr>
            <w:tcW w:type="dxa" w:w="1728"/>
          </w:tcPr>
          <w:p>
            <w:r>
              <w:t>BICB (BIIC BN - Banque internationale pour le commerce du benin)</w:t>
            </w:r>
          </w:p>
        </w:tc>
        <w:tc>
          <w:tcPr>
            <w:tcW w:type="dxa" w:w="1728"/>
          </w:tcPr>
          <w:p>
            <w:r>
              <w:t>7746</w:t>
            </w:r>
          </w:p>
        </w:tc>
        <w:tc>
          <w:tcPr>
            <w:tcW w:type="dxa" w:w="1728"/>
          </w:tcPr>
          <w:p>
            <w:r>
              <w:t>56889305 FCFA</w:t>
            </w:r>
          </w:p>
        </w:tc>
        <w:tc>
          <w:tcPr>
            <w:tcW w:type="dxa" w:w="1728"/>
          </w:tcPr>
          <w:p>
            <w:r>
              <w:t>52.44%</w:t>
            </w:r>
          </w:p>
        </w:tc>
        <w:tc>
          <w:tcPr>
            <w:tcW w:type="dxa" w:w="1728"/>
          </w:tcPr>
          <w:p>
            <w:r>
              <w:t>ACHAT</w:t>
            </w:r>
          </w:p>
        </w:tc>
      </w:tr>
      <w:tr>
        <w:tc>
          <w:tcPr>
            <w:tcW w:type="dxa" w:w="1728"/>
          </w:tcPr>
          <w:p>
            <w:r>
              <w:t>SCRC (SCRC - SUCRIVOIRE)</w:t>
            </w:r>
          </w:p>
        </w:tc>
        <w:tc>
          <w:tcPr>
            <w:tcW w:type="dxa" w:w="1728"/>
          </w:tcPr>
          <w:p>
            <w:r>
              <w:t>7405</w:t>
            </w:r>
          </w:p>
        </w:tc>
        <w:tc>
          <w:tcPr>
            <w:tcW w:type="dxa" w:w="1728"/>
          </w:tcPr>
          <w:p>
            <w:r>
              <w:t>26922366 FCFA</w:t>
            </w:r>
          </w:p>
        </w:tc>
        <w:tc>
          <w:tcPr>
            <w:tcW w:type="dxa" w:w="1728"/>
          </w:tcPr>
          <w:p>
            <w:r>
              <w:t>145.64%</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LNBB (LNBB - LOTERIE NATIONALE DU BENIN)</w:t>
            </w:r>
          </w:p>
        </w:tc>
        <w:tc>
          <w:tcPr>
            <w:tcW w:type="dxa" w:w="1728"/>
          </w:tcPr>
          <w:p>
            <w:r>
              <w:t>3457</w:t>
            </w:r>
          </w:p>
        </w:tc>
        <w:tc>
          <w:tcPr>
            <w:tcW w:type="dxa" w:w="1728"/>
          </w:tcPr>
          <w:p>
            <w:r>
              <w:t>14894690 FCFA</w:t>
            </w:r>
          </w:p>
        </w:tc>
        <w:tc>
          <w:tcPr>
            <w:tcW w:type="dxa" w:w="1728"/>
          </w:tcPr>
          <w:p>
            <w:r>
              <w:t>7.60%</w:t>
            </w:r>
          </w:p>
        </w:tc>
        <w:tc>
          <w:tcPr>
            <w:tcW w:type="dxa" w:w="1728"/>
          </w:tcPr>
          <w:p>
            <w:r>
              <w:t>ACHAT</w:t>
            </w:r>
          </w:p>
        </w:tc>
      </w:tr>
      <w:tr>
        <w:tc>
          <w:tcPr>
            <w:tcW w:type="dxa" w:w="1728"/>
          </w:tcPr>
          <w:p>
            <w:r>
              <w:t>TTLS (TTLS - TOTAL ENERGIES MARKETING SENEGAL)</w:t>
            </w:r>
          </w:p>
        </w:tc>
        <w:tc>
          <w:tcPr>
            <w:tcW w:type="dxa" w:w="1728"/>
          </w:tcPr>
          <w:p>
            <w:r>
              <w:t>3276</w:t>
            </w:r>
          </w:p>
        </w:tc>
        <w:tc>
          <w:tcPr>
            <w:tcW w:type="dxa" w:w="1728"/>
          </w:tcPr>
          <w:p>
            <w:r>
              <w:t>12303799 FCFA</w:t>
            </w:r>
          </w:p>
        </w:tc>
        <w:tc>
          <w:tcPr>
            <w:tcW w:type="dxa" w:w="1728"/>
          </w:tcPr>
          <w:p>
            <w:r>
              <w:t>16.13%</w:t>
            </w:r>
          </w:p>
        </w:tc>
        <w:tc>
          <w:tcPr>
            <w:tcW w:type="dxa" w:w="1728"/>
          </w:tcPr>
          <w:p>
            <w:r>
              <w:t>ACHAT</w:t>
            </w:r>
          </w:p>
        </w:tc>
      </w:tr>
      <w:tr>
        <w:tc>
          <w:tcPr>
            <w:tcW w:type="dxa" w:w="1728"/>
          </w:tcPr>
          <w:p>
            <w:r>
              <w:t>CABC (CABC - SICABLE COTE D'IVOIRE)</w:t>
            </w:r>
          </w:p>
        </w:tc>
        <w:tc>
          <w:tcPr>
            <w:tcW w:type="dxa" w:w="1728"/>
          </w:tcPr>
          <w:p>
            <w:r>
              <w:t>3265</w:t>
            </w:r>
          </w:p>
        </w:tc>
        <w:tc>
          <w:tcPr>
            <w:tcW w:type="dxa" w:w="1728"/>
          </w:tcPr>
          <w:p>
            <w:r>
              <w:t>11836405 FCFA</w:t>
            </w:r>
          </w:p>
        </w:tc>
        <w:tc>
          <w:tcPr>
            <w:tcW w:type="dxa" w:w="1728"/>
          </w:tcPr>
          <w:p>
            <w:r>
              <w:t>6.06%</w:t>
            </w:r>
          </w:p>
        </w:tc>
        <w:tc>
          <w:tcPr>
            <w:tcW w:type="dxa" w:w="1728"/>
          </w:tcPr>
          <w:p>
            <w:r>
              <w:t>ACHAT</w:t>
            </w:r>
          </w:p>
        </w:tc>
      </w:tr>
      <w:tr>
        <w:tc>
          <w:tcPr>
            <w:tcW w:type="dxa" w:w="1728"/>
          </w:tcPr>
          <w:p>
            <w:r>
              <w:t>ECOC (ECOC - ECOBANK COTE D'IVOIRE)</w:t>
            </w:r>
          </w:p>
        </w:tc>
        <w:tc>
          <w:tcPr>
            <w:tcW w:type="dxa" w:w="1728"/>
          </w:tcPr>
          <w:p>
            <w:r>
              <w:t>3184</w:t>
            </w:r>
          </w:p>
        </w:tc>
        <w:tc>
          <w:tcPr>
            <w:tcW w:type="dxa" w:w="1728"/>
          </w:tcPr>
          <w:p>
            <w:r>
              <w:t>50854036 FCFA</w:t>
            </w:r>
          </w:p>
        </w:tc>
        <w:tc>
          <w:tcPr>
            <w:tcW w:type="dxa" w:w="1728"/>
          </w:tcPr>
          <w:p>
            <w:r>
              <w:t>-3.61%</w:t>
            </w:r>
          </w:p>
        </w:tc>
        <w:tc>
          <w:tcPr>
            <w:tcW w:type="dxa" w:w="1728"/>
          </w:tcPr>
          <w:p>
            <w:r>
              <w:t>ACHAT</w:t>
            </w:r>
          </w:p>
        </w:tc>
      </w:tr>
      <w:tr>
        <w:tc>
          <w:tcPr>
            <w:tcW w:type="dxa" w:w="1728"/>
          </w:tcPr>
          <w:p>
            <w:r>
              <w:t>SOGC (SOGC - Société des caoutchoucs de Grand-Béréby)</w:t>
            </w:r>
          </w:p>
        </w:tc>
        <w:tc>
          <w:tcPr>
            <w:tcW w:type="dxa" w:w="1728"/>
          </w:tcPr>
          <w:p>
            <w:r>
              <w:t>3014</w:t>
            </w:r>
          </w:p>
        </w:tc>
        <w:tc>
          <w:tcPr>
            <w:tcW w:type="dxa" w:w="1728"/>
          </w:tcPr>
          <w:p>
            <w:r>
              <w:t>24535217 FCFA</w:t>
            </w:r>
          </w:p>
        </w:tc>
        <w:tc>
          <w:tcPr>
            <w:tcW w:type="dxa" w:w="1728"/>
          </w:tcPr>
          <w:p>
            <w:r>
              <w:t>-12.06%</w:t>
            </w:r>
          </w:p>
        </w:tc>
        <w:tc>
          <w:tcPr>
            <w:tcW w:type="dxa" w:w="1728"/>
          </w:tcPr>
          <w:p>
            <w:r>
              <w:t>ACHAT</w:t>
            </w:r>
          </w:p>
        </w:tc>
      </w:tr>
      <w:tr>
        <w:tc>
          <w:tcPr>
            <w:tcW w:type="dxa" w:w="1728"/>
          </w:tcPr>
          <w:p>
            <w:r>
              <w:t>PALC (PALC - PALM COTE D'IVOIRE)</w:t>
            </w:r>
          </w:p>
        </w:tc>
        <w:tc>
          <w:tcPr>
            <w:tcW w:type="dxa" w:w="1728"/>
          </w:tcPr>
          <w:p>
            <w:r>
              <w:t>2541</w:t>
            </w:r>
          </w:p>
        </w:tc>
        <w:tc>
          <w:tcPr>
            <w:tcW w:type="dxa" w:w="1728"/>
          </w:tcPr>
          <w:p>
            <w:r>
              <w:t>22329902 FCFA</w:t>
            </w:r>
          </w:p>
        </w:tc>
        <w:tc>
          <w:tcPr>
            <w:tcW w:type="dxa" w:w="1728"/>
          </w:tcPr>
          <w:p>
            <w:r>
              <w:t>-5.47%</w:t>
            </w:r>
          </w:p>
        </w:tc>
        <w:tc>
          <w:tcPr>
            <w:tcW w:type="dxa" w:w="1728"/>
          </w:tcPr>
          <w:p>
            <w:r>
              <w:t>ACHAT</w:t>
            </w:r>
          </w:p>
        </w:tc>
      </w:tr>
      <w:tr>
        <w:tc>
          <w:tcPr>
            <w:tcW w:type="dxa" w:w="1728"/>
          </w:tcPr>
          <w:p>
            <w:r>
              <w:t>BNBC (BNBC - BERNABE CI)</w:t>
            </w:r>
          </w:p>
        </w:tc>
        <w:tc>
          <w:tcPr>
            <w:tcW w:type="dxa" w:w="1728"/>
          </w:tcPr>
          <w:p>
            <w:r>
              <w:t>2020</w:t>
            </w:r>
          </w:p>
        </w:tc>
        <w:tc>
          <w:tcPr>
            <w:tcW w:type="dxa" w:w="1728"/>
          </w:tcPr>
          <w:p>
            <w:r>
              <w:t>3820873 FCFA</w:t>
            </w:r>
          </w:p>
        </w:tc>
        <w:tc>
          <w:tcPr>
            <w:tcW w:type="dxa" w:w="1728"/>
          </w:tcPr>
          <w:p>
            <w:r>
              <w:t>24.06%</w:t>
            </w:r>
          </w:p>
        </w:tc>
        <w:tc>
          <w:tcPr>
            <w:tcW w:type="dxa" w:w="1728"/>
          </w:tcPr>
          <w:p>
            <w:r>
              <w:t>CONSERVER ⚠️</w:t>
            </w:r>
          </w:p>
        </w:tc>
      </w:tr>
      <w:tr>
        <w:tc>
          <w:tcPr>
            <w:tcW w:type="dxa" w:w="1728"/>
          </w:tcPr>
          <w:p>
            <w:r>
              <w:t>SMBC (SMBC - Société Multinationale de Bitumes COTE D'IVOIRE)</w:t>
            </w:r>
          </w:p>
        </w:tc>
        <w:tc>
          <w:tcPr>
            <w:tcW w:type="dxa" w:w="1728"/>
          </w:tcPr>
          <w:p>
            <w:r>
              <w:t>1999</w:t>
            </w:r>
          </w:p>
        </w:tc>
        <w:tc>
          <w:tcPr>
            <w:tcW w:type="dxa" w:w="1728"/>
          </w:tcPr>
          <w:p>
            <w:r>
              <w:t>31819167 FCFA</w:t>
            </w:r>
          </w:p>
        </w:tc>
        <w:tc>
          <w:tcPr>
            <w:tcW w:type="dxa" w:w="1728"/>
          </w:tcPr>
          <w:p>
            <w:r>
              <w:t>24.07%</w:t>
            </w:r>
          </w:p>
        </w:tc>
        <w:tc>
          <w:tcPr>
            <w:tcW w:type="dxa" w:w="1728"/>
          </w:tcPr>
          <w:p>
            <w:r>
              <w:t>ACHAT</w:t>
            </w:r>
          </w:p>
        </w:tc>
      </w:tr>
      <w:tr>
        <w:tc>
          <w:tcPr>
            <w:tcW w:type="dxa" w:w="1728"/>
          </w:tcPr>
          <w:p>
            <w:r>
              <w:t>SLBC (SLBC - SOLIBRA COTE D'IVOIRE)</w:t>
            </w:r>
          </w:p>
        </w:tc>
        <w:tc>
          <w:tcPr>
            <w:tcW w:type="dxa" w:w="1728"/>
          </w:tcPr>
          <w:p>
            <w:r>
              <w:t>1988</w:t>
            </w:r>
          </w:p>
        </w:tc>
        <w:tc>
          <w:tcPr>
            <w:tcW w:type="dxa" w:w="1728"/>
          </w:tcPr>
          <w:p>
            <w:r>
              <w:t>76928107 FCFA</w:t>
            </w:r>
          </w:p>
        </w:tc>
        <w:tc>
          <w:tcPr>
            <w:tcW w:type="dxa" w:w="1728"/>
          </w:tcPr>
          <w:p>
            <w:r>
              <w:t>-5.32%</w:t>
            </w:r>
          </w:p>
        </w:tc>
        <w:tc>
          <w:tcPr>
            <w:tcW w:type="dxa" w:w="1728"/>
          </w:tcPr>
          <w:p>
            <w:r>
              <w:t>ACHAT</w:t>
            </w:r>
          </w:p>
        </w:tc>
      </w:tr>
      <w:tr>
        <w:tc>
          <w:tcPr>
            <w:tcW w:type="dxa" w:w="1728"/>
          </w:tcPr>
          <w:p>
            <w:r>
              <w:t>SPHC (SPHC - Société Africaine de Plantation d'Hévéas de Côte d'Ivoire)</w:t>
            </w:r>
          </w:p>
        </w:tc>
        <w:tc>
          <w:tcPr>
            <w:tcW w:type="dxa" w:w="1728"/>
          </w:tcPr>
          <w:p>
            <w:r>
              <w:t>1782</w:t>
            </w:r>
          </w:p>
        </w:tc>
        <w:tc>
          <w:tcPr>
            <w:tcW w:type="dxa" w:w="1728"/>
          </w:tcPr>
          <w:p>
            <w:r>
              <w:t>13250558 FCFA</w:t>
            </w:r>
          </w:p>
        </w:tc>
        <w:tc>
          <w:tcPr>
            <w:tcW w:type="dxa" w:w="1728"/>
          </w:tcPr>
          <w:p>
            <w:r>
              <w:t>-6.23%</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SGBC - SGBC - SOCIETE GENERALE COTE D'IVOIRE</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SPHC - SPHC - Société Africaine de Plantation d'Hévéas de Côte d'Ivoire</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3. BOAM - BANK OF AFRICA MALI</w:t>
      </w:r>
    </w:p>
    <w:p>
      <w:r>
        <w:rPr>
          <w:b/>
        </w:rPr>
        <w:t xml:space="preserve">Score de divergence: </w:t>
      </w:r>
      <w:r>
        <w:t>5/8</w:t>
        <w:br/>
      </w:r>
      <w:r>
        <w:rPr>
          <w:b/>
        </w:rPr>
        <w:t xml:space="preserve">Description: </w:t>
      </w:r>
      <w:r>
        <w:t>Signaux d'achat: MM | Signaux de vente: Bollinger, MACD, Stochastique | Recommandation finale: ACHAT</w:t>
        <w:br/>
      </w:r>
    </w:p>
    <w:p/>
    <w:p>
      <w:pPr>
        <w:pStyle w:val="Heading3"/>
      </w:pPr>
      <w:r>
        <w:t>4. CBIBF - CBIBF - CORIS BANK INTERNATIONAL BURKINA FASO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5. NTLC - NTLC - NESTLE COTE D'IVOIRE</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6. SDCC - SDCC - Société de Distribution d'Eau de Côte d'Ivoire</w:t>
      </w:r>
    </w:p>
    <w:p>
      <w:r>
        <w:rPr>
          <w:b/>
        </w:rPr>
        <w:t xml:space="preserve">Score de divergence: </w:t>
      </w:r>
      <w:r>
        <w:t>5/8</w:t>
        <w:br/>
      </w:r>
      <w:r>
        <w:rPr>
          <w:b/>
        </w:rPr>
        <w:t xml:space="preserve">Description: </w:t>
      </w:r>
      <w:r>
        <w:t>Signaux de vente: MM, MACD | Recommandation finale: ACHAT</w:t>
        <w:br/>
      </w:r>
    </w:p>
    <w:p/>
    <w:p>
      <w:pPr>
        <w:pStyle w:val="Heading3"/>
      </w:pPr>
      <w:r>
        <w:t>7. SIVC - SIVC - ERIUM CI (Ex AIR LIQUIDECI)</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8. ABJC - ABJC - SERVAIR ABIDJAN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BICC - BICI CI - Banque internationale pour le commerce et l'industrie de la Côte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BOABF - BANK OF AFRICA BURKINA FASO</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25</w:t>
            </w:r>
          </w:p>
        </w:tc>
        <w:tc>
          <w:tcPr>
            <w:tcW w:type="dxa" w:w="2160"/>
          </w:tcPr>
          <w:p>
            <w:r>
              <w:t>0</w:t>
            </w:r>
          </w:p>
        </w:tc>
      </w:tr>
      <w:tr>
        <w:tc>
          <w:tcPr>
            <w:tcW w:type="dxa" w:w="2160"/>
          </w:tcPr>
          <w:p>
            <w:r>
              <w:t>Risque Moyen</w:t>
            </w:r>
          </w:p>
        </w:tc>
        <w:tc>
          <w:tcPr>
            <w:tcW w:type="dxa" w:w="2160"/>
          </w:tcPr>
          <w:p>
            <w:r>
              <w:t>0</w:t>
            </w:r>
          </w:p>
        </w:tc>
        <w:tc>
          <w:tcPr>
            <w:tcW w:type="dxa" w:w="2160"/>
          </w:tcPr>
          <w:p>
            <w:r>
              <w:t>22</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BICB (BIIC BN - Banque internationale pour le commerce du benin)</w:t>
      </w:r>
    </w:p>
    <w:p>
      <w:pPr>
        <w:pStyle w:val="ListBullet"/>
      </w:pPr>
      <w:r>
        <w:t>• BNBC (BNBC - BERNABE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PALC (PALC - PALM COTE D'IVOIRE)</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BICC (BICI CI - Banque internationale pour le commerce et l'industrie de la Côte d'Ivoire)</w:t>
      </w:r>
    </w:p>
    <w:p>
      <w:pPr>
        <w:pStyle w:val="ListBullet"/>
      </w:pPr>
      <w:r>
        <w:t>• BOAB (BANK OF AFRICA BENIN)</w:t>
      </w:r>
    </w:p>
    <w:p>
      <w:pPr>
        <w:pStyle w:val="ListBullet"/>
      </w:pPr>
      <w:r>
        <w:t>• BOAN (BANK OF AFRICA NIGER)</w:t>
      </w:r>
    </w:p>
    <w:p>
      <w:pPr>
        <w:pStyle w:val="ListBullet"/>
      </w:pPr>
      <w:r>
        <w:t>• CABC (CABC - SICABLE COTE D'IVOIRE)</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STAC (STAC - SETAO COTE D'IVOIRE)</w:t>
      </w:r>
    </w:p>
    <w:p>
      <w:pPr>
        <w:pStyle w:val="ListBullet"/>
      </w:pPr>
      <w:r>
        <w:t>• TTLS (TTLS - TOTAL ENERGIES MARKETING SENEGAL)</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008000"/>
          <w:sz w:val="18"/>
        </w:rPr>
        <w:t>**Pétrole en baisse, argent en hausse** : Les prix du pétrole ont chuté la semaine dernière, tandis que l'argent a bondi de près de 10%, reflétant une volatilité accrue sur les marchés de matières premières.</w:t>
      </w:r>
    </w:p>
    <w:p>
      <w:pPr>
        <w:pStyle w:val="ListBullet"/>
        <w:spacing w:before="20" w:after="20"/>
        <w:ind w:left="360"/>
      </w:pPr>
      <w:r>
        <w:rPr>
          <w:sz w:val="18"/>
        </w:rPr>
        <w:t>**Croissance atone et inflation collante aux États-Unis** : La Fed devrait faire face à une croissance économique latérale et à une inflation persistante, selon TD Securities, compliquant la trajectoire de sa politique monétaire.</w:t>
      </w:r>
    </w:p>
    <w:p>
      <w:pPr>
        <w:pStyle w:val="ListBullet"/>
        <w:spacing w:before="20" w:after="20"/>
        <w:ind w:left="360"/>
      </w:pPr>
      <w:r>
        <w:rPr>
          <w:color w:val="008000"/>
          <w:sz w:val="18"/>
        </w:rPr>
        <w:t>**Incertitude sur les taux de la BCE** : Les marchés s'interrogent sur une possible hausse des taux de la BCE en 2026, suivie d'un abaissement en 2027, créant de l'incertitude sur les conditions financières mondiales.</w:t>
      </w:r>
    </w:p>
    <w:p>
      <w:pPr>
        <w:pStyle w:val="ListBullet"/>
        <w:spacing w:before="20" w:after="20"/>
        <w:ind w:left="360"/>
      </w:pPr>
      <w:r>
        <w:rPr>
          <w:sz w:val="18"/>
        </w:rPr>
        <w:t>**Instabilité géopolitique et protection des actifs** : Les stratégies de protection des actifs financiers deviennent prioritaires dans un contexte d'instabilité géopolitique croissante, poussant les investisseurs vers des valeurs refuges.</w:t>
      </w:r>
    </w:p>
    <w:p>
      <w:pPr>
        <w:pStyle w:val="Heading3"/>
      </w:pPr>
      <w:r>
        <w:rPr>
          <w:color w:val="500050"/>
        </w:rPr>
        <w:t>⚡ Impact estimé sur la BRVM</w:t>
      </w:r>
    </w:p>
    <w:p>
      <w:pPr>
        <w:spacing w:before="20" w:after="40"/>
        <w:ind w:left="280"/>
      </w:pPr>
      <w:r>
        <w:rPr>
          <w:i/>
          <w:sz w:val="18"/>
        </w:rPr>
        <w:t>La baisse des prix du pétrole est globalement positive pour les économies importatrices de la zone UEMOA, réduisant les coûts énergétiques pour les entreprises comme SHEC (Énergie) et les industries cotées. L'incertitude sur les taux directeurs mondiaux pourrait maintenir une pression sur les flux de capitaux vers les marchés émergents, mais la recherche de valeurs refuges pourrait indirectement bénéficier aux actifs de qualité de la BRVM.</w:t>
      </w:r>
    </w:p>
    <w:p>
      <w:pPr>
        <w:pStyle w:val="Heading2"/>
      </w:pPr>
      <w:r>
        <w:rPr>
          <w:color w:val="006E32"/>
        </w:rPr>
        <w:t>🌍 Plan Africain</w:t>
      </w:r>
    </w:p>
    <w:p>
      <w:pPr>
        <w:pStyle w:val="ListBullet"/>
        <w:spacing w:before="20" w:after="20"/>
        <w:ind w:left="360"/>
      </w:pPr>
      <w:r>
        <w:rPr>
          <w:sz w:val="18"/>
        </w:rPr>
        <w:t>**Investissement dans l'économie des soins au Sénégal** : Un responsable officiel sénégalais affirme que l'investissement dans l'économie des soins pourrait être un levier de croissance stratégique pour le pays.</w:t>
      </w:r>
    </w:p>
    <w:p>
      <w:pPr>
        <w:pStyle w:val="ListBullet"/>
        <w:spacing w:before="20" w:after="20"/>
        <w:ind w:left="360"/>
      </w:pPr>
      <w:r>
        <w:rPr>
          <w:sz w:val="18"/>
        </w:rPr>
        <w:t>**Dette verte de Senelec** : La société électrique sénégalaise Senelec a levé 108 milliards de FCFA de dette verte à la Bourse de Luxembourg, un signal fort pour le financement climatique en Afrique de l'Ouest.</w:t>
      </w:r>
    </w:p>
    <w:p>
      <w:pPr>
        <w:pStyle w:val="ListBullet"/>
        <w:spacing w:before="20" w:after="20"/>
        <w:ind w:left="360"/>
      </w:pPr>
      <w:r>
        <w:rPr>
          <w:sz w:val="18"/>
        </w:rPr>
        <w:t>**Santé comme moteur de croissance en Mauritanie** : L'OMS recommande l'investissement privé dans le secteur de la santé à Nouakchott, soulignant le potentiel de croissance de ce secteur en Afrique.</w:t>
      </w:r>
    </w:p>
    <w:p>
      <w:pPr>
        <w:pStyle w:val="Heading3"/>
      </w:pPr>
      <w:r>
        <w:rPr>
          <w:color w:val="500050"/>
        </w:rPr>
        <w:t>⚡ Impact estimé sur la BRVM</w:t>
      </w:r>
    </w:p>
    <w:p>
      <w:pPr>
        <w:spacing w:before="20" w:after="40"/>
        <w:ind w:left="280"/>
      </w:pPr>
      <w:r>
        <w:rPr>
          <w:i/>
          <w:sz w:val="18"/>
        </w:rPr>
        <w:t>Ces initiatives africaines, notamment la dette verte de Senelec, montrent un intérêt croissant pour les instruments financiers durables en Afrique de l'Ouest. Cela pourrait inspirer des émissions similaires via la BRVM et renforcer l'attractivité du marché pour les investisseurs ESG. Les sociétés cotées du secteur de la consommation de base (PALC, STBC) pourraient bénéficier d'une attention accrue sur les secteurs à impact social.</w:t>
      </w:r>
    </w:p>
    <w:p>
      <w:pPr>
        <w:pStyle w:val="Heading2"/>
      </w:pPr>
      <w:r>
        <w:rPr>
          <w:color w:val="145A28"/>
        </w:rPr>
        <w:t>🌍 Plan Afrique de l'Ouest</w:t>
      </w:r>
    </w:p>
    <w:p>
      <w:pPr>
        <w:pStyle w:val="ListBullet"/>
        <w:spacing w:before="20" w:after="20"/>
        <w:ind w:left="360"/>
      </w:pPr>
      <w:r>
        <w:rPr>
          <w:sz w:val="18"/>
        </w:rPr>
        <w:t>**Prix "Start-ups de la CEDEAO"** : La deuxième édition du Prix 'Start-ups de la CEDEAO' est lancée avec une cagnotte de 30 000 USD pour les jeunes entreprises innovantes de la région.</w:t>
      </w:r>
    </w:p>
    <w:p>
      <w:pPr>
        <w:pStyle w:val="ListBullet"/>
        <w:spacing w:before="20" w:after="20"/>
        <w:ind w:left="360"/>
      </w:pPr>
      <w:r>
        <w:rPr>
          <w:sz w:val="18"/>
        </w:rPr>
        <w:t>**Lancement de l'ECO en 2027** : Les économistes guinéens estiment que le lancement de la monnaie unique ECO en 2027 nécessite au préalable la convergence des économies de la CEDEAO.</w:t>
      </w:r>
    </w:p>
    <w:p>
      <w:pPr>
        <w:pStyle w:val="ListBullet"/>
        <w:spacing w:before="20" w:after="20"/>
        <w:ind w:left="360"/>
      </w:pPr>
      <w:r>
        <w:rPr>
          <w:sz w:val="18"/>
        </w:rPr>
        <w:t>**Le Premier ministre guinéen salue le modèle ivoirien** : Le Premier ministre guinéen a exprimé son admiration pour le modèle de développement ivoirien, saluant ses performances économiques.</w:t>
      </w:r>
    </w:p>
    <w:p>
      <w:pPr>
        <w:pStyle w:val="Heading3"/>
      </w:pPr>
      <w:r>
        <w:rPr>
          <w:color w:val="500050"/>
        </w:rPr>
        <w:t>⚡ Impact estimé sur la BRVM</w:t>
      </w:r>
    </w:p>
    <w:p>
      <w:pPr>
        <w:spacing w:before="20" w:after="40"/>
        <w:ind w:left="280"/>
      </w:pPr>
      <w:r>
        <w:rPr>
          <w:i/>
          <w:sz w:val="18"/>
        </w:rPr>
        <w:t>Le soutien à l'innovation et l'éloge du modèle ivoirien renforcent la position de la Côte d'Ivoire comme locomotive économique régionale. Les sociétés cotées ivoiriennes comme CFAC, STAC et les valeurs bancaires (BOAC, BOAN) pourraient bénéficier de cette perception positive. Le projet d'ECO en 2027 reste un facteur d'incertitude à moyen terme pour la stabilité monétaire régionale.</w:t>
      </w:r>
    </w:p>
    <w:p>
      <w:pPr>
        <w:pStyle w:val="Heading2"/>
      </w:pPr>
      <w:r>
        <w:rPr>
          <w:color w:val="8C4600"/>
        </w:rPr>
        <w:t>🏦 Plan UEMOA / Zone Franc</w:t>
      </w:r>
    </w:p>
    <w:p>
      <w:pPr>
        <w:pStyle w:val="ListBullet"/>
        <w:spacing w:before="20" w:after="20"/>
        <w:ind w:left="360"/>
      </w:pPr>
      <w:r>
        <w:rPr>
          <w:sz w:val="18"/>
        </w:rPr>
        <w:t>**Projet "Djarrama-Kama" au Sénégal** : Présenté comme un projet de rupture pour le Sénégal, il pourrait avoir des implications économiques régionales.</w:t>
      </w:r>
    </w:p>
    <w:p>
      <w:pPr>
        <w:pStyle w:val="ListBullet"/>
        <w:spacing w:before="20" w:after="20"/>
        <w:ind w:left="360"/>
      </w:pPr>
      <w:r>
        <w:rPr>
          <w:sz w:val="18"/>
        </w:rPr>
        <w:t>**Documentaire sur les JO de Dakar 2026** : Des jeunes de la zone UEMOA prévoient de réaliser un documentaire sur les Jeux Olympiques de la jeunesse de Dakar 2026, événement structurant pour la région.</w:t>
      </w:r>
    </w:p>
    <w:p>
      <w:pPr>
        <w:pStyle w:val="ListBullet"/>
        <w:spacing w:before="20" w:after="20"/>
        <w:ind w:left="360"/>
      </w:pPr>
      <w:r>
        <w:rPr>
          <w:sz w:val="18"/>
        </w:rPr>
        <w:t>**Actualités politiques au Mali** : Le procès de Ras Bath pour "atteinte aux institutions" au Mali crée un climat politique tendu dans la zone.</w:t>
      </w:r>
    </w:p>
    <w:p>
      <w:pPr>
        <w:pStyle w:val="Heading3"/>
      </w:pPr>
      <w:r>
        <w:rPr>
          <w:color w:val="500050"/>
        </w:rPr>
        <w:t>⚡ Impact estimé sur la BRVM</w:t>
      </w:r>
    </w:p>
    <w:p>
      <w:pPr>
        <w:spacing w:before="20" w:after="40"/>
        <w:ind w:left="280"/>
      </w:pPr>
      <w:r>
        <w:rPr>
          <w:i/>
          <w:sz w:val="18"/>
        </w:rPr>
        <w:t>Les données spécifiques sur les décisions BCEAO, l'inflation zone ou la liquidité bancaire sont insuffisantes dans les actualités fournies. Les projets structurants comme les JO de Dakar 2026 pourraient stimuler l'activité économique et bénéficier aux secteurs de la construction et des services (STAC, CFAC). Le climat politique au Mali reste un facteur de vigilance pour les sociétés cotées y opérant.</w:t>
      </w:r>
    </w:p>
    <w:p>
      <w:pPr>
        <w:pStyle w:val="Heading2"/>
      </w:pPr>
      <w:r>
        <w:rPr>
          <w:color w:val="003366"/>
        </w:rPr>
        <w:t>📈 Plan BRVM</w:t>
      </w:r>
    </w:p>
    <w:p>
      <w:pPr>
        <w:pStyle w:val="ListBullet"/>
        <w:spacing w:before="20" w:after="20"/>
        <w:ind w:left="360"/>
      </w:pPr>
      <w:r>
        <w:rPr>
          <w:sz w:val="18"/>
        </w:rPr>
        <w:t>**Résultats encourageants des sociétés cotées ivoiriennes** : La Tribune met en avant les résultats encourageants des sociétés cotées ivoiriennes à la BRVM, avec un indice Composite à 493,9 points.</w:t>
      </w:r>
    </w:p>
    <w:p>
      <w:pPr>
        <w:pStyle w:val="ListBullet"/>
        <w:spacing w:before="20" w:after="20"/>
        <w:ind w:left="360"/>
      </w:pPr>
      <w:r>
        <w:rPr>
          <w:color w:val="008000"/>
          <w:sz w:val="18"/>
        </w:rPr>
        <w:t>**Dynamique positive du marché** : Le sentiment général sur les sociétés cotées ivoiriennes est positif, soutenant la confiance des investisseurs.</w:t>
      </w:r>
    </w:p>
    <w:p>
      <w:pPr>
        <w:pStyle w:val="Heading3"/>
      </w:pPr>
      <w:r>
        <w:rPr>
          <w:color w:val="500050"/>
        </w:rPr>
        <w:t>⚡ Impact estimé sur la BRVM</w:t>
      </w:r>
    </w:p>
    <w:p>
      <w:pPr>
        <w:spacing w:before="20" w:after="40"/>
        <w:ind w:left="280"/>
      </w:pPr>
      <w:r>
        <w:rPr>
          <w:i/>
          <w:sz w:val="18"/>
        </w:rPr>
        <w:t>Les résultats encourageants des sociétés cotées ivoiriennes renforcent l'attractivité du marché. Les valeurs bancaires (SGBC, BICB, BOAC) et les valeurs de consommation (PRSC, UNXC, LNBB) sont susceptibles de maintenir leur dynamique positive. L'indice BRVM Composite à 493,9 points suggère une trajectoire haussière soutenue par les fondamentaux des entreprises.</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**Instabilité géopolitique croissante** : Les stratégies de protection des actifs deviennent prioritaires dans un contexte d'instabilité géopolitique mondiale.</w:t>
      </w:r>
    </w:p>
    <w:p>
      <w:pPr>
        <w:pStyle w:val="ListBullet"/>
        <w:spacing w:before="20" w:after="20"/>
        <w:ind w:left="360"/>
      </w:pPr>
      <w:r>
        <w:rPr>
          <w:sz w:val="18"/>
        </w:rPr>
        <w:t>**Volatilité des matières premières** : Les fluctuations des prix du pétrole et de l'argent reflètent les tensions géopolitiques mondiales.</w:t>
      </w:r>
    </w:p>
    <w:p>
      <w:pPr>
        <w:pStyle w:val="Heading3"/>
      </w:pPr>
      <w:r>
        <w:rPr>
          <w:color w:val="500050"/>
        </w:rPr>
        <w:t>⚡ Impact estimé sur la BRVM</w:t>
      </w:r>
    </w:p>
    <w:p>
      <w:pPr>
        <w:spacing w:before="20" w:after="40"/>
        <w:ind w:left="280"/>
      </w:pPr>
      <w:r>
        <w:rPr>
          <w:i/>
          <w:sz w:val="18"/>
        </w:rPr>
        <w:t>L'instabilité géopolitique mondiale pousse les investisseurs à rechercher des actifs plus sûrs et diversifiés. La BRVM, en tant que marché régional stable, pourrait attirer des flux de diversification, notamment vers les valeurs bancaires solides (SGBC, BICB) et les télécommunications (ORAC).</w:t>
      </w:r>
    </w:p>
    <w:p>
      <w:pPr>
        <w:pStyle w:val="Heading2"/>
      </w:pPr>
      <w:r>
        <w:rPr>
          <w:color w:val="006E32"/>
        </w:rPr>
        <w:t>🌍 Plan Africain</w:t>
      </w:r>
    </w:p>
    <w:p>
      <w:pPr>
        <w:pStyle w:val="ListBullet"/>
        <w:spacing w:before="20" w:after="20"/>
        <w:ind w:left="360"/>
      </w:pPr>
      <w:r>
        <w:rPr>
          <w:sz w:val="18"/>
        </w:rPr>
        <w:t>**Stabilité politique relative en Afrique de l'Ouest** : Les actualités montrent une certaine stabilité politique dans la région, avec des initiatives positives comme le Prix Start-ups de la CEDEAO.</w:t>
      </w:r>
    </w:p>
    <w:p>
      <w:pPr>
        <w:pStyle w:val="ListBullet"/>
        <w:spacing w:before="20" w:after="20"/>
        <w:ind w:left="360"/>
      </w:pPr>
      <w:r>
        <w:rPr>
          <w:sz w:val="18"/>
        </w:rPr>
        <w:t>**Tensions politiques au Mali** : Le procès de Ras Bath pour "atteinte aux institutions" indique des tensions politiques persistantes dans ce pays.</w:t>
      </w:r>
    </w:p>
    <w:p>
      <w:pPr>
        <w:pStyle w:val="Heading3"/>
      </w:pPr>
      <w:r>
        <w:rPr>
          <w:color w:val="500050"/>
        </w:rPr>
        <w:t>⚡ Impact estimé sur la BRVM</w:t>
      </w:r>
    </w:p>
    <w:p>
      <w:pPr>
        <w:spacing w:before="20" w:after="40"/>
        <w:ind w:left="280"/>
      </w:pPr>
      <w:r>
        <w:rPr>
          <w:i/>
          <w:sz w:val="18"/>
        </w:rPr>
        <w:t>La stabilité politique relative en Afrique de l'Ouest, malgré les tensions au Mali, maintient la confiance des investisseurs. Les sociétés cotées opérant dans plusieurs pays de la zone (ORGT, ECOC) bénéficient d'un environnement globalement stable, mais doivent surveiller les risques spécifiques au Mali.</w:t>
      </w:r>
    </w:p>
    <w:p>
      <w:pPr>
        <w:pStyle w:val="Heading2"/>
      </w:pPr>
      <w:r>
        <w:rPr>
          <w:color w:val="145A28"/>
        </w:rPr>
        <w:t>🌍 Plan Afrique de l'Ouest</w:t>
      </w:r>
    </w:p>
    <w:p>
      <w:pPr>
        <w:pStyle w:val="ListBullet"/>
        <w:spacing w:before="20" w:after="20"/>
        <w:ind w:left="360"/>
      </w:pPr>
      <w:r>
        <w:rPr>
          <w:sz w:val="18"/>
        </w:rPr>
        <w:t>**Admiration du modèle ivoirien** : Le Premier ministre guinéen salue le modèle de développement ivoirien, renforçant l'image de la Côte d'Ivoire comme pôle de stabilité.</w:t>
      </w:r>
    </w:p>
    <w:p>
      <w:pPr>
        <w:pStyle w:val="ListBullet"/>
        <w:spacing w:before="20" w:after="20"/>
        <w:ind w:left="360"/>
      </w:pPr>
      <w:r>
        <w:rPr>
          <w:sz w:val="18"/>
        </w:rPr>
        <w:t>**Prérequis pour l'ECO** : Les économistes guinéens soulignent la nécessité de convergence économique avant le lancement de l'ECO en 2027.</w:t>
      </w:r>
    </w:p>
    <w:p>
      <w:pPr>
        <w:pStyle w:val="Heading3"/>
      </w:pPr>
      <w:r>
        <w:rPr>
          <w:color w:val="500050"/>
        </w:rPr>
        <w:t>⚡ Impact estimé sur la BRVM</w:t>
      </w:r>
    </w:p>
    <w:p>
      <w:pPr>
        <w:spacing w:before="20" w:after="40"/>
        <w:ind w:left="280"/>
      </w:pPr>
      <w:r>
        <w:rPr>
          <w:i/>
          <w:sz w:val="18"/>
        </w:rPr>
        <w:t>La reconnaissance du modèle ivoirien renforce l'attractivité de la BRVM, dominée par les valeurs ivoiriennes. Les sociétés comme CFAC, STAC et les banques ivoiriennes (BOAC, BOAN) bénéficient de cette image positive. Les incertitudes sur l'ECO pourraient créer une volatilité à moyen terme.</w:t>
      </w:r>
    </w:p>
    <w:p>
      <w:pPr>
        <w:pStyle w:val="Heading2"/>
      </w:pPr>
      <w:r>
        <w:rPr>
          <w:color w:val="8C4600"/>
        </w:rPr>
        <w:t>🏦 Plan UEMOA / Zone Franc</w:t>
      </w:r>
    </w:p>
    <w:p>
      <w:pPr>
        <w:pStyle w:val="ListBullet"/>
        <w:spacing w:before="20" w:after="20"/>
        <w:ind w:left="360"/>
      </w:pPr>
      <w:r>
        <w:rPr>
          <w:sz w:val="18"/>
        </w:rPr>
        <w:t>**Projets structurants régionaux** : Les JO de Dakar 2026 et le projet "Djarrama-Kama" au Sénégal sont des initiatives structurantes pour la zone UEMOA.</w:t>
      </w:r>
    </w:p>
    <w:p>
      <w:pPr>
        <w:pStyle w:val="ListBullet"/>
        <w:spacing w:before="20" w:after="20"/>
        <w:ind w:left="360"/>
      </w:pPr>
      <w:r>
        <w:rPr>
          <w:sz w:val="18"/>
        </w:rPr>
        <w:t>**Tensions politiques au Mali** : Le climat politique malien reste un point de vigilance pour la stabilité régionale.</w:t>
      </w:r>
    </w:p>
    <w:p>
      <w:pPr>
        <w:pStyle w:val="Heading3"/>
      </w:pPr>
      <w:r>
        <w:rPr>
          <w:color w:val="500050"/>
        </w:rPr>
        <w:t>⚡ Impact estimé sur la BRVM</w:t>
      </w:r>
    </w:p>
    <w:p>
      <w:pPr>
        <w:spacing w:before="20" w:after="40"/>
        <w:ind w:left="280"/>
      </w:pPr>
      <w:r>
        <w:rPr>
          <w:i/>
          <w:sz w:val="18"/>
        </w:rPr>
        <w:t>Les projets structurants régionaux stimulent l'activité économique et pourraient bénéficier aux sociétés cotées du BTP et des services (STAC, CFAC). Les tensions au Mali représentent un risque pour les sociétés cotées y ayant des opérations, mais l'impact global reste limité.</w:t>
      </w:r>
    </w:p>
    <w:p>
      <w:pPr>
        <w:pStyle w:val="Heading2"/>
      </w:pPr>
      <w:r>
        <w:rPr>
          <w:color w:val="003366"/>
        </w:rPr>
        <w:t>📈 Plan BRVM</w:t>
      </w:r>
    </w:p>
    <w:p>
      <w:pPr>
        <w:pStyle w:val="ListBullet"/>
        <w:spacing w:before="20" w:after="20"/>
        <w:ind w:left="360"/>
      </w:pPr>
      <w:r>
        <w:rPr>
          <w:sz w:val="18"/>
        </w:rPr>
        <w:t>**Réglementation CREPMF** : Données insuffisantes sur les décisions réglementaires récentes.</w:t>
      </w:r>
    </w:p>
    <w:p>
      <w:pPr>
        <w:pStyle w:val="ListBullet"/>
        <w:spacing w:before="20" w:after="20"/>
        <w:ind w:left="360"/>
      </w:pPr>
      <w:r>
        <w:rPr>
          <w:sz w:val="18"/>
        </w:rPr>
        <w:t>**Gouvernance des sociétés cotées** : Les résultats encourageants des sociétés ivoiriennes suggèrent une bonne gouvernance d'entreprise.</w:t>
      </w:r>
    </w:p>
    <w:p>
      <w:pPr>
        <w:pStyle w:val="Heading3"/>
      </w:pPr>
      <w:r>
        <w:rPr>
          <w:color w:val="500050"/>
        </w:rPr>
        <w:t>⚡ Impact estimé sur la BRVM</w:t>
      </w:r>
    </w:p>
    <w:p>
      <w:pPr>
        <w:spacing w:before="20" w:after="40"/>
        <w:ind w:left="280"/>
      </w:pPr>
      <w:r>
        <w:rPr>
          <w:i/>
          <w:sz w:val="18"/>
        </w:rPr>
        <w:t>L'absence de données spécifiques sur les décisions réglementaires limite l'analyse. La bonne gouvernance des sociétés cotées, reflétée par leurs résultats, soutient la confiance des investisseurs dans le marché.</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008000"/>
          <w:sz w:val="18"/>
        </w:rPr>
        <w:t>**Volatilité des matières premières** : Pétrole en baisse, argent en hausse de près de 10%, or et gaz naturel en mouvement.</w:t>
      </w:r>
    </w:p>
    <w:p>
      <w:pPr>
        <w:pStyle w:val="ListBullet"/>
        <w:spacing w:before="20" w:after="20"/>
        <w:ind w:left="360"/>
      </w:pPr>
      <w:r>
        <w:rPr>
          <w:sz w:val="18"/>
        </w:rPr>
        <w:t>**Croissance atone et inflation collante aux États-Unis** : La Fed devrait maintenir une politique monétaire restrictive.</w:t>
      </w:r>
    </w:p>
    <w:p>
      <w:pPr>
        <w:pStyle w:val="ListBullet"/>
        <w:spacing w:before="20" w:after="20"/>
        <w:ind w:left="360"/>
      </w:pPr>
      <w:r>
        <w:rPr>
          <w:color w:val="008000"/>
          <w:sz w:val="18"/>
        </w:rPr>
        <w:t>**Incertitude sur les taux de la BCE** : Possibilité d'une hausse en 2026 puis d'une baisse en 2027.</w:t>
      </w:r>
    </w:p>
    <w:p>
      <w:pPr>
        <w:pStyle w:val="ListBullet"/>
        <w:spacing w:before="20" w:after="20"/>
        <w:ind w:left="360"/>
      </w:pPr>
      <w:r>
        <w:rPr>
          <w:sz w:val="18"/>
        </w:rPr>
        <w:t>**Produits financiers hyperspéculatifs** : L'engouement pour les "perps" soulève des inquiétudes sur la stabilité financière.</w:t>
      </w:r>
    </w:p>
    <w:p>
      <w:pPr>
        <w:pStyle w:val="Heading3"/>
      </w:pPr>
      <w:r>
        <w:rPr>
          <w:color w:val="500050"/>
        </w:rPr>
        <w:t>⚡ Impact estimé sur la BRVM</w:t>
      </w:r>
    </w:p>
    <w:p>
      <w:pPr>
        <w:spacing w:before="20" w:after="40"/>
        <w:ind w:left="280"/>
      </w:pPr>
      <w:r>
        <w:rPr>
          <w:i/>
          <w:sz w:val="18"/>
        </w:rPr>
        <w:t>La volatilité des matières premières et l'incertitude sur les taux mondiaux pourraient maintenir une pression sur les flux de capitaux vers les marchés émergents. Cependant, la BRVM, avec sa faible corrélation aux marchés développés, pourrait attirer des investisseurs en quête de diversification. Les valeurs bancaires (SGBC, BICB) restent sensibles aux conditions de liquidité mondiales.</w:t>
      </w:r>
    </w:p>
    <w:p>
      <w:pPr>
        <w:pStyle w:val="Heading2"/>
      </w:pPr>
      <w:r>
        <w:rPr>
          <w:color w:val="006E32"/>
        </w:rPr>
        <w:t>🌍 Plan Africain</w:t>
      </w:r>
    </w:p>
    <w:p>
      <w:pPr>
        <w:pStyle w:val="ListBullet"/>
        <w:spacing w:before="20" w:after="20"/>
        <w:ind w:left="360"/>
      </w:pPr>
      <w:r>
        <w:rPr>
          <w:sz w:val="18"/>
        </w:rPr>
        <w:t>**Dette verte de Senelec** : 108 milliards de FCFA levés à la Bourse de Luxembourg, montrant l'intérêt pour les instruments financiers durables africains.</w:t>
      </w:r>
    </w:p>
    <w:p>
      <w:pPr>
        <w:pStyle w:val="ListBullet"/>
        <w:spacing w:before="20" w:after="20"/>
        <w:ind w:left="360"/>
      </w:pPr>
      <w:r>
        <w:rPr>
          <w:sz w:val="18"/>
        </w:rPr>
        <w:t>**Marchés obligataires africains** : Données insuffisantes sur les eurobonds et notations souveraines.</w:t>
      </w:r>
    </w:p>
    <w:p>
      <w:pPr>
        <w:pStyle w:val="Heading3"/>
      </w:pPr>
      <w:r>
        <w:rPr>
          <w:color w:val="500050"/>
        </w:rPr>
        <w:t>⚡ Impact estimé sur la BRVM</w:t>
      </w:r>
    </w:p>
    <w:p>
      <w:pPr>
        <w:spacing w:before="20" w:after="40"/>
        <w:ind w:left="280"/>
      </w:pPr>
      <w:r>
        <w:rPr>
          <w:i/>
          <w:sz w:val="18"/>
        </w:rPr>
        <w:t>Le succès de la dette verte de Senelec pourrait inspirer d'autres émissions via la BRVM, renforçant son rôle de place financière régionale. Les sociétés cotées pourraient bénéficier d'un accès accru aux financements durables.</w:t>
      </w:r>
    </w:p>
    <w:p>
      <w:pPr>
        <w:pStyle w:val="Heading2"/>
      </w:pPr>
      <w:r>
        <w:rPr>
          <w:color w:val="145A28"/>
        </w:rPr>
        <w:t>🌍 Plan Afrique de l'Ouest</w:t>
      </w:r>
    </w:p>
    <w:p>
      <w:pPr>
        <w:pStyle w:val="ListBullet"/>
        <w:spacing w:before="20" w:after="20"/>
        <w:ind w:left="360"/>
      </w:pPr>
      <w:r>
        <w:rPr>
          <w:sz w:val="18"/>
        </w:rPr>
        <w:t>**Prix Start-ups de la CEDEAO** : Initiative positive pour l'innovation dans la sous-région.</w:t>
      </w:r>
    </w:p>
    <w:p>
      <w:pPr>
        <w:pStyle w:val="ListBullet"/>
        <w:spacing w:before="20" w:after="20"/>
        <w:ind w:left="360"/>
      </w:pPr>
      <w:r>
        <w:rPr>
          <w:sz w:val="18"/>
        </w:rPr>
        <w:t>**Positionnement de la BRVM** : La BRVM reste la principale place financière de la région UEMOA.</w:t>
      </w:r>
    </w:p>
    <w:p>
      <w:pPr>
        <w:pStyle w:val="Heading3"/>
      </w:pPr>
      <w:r>
        <w:rPr>
          <w:color w:val="500050"/>
        </w:rPr>
        <w:t>⚡ Impact estimé sur la BRVM</w:t>
      </w:r>
    </w:p>
    <w:p>
      <w:pPr>
        <w:spacing w:before="20" w:after="40"/>
        <w:ind w:left="280"/>
      </w:pPr>
      <w:r>
        <w:rPr>
          <w:i/>
          <w:sz w:val="18"/>
        </w:rPr>
        <w:t>La BRVM conserve son leadership régional, mais doit surveiller la concurrence des autres places financières africaines. Les initiatives comme le Prix Start-ups de la CEDEAO pourraient stimuler l'innovation et attirer de nouvelles cotations à moyen terme.</w:t>
      </w:r>
    </w:p>
    <w:p>
      <w:pPr>
        <w:pStyle w:val="Heading2"/>
      </w:pPr>
      <w:r>
        <w:rPr>
          <w:color w:val="8C4600"/>
        </w:rPr>
        <w:t>🏦 Plan UEMOA / Zone Franc</w:t>
      </w:r>
    </w:p>
    <w:p>
      <w:pPr>
        <w:pStyle w:val="ListBullet"/>
        <w:spacing w:before="20" w:after="20"/>
        <w:ind w:left="360"/>
      </w:pPr>
      <w:r>
        <w:rPr>
          <w:sz w:val="18"/>
        </w:rPr>
        <w:t>**Marché des titres publics UEMOA** : Données insuffisantes sur les émissions récentes.</w:t>
      </w:r>
    </w:p>
    <w:p>
      <w:pPr>
        <w:pStyle w:val="ListBullet"/>
        <w:spacing w:before="20" w:after="20"/>
        <w:ind w:left="360"/>
      </w:pPr>
      <w:r>
        <w:rPr>
          <w:sz w:val="18"/>
        </w:rPr>
        <w:t>**Taux interbancaire et liquidité** : Données insuffisantes.</w:t>
      </w:r>
    </w:p>
    <w:p>
      <w:pPr>
        <w:pStyle w:val="Heading3"/>
      </w:pPr>
      <w:r>
        <w:rPr>
          <w:color w:val="500050"/>
        </w:rPr>
        <w:t>⚡ Impact estimé sur la BRVM</w:t>
      </w:r>
    </w:p>
    <w:p>
      <w:pPr>
        <w:spacing w:before="20" w:after="40"/>
        <w:ind w:left="280"/>
      </w:pPr>
      <w:r>
        <w:rPr>
          <w:i/>
          <w:sz w:val="18"/>
        </w:rPr>
        <w:t>L'absence de données sur les titres publics et la liquidité limite l'analyse de l'arbitrage entre titres publics et actions. Les investisseurs continueront de surveiller les rendements offerts par les titres publics UEMOA par rapport aux dividendes des actions BRVM.</w:t>
      </w:r>
    </w:p>
    <w:p>
      <w:pPr>
        <w:pStyle w:val="Heading2"/>
      </w:pPr>
      <w:r>
        <w:rPr>
          <w:color w:val="003366"/>
        </w:rPr>
        <w:t>📈 Plan BRVM</w:t>
      </w:r>
    </w:p>
    <w:p>
      <w:pPr>
        <w:pStyle w:val="ListBullet"/>
        <w:spacing w:before="20" w:after="20"/>
        <w:ind w:left="360"/>
      </w:pPr>
      <w:r>
        <w:rPr>
          <w:sz w:val="18"/>
        </w:rPr>
        <w:t>**Indice BRVM Composite à 493,9 points** : Le marché montre une tendance positive.</w:t>
      </w:r>
    </w:p>
    <w:p>
      <w:pPr>
        <w:pStyle w:val="ListBullet"/>
        <w:spacing w:before="20" w:after="20"/>
        <w:ind w:left="360"/>
      </w:pPr>
      <w:r>
        <w:rPr>
          <w:color w:val="008000"/>
          <w:sz w:val="18"/>
        </w:rPr>
        <w:t>**Résultats encourageants des sociétés cotées ivoiriennes** : Dynamique favorable pour les valeurs ivoiriennes.</w:t>
      </w:r>
    </w:p>
    <w:p>
      <w:pPr>
        <w:pStyle w:val="Heading3"/>
      </w:pPr>
      <w:r>
        <w:rPr>
          <w:color w:val="500050"/>
        </w:rPr>
        <w:t>⚡ Impact estimé sur la BRVM</w:t>
      </w:r>
    </w:p>
    <w:p>
      <w:pPr>
        <w:spacing w:before="20" w:after="40"/>
        <w:ind w:left="280"/>
      </w:pPr>
      <w:r>
        <w:rPr>
          <w:i/>
          <w:sz w:val="18"/>
        </w:rPr>
        <w:t>Les fondamentaux solides des sociétés cotées ivoiriennes soutiennent la tendance haussière du marché. Les valeurs bancaires (SGBC, BICB, BOAC) et de consommation (PRSC, UNXC, LNBB) présentent des opportunités d'achat. Les valeurs comme ORAC (Télécommunications) et SHEC (Énergie) restent des positions défensives attractives.</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 marché BRVM évolue dans un environnement globalement favorable, soutenu par des résultats d'entreprises encourageants, une stabilité politique relative en Afrique de l'Ouest et des initiatives régionales positives. Les incertitudes mondiales (taux Fed/BCE, géopolitique) créent une volatilité sur les marchés développés, mais la BRVM, avec sa faible corrélation, offre des opportunités de diversification. Les investisseurs peuvent maintenir leurs positions et envisager des achats sur les valeurs bancaires solides (SGBC, BICB) et les valeurs de consommation de base (PALC, STBC). La vigilance reste de mise sur les tensions politiques au Mali et l'évolution des taux mondiaux.</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2026-08-11</w:t>
            </w:r>
          </w:p>
        </w:tc>
        <w:tc>
          <w:tcPr>
            <w:tcW w:type="dxa" w:w="1728"/>
          </w:tcPr>
          <w:p>
            <w:r>
              <w:rPr>
                <w:sz w:val="14"/>
              </w:rPr>
              <w:t>La folie des « perps », ces produits financiers hyperspéculatifs qui 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2026-08-10</w:t>
            </w:r>
          </w:p>
        </w:tc>
        <w:tc>
          <w:tcPr>
            <w:tcW w:type="dxa" w:w="1728"/>
          </w:tcPr>
          <w:p>
            <w:r>
              <w:rPr>
                <w:sz w:val="14"/>
              </w:rPr>
              <w:t>Les prix du pétrole ont chuté, tandis que le cours de l'argent a bondi</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⚫Synthèse des matières premières : Pétrole, or, gaz naturel, émissions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La BCE va-t-elle relever à nouveau ses taux d’intérêt en 2026, pour en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2026-08-10</w:t>
            </w:r>
          </w:p>
        </w:tc>
        <w:tc>
          <w:tcPr>
            <w:tcW w:type="dxa" w:w="1728"/>
          </w:tcPr>
          <w:p>
            <w:r>
              <w:rPr>
                <w:sz w:val="14"/>
              </w:rPr>
              <w:t xml:space="preserve">Federal Reserve: Sideways growth and sticky inflation – TD Securities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2è édition du Prix ‘Start-ups de la CEDEAO’: Pourquoi et comment aller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2026-08-10</w:t>
            </w:r>
          </w:p>
        </w:tc>
        <w:tc>
          <w:tcPr>
            <w:tcW w:type="dxa" w:w="1728"/>
          </w:tcPr>
          <w:p>
            <w:r>
              <w:rPr>
                <w:sz w:val="14"/>
              </w:rPr>
              <w:t>Guinée. Lancement de l’ECO en 2027: les prérequis des économistes -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Guinée renonce à intégrer la monnaie unique Eco - lebrief.ma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Ousmane Thiam : «Djarrama-Kama est un projet de rupture pour le Sénéga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2026-08-11</w:t>
            </w:r>
          </w:p>
        </w:tc>
        <w:tc>
          <w:tcPr>
            <w:tcW w:type="dxa" w:w="1728"/>
          </w:tcPr>
          <w:p>
            <w:r>
              <w:rPr>
                <w:sz w:val="14"/>
              </w:rPr>
              <w:t xml:space="preserve">Mali : Ras Bath rejette les accusations d'«atteinte aux institutions»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2026-08-10</w:t>
            </w:r>
          </w:p>
        </w:tc>
        <w:tc>
          <w:tcPr>
            <w:tcW w:type="dxa" w:w="1728"/>
          </w:tcPr>
          <w:p>
            <w:r>
              <w:rPr>
                <w:sz w:val="14"/>
              </w:rPr>
              <w:t>JO de la jeunesse Dakar 2026: ces jeunes veulent réaliser un documenta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2026-08-11</w:t>
            </w:r>
          </w:p>
        </w:tc>
        <w:tc>
          <w:tcPr>
            <w:tcW w:type="dxa" w:w="1728"/>
          </w:tcPr>
          <w:p>
            <w:r>
              <w:rPr>
                <w:sz w:val="14"/>
              </w:rPr>
              <w:t xml:space="preserve">Sénégal : Bassirou Diomaye Faye cherche-t-il à reporter les élections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2026-08-11</w:t>
            </w:r>
          </w:p>
        </w:tc>
        <w:tc>
          <w:tcPr>
            <w:tcW w:type="dxa" w:w="1728"/>
          </w:tcPr>
          <w:p>
            <w:r>
              <w:rPr>
                <w:sz w:val="14"/>
              </w:rPr>
              <w:t>Au Burkina Faso, la morale RPP s’invite dans la politique culturelle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2026-08-11</w:t>
            </w:r>
          </w:p>
        </w:tc>
        <w:tc>
          <w:tcPr>
            <w:tcW w:type="dxa" w:w="1728"/>
          </w:tcPr>
          <w:p>
            <w:r>
              <w:rPr>
                <w:sz w:val="14"/>
              </w:rPr>
              <w:t>Côte d'Ivoire : Journée internationale de la jeunesse, à Abidjan, le G</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2026-08-10</w:t>
            </w:r>
          </w:p>
        </w:tc>
        <w:tc>
          <w:tcPr>
            <w:tcW w:type="dxa" w:w="1728"/>
          </w:tcPr>
          <w:p>
            <w:r>
              <w:rPr>
                <w:sz w:val="14"/>
              </w:rPr>
              <w:t>Les prix du pétrole ont chuté, tandis que le cours de l'argent a bondi</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⚫Synthèse des matières premières : Pétrole, or, gaz naturel, émissions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La BCE va-t-elle relever à nouveau ses taux d’intérêt en 2026, pour en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2026-08-10</w:t>
            </w:r>
          </w:p>
        </w:tc>
        <w:tc>
          <w:tcPr>
            <w:tcW w:type="dxa" w:w="1728"/>
          </w:tcPr>
          <w:p>
            <w:r>
              <w:rPr>
                <w:sz w:val="14"/>
              </w:rPr>
              <w:t xml:space="preserve">Federal Reserve: Sideways growth and sticky inflation – TD Securities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2026-08-11</w:t>
            </w:r>
          </w:p>
        </w:tc>
        <w:tc>
          <w:tcPr>
            <w:tcW w:type="dxa" w:w="1728"/>
          </w:tcPr>
          <w:p>
            <w:r>
              <w:rPr>
                <w:sz w:val="14"/>
              </w:rPr>
              <w:t>⚫Synthèse des matières premières : Pétrole, or, gaz naturel, émissions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 xml:space="preserve">Federal Reserve: Sideways growth and sticky inflation – TD Securities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2026-08-11</w:t>
            </w:r>
          </w:p>
        </w:tc>
        <w:tc>
          <w:tcPr>
            <w:tcW w:type="dxa" w:w="1728"/>
          </w:tcPr>
          <w:p>
            <w:r>
              <w:rPr>
                <w:sz w:val="14"/>
              </w:rPr>
              <w:t>2è édition du Prix ‘Start-ups de la CEDEAO’: Pourquoi et comment aller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Ousmane Thiam : «Djarrama-Kama est un projet de rupture pour le Sénéga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2026-08-11</w:t>
            </w:r>
          </w:p>
        </w:tc>
        <w:tc>
          <w:tcPr>
            <w:tcW w:type="dxa" w:w="1728"/>
          </w:tcPr>
          <w:p>
            <w:r>
              <w:rPr>
                <w:sz w:val="14"/>
              </w:rPr>
              <w:t>⚫Synthèse des matières premières : Pétrole, or, gaz naturel, émissions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 xml:space="preserve">Federal Reserve: Sideways growth and sticky inflation – TD Securities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2026-08-11</w:t>
            </w:r>
          </w:p>
        </w:tc>
        <w:tc>
          <w:tcPr>
            <w:tcW w:type="dxa" w:w="1728"/>
          </w:tcPr>
          <w:p>
            <w:r>
              <w:rPr>
                <w:sz w:val="14"/>
              </w:rPr>
              <w:t>2è édition du Prix ‘Start-ups de la CEDEAO’: Pourquoi et comment aller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Ousmane Thiam : «Djarrama-Kama est un projet de rupture pour le Sénéga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2026-08-11</w:t>
            </w:r>
          </w:p>
        </w:tc>
        <w:tc>
          <w:tcPr>
            <w:tcW w:type="dxa" w:w="1728"/>
          </w:tcPr>
          <w:p>
            <w:r>
              <w:rPr>
                <w:sz w:val="14"/>
              </w:rPr>
              <w:t>⚫Synthèse des matières premières : Pétrole, or, gaz naturel, émissions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 xml:space="preserve">Federal Reserve: Sideways growth and sticky inflation – TD Securities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2026-08-11</w:t>
            </w:r>
          </w:p>
        </w:tc>
        <w:tc>
          <w:tcPr>
            <w:tcW w:type="dxa" w:w="1728"/>
          </w:tcPr>
          <w:p>
            <w:r>
              <w:rPr>
                <w:sz w:val="14"/>
              </w:rPr>
              <w:t>Ousmane Thiam : «Djarrama-Kama est un projet de rupture pour le Sénéga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2026-08-11</w:t>
            </w:r>
          </w:p>
        </w:tc>
        <w:tc>
          <w:tcPr>
            <w:tcW w:type="dxa" w:w="1728"/>
          </w:tcPr>
          <w:p>
            <w:r>
              <w:rPr>
                <w:sz w:val="14"/>
              </w:rPr>
              <w:t xml:space="preserve">Mali : Ras Bath rejette les accusations d'«atteinte aux institutions»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2026-08-11</w:t>
            </w:r>
          </w:p>
        </w:tc>
        <w:tc>
          <w:tcPr>
            <w:tcW w:type="dxa" w:w="1728"/>
          </w:tcPr>
          <w:p>
            <w:r>
              <w:rPr>
                <w:sz w:val="14"/>
              </w:rPr>
              <w:t>⚫Synthèse des matières premières : Pétrole, or, gaz naturel, émissions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La BCE va-t-elle relever à nouveau ses taux d’intérêt en 2026, pour en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2026-08-10</w:t>
            </w:r>
          </w:p>
        </w:tc>
        <w:tc>
          <w:tcPr>
            <w:tcW w:type="dxa" w:w="1728"/>
          </w:tcPr>
          <w:p>
            <w:r>
              <w:rPr>
                <w:sz w:val="14"/>
              </w:rPr>
              <w:t xml:space="preserve">Federal Reserve: Sideways growth and sticky inflation – TD Securities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2026-08-11</w:t>
            </w:r>
          </w:p>
        </w:tc>
        <w:tc>
          <w:tcPr>
            <w:tcW w:type="dxa" w:w="1728"/>
          </w:tcPr>
          <w:p>
            <w:r>
              <w:rPr>
                <w:sz w:val="14"/>
              </w:rPr>
              <w:t>Ousmane Thiam : «Djarrama-Kama est un projet de rupture pour le Sénéga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2026-08-10</w:t>
            </w:r>
          </w:p>
        </w:tc>
        <w:tc>
          <w:tcPr>
            <w:tcW w:type="dxa" w:w="1728"/>
          </w:tcPr>
          <w:p>
            <w:r>
              <w:rPr>
                <w:sz w:val="14"/>
              </w:rPr>
              <w:t>Les prix du pétrole ont chuté, tandis que le cours de l'argent a bondi</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⚫Synthèse des matières premières : Pétrole, or, gaz naturel, émissions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La BCE va-t-elle relever à nouveau ses taux d’intérêt en 2026, pour en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2026-08-10</w:t>
            </w:r>
          </w:p>
        </w:tc>
        <w:tc>
          <w:tcPr>
            <w:tcW w:type="dxa" w:w="1728"/>
          </w:tcPr>
          <w:p>
            <w:r>
              <w:rPr>
                <w:sz w:val="14"/>
              </w:rPr>
              <w:t xml:space="preserve">Federal Reserve: Sideways growth and sticky inflation – TD Securities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2026-08-10</w:t>
            </w:r>
          </w:p>
        </w:tc>
        <w:tc>
          <w:tcPr>
            <w:tcW w:type="dxa" w:w="1728"/>
          </w:tcPr>
          <w:p>
            <w:r>
              <w:rPr>
                <w:sz w:val="14"/>
              </w:rPr>
              <w:t>La BCE va-t-elle relever à nouveau ses taux d’intérêt en 2026, pour en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2026-08-11</w:t>
            </w:r>
          </w:p>
        </w:tc>
        <w:tc>
          <w:tcPr>
            <w:tcW w:type="dxa" w:w="1728"/>
          </w:tcPr>
          <w:p>
            <w:r>
              <w:rPr>
                <w:sz w:val="14"/>
              </w:rPr>
              <w:t>2è édition du Prix ‘Start-ups de la CEDEAO’: Pourquoi et comment aller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 xml:space="preserve">Sénégal : Bassirou Diomaye Faye cherche-t-il à reporter les élections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2026-08-11</w:t>
            </w:r>
          </w:p>
        </w:tc>
        <w:tc>
          <w:tcPr>
            <w:tcW w:type="dxa" w:w="1728"/>
          </w:tcPr>
          <w:p>
            <w:r>
              <w:rPr>
                <w:sz w:val="14"/>
              </w:rPr>
              <w:t>Au Burkina Faso, la morale RPP s’invite dans la politique culturelle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2026-08-10</w:t>
            </w:r>
          </w:p>
        </w:tc>
        <w:tc>
          <w:tcPr>
            <w:tcW w:type="dxa" w:w="1728"/>
          </w:tcPr>
          <w:p>
            <w:r>
              <w:rPr>
                <w:sz w:val="14"/>
              </w:rPr>
              <w:t>La BCE va-t-elle relever à nouveau ses taux d’intérêt en 2026, pour en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2026-08-11</w:t>
            </w:r>
          </w:p>
        </w:tc>
        <w:tc>
          <w:tcPr>
            <w:tcW w:type="dxa" w:w="1728"/>
          </w:tcPr>
          <w:p>
            <w:r>
              <w:rPr>
                <w:sz w:val="14"/>
              </w:rPr>
              <w:t>2è édition du Prix ‘Start-ups de la CEDEAO’: Pourquoi et comment aller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Au Burkina Faso, la morale RPP s’invite dans la politique culturelle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2026-08-10</w:t>
            </w:r>
          </w:p>
        </w:tc>
        <w:tc>
          <w:tcPr>
            <w:tcW w:type="dxa" w:w="1728"/>
          </w:tcPr>
          <w:p>
            <w:r>
              <w:rPr>
                <w:sz w:val="14"/>
              </w:rPr>
              <w:t>BRVM : 5 actions africaines en forte hausse – NEIC bondit de +69,66%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2026-08-10</w:t>
            </w:r>
          </w:p>
        </w:tc>
        <w:tc>
          <w:tcPr>
            <w:tcW w:type="dxa" w:w="1728"/>
          </w:tcPr>
          <w:p>
            <w:r>
              <w:rPr>
                <w:sz w:val="14"/>
              </w:rPr>
              <w:t>La BCE va-t-elle relever à nouveau ses taux d’intérêt en 2026, pour en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2026-08-11</w:t>
            </w:r>
          </w:p>
        </w:tc>
        <w:tc>
          <w:tcPr>
            <w:tcW w:type="dxa" w:w="1728"/>
          </w:tcPr>
          <w:p>
            <w:r>
              <w:rPr>
                <w:sz w:val="14"/>
              </w:rPr>
              <w:t>Ousmane Thiam : «Djarrama-Kama est un projet de rupture pour le Sénéga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2026-08-11</w:t>
            </w:r>
          </w:p>
        </w:tc>
        <w:tc>
          <w:tcPr>
            <w:tcW w:type="dxa" w:w="1728"/>
          </w:tcPr>
          <w:p>
            <w:r>
              <w:rPr>
                <w:sz w:val="14"/>
              </w:rPr>
              <w:t xml:space="preserve">Mali : Ras Bath rejette les accusations d'«atteinte aux institutions»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2026-08-10</w:t>
            </w:r>
          </w:p>
        </w:tc>
        <w:tc>
          <w:tcPr>
            <w:tcW w:type="dxa" w:w="1728"/>
          </w:tcPr>
          <w:p>
            <w:r>
              <w:rPr>
                <w:sz w:val="14"/>
              </w:rPr>
              <w:t>JO de la jeunesse Dakar 2026: ces jeunes veulent réaliser un documenta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2026-08-10</w:t>
            </w:r>
          </w:p>
        </w:tc>
        <w:tc>
          <w:tcPr>
            <w:tcW w:type="dxa" w:w="1728"/>
          </w:tcPr>
          <w:p>
            <w:r>
              <w:rPr>
                <w:sz w:val="14"/>
              </w:rPr>
              <w:t>La BCE va-t-elle relever à nouveau ses taux d’intérêt en 2026, pour en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2026-08-11</w:t>
            </w:r>
          </w:p>
        </w:tc>
        <w:tc>
          <w:tcPr>
            <w:tcW w:type="dxa" w:w="1728"/>
          </w:tcPr>
          <w:p>
            <w:r>
              <w:rPr>
                <w:sz w:val="14"/>
              </w:rPr>
              <w:t>Au Burkina Faso, la morale RPP s’invite dans la politique culturelle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2026-08-10</w:t>
            </w:r>
          </w:p>
        </w:tc>
        <w:tc>
          <w:tcPr>
            <w:tcW w:type="dxa" w:w="1728"/>
          </w:tcPr>
          <w:p>
            <w:r>
              <w:rPr>
                <w:sz w:val="14"/>
              </w:rPr>
              <w:t>BRVM : 5 actions africaines en forte hausse – NEIC bondit de +69,66%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2026-08-10</w:t>
            </w:r>
          </w:p>
        </w:tc>
        <w:tc>
          <w:tcPr>
            <w:tcW w:type="dxa" w:w="1728"/>
          </w:tcPr>
          <w:p>
            <w:r>
              <w:rPr>
                <w:sz w:val="14"/>
              </w:rPr>
              <w:t>Les prix du pétrole ont chuté de près de 8 % suite à l'augmentation de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(9 alerte(s))</w:t>
      </w:r>
    </w:p>
    <w:p>
      <w:pPr>
        <w:spacing w:before="40" w:after="40"/>
        <w:ind w:left="360"/>
      </w:pPr>
      <w:r>
        <w:rPr>
          <w:color w:val="646464"/>
          <w:sz w:val="17"/>
        </w:rPr>
        <w:t xml:space="preserve">[11/08/2026] ⚪  </w:t>
      </w:r>
      <w:r>
        <w:rPr>
          <w:b/>
          <w:color w:val="505050"/>
          <w:sz w:val="18"/>
        </w:rPr>
        <w:t>Ousmane Thiam : «Djarrama-Kama est un projet de rupture pour le Sénégal» - Dakarmidi</w:t>
      </w:r>
      <w:r>
        <w:rPr>
          <w:color w:val="787878"/>
          <w:sz w:val="15"/>
        </w:rPr>
        <w:t xml:space="preserve">  [politique]</w:t>
      </w:r>
      <w:r>
        <w:rPr>
          <w:color w:val="B47800"/>
          <w:sz w:val="16"/>
        </w:rPr>
        <w:t xml:space="preserve">  ★ 50/10</w:t>
      </w:r>
    </w:p>
    <w:p>
      <w:pPr>
        <w:spacing w:before="0" w:after="20"/>
        <w:ind w:left="600"/>
      </w:pPr>
      <w:r>
        <w:rPr>
          <w:color w:val="323232"/>
          <w:sz w:val="17"/>
        </w:rPr>
        <w:t>L'article rapporte les propos d'Ousmane Thiam, qui présente le projet 'Djarrama-Kama' comme une initiative de rupture pour le Sénégal. Ce projet semble s'inscrire dans une vision politique de transformation, sans détails économiques précis. L'information est principalement politique et ne fournit pas d'éléments concrets sur des impacts financiers o</w:t>
      </w:r>
    </w:p>
    <w:p>
      <w:pPr>
        <w:spacing w:before="0" w:after="40"/>
        <w:ind w:left="600"/>
      </w:pPr>
      <w:r>
        <w:rPr>
          <w:color w:val="00643C"/>
          <w:sz w:val="16"/>
        </w:rPr>
        <w:t>Points clés : Ousmane Thiam qualifie Djarrama-Kama de projet de rupture pour le Sénégal.  •  L'article est de nature politique, sans données économiques chiffrées.  •  Aucune mention directe de la BRVM ou d'entreprises cotées.</w:t>
      </w:r>
    </w:p>
    <w:p>
      <w:pPr>
        <w:spacing w:before="0" w:after="60"/>
        <w:ind w:left="600"/>
      </w:pPr>
      <w:r>
        <w:rPr>
          <w:color w:val="0064B4"/>
          <w:sz w:val="15"/>
        </w:rPr>
        <w:t>Source : https://news.google.com/rss/articles/CBMiqAFBVV95cUxPdjhYTmpyVUEyU0RDeDFxalcwWTd</w:t>
      </w:r>
    </w:p>
    <w:p>
      <w:pPr>
        <w:spacing w:before="40" w:after="40"/>
        <w:ind w:left="360"/>
      </w:pPr>
      <w:r>
        <w:rPr>
          <w:color w:val="646464"/>
          <w:sz w:val="17"/>
        </w:rPr>
        <w:t xml:space="preserve">[11/08/2026] ⚪  </w:t>
      </w:r>
      <w:r>
        <w:rPr>
          <w:b/>
          <w:color w:val="505050"/>
          <w:sz w:val="18"/>
        </w:rPr>
        <w:t>Au Burkina Faso, la morale RPP s’invite dans la politique culturelle - Yahoo Actualités</w:t>
      </w:r>
      <w:r>
        <w:rPr>
          <w:color w:val="787878"/>
          <w:sz w:val="15"/>
        </w:rPr>
        <w:t xml:space="preserve">  [politique]</w:t>
      </w:r>
      <w:r>
        <w:rPr>
          <w:color w:val="B47800"/>
          <w:sz w:val="16"/>
        </w:rPr>
        <w:t xml:space="preserve">  ★ 50/10</w:t>
      </w:r>
    </w:p>
    <w:p>
      <w:pPr>
        <w:spacing w:before="0" w:after="20"/>
        <w:ind w:left="600"/>
      </w:pPr>
      <w:r>
        <w:rPr>
          <w:color w:val="323232"/>
          <w:sz w:val="17"/>
        </w:rPr>
        <w:t>L'article traite de l'intégration de la morale du Rassemblement pour la Patrie et le Progrès (RPP) dans la politique culturelle du Burkina Faso. Cette initiative vise à orienter les actions culturelles selon des principes éthiques et patriotiques. Le contenu est principalement politique et ne fournit pas d'informations économiques ou financières sp</w:t>
      </w:r>
    </w:p>
    <w:p>
      <w:pPr>
        <w:spacing w:before="0" w:after="40"/>
        <w:ind w:left="600"/>
      </w:pPr>
      <w:r>
        <w:rPr>
          <w:color w:val="00643C"/>
          <w:sz w:val="16"/>
        </w:rPr>
        <w:t>Points clés : Le RPP influence la politique culturelle burkinabè.  •  L'accent est mis sur la morale et le patriotisme dans le secteur culturel.</w:t>
      </w:r>
    </w:p>
    <w:p>
      <w:pPr>
        <w:spacing w:before="0" w:after="60"/>
        <w:ind w:left="600"/>
      </w:pPr>
      <w:r>
        <w:rPr>
          <w:color w:val="0064B4"/>
          <w:sz w:val="15"/>
        </w:rPr>
        <w:t>Source : https://news.google.com/rss/articles/CBMidkFVX3lxTE9sN0U3VVdYUDhOcXhSbVpINDI3RUx</w:t>
      </w:r>
    </w:p>
    <w:p>
      <w:pPr>
        <w:spacing w:before="40" w:after="40"/>
        <w:ind w:left="360"/>
      </w:pPr>
      <w:r>
        <w:rPr>
          <w:color w:val="646464"/>
          <w:sz w:val="17"/>
        </w:rPr>
        <w:t xml:space="preserve">[11/08/2026] 🟢  </w:t>
      </w:r>
      <w:r>
        <w:rPr>
          <w:b/>
          <w:color w:val="008000"/>
          <w:sz w:val="18"/>
        </w:rPr>
        <w:t>Côte d'Ivoire : Journée internationale de la jeunesse, à Abidjan, le Gouvernement ouvre grand le dialogue avec les jeune</w:t>
      </w:r>
      <w:r>
        <w:rPr>
          <w:color w:val="787878"/>
          <w:sz w:val="15"/>
        </w:rPr>
        <w:t xml:space="preserve">  [politique]</w:t>
      </w:r>
      <w:r>
        <w:rPr>
          <w:color w:val="B47800"/>
          <w:sz w:val="16"/>
        </w:rPr>
        <w:t xml:space="preserve">  ★ 50/10</w:t>
      </w:r>
    </w:p>
    <w:p>
      <w:pPr>
        <w:spacing w:before="0" w:after="20"/>
        <w:ind w:left="600"/>
      </w:pPr>
      <w:r>
        <w:rPr>
          <w:color w:val="323232"/>
          <w:sz w:val="17"/>
        </w:rPr>
        <w:t>Le gouvernement ivoirien a organisé à Abidjan une rencontre de dialogue avec les jeunes à l'occasion de la Journée internationale de la jeunesse. Cette initiative vise à renforcer la communication et la collaboration entre les autorités et la jeunesse, un segment clé de la population. L'événement s'inscrit dans une dynamique de consultation et d'éc</w:t>
      </w:r>
    </w:p>
    <w:p>
      <w:pPr>
        <w:spacing w:before="0" w:after="40"/>
        <w:ind w:left="600"/>
      </w:pPr>
      <w:r>
        <w:rPr>
          <w:color w:val="00643C"/>
          <w:sz w:val="16"/>
        </w:rPr>
        <w:t>Points clés : Organisation d'un dialogue direct entre le gouvernement et les jeunes à Abidjan.  •  Initiative dans le cadre de la Journée internationale de la jeunesse.  •  Objectif de renforcer la cohésion sociale et l'engagement des jeunes.</w:t>
      </w:r>
    </w:p>
    <w:p>
      <w:pPr>
        <w:spacing w:before="0" w:after="60"/>
        <w:ind w:left="600"/>
      </w:pPr>
      <w:r>
        <w:rPr>
          <w:color w:val="0064B4"/>
          <w:sz w:val="15"/>
        </w:rPr>
        <w:t>Source : https://news.google.com/rss/articles/CBMinAJBVV95cUxQaDRqallFbTBRQjZHbHNqZV9wQS0</w:t>
      </w:r>
    </w:p>
    <w:p>
      <w:pPr>
        <w:spacing w:before="40" w:after="40"/>
        <w:ind w:left="360"/>
      </w:pPr>
      <w:r>
        <w:rPr>
          <w:color w:val="646464"/>
          <w:sz w:val="17"/>
        </w:rPr>
        <w:t xml:space="preserve">[11/08/2026] 🔴  </w:t>
      </w:r>
      <w:r>
        <w:rPr>
          <w:b/>
          <w:color w:val="C00000"/>
          <w:sz w:val="18"/>
        </w:rPr>
        <w:t>Mali : Ras Bath rejette les accusations d'«atteinte aux institutions» à l'ouverture de son procès - koaci.com</w:t>
      </w:r>
      <w:r>
        <w:rPr>
          <w:color w:val="787878"/>
          <w:sz w:val="15"/>
        </w:rPr>
        <w:t xml:space="preserve">  [politique]</w:t>
      </w:r>
      <w:r>
        <w:rPr>
          <w:color w:val="B47800"/>
          <w:sz w:val="16"/>
        </w:rPr>
        <w:t xml:space="preserve">  ★ 50/10</w:t>
      </w:r>
    </w:p>
    <w:p>
      <w:pPr>
        <w:spacing w:before="0" w:after="20"/>
        <w:ind w:left="600"/>
      </w:pPr>
      <w:r>
        <w:rPr>
          <w:color w:val="323232"/>
          <w:sz w:val="17"/>
        </w:rPr>
        <w:t>Le journaliste et activiste malien Ras Bath a comparu devant la justice pour des accusations d'«atteinte aux institutions», qu'il a fermement rejetées à l'ouverture de son procès. Cette affaire s'inscrit dans un contexte de tensions politiques au Mali, où la liberté d'expression est de plus en plus restreinte. L'événement est rapporté par le site k</w:t>
      </w:r>
    </w:p>
    <w:p>
      <w:pPr>
        <w:spacing w:before="0" w:after="40"/>
        <w:ind w:left="600"/>
      </w:pPr>
      <w:r>
        <w:rPr>
          <w:color w:val="00643C"/>
          <w:sz w:val="16"/>
        </w:rPr>
        <w:t>Points clés : Ras Bath rejette les accusations d'atteinte aux institutions lors de son procès.  •  Le procès se déroule dans un climat politique tendu au Mali.  •  L'affaire soulève des questions sur la liberté de la presse dans la région.</w:t>
      </w:r>
    </w:p>
    <w:p>
      <w:pPr>
        <w:spacing w:before="0" w:after="60"/>
        <w:ind w:left="600"/>
      </w:pPr>
      <w:r>
        <w:rPr>
          <w:color w:val="0064B4"/>
          <w:sz w:val="15"/>
        </w:rPr>
        <w:t>Source : https://news.google.com/rss/articles/CBMi8AFBVV95cUxQOFJVVjJHMnFpUXVsbGRKeUZiSGR</w:t>
      </w:r>
    </w:p>
    <w:p>
      <w:pPr>
        <w:spacing w:before="40" w:after="40"/>
        <w:ind w:left="360"/>
      </w:pPr>
      <w:r>
        <w:rPr>
          <w:color w:val="646464"/>
          <w:sz w:val="17"/>
        </w:rPr>
        <w:t xml:space="preserve">[11/08/2026] 🔴  </w:t>
      </w:r>
      <w:r>
        <w:rPr>
          <w:b/>
          <w:color w:val="C00000"/>
          <w:sz w:val="18"/>
        </w:rPr>
        <w:t>Sénégal : Bassirou Diomaye Faye cherche-t-il à reporter les élections de janvier 2027 ?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s'interroge sur une possible tentative du président sénégalais Bassirou Diomaye Faye de reporter les élections prévues en janvier 2027. Cette hypothèse, bien que non confirmée, suscite des inquiétudes sur la stabilité politique du Sénégal, un pays clé de l'UEMOA. Un tel report pourrait créer une incertitude politique dans</w:t>
      </w:r>
    </w:p>
    <w:p>
      <w:pPr>
        <w:spacing w:before="0" w:after="40"/>
        <w:ind w:left="600"/>
      </w:pPr>
      <w:r>
        <w:rPr>
          <w:color w:val="00643C"/>
          <w:sz w:val="16"/>
        </w:rPr>
        <w:t>Points clés : Questionnement sur un éventuel report des élections présidentielles sénégalaises de janvier 2027.  •  Incertitude politique potentielle au Sénégal, membre influent de l'UEMOA.  •  Risque de contagion régionale sur la stabilité politique et économique.</w:t>
      </w:r>
    </w:p>
    <w:p>
      <w:pPr>
        <w:spacing w:before="0" w:after="60"/>
        <w:ind w:left="600"/>
      </w:pPr>
      <w:r>
        <w:rPr>
          <w:color w:val="0064B4"/>
          <w:sz w:val="15"/>
        </w:rPr>
        <w:t>Source : https://news.google.com/rss/articles/CBMiywFBVV95cUxQdENWMU8wOXprMGlYUktmb3VQazR</w:t>
      </w:r>
    </w:p>
    <w:p>
      <w:pPr>
        <w:spacing w:before="120" w:after="40"/>
      </w:pPr>
      <w:r>
        <w:rPr>
          <w:b/>
          <w:color w:val="00467F"/>
          <w:sz w:val="20"/>
        </w:rPr>
        <w:t>🔑 économique  (2 alerte(s))</w:t>
      </w:r>
    </w:p>
    <w:p>
      <w:pPr>
        <w:spacing w:before="40" w:after="40"/>
        <w:ind w:left="360"/>
      </w:pPr>
      <w:r>
        <w:rPr>
          <w:color w:val="646464"/>
          <w:sz w:val="17"/>
        </w:rPr>
        <w:t xml:space="preserve">[11/08/2026] 🟢  </w:t>
      </w:r>
      <w:r>
        <w:rPr>
          <w:b/>
          <w:color w:val="008000"/>
          <w:sz w:val="18"/>
        </w:rPr>
        <w:t>2è édition du Prix ‘Start-ups de la CEDEAO’: Pourquoi et comment aller à la chasse de 30 mille USD dans la cagnotte? - A</w:t>
      </w:r>
      <w:r>
        <w:rPr>
          <w:color w:val="787878"/>
          <w:sz w:val="15"/>
        </w:rPr>
        <w:t xml:space="preserve">  [économique]</w:t>
      </w:r>
      <w:r>
        <w:rPr>
          <w:color w:val="B47800"/>
          <w:sz w:val="16"/>
        </w:rPr>
        <w:t xml:space="preserve">  ★ 50/10</w:t>
      </w:r>
    </w:p>
    <w:p>
      <w:pPr>
        <w:spacing w:before="0" w:after="20"/>
        <w:ind w:left="600"/>
      </w:pPr>
      <w:r>
        <w:rPr>
          <w:color w:val="323232"/>
          <w:sz w:val="17"/>
        </w:rPr>
        <w:t>La deuxième édition du Prix 'Start-ups de la CEDEAO' est lancée, offrant une cagnotte de 30 000 USD aux jeunes entreprises innovantes de la région. L'article explique les raisons de participer, notamment la visibilité et le financement, ainsi que les modalités de candidature. Cette initiative vise à stimuler l'entrepreneuriat et l'innovation en Afr</w:t>
      </w:r>
    </w:p>
    <w:p>
      <w:pPr>
        <w:spacing w:before="0" w:after="40"/>
        <w:ind w:left="600"/>
      </w:pPr>
      <w:r>
        <w:rPr>
          <w:color w:val="00643C"/>
          <w:sz w:val="16"/>
        </w:rPr>
        <w:t>Points clés : Cagnotte de 30 000 USD pour les start-ups de la CEDEAO  •  Opportunité de financement et de visibilité pour les entrepreneurs  •  Encouragement de l'innovation et de la croissance économique régionale</w:t>
      </w:r>
    </w:p>
    <w:p>
      <w:pPr>
        <w:spacing w:before="0" w:after="60"/>
        <w:ind w:left="600"/>
      </w:pPr>
      <w:r>
        <w:rPr>
          <w:color w:val="0064B4"/>
          <w:sz w:val="15"/>
        </w:rPr>
        <w:t>Source : https://news.google.com/rss/articles/CBMi2AFBVV95cUxPRzlaVDlpVXpWVzFrMWpqcXBiV0p</w:t>
      </w:r>
    </w:p>
    <w:p>
      <w:pPr>
        <w:spacing w:before="40" w:after="40"/>
        <w:ind w:left="360"/>
      </w:pPr>
      <w:r>
        <w:rPr>
          <w:color w:val="646464"/>
          <w:sz w:val="17"/>
        </w:rPr>
        <w:t xml:space="preserve">[10/08/2026] ⚪  </w:t>
      </w:r>
      <w:r>
        <w:rPr>
          <w:b/>
          <w:color w:val="505050"/>
          <w:sz w:val="18"/>
        </w:rPr>
        <w:t>Guinée. Lancement de l’ECO en 2027: les prérequis des économistes - Le360 Afrique</w:t>
      </w:r>
      <w:r>
        <w:rPr>
          <w:color w:val="787878"/>
          <w:sz w:val="15"/>
        </w:rPr>
        <w:t xml:space="preserve">  [économique]</w:t>
      </w:r>
      <w:r>
        <w:rPr>
          <w:color w:val="B47800"/>
          <w:sz w:val="16"/>
        </w:rPr>
        <w:t xml:space="preserve">  ★ 50/10</w:t>
      </w:r>
    </w:p>
    <w:p>
      <w:pPr>
        <w:spacing w:before="0" w:after="20"/>
        <w:ind w:left="600"/>
      </w:pPr>
      <w:r>
        <w:rPr>
          <w:color w:val="323232"/>
          <w:sz w:val="17"/>
        </w:rPr>
        <w:t>Les économistes guinéens estiment que le lancement de la monnaie unique ECO en 2027 nécessite au préalable la convergence des économies de la CEDEAO, notamment en matière de déficits publics, d'inflation et de réserves de change. Ils insistent sur la nécessité de renforcer les institutions régionales et de garantir la stabilité politique et sécurit</w:t>
      </w:r>
    </w:p>
    <w:p>
      <w:pPr>
        <w:spacing w:before="0" w:after="40"/>
        <w:ind w:left="600"/>
      </w:pPr>
      <w:r>
        <w:rPr>
          <w:color w:val="00643C"/>
          <w:sz w:val="16"/>
        </w:rPr>
        <w:t>Points clés : Convergence des critères macroéconomiques (déficit, inflation, réserves) indispensable avant 2027.  •  Renforcement des institutions régionales et stabilité politique/sécuritaire comme conditions préalables.</w:t>
      </w:r>
    </w:p>
    <w:p>
      <w:pPr>
        <w:spacing w:before="0" w:after="60"/>
        <w:ind w:left="600"/>
      </w:pPr>
      <w:r>
        <w:rPr>
          <w:color w:val="0064B4"/>
          <w:sz w:val="15"/>
        </w:rPr>
        <w:t>Source : https://news.google.com/rss/articles/CBMiwgFBVV95cUxPbUhnZV84d1ZaRFo1ODZtaFBNelR</w:t>
      </w:r>
    </w:p>
    <w:p>
      <w:pPr>
        <w:spacing w:before="120" w:after="40"/>
      </w:pPr>
      <w:r>
        <w:rPr>
          <w:b/>
          <w:color w:val="00467F"/>
          <w:sz w:val="20"/>
        </w:rPr>
        <w:t>🔑 geopolitique  (1 alerte(s))</w:t>
      </w:r>
    </w:p>
    <w:p>
      <w:pPr>
        <w:spacing w:before="40" w:after="40"/>
        <w:ind w:left="360"/>
      </w:pPr>
      <w:r>
        <w:rPr>
          <w:color w:val="646464"/>
          <w:sz w:val="17"/>
        </w:rPr>
        <w:t xml:space="preserve">[11/08/2026] ⚪  </w:t>
      </w:r>
      <w:r>
        <w:rPr>
          <w:b/>
          <w:color w:val="505050"/>
          <w:sz w:val="18"/>
        </w:rPr>
        <w:t>Protection des actifs dans un contexte d’instabilité géopolitique - Cyril Jarnias</w:t>
      </w:r>
      <w:r>
        <w:rPr>
          <w:color w:val="787878"/>
          <w:sz w:val="15"/>
        </w:rPr>
        <w:t xml:space="preserve">  [geopolitique]</w:t>
      </w:r>
      <w:r>
        <w:rPr>
          <w:color w:val="B47800"/>
          <w:sz w:val="16"/>
        </w:rPr>
        <w:t xml:space="preserve">  ★ 50/10</w:t>
      </w:r>
    </w:p>
    <w:p>
      <w:pPr>
        <w:spacing w:before="0" w:after="20"/>
        <w:ind w:left="600"/>
      </w:pPr>
      <w:r>
        <w:rPr>
          <w:color w:val="323232"/>
          <w:sz w:val="17"/>
        </w:rPr>
        <w:t>L'article de Cyril Jarnias aborde les stratégies de protection des actifs financiers dans un contexte d'instabilité géopolitique croissante. Il souligne l'importance de la diversification géographique et sectorielle, ainsi que le recours à des valeurs refuges comme l'or et les obligations d'État. L'auteur recommande une gestion proactive des risque</w:t>
      </w:r>
    </w:p>
    <w:p>
      <w:pPr>
        <w:spacing w:before="0" w:after="40"/>
        <w:ind w:left="600"/>
      </w:pPr>
      <w:r>
        <w:rPr>
          <w:color w:val="00643C"/>
          <w:sz w:val="16"/>
        </w:rPr>
        <w:t>Points clés : Diversification des actifs pour réduire l'exposition aux risques géopolitiques.  •  Privilégier les valeurs refuges (or, obligations souveraines) en période de tension.  •  Surveiller les indicateurs politiques et économiques pour anticiper les chocs.</w:t>
      </w:r>
    </w:p>
    <w:p>
      <w:pPr>
        <w:spacing w:before="0" w:after="60"/>
        <w:ind w:left="600"/>
      </w:pPr>
      <w:r>
        <w:rPr>
          <w:color w:val="0064B4"/>
          <w:sz w:val="15"/>
        </w:rPr>
        <w:t>Source : https://news.google.com/rss/articles/CBMigAFBVV95cUxQek1XTkh3T3hIQnZkbjdmakVhd2d</w:t>
      </w:r>
    </w:p>
    <w:p>
      <w:pPr>
        <w:spacing w:before="120" w:after="40"/>
      </w:pPr>
      <w:r>
        <w:rPr>
          <w:b/>
          <w:color w:val="00467F"/>
          <w:sz w:val="20"/>
        </w:rPr>
        <w:t>🔑 matieres_premieres  (4 alerte(s))</w:t>
      </w:r>
    </w:p>
    <w:p>
      <w:pPr>
        <w:spacing w:before="40" w:after="40"/>
        <w:ind w:left="360"/>
      </w:pPr>
      <w:r>
        <w:rPr>
          <w:color w:val="646464"/>
          <w:sz w:val="17"/>
        </w:rPr>
        <w:t xml:space="preserve">[11/08/2026] ⚪  </w:t>
      </w:r>
      <w:r>
        <w:rPr>
          <w:b/>
          <w:color w:val="505050"/>
          <w:sz w:val="18"/>
        </w:rPr>
        <w:t>⚫Synthèse des matières premières : Pétrole, or, gaz naturel, émissions (11.08.2026) - XTB.com</w:t>
      </w:r>
      <w:r>
        <w:rPr>
          <w:color w:val="787878"/>
          <w:sz w:val="15"/>
        </w:rPr>
        <w:t xml:space="preserve">  [matieres_premieres]</w:t>
      </w:r>
      <w:r>
        <w:rPr>
          <w:color w:val="B47800"/>
          <w:sz w:val="16"/>
        </w:rPr>
        <w:t xml:space="preserve">  ★ 50/10</w:t>
      </w:r>
    </w:p>
    <w:p>
      <w:pPr>
        <w:spacing w:before="0" w:after="20"/>
        <w:ind w:left="600"/>
      </w:pPr>
      <w:r>
        <w:rPr>
          <w:color w:val="323232"/>
          <w:sz w:val="17"/>
        </w:rPr>
        <w:t>La synthèse des matières premières du 11 août 2026, publiée par XTB.com, couvre les évolutions du pétrole, de l'or, du gaz naturel et des marchés des émissions de carbone. Les prix du pétrole sont influencés par les tensions géopolitiques et les décisions de l'OPEP+, tandis que l'or bénéficie de la demande de valeurs refuges. Le gaz naturel est aff</w:t>
      </w:r>
    </w:p>
    <w:p>
      <w:pPr>
        <w:spacing w:before="0" w:after="40"/>
        <w:ind w:left="600"/>
      </w:pPr>
      <w:r>
        <w:rPr>
          <w:color w:val="00643C"/>
          <w:sz w:val="16"/>
        </w:rPr>
        <w:t>Points clés : Le pétrole montre une volatilité due aux tensions géopolitiques et aux décisions de l'OPEP+.  •  L'or reste soutenu par la demande de valeurs refuges dans un contexte d'incertitudes économiques.  •  Le gaz naturel est influencé par les niveaux de stockage et la demande saisonnière.  •  Les marchés des émissions de carbone réagissent aux annonces de politiques climatiques.</w:t>
      </w:r>
    </w:p>
    <w:p>
      <w:pPr>
        <w:spacing w:before="0" w:after="60"/>
        <w:ind w:left="600"/>
      </w:pPr>
      <w:r>
        <w:rPr>
          <w:color w:val="0064B4"/>
          <w:sz w:val="15"/>
        </w:rPr>
        <w:t>Source : https://news.google.com/rss/articles/CBMitgFBVV95cUxQQTNLQWlzY1ZkVVhjbnEzZnZfbXp</w:t>
      </w:r>
    </w:p>
    <w:p>
      <w:pPr>
        <w:spacing w:before="40" w:after="40"/>
        <w:ind w:left="360"/>
      </w:pPr>
      <w:r>
        <w:rPr>
          <w:color w:val="646464"/>
          <w:sz w:val="17"/>
        </w:rPr>
        <w:t xml:space="preserve">[11/08/2026] ⚪  </w:t>
      </w:r>
      <w:r>
        <w:rPr>
          <w:b/>
          <w:color w:val="505050"/>
          <w:sz w:val="18"/>
        </w:rPr>
        <w:t>Les prix du pétrole brut et du sucre ont tous deux augmenté.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brut et du sucre ont enregistré une hausse sur les marchés internationaux, selon une information rapportée par Vietnam.vn. Cette évolution des matières premières pourrait avoir des répercussions sur les coûts de production et les prix à la consommation dans les économies importatrices. Pour la BRVM, cette tendance est à surveill</w:t>
      </w:r>
    </w:p>
    <w:p>
      <w:pPr>
        <w:spacing w:before="0" w:after="40"/>
        <w:ind w:left="600"/>
      </w:pPr>
      <w:r>
        <w:rPr>
          <w:color w:val="00643C"/>
          <w:sz w:val="16"/>
        </w:rPr>
        <w:t>Points clés : Hausse des prix du pétrole brut sur le marché international.  •  Augmentation des prix du sucre, une matière première clé pour l'agroalimentaire.</w:t>
      </w:r>
    </w:p>
    <w:p>
      <w:pPr>
        <w:spacing w:before="0" w:after="60"/>
        <w:ind w:left="600"/>
      </w:pPr>
      <w:r>
        <w:rPr>
          <w:color w:val="0064B4"/>
          <w:sz w:val="15"/>
        </w:rPr>
        <w:t>Source : https://news.google.com/rss/articles/CBMiZ0FVX3lxTE13YmV5dFFWcEpLLWtVMnpIYWw0SXl</w:t>
      </w:r>
    </w:p>
    <w:p>
      <w:pPr>
        <w:spacing w:before="40" w:after="40"/>
        <w:ind w:left="360"/>
      </w:pPr>
      <w:r>
        <w:rPr>
          <w:color w:val="646464"/>
          <w:sz w:val="17"/>
        </w:rPr>
        <w:t xml:space="preserve">[10/08/2026] ⚪  </w:t>
      </w:r>
      <w:r>
        <w:rPr>
          <w:b/>
          <w:color w:val="505050"/>
          <w:sz w:val="18"/>
        </w:rPr>
        <w:t>Les prix du pétrole ont chuté de près de 8 % suite à l'augmentation des anticipations d'apaisement des tensions au Moyen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chuté de près de 8% en raison des anticipations d'un apaisement des tensions au Moyen-Orient. Cette baisse pourrait réduire les coûts énergétiques pour les économies importantes, mais elle reflète aussi une volatilité géopolitique. Pour la BRVM, cela pourrait influencer les secteurs dépendants du pétrole, notamment les compa</w:t>
      </w:r>
    </w:p>
    <w:p>
      <w:pPr>
        <w:spacing w:before="0" w:after="40"/>
        <w:ind w:left="600"/>
      </w:pPr>
      <w:r>
        <w:rPr>
          <w:color w:val="00643C"/>
          <w:sz w:val="16"/>
        </w:rPr>
        <w:t>Points clés : Chute de près de 8% des prix du pétrole.  •  Anticipations d'apaisement des tensions au Moyen-Orient.</w:t>
      </w:r>
    </w:p>
    <w:p>
      <w:pPr>
        <w:spacing w:before="0" w:after="60"/>
        <w:ind w:left="600"/>
      </w:pPr>
      <w:r>
        <w:rPr>
          <w:color w:val="0064B4"/>
          <w:sz w:val="15"/>
        </w:rPr>
        <w:t>Source : https://news.google.com/rss/articles/CBMikAFBVV95cUxPc1NWMGlKZHoyRkFVZkZINElIbUp</w:t>
      </w:r>
    </w:p>
    <w:p>
      <w:pPr>
        <w:spacing w:before="40" w:after="40"/>
        <w:ind w:left="360"/>
      </w:pPr>
      <w:r>
        <w:rPr>
          <w:color w:val="646464"/>
          <w:sz w:val="17"/>
        </w:rPr>
        <w:t xml:space="preserve">[10/08/2026] ⚪  </w:t>
      </w:r>
      <w:r>
        <w:rPr>
          <w:b/>
          <w:color w:val="505050"/>
          <w:sz w:val="18"/>
        </w:rPr>
        <w:t>Les prix du pétrole ont chuté, tandis que le cours de l'argent a bondi de près de 10 % la semaine dernière. - Vietnam.vn</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La semaine dernière, les prix du pétrole ont enregistré une baisse, tandis que ceux de l'argent ont fortement augmenté de près de 10 %. Cette évolution reflète une volatilité marquée sur les marchés des matières premières, avec des mouvements contrastés entre l'énergie et les métaux précieux. Les investisseurs doivent surveiller ces tendances pour </w:t>
      </w:r>
    </w:p>
    <w:p>
      <w:pPr>
        <w:spacing w:before="0" w:after="40"/>
        <w:ind w:left="600"/>
      </w:pPr>
      <w:r>
        <w:rPr>
          <w:color w:val="00643C"/>
          <w:sz w:val="16"/>
        </w:rPr>
        <w:t>Points clés : Baisse des prix du pétrole sur la semaine écoulée.  •  Hausse de près de 10 % du cours de l'argent.  •  Volatilité accrue sur les marchés des matières premières.</w:t>
      </w:r>
    </w:p>
    <w:p>
      <w:pPr>
        <w:spacing w:before="0" w:after="60"/>
        <w:ind w:left="600"/>
      </w:pPr>
      <w:r>
        <w:rPr>
          <w:color w:val="0064B4"/>
          <w:sz w:val="15"/>
        </w:rPr>
        <w:t>Source : https://news.google.com/rss/articles/CBMid0FVX3lxTFByTEdrcGt4VXNKRUpfcnNMSUZoYXp</w:t>
      </w:r>
    </w:p>
    <w:p>
      <w:pPr>
        <w:spacing w:before="120" w:after="40"/>
      </w:pPr>
      <w:r>
        <w:rPr>
          <w:b/>
          <w:color w:val="00467F"/>
          <w:sz w:val="20"/>
        </w:rPr>
        <w:t>🔑 marche_financier  (2 alerte(s))</w:t>
      </w:r>
    </w:p>
    <w:p>
      <w:pPr>
        <w:spacing w:before="40" w:after="40"/>
        <w:ind w:left="360"/>
      </w:pPr>
      <w:r>
        <w:rPr>
          <w:color w:val="646464"/>
          <w:sz w:val="17"/>
        </w:rPr>
        <w:t xml:space="preserve">[11/08/2026] 🔴  </w:t>
      </w:r>
      <w:r>
        <w:rPr>
          <w:b/>
          <w:color w:val="C00000"/>
          <w:sz w:val="18"/>
        </w:rPr>
        <w:t>La folie des « perps », ces produits financiers hyperspéculatifs qui permettent aux particuliers de jouer sur les marché</w:t>
      </w:r>
      <w:r>
        <w:rPr>
          <w:color w:val="787878"/>
          <w:sz w:val="15"/>
        </w:rPr>
        <w:t xml:space="preserve">  [marche_financier]</w:t>
      </w:r>
      <w:r>
        <w:rPr>
          <w:color w:val="B47800"/>
          <w:sz w:val="16"/>
        </w:rPr>
        <w:t xml:space="preserve">  ★ 50/10</w:t>
      </w:r>
    </w:p>
    <w:p>
      <w:pPr>
        <w:spacing w:before="0" w:after="20"/>
        <w:ind w:left="600"/>
      </w:pPr>
      <w:r>
        <w:rPr>
          <w:color w:val="323232"/>
          <w:sz w:val="17"/>
        </w:rPr>
        <w:t>L'article des Echos met en lumière l'engouement croissant pour les 'perps' (perpetual contracts), des produits financiers dérivés hyperspéculatifs permettant aux particuliers de trader 24h/24 sur les marchés. Ces instruments, souvent à fort effet de levier, exposent les investisseurs à des risques extrêmes, mais leur popularité ne cesse de croître.</w:t>
      </w:r>
    </w:p>
    <w:p>
      <w:pPr>
        <w:spacing w:before="0" w:after="40"/>
        <w:ind w:left="600"/>
      </w:pPr>
      <w:r>
        <w:rPr>
          <w:color w:val="00643C"/>
          <w:sz w:val="16"/>
        </w:rPr>
        <w:t>Points clés : Les 'perps' sont des contrats perpétuels à effet de levier, accessibles aux particuliers.  •  Ils permettent de trader 24h/24 sur divers actifs (crypto, indices, etc.).  •  Leur nature hyperspéculative expose à des pertes potentiellement illimitées.  •  La popularité croissante attire l'attention des régulateurs.</w:t>
      </w:r>
    </w:p>
    <w:p>
      <w:pPr>
        <w:spacing w:before="0" w:after="60"/>
        <w:ind w:left="600"/>
      </w:pPr>
      <w:r>
        <w:rPr>
          <w:color w:val="0064B4"/>
          <w:sz w:val="15"/>
        </w:rPr>
        <w:t>Source : https://news.google.com/rss/articles/CBMipwJBVV95cUxNYTYtYmh3aUk0RWtkVVlaS29Ub2N</w:t>
      </w:r>
    </w:p>
    <w:p>
      <w:pPr>
        <w:spacing w:before="40" w:after="40"/>
        <w:ind w:left="360"/>
      </w:pPr>
      <w:r>
        <w:rPr>
          <w:color w:val="646464"/>
          <w:sz w:val="17"/>
        </w:rPr>
        <w:t xml:space="preserve">[10/08/2026] 🟢  </w:t>
      </w:r>
      <w:r>
        <w:rPr>
          <w:b/>
          <w:color w:val="008000"/>
          <w:sz w:val="18"/>
        </w:rPr>
        <w:t>BRVM : 5 actions africaines en forte hausse – NEIC bondit de +69,66% - Dabafinance</w:t>
      </w:r>
      <w:r>
        <w:rPr>
          <w:color w:val="787878"/>
          <w:sz w:val="15"/>
        </w:rPr>
        <w:t xml:space="preserve">  [marche_financier]</w:t>
      </w:r>
      <w:r>
        <w:rPr>
          <w:color w:val="B47800"/>
          <w:sz w:val="16"/>
        </w:rPr>
        <w:t xml:space="preserve">  ★ 50/10</w:t>
      </w:r>
    </w:p>
    <w:p>
      <w:pPr>
        <w:spacing w:before="0" w:after="20"/>
        <w:ind w:left="600"/>
      </w:pPr>
      <w:r>
        <w:rPr>
          <w:color w:val="323232"/>
          <w:sz w:val="17"/>
        </w:rPr>
        <w:t xml:space="preserve">La BRVM enregistre une forte progression de certaines actions africaines, avec notamment NEIC qui bondit de +69,66%. Cette hausse marque un dynamisme notable sur le marché financier de l'UEMOA. L'article met en lumière cinq actions en forte hausse, reflétant un intérêt accru des investisseurs. Cette tendance pourrait renforcer la confiance dans la </w:t>
      </w:r>
    </w:p>
    <w:p>
      <w:pPr>
        <w:spacing w:before="0" w:after="40"/>
        <w:ind w:left="600"/>
      </w:pPr>
      <w:r>
        <w:rPr>
          <w:color w:val="00643C"/>
          <w:sz w:val="16"/>
        </w:rPr>
        <w:t>Points clés : NEIC enregistre une hausse spectaculaire de +69,66%.  •  Cinq actions africaines sont en forte hausse sur la BRVM.  •  Le marché financier de l'UEMOA montre un dynamisme positif.</w:t>
      </w:r>
    </w:p>
    <w:p>
      <w:pPr>
        <w:spacing w:before="0" w:after="60"/>
        <w:ind w:left="600"/>
      </w:pPr>
      <w:r>
        <w:rPr>
          <w:color w:val="0064B4"/>
          <w:sz w:val="15"/>
        </w:rPr>
        <w:t>Source : https://news.google.com/rss/articles/CBMihgFBVV95cUxQUTJGb1ZHNkhaZTZ5N21WclByOUF</w:t>
      </w:r>
    </w:p>
    <w:p>
      <w:pPr>
        <w:spacing w:before="120" w:after="40"/>
      </w:pPr>
      <w:r>
        <w:rPr>
          <w:b/>
          <w:color w:val="00467F"/>
          <w:sz w:val="20"/>
        </w:rPr>
        <w:t>🔑 politique_monetaire  (2 alerte(s))</w:t>
      </w:r>
    </w:p>
    <w:p>
      <w:pPr>
        <w:spacing w:before="40" w:after="40"/>
        <w:ind w:left="360"/>
      </w:pPr>
      <w:r>
        <w:rPr>
          <w:color w:val="646464"/>
          <w:sz w:val="17"/>
        </w:rPr>
        <w:t xml:space="preserve">[10/08/2026] 🔴  </w:t>
      </w:r>
      <w:r>
        <w:rPr>
          <w:b/>
          <w:color w:val="C00000"/>
          <w:sz w:val="18"/>
        </w:rPr>
        <w:t>Federal Reserve: Sideways growth and sticky inflation – TD Securities - tmgm.com</w:t>
      </w:r>
      <w:r>
        <w:rPr>
          <w:color w:val="787878"/>
          <w:sz w:val="15"/>
        </w:rPr>
        <w:t xml:space="preserve">  [politique_monetaire]</w:t>
      </w:r>
      <w:r>
        <w:rPr>
          <w:color w:val="B47800"/>
          <w:sz w:val="16"/>
        </w:rPr>
        <w:t xml:space="preserve">  ★ 50/10</w:t>
      </w:r>
    </w:p>
    <w:p>
      <w:pPr>
        <w:spacing w:before="0" w:after="20"/>
        <w:ind w:left="600"/>
      </w:pPr>
      <w:r>
        <w:rPr>
          <w:color w:val="323232"/>
          <w:sz w:val="17"/>
        </w:rPr>
        <w:t>La Réserve fédérale américaine devrait faire face à une croissance économique atone et à une inflation persistante, selon les analystes de TD Securities. Cette situation suggère que la Fed pourrait maintenir sa politique monétaire restrictive plus longtemps que prévu, sans procéder à des baisses de taux imminentes. Les marchés financiers internatio</w:t>
      </w:r>
    </w:p>
    <w:p>
      <w:pPr>
        <w:spacing w:before="0" w:after="40"/>
        <w:ind w:left="600"/>
      </w:pPr>
      <w:r>
        <w:rPr>
          <w:color w:val="00643C"/>
          <w:sz w:val="16"/>
        </w:rPr>
        <w:t>Points clés : Croissance économique américaine atone attendue.  •  Inflation persistante, retardant les baisses de taux de la Fed.  •  Politique monétaire restrictive prolongée possible.</w:t>
      </w:r>
    </w:p>
    <w:p>
      <w:pPr>
        <w:spacing w:before="0" w:after="60"/>
        <w:ind w:left="600"/>
      </w:pPr>
      <w:r>
        <w:rPr>
          <w:color w:val="0064B4"/>
          <w:sz w:val="15"/>
        </w:rPr>
        <w:t>Source : https://news.google.com/rss/articles/CBMizAFBVV95cUxPa0k4TmZBc3phLS1QUm5zSTlON2Z</w:t>
      </w:r>
    </w:p>
    <w:p>
      <w:pPr>
        <w:spacing w:before="40" w:after="40"/>
        <w:ind w:left="360"/>
      </w:pPr>
      <w:r>
        <w:rPr>
          <w:color w:val="646464"/>
          <w:sz w:val="17"/>
        </w:rPr>
        <w:t xml:space="preserve">[10/08/2026] ⚪  </w:t>
      </w:r>
      <w:r>
        <w:rPr>
          <w:b/>
          <w:color w:val="505050"/>
          <w:sz w:val="18"/>
        </w:rPr>
        <w:t>La BCE va-t-elle relever à nouveau ses taux d’intérêt en 2026, pour ensuite les abaisser en 2027? - global.morningstar.c</w:t>
      </w:r>
      <w:r>
        <w:rPr>
          <w:color w:val="787878"/>
          <w:sz w:val="15"/>
        </w:rPr>
        <w:t xml:space="preserve">  [politique_monetaire]</w:t>
      </w:r>
      <w:r>
        <w:rPr>
          <w:color w:val="B47800"/>
          <w:sz w:val="16"/>
        </w:rPr>
        <w:t xml:space="preserve">  ★ 50/10</w:t>
      </w:r>
    </w:p>
    <w:p>
      <w:pPr>
        <w:spacing w:before="0" w:after="20"/>
        <w:ind w:left="600"/>
      </w:pPr>
      <w:r>
        <w:rPr>
          <w:color w:val="323232"/>
          <w:sz w:val="17"/>
        </w:rPr>
        <w:t>L'article de Morningstar s'interroge sur la trajectoire future des taux d'intérêt de la Banque centrale européenne (BCE), en envisageant une possible hausse en 2026 suivie d'une baisse en 2027. Cette perspective reflète l'incertitude persistante sur l'inflation et la croissance en zone euro. Pour les marchés émergents comme la BRVM, cela implique d</w:t>
      </w:r>
    </w:p>
    <w:p>
      <w:pPr>
        <w:spacing w:before="0" w:after="40"/>
        <w:ind w:left="600"/>
      </w:pPr>
      <w:r>
        <w:rPr>
          <w:color w:val="00643C"/>
          <w:sz w:val="16"/>
        </w:rPr>
        <w:t>Points clés : La BCE pourrait relever ses taux en 2026 pour lutter contre l'inflation, puis les abaisser en 2027 pour soutenir l'économie.  •  Cette politique monétaire incertaine influence les conditions financières mondiales, y compris pour les marchés africains.</w:t>
      </w:r>
    </w:p>
    <w:p>
      <w:pPr>
        <w:spacing w:before="0" w:after="60"/>
        <w:ind w:left="600"/>
      </w:pPr>
      <w:r>
        <w:rPr>
          <w:color w:val="0064B4"/>
          <w:sz w:val="15"/>
        </w:rPr>
        <w:t>Source : https://news.google.com/rss/articles/CBMizgFBVV95cUxNYVM1eHhSOWxKaW1KSkZ5ak9EdDR</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STBC</w:t>
            </w:r>
          </w:p>
        </w:tc>
        <w:tc>
          <w:tcPr>
            <w:tcW w:type="dxa" w:w="1080"/>
            <w:shd w:fill="C6EFCE" w:val="clear"/>
          </w:tcPr>
          <w:p>
            <w:r>
              <w:rPr>
                <w:sz w:val="16"/>
              </w:rPr>
              <w:t>CONSOMMATION DE BA</w:t>
            </w:r>
          </w:p>
        </w:tc>
        <w:tc>
          <w:tcPr>
            <w:tcW w:type="dxa" w:w="1080"/>
            <w:shd w:fill="C6EFCE" w:val="clear"/>
          </w:tcPr>
          <w:p>
            <w:r>
              <w:rPr>
                <w:sz w:val="16"/>
              </w:rPr>
              <w:t>23,095</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4,400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11,905</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1,900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5,100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4,245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7,950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1,695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17,050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3,110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8,980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2,285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9,500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2,630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15</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16</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2,905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3,660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2,650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37,400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7,350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5,850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7,700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16,900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32,000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7,915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7,900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2,950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3,140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8,655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69</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2,430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16,600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29,000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5,310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3,600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2,260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23,650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4,810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8,125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39,000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29,200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11,650</w:t>
            </w:r>
          </w:p>
        </w:tc>
        <w:tc>
          <w:tcPr>
            <w:tcW w:type="dxa" w:w="1080"/>
            <w:shd w:fill="EBF5FB" w:val="clear"/>
          </w:tcPr>
          <w:p>
            <w:r>
              <w:rPr>
                <w:b/>
                <w:sz w:val="16"/>
              </w:rPr>
              <w:t>59/100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45</w:t>
            </w:r>
          </w:p>
        </w:tc>
        <w:tc>
          <w:tcPr>
            <w:tcW w:type="dxa" w:w="1080"/>
            <w:shd w:fill="FEFEFE" w:val="clear"/>
          </w:tcPr>
          <w:p>
            <w:r>
              <w:rPr>
                <w:sz w:val="16"/>
              </w:rPr>
              <w:t>BNBC</w:t>
            </w:r>
          </w:p>
        </w:tc>
        <w:tc>
          <w:tcPr>
            <w:tcW w:type="dxa" w:w="1080"/>
            <w:shd w:fill="FEFEFE" w:val="clear"/>
          </w:tcPr>
          <w:p>
            <w:r>
              <w:rPr>
                <w:sz w:val="16"/>
              </w:rPr>
              <w:t>CONSOMMATION DISCR</w:t>
            </w:r>
          </w:p>
        </w:tc>
        <w:tc>
          <w:tcPr>
            <w:tcW w:type="dxa" w:w="1080"/>
            <w:shd w:fill="FEFEFE" w:val="clear"/>
          </w:tcPr>
          <w:p>
            <w:r>
              <w:rPr>
                <w:sz w:val="16"/>
              </w:rPr>
              <w:t>1,985</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46</w:t>
            </w:r>
          </w:p>
        </w:tc>
        <w:tc>
          <w:tcPr>
            <w:tcW w:type="dxa" w:w="1080"/>
            <w:shd w:fill="FEFEFE" w:val="clear"/>
          </w:tcPr>
          <w:p>
            <w:r>
              <w:rPr>
                <w:sz w:val="16"/>
              </w:rPr>
              <w:t>FTSC</w:t>
            </w:r>
          </w:p>
        </w:tc>
        <w:tc>
          <w:tcPr>
            <w:tcW w:type="dxa" w:w="1080"/>
            <w:shd w:fill="FEFEFE" w:val="clear"/>
          </w:tcPr>
          <w:p>
            <w:r>
              <w:rPr>
                <w:sz w:val="16"/>
              </w:rPr>
              <w:t>INDUSTRIELS</w:t>
            </w:r>
          </w:p>
        </w:tc>
        <w:tc>
          <w:tcPr>
            <w:tcW w:type="dxa" w:w="1080"/>
            <w:shd w:fill="FEFEFE" w:val="clear"/>
          </w:tcPr>
          <w:p>
            <w:r>
              <w:rPr>
                <w:sz w:val="16"/>
              </w:rPr>
              <w:t>2,185</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56,300</w:t>
            </w:r>
          </w:p>
        </w:tc>
        <w:tc>
          <w:tcPr>
            <w:tcW w:type="dxa" w:w="1080"/>
            <w:shd w:fill="FEFEFE" w:val="clear"/>
          </w:tcPr>
          <w:p>
            <w:r>
              <w:rPr>
                <w:b/>
                <w:sz w:val="16"/>
              </w:rPr>
              <w:t>53/100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STBC</w:t>
            </w:r>
          </w:p>
        </w:tc>
        <w:tc>
          <w:tcPr>
            <w:tcW w:type="dxa" w:w="1728"/>
            <w:shd w:fill="DEEAF1" w:val="clear"/>
          </w:tcPr>
          <w:p>
            <w:r>
              <w:rPr>
                <w:sz w:val="17"/>
              </w:rPr>
              <w:t>STBC - SITAB COTE D'IVOIRE</w:t>
            </w:r>
          </w:p>
        </w:tc>
        <w:tc>
          <w:tcPr>
            <w:tcW w:type="dxa" w:w="1728"/>
            <w:shd w:fill="DEEAF1" w:val="clear"/>
          </w:tcPr>
          <w:p>
            <w:r>
              <w:rPr>
                <w:sz w:val="17"/>
              </w:rPr>
              <w:t>23,095</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11,905</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1,900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4,245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BICB</w:t>
            </w:r>
          </w:p>
        </w:tc>
        <w:tc>
          <w:tcPr>
            <w:tcW w:type="dxa" w:w="1728"/>
            <w:shd w:fill="DEEAF1" w:val="clear"/>
          </w:tcPr>
          <w:p>
            <w:r>
              <w:rPr>
                <w:sz w:val="17"/>
              </w:rPr>
              <w:t>BIIC BN - Banque internation</w:t>
            </w:r>
          </w:p>
        </w:tc>
        <w:tc>
          <w:tcPr>
            <w:tcW w:type="dxa" w:w="1728"/>
            <w:shd w:fill="DEEAF1" w:val="clear"/>
          </w:tcPr>
          <w:p>
            <w:r>
              <w:rPr>
                <w:sz w:val="17"/>
              </w:rPr>
              <w:t>7,950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ORAC</w:t>
            </w:r>
          </w:p>
        </w:tc>
        <w:tc>
          <w:tcPr>
            <w:tcW w:type="dxa" w:w="1728"/>
            <w:shd w:fill="DEEAF1" w:val="clear"/>
          </w:tcPr>
          <w:p>
            <w:r>
              <w:rPr>
                <w:sz w:val="17"/>
              </w:rPr>
              <w:t>ORAC - ORANGE COTE D'IVOIRE</w:t>
            </w:r>
          </w:p>
        </w:tc>
        <w:tc>
          <w:tcPr>
            <w:tcW w:type="dxa" w:w="1728"/>
            <w:shd w:fill="DEEAF1" w:val="clear"/>
          </w:tcPr>
          <w:p>
            <w:r>
              <w:rPr>
                <w:sz w:val="17"/>
              </w:rPr>
              <w:t>17,050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3,110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PALC</w:t>
            </w:r>
          </w:p>
        </w:tc>
        <w:tc>
          <w:tcPr>
            <w:tcW w:type="dxa" w:w="1728"/>
            <w:shd w:fill="DEEAF1" w:val="clear"/>
          </w:tcPr>
          <w:p>
            <w:r>
              <w:rPr>
                <w:sz w:val="17"/>
              </w:rPr>
              <w:t>PALC - PALM COTE D'IVOIRE</w:t>
            </w:r>
          </w:p>
        </w:tc>
        <w:tc>
          <w:tcPr>
            <w:tcW w:type="dxa" w:w="1728"/>
            <w:shd w:fill="DEEAF1" w:val="clear"/>
          </w:tcPr>
          <w:p>
            <w:r>
              <w:rPr>
                <w:sz w:val="17"/>
              </w:rPr>
              <w:t>8,980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STBC</w:t>
            </w:r>
          </w:p>
        </w:tc>
        <w:tc>
          <w:tcPr>
            <w:tcW w:type="dxa" w:w="1728"/>
            <w:shd w:fill="E2EFDA" w:val="clear"/>
          </w:tcPr>
          <w:p>
            <w:r>
              <w:rPr>
                <w:sz w:val="17"/>
              </w:rPr>
              <w:t>STBC - SITAB COTE D'IVOIRE</w:t>
            </w:r>
          </w:p>
        </w:tc>
        <w:tc>
          <w:tcPr>
            <w:tcW w:type="dxa" w:w="1728"/>
            <w:shd w:fill="E2EFDA" w:val="clear"/>
          </w:tcPr>
          <w:p>
            <w:r>
              <w:rPr>
                <w:sz w:val="17"/>
              </w:rPr>
              <w:t>23,095</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PRSC</w:t>
            </w:r>
          </w:p>
        </w:tc>
        <w:tc>
          <w:tcPr>
            <w:tcW w:type="dxa" w:w="1728"/>
            <w:shd w:fill="E2EFDA" w:val="clear"/>
          </w:tcPr>
          <w:p>
            <w:r>
              <w:rPr>
                <w:sz w:val="17"/>
              </w:rPr>
              <w:t>PRSC - TRACTAFRIC MOTORS CI</w:t>
            </w:r>
          </w:p>
        </w:tc>
        <w:tc>
          <w:tcPr>
            <w:tcW w:type="dxa" w:w="1728"/>
            <w:shd w:fill="E2EFDA" w:val="clear"/>
          </w:tcPr>
          <w:p>
            <w:r>
              <w:rPr>
                <w:sz w:val="17"/>
              </w:rPr>
              <w:t>4,400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11,905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1,900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5,100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4,245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7,950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CFAC</w:t>
            </w:r>
          </w:p>
        </w:tc>
        <w:tc>
          <w:tcPr>
            <w:tcW w:type="dxa" w:w="1728"/>
            <w:shd w:fill="E2EFDA" w:val="clear"/>
          </w:tcPr>
          <w:p>
            <w:r>
              <w:rPr>
                <w:sz w:val="17"/>
              </w:rPr>
              <w:t>CFAC - CFAO MOTORS CI</w:t>
            </w:r>
          </w:p>
        </w:tc>
        <w:tc>
          <w:tcPr>
            <w:tcW w:type="dxa" w:w="1728"/>
            <w:shd w:fill="E2EFDA" w:val="clear"/>
          </w:tcPr>
          <w:p>
            <w:r>
              <w:rPr>
                <w:sz w:val="17"/>
              </w:rPr>
              <w:t>1,695</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STBC</w:t>
            </w:r>
          </w:p>
        </w:tc>
        <w:tc>
          <w:tcPr>
            <w:tcW w:type="dxa" w:w="1728"/>
            <w:shd w:fill="FCE4D6" w:val="clear"/>
          </w:tcPr>
          <w:p>
            <w:r>
              <w:rPr>
                <w:sz w:val="17"/>
              </w:rPr>
              <w:t>STBC - SITAB COTE D'IVOIRE</w:t>
            </w:r>
          </w:p>
        </w:tc>
        <w:tc>
          <w:tcPr>
            <w:tcW w:type="dxa" w:w="1728"/>
            <w:shd w:fill="FCE4D6" w:val="clear"/>
          </w:tcPr>
          <w:p>
            <w:r>
              <w:rPr>
                <w:sz w:val="17"/>
              </w:rPr>
              <w:t>23,095</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PRSC</w:t>
            </w:r>
          </w:p>
        </w:tc>
        <w:tc>
          <w:tcPr>
            <w:tcW w:type="dxa" w:w="1728"/>
            <w:shd w:fill="FCE4D6" w:val="clear"/>
          </w:tcPr>
          <w:p>
            <w:r>
              <w:rPr>
                <w:sz w:val="17"/>
              </w:rPr>
              <w:t>PRSC - TRACTAFRIC MOTORS CI</w:t>
            </w:r>
          </w:p>
        </w:tc>
        <w:tc>
          <w:tcPr>
            <w:tcW w:type="dxa" w:w="1728"/>
            <w:shd w:fill="FCE4D6" w:val="clear"/>
          </w:tcPr>
          <w:p>
            <w:r>
              <w:rPr>
                <w:sz w:val="17"/>
              </w:rPr>
              <w:t>4,400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11,905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1,900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5,100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4,245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7,950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CFAC</w:t>
            </w:r>
          </w:p>
        </w:tc>
        <w:tc>
          <w:tcPr>
            <w:tcW w:type="dxa" w:w="1728"/>
            <w:shd w:fill="FCE4D6" w:val="clear"/>
          </w:tcPr>
          <w:p>
            <w:r>
              <w:rPr>
                <w:sz w:val="17"/>
              </w:rPr>
              <w:t>CFAC - CFAO MOTORS CI</w:t>
            </w:r>
          </w:p>
        </w:tc>
        <w:tc>
          <w:tcPr>
            <w:tcW w:type="dxa" w:w="1728"/>
            <w:shd w:fill="FCE4D6" w:val="clear"/>
          </w:tcPr>
          <w:p>
            <w:r>
              <w:rPr>
                <w:sz w:val="17"/>
              </w:rPr>
              <w:t>1,695</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NSBC — NSBC - NSIA BANQUE COTE D'IVOIRE</w:t>
      </w:r>
    </w:p>
    <w:p>
      <w:pPr>
        <w:pStyle w:val="ListBullet"/>
        <w:spacing w:before="20"/>
        <w:ind w:left="400"/>
      </w:pPr>
      <w:r>
        <w:rPr>
          <w:sz w:val="18"/>
        </w:rPr>
        <w:t>🔴 RSI surachat (75.9 &gt; 70) — risque de correction</w:t>
      </w:r>
    </w:p>
    <w:p>
      <w:pPr>
        <w:pStyle w:val="ListBullet"/>
        <w:spacing w:before="20"/>
        <w:ind w:left="400"/>
      </w:pPr>
      <w:r>
        <w:rPr>
          <w:sz w:val="18"/>
        </w:rPr>
        <w:t>⚠️ Cours à 1.5% du plus haut 100j (24,020 FCFA)</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surachat (84.3 &gt; 70) — risque de correction</w:t>
      </w:r>
    </w:p>
    <w:p>
      <w:pPr>
        <w:pStyle w:val="ListBullet"/>
        <w:spacing w:before="20"/>
        <w:ind w:left="400"/>
      </w:pPr>
      <w:r>
        <w:rPr>
          <w:sz w:val="18"/>
        </w:rPr>
        <w:t>⚠️ Cours à 0.0% du plus haut 100j (16,900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RSI surachat (83.1 &gt; 70) — risque de correction</w:t>
      </w:r>
    </w:p>
    <w:p>
      <w:pPr>
        <w:pStyle w:val="ListBullet"/>
        <w:spacing w:before="20"/>
        <w:ind w:left="400"/>
      </w:pPr>
      <w:r>
        <w:rPr>
          <w:sz w:val="18"/>
        </w:rPr>
        <w:t>⚠️ Cours à 0.5% du plus haut 100j (39,200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(82.6 &gt; 70) — risque de correction</w:t>
      </w:r>
    </w:p>
    <w:p>
      <w:pPr>
        <w:pStyle w:val="ListBullet"/>
        <w:spacing w:before="20"/>
        <w:ind w:left="400"/>
      </w:pPr>
      <w:r>
        <w:rPr>
          <w:sz w:val="18"/>
        </w:rPr>
        <w:t>⚠️ Cours à 0.0% du plus haut 100j (8,125 FCFA)</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(76.3 &gt; 70) — risque de correction</w:t>
      </w:r>
    </w:p>
    <w:p>
      <w:pPr>
        <w:pStyle w:val="ListBullet"/>
        <w:spacing w:before="20"/>
        <w:ind w:left="400"/>
      </w:pPr>
      <w:r>
        <w:rPr>
          <w:sz w:val="18"/>
        </w:rPr>
        <w:t>⚠️ Cours à 0.0% du plus haut 100j (7,950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1.0% du plus haut 100j (29,490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Cours à 0.0% du plus haut 100j (7,350 FCFA)</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RSI surachat (85.7 &gt; 70) — risque de correction</w:t>
      </w:r>
    </w:p>
    <w:p>
      <w:pPr>
        <w:pStyle w:val="ListBullet"/>
        <w:spacing w:before="20"/>
        <w:ind w:left="400"/>
      </w:pPr>
      <w:r>
        <w:rPr>
          <w:sz w:val="18"/>
        </w:rPr>
        <w:t>⚠️ Cours à 0.0% du plus haut 100j (11,905 FCFA)</w:t>
      </w:r>
    </w:p>
    <w:p>
      <w:pPr>
        <w:spacing w:before="120"/>
      </w:pPr>
      <w:r>
        <w:rPr>
          <w:b/>
          <w:color w:val="0050A0"/>
          <w:sz w:val="20"/>
        </w:rPr>
        <w:t>BOAM — BANK OF AFRICA MALI</w:t>
      </w:r>
    </w:p>
    <w:p>
      <w:pPr>
        <w:pStyle w:val="ListBullet"/>
        <w:spacing w:before="20"/>
        <w:ind w:left="400"/>
      </w:pPr>
      <w:r>
        <w:rPr>
          <w:sz w:val="18"/>
        </w:rPr>
        <w:t>⚠️ Cours à 0.0% du plus haut 100j (5,850 FCFA)</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(87.0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(87.5 &gt; 70) — risque de correction</w:t>
      </w:r>
    </w:p>
    <w:p>
      <w:pPr>
        <w:pStyle w:val="ListBullet"/>
        <w:spacing w:before="20"/>
        <w:ind w:left="400"/>
      </w:pPr>
      <w:r>
        <w:rPr>
          <w:sz w:val="18"/>
        </w:rPr>
        <w:t>⚠️ Cours à 0.7% du plus haut 100j (17,175 FCFA)</w:t>
      </w:r>
    </w:p>
    <w:p>
      <w:pPr>
        <w:spacing w:before="120"/>
      </w:pPr>
      <w:r>
        <w:rPr>
          <w:b/>
          <w:color w:val="0050A0"/>
          <w:sz w:val="20"/>
        </w:rPr>
        <w:t>SIVC — SIVC - ERIUM CI (Ex AIR LIQUIDECI)</w:t>
      </w:r>
    </w:p>
    <w:p>
      <w:pPr>
        <w:pStyle w:val="ListBullet"/>
        <w:spacing w:before="20"/>
        <w:ind w:left="400"/>
      </w:pPr>
      <w:r>
        <w:rPr>
          <w:sz w:val="18"/>
        </w:rPr>
        <w:t>🔴 RSI surachat (70.5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Cours à 1.5% du plus haut 100j (32,500 FCFA)</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(74.3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Divergence tech(VENTE) / fond(NEUTRE) — recommandation ajustée à CONSERVER ⚠️</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fond(NEUTRE) — recommandation ajustée à CONSERVER ⚠️</w:t>
      </w:r>
    </w:p>
    <w:p>
      <w:pPr>
        <w:spacing w:before="120"/>
      </w:pPr>
      <w:r>
        <w:rPr>
          <w:b/>
          <w:color w:val="0050A0"/>
          <w:sz w:val="20"/>
        </w:rPr>
        <w:t>ORGT — ORGT - ORAGROUP TOGO</w:t>
      </w:r>
    </w:p>
    <w:p>
      <w:pPr>
        <w:pStyle w:val="ListBullet"/>
        <w:spacing w:before="20"/>
        <w:ind w:left="400"/>
      </w:pPr>
      <w:r>
        <w:rPr>
          <w:sz w:val="18"/>
        </w:rPr>
        <w:t>🔴 RSI surachat (84.2 &gt; 70) — risque de correction</w:t>
      </w:r>
    </w:p>
    <w:p>
      <w:pPr>
        <w:spacing w:before="120"/>
      </w:pPr>
      <w:r>
        <w:rPr>
          <w:b/>
          <w:color w:val="0050A0"/>
          <w:sz w:val="20"/>
        </w:rPr>
        <w:t>PRSC — PRSC - TRACTAFRIC MOTORS CI</w:t>
      </w:r>
    </w:p>
    <w:p>
      <w:pPr>
        <w:pStyle w:val="ListBullet"/>
        <w:spacing w:before="20"/>
        <w:ind w:left="400"/>
      </w:pPr>
      <w:r>
        <w:rPr>
          <w:sz w:val="18"/>
        </w:rPr>
        <w:t>🟢 RSI survente (27.1 &lt; 30) — opportunité potentielle</w:t>
      </w:r>
    </w:p>
    <w:p>
      <w:pPr>
        <w:spacing w:before="120"/>
      </w:pPr>
      <w:r>
        <w:rPr>
          <w:b/>
          <w:color w:val="0050A0"/>
          <w:sz w:val="20"/>
        </w:rPr>
        <w:t>SDCC — SDCC - Société de Distribution d'Eau de Côte d'Ivoire</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Cours à 1.7% du plus haut 100j (2,325 FCFA)</w:t>
      </w:r>
    </w:p>
    <w:p>
      <w:pPr>
        <w:spacing w:before="120"/>
      </w:pPr>
      <w:r>
        <w:rPr>
          <w:b/>
          <w:color w:val="0050A0"/>
          <w:sz w:val="20"/>
        </w:rPr>
        <w:t>SIBC — SIBC - SOCIETE IVOIRIENNE DE BANQUE</w:t>
      </w:r>
    </w:p>
    <w:p>
      <w:pPr>
        <w:pStyle w:val="ListBullet"/>
        <w:spacing w:before="20"/>
        <w:ind w:left="400"/>
      </w:pPr>
      <w:r>
        <w:rPr>
          <w:sz w:val="18"/>
        </w:rPr>
        <w:t>⚠️ Cours à 0.0% du plus haut 100j (9,500 FCFA)</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RSI survente (28.4 &lt; 30) — opportunité potentielle</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25 société(s) (53%)</w:t>
            </w:r>
          </w:p>
        </w:tc>
        <w:tc>
          <w:tcPr>
            <w:tcW w:type="dxa" w:w="1644"/>
            <w:shd w:fill="FFEB9C" w:val="clear"/>
          </w:tcPr>
          <w:p>
            <w:r>
              <w:rPr>
                <w:b/>
                <w:color w:val="825A00"/>
                <w:sz w:val="19"/>
              </w:rPr>
              <w:t>22 société(s) (47%)</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20.9/100</w:t>
            </w:r>
          </w:p>
        </w:tc>
        <w:tc>
          <w:tcPr>
            <w:tcW w:type="dxa" w:w="1644"/>
            <w:shd w:fill="DEEAF1" w:val="clear"/>
          </w:tcPr>
          <w:p>
            <w:r>
              <w:rPr>
                <w:b/>
                <w:color w:val="000000"/>
                <w:sz w:val="19"/>
              </w:rPr>
              <w:t>19.3/100</w:t>
            </w:r>
          </w:p>
        </w:tc>
      </w:tr>
    </w:tbl>
    <w:p/>
    <w:p>
      <w:r>
        <w:rPr>
          <w:i/>
          <w:color w:val="006400"/>
          <w:sz w:val="18"/>
        </w:rPr>
        <w:t>✅ Le marché BRVM présente globalement un profil de risque FAIBLE (score moyen 20.9/100).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35.6/100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(35.6/100 — Moyen) : </w:t>
      </w:r>
      <w:r>
        <w:rPr>
          <w:sz w:val="17"/>
        </w:rPr>
        <w:t>Volatilité=Élevée | Bêta=Défensif | Liquidité=Très faible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UNLC (32.8/100 — Moyen) : </w:t>
      </w:r>
      <w:r>
        <w:rPr>
          <w:sz w:val="17"/>
        </w:rPr>
        <w:t>Volatilité=Moyenne | Bêta=Très agressif | Liquidité=Très faible | Divergence signaux=taux divergence=20% (Mixte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15.5/100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35.6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18.1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-10.91%  |  Médiane : -7.93%</w:t>
            </w:r>
          </w:p>
        </w:tc>
      </w:tr>
      <w:tr>
        <w:tc>
          <w:tcPr>
            <w:tcW w:type="dxa" w:w="2835"/>
            <w:shd w:fill="DEEAF1" w:val="clear"/>
          </w:tcPr>
          <w:p>
            <w:r>
              <w:rPr>
                <w:b/>
                <w:sz w:val="18"/>
              </w:rPr>
              <w:t>Répartition</w:t>
            </w:r>
          </w:p>
        </w:tc>
        <w:tc>
          <w:tcPr>
            <w:tcW w:type="dxa" w:w="7370"/>
          </w:tcPr>
          <w:p>
            <w:r>
              <w:rPr>
                <w:b/>
                <w:sz w:val="18"/>
              </w:rPr>
              <w:t>📈 7 sociétés en hausse (&gt;+1%)   📉 39 en baisse (&lt;-1%)   ➡️ 1 neutres</w:t>
            </w:r>
          </w:p>
        </w:tc>
      </w:tr>
      <w:tr>
        <w:tc>
          <w:tcPr>
            <w:tcW w:type="dxa" w:w="2835"/>
            <w:shd w:fill="DEEAF1" w:val="clear"/>
          </w:tcPr>
          <w:p>
            <w:r>
              <w:rPr>
                <w:b/>
                <w:sz w:val="18"/>
              </w:rPr>
              <w:t>Confiance globale</w:t>
            </w:r>
          </w:p>
        </w:tc>
        <w:tc>
          <w:tcPr>
            <w:tcW w:type="dxa" w:w="7370"/>
          </w:tcPr>
          <w:p>
            <w:r>
              <w:rPr>
                <w:b/>
                <w:sz w:val="18"/>
              </w:rPr>
              <w:t>Élevée : 0 sociétés (0%)   Moyenne : 15   Faible : 32 (68%)   → Confiance dominante : Faible</w:t>
            </w:r>
          </w:p>
        </w:tc>
      </w:tr>
    </w:tbl>
    <w:p/>
    <w:p>
      <w:r>
        <w:rPr>
          <w:i/>
          <w:color w:val="282828"/>
          <w:sz w:val="18"/>
        </w:rPr>
        <w:t>📝 Analyse : Les modèles anticipent une correction généralisée. 39 sociétés sur 47 sont orientées à la baisse avec une variation moyenne de -10.91%.</w:t>
      </w:r>
    </w:p>
    <w:p>
      <w:r>
        <w:rPr>
          <w:i/>
          <w:color w:val="282828"/>
          <w:sz w:val="18"/>
        </w:rPr>
        <w:t>🎯 Fiabilité : ⚠️ La confiance est globalement FAIBLE (68%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3,500 FCFA</w:t>
            </w:r>
          </w:p>
        </w:tc>
        <w:tc>
          <w:tcPr>
            <w:tcW w:type="dxa" w:w="1417"/>
            <w:shd w:fill="FFFFFF" w:val="clear"/>
          </w:tcPr>
          <w:p>
            <w:r>
              <w:rPr>
                <w:sz w:val="16"/>
              </w:rPr>
              <w:t>6,152 FCFA</w:t>
            </w:r>
          </w:p>
        </w:tc>
        <w:tc>
          <w:tcPr>
            <w:tcW w:type="dxa" w:w="1134"/>
            <w:shd w:fill="C6EFCE" w:val="clear"/>
          </w:tcPr>
          <w:p>
            <w:r>
              <w:rPr>
                <w:b/>
                <w:color w:val="007800"/>
                <w:sz w:val="16"/>
              </w:rPr>
              <w:t>+75.76%</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23,650 FCFA</w:t>
            </w:r>
          </w:p>
        </w:tc>
        <w:tc>
          <w:tcPr>
            <w:tcW w:type="dxa" w:w="1417"/>
            <w:shd w:fill="FFFFFF" w:val="clear"/>
          </w:tcPr>
          <w:p>
            <w:r>
              <w:rPr>
                <w:sz w:val="16"/>
              </w:rPr>
              <w:t>27,772 FCFA</w:t>
            </w:r>
          </w:p>
        </w:tc>
        <w:tc>
          <w:tcPr>
            <w:tcW w:type="dxa" w:w="1134"/>
            <w:shd w:fill="C6EFCE" w:val="clear"/>
          </w:tcPr>
          <w:p>
            <w:r>
              <w:rPr>
                <w:b/>
                <w:color w:val="007800"/>
                <w:sz w:val="16"/>
              </w:rPr>
              <w:t>+17.43%</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23,095 FCFA</w:t>
            </w:r>
          </w:p>
        </w:tc>
        <w:tc>
          <w:tcPr>
            <w:tcW w:type="dxa" w:w="1417"/>
            <w:shd w:fill="FFFFFF" w:val="clear"/>
          </w:tcPr>
          <w:p>
            <w:r>
              <w:rPr>
                <w:sz w:val="16"/>
              </w:rPr>
              <w:t>26,366 FCFA</w:t>
            </w:r>
          </w:p>
        </w:tc>
        <w:tc>
          <w:tcPr>
            <w:tcW w:type="dxa" w:w="1134"/>
            <w:shd w:fill="C6EFCE" w:val="clear"/>
          </w:tcPr>
          <w:p>
            <w:r>
              <w:rPr>
                <w:b/>
                <w:color w:val="007800"/>
                <w:sz w:val="16"/>
              </w:rPr>
              <w:t>+14.16%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56,300 FCFA</w:t>
            </w:r>
          </w:p>
        </w:tc>
        <w:tc>
          <w:tcPr>
            <w:tcW w:type="dxa" w:w="1417"/>
            <w:shd w:fill="FFFFFF" w:val="clear"/>
          </w:tcPr>
          <w:p>
            <w:r>
              <w:rPr>
                <w:sz w:val="16"/>
              </w:rPr>
              <w:t>62,402 FCFA</w:t>
            </w:r>
          </w:p>
        </w:tc>
        <w:tc>
          <w:tcPr>
            <w:tcW w:type="dxa" w:w="1134"/>
            <w:shd w:fill="C6EFCE" w:val="clear"/>
          </w:tcPr>
          <w:p>
            <w:r>
              <w:rPr>
                <w:b/>
                <w:color w:val="007800"/>
                <w:sz w:val="16"/>
              </w:rPr>
              <w:t>+10.84%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2,185 FCFA</w:t>
            </w:r>
          </w:p>
        </w:tc>
        <w:tc>
          <w:tcPr>
            <w:tcW w:type="dxa" w:w="1417"/>
            <w:shd w:fill="FFFFFF" w:val="clear"/>
          </w:tcPr>
          <w:p>
            <w:r>
              <w:rPr>
                <w:sz w:val="16"/>
              </w:rPr>
              <w:t>2,266 FCFA</w:t>
            </w:r>
          </w:p>
        </w:tc>
        <w:tc>
          <w:tcPr>
            <w:tcW w:type="dxa" w:w="1134"/>
            <w:shd w:fill="C6EFCE" w:val="clear"/>
          </w:tcPr>
          <w:p>
            <w:r>
              <w:rPr>
                <w:b/>
                <w:color w:val="007800"/>
                <w:sz w:val="16"/>
              </w:rPr>
              <w:t>+3.69%</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(+75.8%) — signal potentiellement excessif, à croiser avec l'analyse technique. Trajectoire : 📈 Hausse continue. Cours actuel : 3,500 FCFA → prédit J+10 : 6,152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(+17.4%) — potentiel de revalorisation notable. Trajectoire : 📈 Hausse continue. Cours actuel : 23,650 FCFA → prédit J+10 : 27,772 FCFA. ⚠️ Confiance limitée — volatilité élevée ou données insuffisantes. Résultat indicatif uniquement.</w:t>
      </w:r>
    </w:p>
    <w:p>
      <w:pPr>
        <w:pStyle w:val="ListBullet"/>
      </w:pPr>
      <w:r>
        <w:rPr>
          <w:b/>
          <w:color w:val="006400"/>
          <w:sz w:val="18"/>
        </w:rPr>
        <w:t xml:space="preserve">#3 STBC </w:t>
      </w:r>
      <w:r>
        <w:rPr>
          <w:sz w:val="17"/>
        </w:rPr>
        <w:t>(STBC - SITAB COTE D'IVOIRE) — hausse significative (+14.2%) — potentiel de revalorisation notable. Trajectoire : 📈 Hausse continue. Cours actuel : 23,095 FCFA → prédit J+10 : 26,366 FCFA. ⚠️ Confiance limitée — volatilité élevée ou données insuffisantes. Résultat indicatif uniquement.</w:t>
      </w:r>
    </w:p>
    <w:p>
      <w:pPr>
        <w:pStyle w:val="ListBullet"/>
      </w:pPr>
      <w:r>
        <w:rPr>
          <w:b/>
          <w:color w:val="006400"/>
          <w:sz w:val="18"/>
        </w:rPr>
        <w:t xml:space="preserve">#4 UNLC </w:t>
      </w:r>
      <w:r>
        <w:rPr>
          <w:sz w:val="17"/>
        </w:rPr>
        <w:t>(UNLC - UNILEVER COTE D'IVOIRE) — hausse significative (+10.8%) — potentiel de revalorisation notable. Trajectoire : 📈 Hausse continue. Cours actuel : 56,300 FCFA → prédit J+10 : 62,402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(+3.7%) — progression graduelle attendue. Trajectoire : 📈 Hausse continue. Cours actuel : 2,185 FCFA → prédit J+10 : 2,266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69 FCFA</w:t>
            </w:r>
          </w:p>
        </w:tc>
        <w:tc>
          <w:tcPr>
            <w:tcW w:type="dxa" w:w="1417"/>
            <w:shd w:fill="FFFFFF" w:val="clear"/>
          </w:tcPr>
          <w:p>
            <w:r>
              <w:rPr>
                <w:sz w:val="16"/>
              </w:rPr>
              <w:t>32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3,660 FCFA</w:t>
            </w:r>
          </w:p>
        </w:tc>
        <w:tc>
          <w:tcPr>
            <w:tcW w:type="dxa" w:w="1417"/>
            <w:shd w:fill="FFFFFF" w:val="clear"/>
          </w:tcPr>
          <w:p>
            <w:r>
              <w:rPr>
                <w:sz w:val="16"/>
              </w:rPr>
              <w:t>1,678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4,810 FCFA</w:t>
            </w:r>
          </w:p>
        </w:tc>
        <w:tc>
          <w:tcPr>
            <w:tcW w:type="dxa" w:w="1417"/>
            <w:shd w:fill="FFFFFF" w:val="clear"/>
          </w:tcPr>
          <w:p>
            <w:r>
              <w:rPr>
                <w:sz w:val="16"/>
              </w:rPr>
              <w:t>2,206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29,000 FCFA</w:t>
            </w:r>
          </w:p>
        </w:tc>
        <w:tc>
          <w:tcPr>
            <w:tcW w:type="dxa" w:w="1417"/>
            <w:shd w:fill="FFFFFF" w:val="clear"/>
          </w:tcPr>
          <w:p>
            <w:r>
              <w:rPr>
                <w:sz w:val="16"/>
              </w:rPr>
              <w:t>17,388 FCFA</w:t>
            </w:r>
          </w:p>
        </w:tc>
        <w:tc>
          <w:tcPr>
            <w:tcW w:type="dxa" w:w="1134"/>
            <w:shd w:fill="FFC7CE" w:val="clear"/>
          </w:tcPr>
          <w:p>
            <w:r>
              <w:rPr>
                <w:b/>
                <w:color w:val="B40000"/>
                <w:sz w:val="16"/>
              </w:rPr>
              <w:t>-40.04%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5,310 FCFA</w:t>
            </w:r>
          </w:p>
        </w:tc>
        <w:tc>
          <w:tcPr>
            <w:tcW w:type="dxa" w:w="1417"/>
            <w:shd w:fill="FFFFFF" w:val="clear"/>
          </w:tcPr>
          <w:p>
            <w:r>
              <w:rPr>
                <w:sz w:val="16"/>
              </w:rPr>
              <w:t>3,185 FCFA</w:t>
            </w:r>
          </w:p>
        </w:tc>
        <w:tc>
          <w:tcPr>
            <w:tcW w:type="dxa" w:w="1134"/>
            <w:shd w:fill="FFC7CE" w:val="clear"/>
          </w:tcPr>
          <w:p>
            <w:r>
              <w:rPr>
                <w:b/>
                <w:color w:val="B40000"/>
                <w:sz w:val="16"/>
              </w:rPr>
              <w:t>-40.03%</w:t>
            </w:r>
          </w:p>
        </w:tc>
        <w:tc>
          <w:tcPr>
            <w:tcW w:type="dxa" w:w="1020"/>
            <w:shd w:fill="FFC7CE" w:val="clear"/>
          </w:tcPr>
          <w:p>
            <w:r>
              <w:rPr>
                <w:sz w:val="16"/>
              </w:rPr>
              <w:t>Faible</w:t>
            </w:r>
          </w:p>
        </w:tc>
      </w:tr>
    </w:tbl>
    <w:p/>
    <w:p>
      <w:pPr>
        <w:pStyle w:val="ListBullet"/>
      </w:pPr>
      <w:r>
        <w:rPr>
          <w:b/>
          <w:color w:val="B40000"/>
          <w:sz w:val="18"/>
        </w:rPr>
        <w:t xml:space="preserve">#1 ETIT </w:t>
      </w:r>
      <w:r>
        <w:rPr>
          <w:sz w:val="17"/>
        </w:rPr>
        <w:t>(ETIT - Ecobank Transnational Incorporate) — baisse très forte (-54.1%) — amplitude potentiellement surestimée par le modèle. Trajectoire : 📉 Baisse continue. Cours actuel : 69 FCFA → prédit J+10 : 32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3,660 FCFA → prédit J+10 : 1,678 FCFA. ⚠️ Confiance limitée — volatilité élevée. Ne pas agir sur ce seul signal.</w:t>
      </w:r>
    </w:p>
    <w:p>
      <w:pPr>
        <w:pStyle w:val="ListBullet"/>
      </w:pPr>
      <w:r>
        <w:rPr>
          <w:b/>
          <w:color w:val="B40000"/>
          <w:sz w:val="18"/>
        </w:rPr>
        <w:t xml:space="preserve">#3 SAFC </w:t>
      </w:r>
      <w:r>
        <w:rPr>
          <w:sz w:val="17"/>
        </w:rPr>
        <w:t>(SAFCA CI) — baisse très forte (-54.1%) — amplitude potentiellement surestimée par le modèle. Trajectoire : 📉 Baisse continue. Cours actuel : 4,810 FCFA → prédit J+10 : 2,206 FCFA. ⚠️ Confiance limitée — volatilité élevée. Ne pas agir sur ce seul signal.</w:t>
      </w:r>
    </w:p>
    <w:p>
      <w:pPr>
        <w:pStyle w:val="ListBullet"/>
      </w:pPr>
      <w:r>
        <w:rPr>
          <w:b/>
          <w:color w:val="B40000"/>
          <w:sz w:val="18"/>
        </w:rPr>
        <w:t xml:space="preserve">#4 CBIBF </w:t>
      </w:r>
      <w:r>
        <w:rPr>
          <w:sz w:val="17"/>
        </w:rPr>
        <w:t>(CBIBF - CORIS BANK INTERNATIONAL BURKINA) — baisse très forte (-40.0%) — amplitude potentiellement surestimée par le modèle. Trajectoire : 📉 Baisse continue. Cours actuel : 29,000 FCFA → prédit J+10 : 17,388 FCFA. ⚠️ Confiance limitée — volatilité élevée. Ne pas agir sur ce seul signal.</w:t>
      </w:r>
    </w:p>
    <w:p>
      <w:pPr>
        <w:pStyle w:val="ListBullet"/>
      </w:pPr>
      <w:r>
        <w:rPr>
          <w:b/>
          <w:color w:val="B40000"/>
          <w:sz w:val="18"/>
        </w:rPr>
        <w:t xml:space="preserve">#5 CIEC </w:t>
      </w:r>
      <w:r>
        <w:rPr>
          <w:sz w:val="17"/>
        </w:rPr>
        <w:t>(CIEC - Compagnie Ivoirienne d'Electricit) — baisse très forte (-40.0%) — amplitude potentiellement surestimée par le modèle. Trajectoire : 📉 Baisse continue. Cours actuel : 5,310 FCFA → prédit J+10 : 3,185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6,152</w:t>
            </w:r>
          </w:p>
        </w:tc>
        <w:tc>
          <w:tcPr>
            <w:tcW w:type="dxa" w:w="1134"/>
            <w:shd w:fill="C6EFCE" w:val="clear"/>
          </w:tcPr>
          <w:p>
            <w:r>
              <w:rPr>
                <w:b/>
                <w:color w:val="007800"/>
                <w:sz w:val="16"/>
              </w:rPr>
              <w:t>+75.76%</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23,650</w:t>
            </w:r>
          </w:p>
        </w:tc>
        <w:tc>
          <w:tcPr>
            <w:tcW w:type="dxa" w:w="1417"/>
            <w:shd w:fill="FFFFFF" w:val="clear"/>
          </w:tcPr>
          <w:p>
            <w:r>
              <w:rPr>
                <w:sz w:val="16"/>
              </w:rPr>
              <w:t>27,772</w:t>
            </w:r>
          </w:p>
        </w:tc>
        <w:tc>
          <w:tcPr>
            <w:tcW w:type="dxa" w:w="1134"/>
            <w:shd w:fill="C6EFCE" w:val="clear"/>
          </w:tcPr>
          <w:p>
            <w:r>
              <w:rPr>
                <w:b/>
                <w:color w:val="007800"/>
                <w:sz w:val="16"/>
              </w:rPr>
              <w:t>+17.43%</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23,095</w:t>
            </w:r>
          </w:p>
        </w:tc>
        <w:tc>
          <w:tcPr>
            <w:tcW w:type="dxa" w:w="1417"/>
            <w:shd w:fill="FFFFFF" w:val="clear"/>
          </w:tcPr>
          <w:p>
            <w:r>
              <w:rPr>
                <w:sz w:val="16"/>
              </w:rPr>
              <w:t>26,366</w:t>
            </w:r>
          </w:p>
        </w:tc>
        <w:tc>
          <w:tcPr>
            <w:tcW w:type="dxa" w:w="1134"/>
            <w:shd w:fill="C6EFCE" w:val="clear"/>
          </w:tcPr>
          <w:p>
            <w:r>
              <w:rPr>
                <w:b/>
                <w:color w:val="007800"/>
                <w:sz w:val="16"/>
              </w:rPr>
              <w:t>+14.16%</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56,300</w:t>
            </w:r>
          </w:p>
        </w:tc>
        <w:tc>
          <w:tcPr>
            <w:tcW w:type="dxa" w:w="1417"/>
            <w:shd w:fill="FFFFFF" w:val="clear"/>
          </w:tcPr>
          <w:p>
            <w:r>
              <w:rPr>
                <w:sz w:val="16"/>
              </w:rPr>
              <w:t>62,402</w:t>
            </w:r>
          </w:p>
        </w:tc>
        <w:tc>
          <w:tcPr>
            <w:tcW w:type="dxa" w:w="1134"/>
            <w:shd w:fill="C6EFCE" w:val="clear"/>
          </w:tcPr>
          <w:p>
            <w:r>
              <w:rPr>
                <w:b/>
                <w:color w:val="007800"/>
                <w:sz w:val="16"/>
              </w:rPr>
              <w:t>+10.84%</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2,185</w:t>
            </w:r>
          </w:p>
        </w:tc>
        <w:tc>
          <w:tcPr>
            <w:tcW w:type="dxa" w:w="1417"/>
            <w:shd w:fill="FFFFFF" w:val="clear"/>
          </w:tcPr>
          <w:p>
            <w:r>
              <w:rPr>
                <w:sz w:val="16"/>
              </w:rPr>
              <w:t>2,266</w:t>
            </w:r>
          </w:p>
        </w:tc>
        <w:tc>
          <w:tcPr>
            <w:tcW w:type="dxa" w:w="1134"/>
            <w:shd w:fill="C6EFCE" w:val="clear"/>
          </w:tcPr>
          <w:p>
            <w:r>
              <w:rPr>
                <w:b/>
                <w:color w:val="007800"/>
                <w:sz w:val="16"/>
              </w:rPr>
              <w:t>+3.69%</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8,980</w:t>
            </w:r>
          </w:p>
        </w:tc>
        <w:tc>
          <w:tcPr>
            <w:tcW w:type="dxa" w:w="1417"/>
            <w:shd w:fill="FFFFFF" w:val="clear"/>
          </w:tcPr>
          <w:p>
            <w:r>
              <w:rPr>
                <w:sz w:val="16"/>
              </w:rPr>
              <w:t>9,299</w:t>
            </w:r>
          </w:p>
        </w:tc>
        <w:tc>
          <w:tcPr>
            <w:tcW w:type="dxa" w:w="1134"/>
            <w:shd w:fill="C6EFCE" w:val="clear"/>
          </w:tcPr>
          <w:p>
            <w:r>
              <w:rPr>
                <w:b/>
                <w:color w:val="007800"/>
                <w:sz w:val="16"/>
              </w:rPr>
              <w:t>+3.55%</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7,915</w:t>
            </w:r>
          </w:p>
        </w:tc>
        <w:tc>
          <w:tcPr>
            <w:tcW w:type="dxa" w:w="1417"/>
            <w:shd w:fill="FFFFFF" w:val="clear"/>
          </w:tcPr>
          <w:p>
            <w:r>
              <w:rPr>
                <w:sz w:val="16"/>
              </w:rPr>
              <w:t>8,080</w:t>
            </w:r>
          </w:p>
        </w:tc>
        <w:tc>
          <w:tcPr>
            <w:tcW w:type="dxa" w:w="1134"/>
            <w:shd w:fill="C6EFCE" w:val="clear"/>
          </w:tcPr>
          <w:p>
            <w:r>
              <w:rPr>
                <w:b/>
                <w:color w:val="007800"/>
                <w:sz w:val="16"/>
              </w:rPr>
              <w:t>+2.09%</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16,000</w:t>
            </w:r>
          </w:p>
        </w:tc>
        <w:tc>
          <w:tcPr>
            <w:tcW w:type="dxa" w:w="1417"/>
            <w:shd w:fill="FFFFFF" w:val="clear"/>
          </w:tcPr>
          <w:p>
            <w:r>
              <w:rPr>
                <w:sz w:val="16"/>
              </w:rPr>
              <w:t>15,963</w:t>
            </w:r>
          </w:p>
        </w:tc>
        <w:tc>
          <w:tcPr>
            <w:tcW w:type="dxa" w:w="1134"/>
            <w:shd w:fill="FFEB9C" w:val="clear"/>
          </w:tcPr>
          <w:p>
            <w:r>
              <w:rPr>
                <w:b/>
                <w:color w:val="646400"/>
                <w:sz w:val="16"/>
              </w:rPr>
              <w:t>-0.23%</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3,110</w:t>
            </w:r>
          </w:p>
        </w:tc>
        <w:tc>
          <w:tcPr>
            <w:tcW w:type="dxa" w:w="1417"/>
            <w:shd w:fill="FFFFFF" w:val="clear"/>
          </w:tcPr>
          <w:p>
            <w:r>
              <w:rPr>
                <w:sz w:val="16"/>
              </w:rPr>
              <w:t>3,077</w:t>
            </w:r>
          </w:p>
        </w:tc>
        <w:tc>
          <w:tcPr>
            <w:tcW w:type="dxa" w:w="1134"/>
            <w:shd w:fill="FFC7CE" w:val="clear"/>
          </w:tcPr>
          <w:p>
            <w:r>
              <w:rPr>
                <w:b/>
                <w:color w:val="B40000"/>
                <w:sz w:val="16"/>
              </w:rPr>
              <w:t>-1.07%</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5,100</w:t>
            </w:r>
          </w:p>
        </w:tc>
        <w:tc>
          <w:tcPr>
            <w:tcW w:type="dxa" w:w="1417"/>
            <w:shd w:fill="FFFFFF" w:val="clear"/>
          </w:tcPr>
          <w:p>
            <w:r>
              <w:rPr>
                <w:sz w:val="16"/>
              </w:rPr>
              <w:t>5,040</w:t>
            </w:r>
          </w:p>
        </w:tc>
        <w:tc>
          <w:tcPr>
            <w:tcW w:type="dxa" w:w="1134"/>
            <w:shd w:fill="FFC7CE" w:val="clear"/>
          </w:tcPr>
          <w:p>
            <w:r>
              <w:rPr>
                <w:b/>
                <w:color w:val="B40000"/>
                <w:sz w:val="16"/>
              </w:rPr>
              <w:t>-1.17%</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37,400</w:t>
            </w:r>
          </w:p>
        </w:tc>
        <w:tc>
          <w:tcPr>
            <w:tcW w:type="dxa" w:w="1417"/>
            <w:shd w:fill="FFFFFF" w:val="clear"/>
          </w:tcPr>
          <w:p>
            <w:r>
              <w:rPr>
                <w:sz w:val="16"/>
              </w:rPr>
              <w:t>36,901</w:t>
            </w:r>
          </w:p>
        </w:tc>
        <w:tc>
          <w:tcPr>
            <w:tcW w:type="dxa" w:w="1134"/>
            <w:shd w:fill="FFC7CE" w:val="clear"/>
          </w:tcPr>
          <w:p>
            <w:r>
              <w:rPr>
                <w:b/>
                <w:color w:val="B40000"/>
                <w:sz w:val="16"/>
              </w:rPr>
              <w:t>-1.33%</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2,950</w:t>
            </w:r>
          </w:p>
        </w:tc>
        <w:tc>
          <w:tcPr>
            <w:tcW w:type="dxa" w:w="1417"/>
            <w:shd w:fill="FFFFFF" w:val="clear"/>
          </w:tcPr>
          <w:p>
            <w:r>
              <w:rPr>
                <w:sz w:val="16"/>
              </w:rPr>
              <w:t>2,898</w:t>
            </w:r>
          </w:p>
        </w:tc>
        <w:tc>
          <w:tcPr>
            <w:tcW w:type="dxa" w:w="1134"/>
            <w:shd w:fill="FFC7CE" w:val="clear"/>
          </w:tcPr>
          <w:p>
            <w:r>
              <w:rPr>
                <w:b/>
                <w:color w:val="B40000"/>
                <w:sz w:val="16"/>
              </w:rPr>
              <w:t>-1.78%</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1,985</w:t>
            </w:r>
          </w:p>
        </w:tc>
        <w:tc>
          <w:tcPr>
            <w:tcW w:type="dxa" w:w="1417"/>
            <w:shd w:fill="FFFFFF" w:val="clear"/>
          </w:tcPr>
          <w:p>
            <w:r>
              <w:rPr>
                <w:sz w:val="16"/>
              </w:rPr>
              <w:t>1,950</w:t>
            </w:r>
          </w:p>
        </w:tc>
        <w:tc>
          <w:tcPr>
            <w:tcW w:type="dxa" w:w="1134"/>
            <w:shd w:fill="FFC7CE" w:val="clear"/>
          </w:tcPr>
          <w:p>
            <w:r>
              <w:rPr>
                <w:b/>
                <w:color w:val="B40000"/>
                <w:sz w:val="16"/>
              </w:rPr>
              <w:t>-1.78%</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2,905</w:t>
            </w:r>
          </w:p>
        </w:tc>
        <w:tc>
          <w:tcPr>
            <w:tcW w:type="dxa" w:w="1417"/>
            <w:shd w:fill="FFFFFF" w:val="clear"/>
          </w:tcPr>
          <w:p>
            <w:r>
              <w:rPr>
                <w:sz w:val="16"/>
              </w:rPr>
              <w:t>2,848</w:t>
            </w:r>
          </w:p>
        </w:tc>
        <w:tc>
          <w:tcPr>
            <w:tcW w:type="dxa" w:w="1134"/>
            <w:shd w:fill="FFC7CE" w:val="clear"/>
          </w:tcPr>
          <w:p>
            <w:r>
              <w:rPr>
                <w:b/>
                <w:color w:val="B40000"/>
                <w:sz w:val="16"/>
              </w:rPr>
              <w:t>-1.95%</w:t>
            </w:r>
          </w:p>
        </w:tc>
        <w:tc>
          <w:tcPr>
            <w:tcW w:type="dxa" w:w="1134"/>
            <w:shd w:fill="FFEB9C" w:val="clear"/>
          </w:tcPr>
          <w:p>
            <w:r>
              <w:rPr>
                <w:sz w:val="16"/>
              </w:rPr>
              <w:t>Moyenne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17,050</w:t>
            </w:r>
          </w:p>
        </w:tc>
        <w:tc>
          <w:tcPr>
            <w:tcW w:type="dxa" w:w="1417"/>
            <w:shd w:fill="FFFFFF" w:val="clear"/>
          </w:tcPr>
          <w:p>
            <w:r>
              <w:rPr>
                <w:sz w:val="16"/>
              </w:rPr>
              <w:t>16,701</w:t>
            </w:r>
          </w:p>
        </w:tc>
        <w:tc>
          <w:tcPr>
            <w:tcW w:type="dxa" w:w="1134"/>
            <w:shd w:fill="FFC7CE" w:val="clear"/>
          </w:tcPr>
          <w:p>
            <w:r>
              <w:rPr>
                <w:b/>
                <w:color w:val="B40000"/>
                <w:sz w:val="16"/>
              </w:rPr>
              <w:t>-2.05%</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32,000</w:t>
            </w:r>
          </w:p>
        </w:tc>
        <w:tc>
          <w:tcPr>
            <w:tcW w:type="dxa" w:w="1417"/>
            <w:shd w:fill="FFFFFF" w:val="clear"/>
          </w:tcPr>
          <w:p>
            <w:r>
              <w:rPr>
                <w:sz w:val="16"/>
              </w:rPr>
              <w:t>31,084</w:t>
            </w:r>
          </w:p>
        </w:tc>
        <w:tc>
          <w:tcPr>
            <w:tcW w:type="dxa" w:w="1134"/>
            <w:shd w:fill="FFC7CE" w:val="clear"/>
          </w:tcPr>
          <w:p>
            <w:r>
              <w:rPr>
                <w:b/>
                <w:color w:val="B40000"/>
                <w:sz w:val="16"/>
              </w:rPr>
              <w:t>-2.86%</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7,900</w:t>
            </w:r>
          </w:p>
        </w:tc>
        <w:tc>
          <w:tcPr>
            <w:tcW w:type="dxa" w:w="1417"/>
            <w:shd w:fill="FFFFFF" w:val="clear"/>
          </w:tcPr>
          <w:p>
            <w:r>
              <w:rPr>
                <w:sz w:val="16"/>
              </w:rPr>
              <w:t>7,653</w:t>
            </w:r>
          </w:p>
        </w:tc>
        <w:tc>
          <w:tcPr>
            <w:tcW w:type="dxa" w:w="1134"/>
            <w:shd w:fill="FFC7CE" w:val="clear"/>
          </w:tcPr>
          <w:p>
            <w:r>
              <w:rPr>
                <w:b/>
                <w:color w:val="B40000"/>
                <w:sz w:val="16"/>
              </w:rPr>
              <w:t>-3.12%</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37,451</w:t>
            </w:r>
          </w:p>
        </w:tc>
        <w:tc>
          <w:tcPr>
            <w:tcW w:type="dxa" w:w="1134"/>
            <w:shd w:fill="FFC7CE" w:val="clear"/>
          </w:tcPr>
          <w:p>
            <w:r>
              <w:rPr>
                <w:b/>
                <w:color w:val="B40000"/>
                <w:sz w:val="16"/>
              </w:rPr>
              <w:t>-3.97%</w:t>
            </w:r>
          </w:p>
        </w:tc>
        <w:tc>
          <w:tcPr>
            <w:tcW w:type="dxa" w:w="1134"/>
            <w:shd w:fill="FFEB9C" w:val="clear"/>
          </w:tcPr>
          <w:p>
            <w:r>
              <w:rPr>
                <w:sz w:val="16"/>
              </w:rPr>
              <w:t>Moyenne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4,400</w:t>
            </w:r>
          </w:p>
        </w:tc>
        <w:tc>
          <w:tcPr>
            <w:tcW w:type="dxa" w:w="1417"/>
            <w:shd w:fill="FFFFFF" w:val="clear"/>
          </w:tcPr>
          <w:p>
            <w:r>
              <w:rPr>
                <w:sz w:val="16"/>
              </w:rPr>
              <w:t>4,211</w:t>
            </w:r>
          </w:p>
        </w:tc>
        <w:tc>
          <w:tcPr>
            <w:tcW w:type="dxa" w:w="1134"/>
            <w:shd w:fill="FFC7CE" w:val="clear"/>
          </w:tcPr>
          <w:p>
            <w:r>
              <w:rPr>
                <w:b/>
                <w:color w:val="B40000"/>
                <w:sz w:val="16"/>
              </w:rPr>
              <w:t>-4.29%</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16,600</w:t>
            </w:r>
          </w:p>
        </w:tc>
        <w:tc>
          <w:tcPr>
            <w:tcW w:type="dxa" w:w="1417"/>
            <w:shd w:fill="FFFFFF" w:val="clear"/>
          </w:tcPr>
          <w:p>
            <w:r>
              <w:rPr>
                <w:sz w:val="16"/>
              </w:rPr>
              <w:t>15,878</w:t>
            </w:r>
          </w:p>
        </w:tc>
        <w:tc>
          <w:tcPr>
            <w:tcW w:type="dxa" w:w="1134"/>
            <w:shd w:fill="FFC7CE" w:val="clear"/>
          </w:tcPr>
          <w:p>
            <w:r>
              <w:rPr>
                <w:b/>
                <w:color w:val="B40000"/>
                <w:sz w:val="16"/>
              </w:rPr>
              <w:t>-4.35%</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16,900</w:t>
            </w:r>
          </w:p>
        </w:tc>
        <w:tc>
          <w:tcPr>
            <w:tcW w:type="dxa" w:w="1417"/>
            <w:shd w:fill="FFFFFF" w:val="clear"/>
          </w:tcPr>
          <w:p>
            <w:r>
              <w:rPr>
                <w:sz w:val="16"/>
              </w:rPr>
              <w:t>16,097</w:t>
            </w:r>
          </w:p>
        </w:tc>
        <w:tc>
          <w:tcPr>
            <w:tcW w:type="dxa" w:w="1134"/>
            <w:shd w:fill="FFC7CE" w:val="clear"/>
          </w:tcPr>
          <w:p>
            <w:r>
              <w:rPr>
                <w:b/>
                <w:color w:val="B40000"/>
                <w:sz w:val="16"/>
              </w:rPr>
              <w:t>-4.75%</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1,900</w:t>
            </w:r>
          </w:p>
        </w:tc>
        <w:tc>
          <w:tcPr>
            <w:tcW w:type="dxa" w:w="1417"/>
            <w:shd w:fill="FFFFFF" w:val="clear"/>
          </w:tcPr>
          <w:p>
            <w:r>
              <w:rPr>
                <w:sz w:val="16"/>
              </w:rPr>
              <w:t>1,807</w:t>
            </w:r>
          </w:p>
        </w:tc>
        <w:tc>
          <w:tcPr>
            <w:tcW w:type="dxa" w:w="1134"/>
            <w:shd w:fill="FFC7CE" w:val="clear"/>
          </w:tcPr>
          <w:p>
            <w:r>
              <w:rPr>
                <w:b/>
                <w:color w:val="B40000"/>
                <w:sz w:val="16"/>
              </w:rPr>
              <w:t>-4.88%</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4,245</w:t>
            </w:r>
          </w:p>
        </w:tc>
        <w:tc>
          <w:tcPr>
            <w:tcW w:type="dxa" w:w="1417"/>
            <w:shd w:fill="FFFFFF" w:val="clear"/>
          </w:tcPr>
          <w:p>
            <w:r>
              <w:rPr>
                <w:sz w:val="16"/>
              </w:rPr>
              <w:t>3,989</w:t>
            </w:r>
          </w:p>
        </w:tc>
        <w:tc>
          <w:tcPr>
            <w:tcW w:type="dxa" w:w="1134"/>
            <w:shd w:fill="FFC7CE" w:val="clear"/>
          </w:tcPr>
          <w:p>
            <w:r>
              <w:rPr>
                <w:b/>
                <w:color w:val="B40000"/>
                <w:sz w:val="16"/>
              </w:rPr>
              <w:t>-6.03%</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2,650</w:t>
            </w:r>
          </w:p>
        </w:tc>
        <w:tc>
          <w:tcPr>
            <w:tcW w:type="dxa" w:w="1417"/>
            <w:shd w:fill="FFFFFF" w:val="clear"/>
          </w:tcPr>
          <w:p>
            <w:r>
              <w:rPr>
                <w:sz w:val="16"/>
              </w:rPr>
              <w:t>2,440</w:t>
            </w:r>
          </w:p>
        </w:tc>
        <w:tc>
          <w:tcPr>
            <w:tcW w:type="dxa" w:w="1134"/>
            <w:shd w:fill="FFC7CE" w:val="clear"/>
          </w:tcPr>
          <w:p>
            <w:r>
              <w:rPr>
                <w:b/>
                <w:color w:val="B40000"/>
                <w:sz w:val="16"/>
              </w:rPr>
              <w:t>-7.93%</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11,650</w:t>
            </w:r>
          </w:p>
        </w:tc>
        <w:tc>
          <w:tcPr>
            <w:tcW w:type="dxa" w:w="1417"/>
            <w:shd w:fill="FFFFFF" w:val="clear"/>
          </w:tcPr>
          <w:p>
            <w:r>
              <w:rPr>
                <w:sz w:val="16"/>
              </w:rPr>
              <w:t>10,670</w:t>
            </w:r>
          </w:p>
        </w:tc>
        <w:tc>
          <w:tcPr>
            <w:tcW w:type="dxa" w:w="1134"/>
            <w:shd w:fill="FFC7CE" w:val="clear"/>
          </w:tcPr>
          <w:p>
            <w:r>
              <w:rPr>
                <w:b/>
                <w:color w:val="B40000"/>
                <w:sz w:val="16"/>
              </w:rPr>
              <w:t>-8.41%</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29,200</w:t>
            </w:r>
          </w:p>
        </w:tc>
        <w:tc>
          <w:tcPr>
            <w:tcW w:type="dxa" w:w="1417"/>
            <w:shd w:fill="FFFFFF" w:val="clear"/>
          </w:tcPr>
          <w:p>
            <w:r>
              <w:rPr>
                <w:sz w:val="16"/>
              </w:rPr>
              <w:t>26,267</w:t>
            </w:r>
          </w:p>
        </w:tc>
        <w:tc>
          <w:tcPr>
            <w:tcW w:type="dxa" w:w="1134"/>
            <w:shd w:fill="FFC7CE" w:val="clear"/>
          </w:tcPr>
          <w:p>
            <w:r>
              <w:rPr>
                <w:b/>
                <w:color w:val="B40000"/>
                <w:sz w:val="16"/>
              </w:rPr>
              <w:t>-10.04%</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7,350</w:t>
            </w:r>
          </w:p>
        </w:tc>
        <w:tc>
          <w:tcPr>
            <w:tcW w:type="dxa" w:w="1417"/>
            <w:shd w:fill="FFFFFF" w:val="clear"/>
          </w:tcPr>
          <w:p>
            <w:r>
              <w:rPr>
                <w:sz w:val="16"/>
              </w:rPr>
              <w:t>6,556</w:t>
            </w:r>
          </w:p>
        </w:tc>
        <w:tc>
          <w:tcPr>
            <w:tcW w:type="dxa" w:w="1134"/>
            <w:shd w:fill="FFC7CE" w:val="clear"/>
          </w:tcPr>
          <w:p>
            <w:r>
              <w:rPr>
                <w:b/>
                <w:color w:val="B40000"/>
                <w:sz w:val="16"/>
              </w:rPr>
              <w:t>-10.80%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8,655</w:t>
            </w:r>
          </w:p>
        </w:tc>
        <w:tc>
          <w:tcPr>
            <w:tcW w:type="dxa" w:w="1417"/>
            <w:shd w:fill="FFFFFF" w:val="clear"/>
          </w:tcPr>
          <w:p>
            <w:r>
              <w:rPr>
                <w:sz w:val="16"/>
              </w:rPr>
              <w:t>7,685</w:t>
            </w:r>
          </w:p>
        </w:tc>
        <w:tc>
          <w:tcPr>
            <w:tcW w:type="dxa" w:w="1134"/>
            <w:shd w:fill="FFC7CE" w:val="clear"/>
          </w:tcPr>
          <w:p>
            <w:r>
              <w:rPr>
                <w:b/>
                <w:color w:val="B40000"/>
                <w:sz w:val="16"/>
              </w:rPr>
              <w:t>-11.21%</w:t>
            </w:r>
          </w:p>
        </w:tc>
        <w:tc>
          <w:tcPr>
            <w:tcW w:type="dxa" w:w="1134"/>
            <w:shd w:fill="FFEB9C" w:val="clear"/>
          </w:tcPr>
          <w:p>
            <w:r>
              <w:rPr>
                <w:sz w:val="16"/>
              </w:rPr>
              <w:t>Moyenne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1,495</w:t>
            </w:r>
          </w:p>
        </w:tc>
        <w:tc>
          <w:tcPr>
            <w:tcW w:type="dxa" w:w="1417"/>
            <w:shd w:fill="FFFFFF" w:val="clear"/>
          </w:tcPr>
          <w:p>
            <w:r>
              <w:rPr>
                <w:sz w:val="16"/>
              </w:rPr>
              <w:t>1,327</w:t>
            </w:r>
          </w:p>
        </w:tc>
        <w:tc>
          <w:tcPr>
            <w:tcW w:type="dxa" w:w="1134"/>
            <w:shd w:fill="FFC7CE" w:val="clear"/>
          </w:tcPr>
          <w:p>
            <w:r>
              <w:rPr>
                <w:b/>
                <w:color w:val="B40000"/>
                <w:sz w:val="16"/>
              </w:rPr>
              <w:t>-11.22%</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5,850</w:t>
            </w:r>
          </w:p>
        </w:tc>
        <w:tc>
          <w:tcPr>
            <w:tcW w:type="dxa" w:w="1417"/>
            <w:shd w:fill="FFFFFF" w:val="clear"/>
          </w:tcPr>
          <w:p>
            <w:r>
              <w:rPr>
                <w:sz w:val="16"/>
              </w:rPr>
              <w:t>5,157</w:t>
            </w:r>
          </w:p>
        </w:tc>
        <w:tc>
          <w:tcPr>
            <w:tcW w:type="dxa" w:w="1134"/>
            <w:shd w:fill="FFC7CE" w:val="clear"/>
          </w:tcPr>
          <w:p>
            <w:r>
              <w:rPr>
                <w:b/>
                <w:color w:val="B40000"/>
                <w:sz w:val="16"/>
              </w:rPr>
              <w:t>-11.85%</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3,600</w:t>
            </w:r>
          </w:p>
        </w:tc>
        <w:tc>
          <w:tcPr>
            <w:tcW w:type="dxa" w:w="1417"/>
            <w:shd w:fill="FFFFFF" w:val="clear"/>
          </w:tcPr>
          <w:p>
            <w:r>
              <w:rPr>
                <w:sz w:val="16"/>
              </w:rPr>
              <w:t>3,172</w:t>
            </w:r>
          </w:p>
        </w:tc>
        <w:tc>
          <w:tcPr>
            <w:tcW w:type="dxa" w:w="1134"/>
            <w:shd w:fill="FFC7CE" w:val="clear"/>
          </w:tcPr>
          <w:p>
            <w:r>
              <w:rPr>
                <w:b/>
                <w:color w:val="B40000"/>
                <w:sz w:val="16"/>
              </w:rPr>
              <w:t>-11.89%</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3,140</w:t>
            </w:r>
          </w:p>
        </w:tc>
        <w:tc>
          <w:tcPr>
            <w:tcW w:type="dxa" w:w="1417"/>
            <w:shd w:fill="FFFFFF" w:val="clear"/>
          </w:tcPr>
          <w:p>
            <w:r>
              <w:rPr>
                <w:sz w:val="16"/>
              </w:rPr>
              <w:t>2,758</w:t>
            </w:r>
          </w:p>
        </w:tc>
        <w:tc>
          <w:tcPr>
            <w:tcW w:type="dxa" w:w="1134"/>
            <w:shd w:fill="FFC7CE" w:val="clear"/>
          </w:tcPr>
          <w:p>
            <w:r>
              <w:rPr>
                <w:b/>
                <w:color w:val="B40000"/>
                <w:sz w:val="16"/>
              </w:rPr>
              <w:t>-12.17%</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7,700</w:t>
            </w:r>
          </w:p>
        </w:tc>
        <w:tc>
          <w:tcPr>
            <w:tcW w:type="dxa" w:w="1417"/>
            <w:shd w:fill="FFFFFF" w:val="clear"/>
          </w:tcPr>
          <w:p>
            <w:r>
              <w:rPr>
                <w:sz w:val="16"/>
              </w:rPr>
              <w:t>6,722</w:t>
            </w:r>
          </w:p>
        </w:tc>
        <w:tc>
          <w:tcPr>
            <w:tcW w:type="dxa" w:w="1134"/>
            <w:shd w:fill="FFC7CE" w:val="clear"/>
          </w:tcPr>
          <w:p>
            <w:r>
              <w:rPr>
                <w:b/>
                <w:color w:val="B40000"/>
                <w:sz w:val="16"/>
              </w:rPr>
              <w:t>-12.70%</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1,695</w:t>
            </w:r>
          </w:p>
        </w:tc>
        <w:tc>
          <w:tcPr>
            <w:tcW w:type="dxa" w:w="1417"/>
            <w:shd w:fill="FFFFFF" w:val="clear"/>
          </w:tcPr>
          <w:p>
            <w:r>
              <w:rPr>
                <w:sz w:val="16"/>
              </w:rPr>
              <w:t>1,450</w:t>
            </w:r>
          </w:p>
        </w:tc>
        <w:tc>
          <w:tcPr>
            <w:tcW w:type="dxa" w:w="1134"/>
            <w:shd w:fill="FFC7CE" w:val="clear"/>
          </w:tcPr>
          <w:p>
            <w:r>
              <w:rPr>
                <w:b/>
                <w:color w:val="B40000"/>
                <w:sz w:val="16"/>
              </w:rPr>
              <w:t>-14.45%</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8,125</w:t>
            </w:r>
          </w:p>
        </w:tc>
        <w:tc>
          <w:tcPr>
            <w:tcW w:type="dxa" w:w="1417"/>
            <w:shd w:fill="FFFFFF" w:val="clear"/>
          </w:tcPr>
          <w:p>
            <w:r>
              <w:rPr>
                <w:sz w:val="16"/>
              </w:rPr>
              <w:t>6,914</w:t>
            </w:r>
          </w:p>
        </w:tc>
        <w:tc>
          <w:tcPr>
            <w:tcW w:type="dxa" w:w="1134"/>
            <w:shd w:fill="FFC7CE" w:val="clear"/>
          </w:tcPr>
          <w:p>
            <w:r>
              <w:rPr>
                <w:b/>
                <w:color w:val="B40000"/>
                <w:sz w:val="16"/>
              </w:rPr>
              <w:t>-14.90%</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9,500</w:t>
            </w:r>
          </w:p>
        </w:tc>
        <w:tc>
          <w:tcPr>
            <w:tcW w:type="dxa" w:w="1417"/>
            <w:shd w:fill="FFFFFF" w:val="clear"/>
          </w:tcPr>
          <w:p>
            <w:r>
              <w:rPr>
                <w:sz w:val="16"/>
              </w:rPr>
              <w:t>7,284</w:t>
            </w:r>
          </w:p>
        </w:tc>
        <w:tc>
          <w:tcPr>
            <w:tcW w:type="dxa" w:w="1134"/>
            <w:shd w:fill="FFC7CE" w:val="clear"/>
          </w:tcPr>
          <w:p>
            <w:r>
              <w:rPr>
                <w:b/>
                <w:color w:val="B40000"/>
                <w:sz w:val="16"/>
              </w:rPr>
              <w:t>-23.33%</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2,430</w:t>
            </w:r>
          </w:p>
        </w:tc>
        <w:tc>
          <w:tcPr>
            <w:tcW w:type="dxa" w:w="1417"/>
            <w:shd w:fill="FFFFFF" w:val="clear"/>
          </w:tcPr>
          <w:p>
            <w:r>
              <w:rPr>
                <w:sz w:val="16"/>
              </w:rPr>
              <w:t>1,776</w:t>
            </w:r>
          </w:p>
        </w:tc>
        <w:tc>
          <w:tcPr>
            <w:tcW w:type="dxa" w:w="1134"/>
            <w:shd w:fill="FFC7CE" w:val="clear"/>
          </w:tcPr>
          <w:p>
            <w:r>
              <w:rPr>
                <w:b/>
                <w:color w:val="B40000"/>
                <w:sz w:val="16"/>
              </w:rPr>
              <w:t>-26.93%</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11,905</w:t>
            </w:r>
          </w:p>
        </w:tc>
        <w:tc>
          <w:tcPr>
            <w:tcW w:type="dxa" w:w="1417"/>
            <w:shd w:fill="FFFFFF" w:val="clear"/>
          </w:tcPr>
          <w:p>
            <w:r>
              <w:rPr>
                <w:sz w:val="16"/>
              </w:rPr>
              <w:t>8,652</w:t>
            </w:r>
          </w:p>
        </w:tc>
        <w:tc>
          <w:tcPr>
            <w:tcW w:type="dxa" w:w="1134"/>
            <w:shd w:fill="FFC7CE" w:val="clear"/>
          </w:tcPr>
          <w:p>
            <w:r>
              <w:rPr>
                <w:b/>
                <w:color w:val="B40000"/>
                <w:sz w:val="16"/>
              </w:rPr>
              <w:t>-27.32%</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2,285</w:t>
            </w:r>
          </w:p>
        </w:tc>
        <w:tc>
          <w:tcPr>
            <w:tcW w:type="dxa" w:w="1417"/>
            <w:shd w:fill="FFFFFF" w:val="clear"/>
          </w:tcPr>
          <w:p>
            <w:r>
              <w:rPr>
                <w:sz w:val="16"/>
              </w:rPr>
              <w:t>1,657</w:t>
            </w:r>
          </w:p>
        </w:tc>
        <w:tc>
          <w:tcPr>
            <w:tcW w:type="dxa" w:w="1134"/>
            <w:shd w:fill="FFC7CE" w:val="clear"/>
          </w:tcPr>
          <w:p>
            <w:r>
              <w:rPr>
                <w:b/>
                <w:color w:val="B40000"/>
                <w:sz w:val="16"/>
              </w:rPr>
              <w:t>-27.48%</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7,950</w:t>
            </w:r>
          </w:p>
        </w:tc>
        <w:tc>
          <w:tcPr>
            <w:tcW w:type="dxa" w:w="1417"/>
            <w:shd w:fill="FFFFFF" w:val="clear"/>
          </w:tcPr>
          <w:p>
            <w:r>
              <w:rPr>
                <w:sz w:val="16"/>
              </w:rPr>
              <w:t>5,429</w:t>
            </w:r>
          </w:p>
        </w:tc>
        <w:tc>
          <w:tcPr>
            <w:tcW w:type="dxa" w:w="1134"/>
            <w:shd w:fill="FFC7CE" w:val="clear"/>
          </w:tcPr>
          <w:p>
            <w:r>
              <w:rPr>
                <w:b/>
                <w:color w:val="B40000"/>
                <w:sz w:val="16"/>
              </w:rPr>
              <w:t>-31.71%</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2,260</w:t>
            </w:r>
          </w:p>
        </w:tc>
        <w:tc>
          <w:tcPr>
            <w:tcW w:type="dxa" w:w="1417"/>
            <w:shd w:fill="FFFFFF" w:val="clear"/>
          </w:tcPr>
          <w:p>
            <w:r>
              <w:rPr>
                <w:sz w:val="16"/>
              </w:rPr>
              <w:t>1,379</w:t>
            </w:r>
          </w:p>
        </w:tc>
        <w:tc>
          <w:tcPr>
            <w:tcW w:type="dxa" w:w="1134"/>
            <w:shd w:fill="FFC7CE" w:val="clear"/>
          </w:tcPr>
          <w:p>
            <w:r>
              <w:rPr>
                <w:b/>
                <w:color w:val="B40000"/>
                <w:sz w:val="16"/>
              </w:rPr>
              <w:t>-38.97%</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2,630</w:t>
            </w:r>
          </w:p>
        </w:tc>
        <w:tc>
          <w:tcPr>
            <w:tcW w:type="dxa" w:w="1417"/>
            <w:shd w:fill="FFFFFF" w:val="clear"/>
          </w:tcPr>
          <w:p>
            <w:r>
              <w:rPr>
                <w:sz w:val="16"/>
              </w:rPr>
              <w:t>1,604</w:t>
            </w:r>
          </w:p>
        </w:tc>
        <w:tc>
          <w:tcPr>
            <w:tcW w:type="dxa" w:w="1134"/>
            <w:shd w:fill="FFC7CE" w:val="clear"/>
          </w:tcPr>
          <w:p>
            <w:r>
              <w:rPr>
                <w:b/>
                <w:color w:val="B40000"/>
                <w:sz w:val="16"/>
              </w:rPr>
              <w:t>-39.02%</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5,310</w:t>
            </w:r>
          </w:p>
        </w:tc>
        <w:tc>
          <w:tcPr>
            <w:tcW w:type="dxa" w:w="1417"/>
            <w:shd w:fill="FFFFFF" w:val="clear"/>
          </w:tcPr>
          <w:p>
            <w:r>
              <w:rPr>
                <w:sz w:val="16"/>
              </w:rPr>
              <w:t>3,185</w:t>
            </w:r>
          </w:p>
        </w:tc>
        <w:tc>
          <w:tcPr>
            <w:tcW w:type="dxa" w:w="1134"/>
            <w:shd w:fill="FFC7CE" w:val="clear"/>
          </w:tcPr>
          <w:p>
            <w:r>
              <w:rPr>
                <w:b/>
                <w:color w:val="B40000"/>
                <w:sz w:val="16"/>
              </w:rPr>
              <w:t>-40.03%</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29,000</w:t>
            </w:r>
          </w:p>
        </w:tc>
        <w:tc>
          <w:tcPr>
            <w:tcW w:type="dxa" w:w="1417"/>
            <w:shd w:fill="FFFFFF" w:val="clear"/>
          </w:tcPr>
          <w:p>
            <w:r>
              <w:rPr>
                <w:sz w:val="16"/>
              </w:rPr>
              <w:t>17,388</w:t>
            </w:r>
          </w:p>
        </w:tc>
        <w:tc>
          <w:tcPr>
            <w:tcW w:type="dxa" w:w="1134"/>
            <w:shd w:fill="FFC7CE" w:val="clear"/>
          </w:tcPr>
          <w:p>
            <w:r>
              <w:rPr>
                <w:b/>
                <w:color w:val="B40000"/>
                <w:sz w:val="16"/>
              </w:rPr>
              <w:t>-40.04%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4,810</w:t>
            </w:r>
          </w:p>
        </w:tc>
        <w:tc>
          <w:tcPr>
            <w:tcW w:type="dxa" w:w="1417"/>
            <w:shd w:fill="FFFFFF" w:val="clear"/>
          </w:tcPr>
          <w:p>
            <w:r>
              <w:rPr>
                <w:sz w:val="16"/>
              </w:rPr>
              <w:t>2,206</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3,660</w:t>
            </w:r>
          </w:p>
        </w:tc>
        <w:tc>
          <w:tcPr>
            <w:tcW w:type="dxa" w:w="1417"/>
            <w:shd w:fill="FFFFFF" w:val="clear"/>
          </w:tcPr>
          <w:p>
            <w:r>
              <w:rPr>
                <w:sz w:val="16"/>
              </w:rPr>
              <w:t>1,678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69</w:t>
            </w:r>
          </w:p>
        </w:tc>
        <w:tc>
          <w:tcPr>
            <w:tcW w:type="dxa" w:w="1417"/>
            <w:shd w:fill="FFFFFF" w:val="clear"/>
          </w:tcPr>
          <w:p>
            <w:r>
              <w:rPr>
                <w:sz w:val="16"/>
              </w:rPr>
              <w:t>32</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34.26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3,187 titres</w:t>
            </w:r>
          </w:p>
        </w:tc>
        <w:tc>
          <w:tcPr>
            <w:tcW w:type="dxa" w:w="2268"/>
            <w:shd w:fill="FFF2CC" w:val="clear"/>
          </w:tcPr>
          <w:p>
            <w:r>
              <w:rPr>
                <w:b/>
                <w:color w:val="503200"/>
                <w:sz w:val="16"/>
              </w:rPr>
              <w:t xml:space="preserve">Cours actuel : </w:t>
            </w:r>
            <w:r>
              <w:rPr>
                <w:color w:val="000000"/>
                <w:sz w:val="17"/>
              </w:rPr>
              <w:t>3,140 FCFA</w:t>
            </w:r>
          </w:p>
          <w:p>
            <w:r>
              <w:rPr>
                <w:b/>
                <w:color w:val="503200"/>
                <w:sz w:val="16"/>
              </w:rPr>
              <w:t xml:space="preserve">Var. 100 jours : </w:t>
            </w:r>
            <w:r>
              <w:rPr>
                <w:b/>
                <w:color w:val="B40000"/>
                <w:sz w:val="17"/>
              </w:rPr>
              <w:t>-8.99%</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54.7%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7.46% (Moyenne) — μ=3,220 FCFA, σ=240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β=-0.7292 (Contre-cyclique) — Cov=-0.000027, Var(idx)=0.000036, ρ=-0.127,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3,187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σ_j=3.45%/j (Modérée) — Vol. annualisée≈54.7%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2026-08-12</w:t>
            </w:r>
          </w:p>
        </w:tc>
        <w:tc>
          <w:tcPr>
            <w:tcW w:type="dxa" w:w="1440"/>
            <w:shd w:fill="FFDCE0" w:val="clear"/>
          </w:tcPr>
          <w:p>
            <w:r>
              <w:rPr>
                <w:sz w:val="17"/>
              </w:rPr>
              <w:t>2,914</w:t>
            </w:r>
          </w:p>
        </w:tc>
        <w:tc>
          <w:tcPr>
            <w:tcW w:type="dxa" w:w="1440"/>
            <w:shd w:fill="FFDCE0" w:val="clear"/>
          </w:tcPr>
          <w:p>
            <w:r>
              <w:rPr>
                <w:b/>
                <w:sz w:val="17"/>
              </w:rPr>
              <w:t>3,057</w:t>
            </w:r>
          </w:p>
        </w:tc>
        <w:tc>
          <w:tcPr>
            <w:tcW w:type="dxa" w:w="1440"/>
            <w:shd w:fill="FFDCE0" w:val="clear"/>
          </w:tcPr>
          <w:p>
            <w:r>
              <w:rPr>
                <w:sz w:val="17"/>
              </w:rPr>
              <w:t>3,201</w:t>
            </w:r>
          </w:p>
        </w:tc>
        <w:tc>
          <w:tcPr>
            <w:tcW w:type="dxa" w:w="1440"/>
            <w:shd w:fill="FFDCE0" w:val="clear"/>
          </w:tcPr>
          <w:p>
            <w:r>
              <w:rPr>
                <w:b/>
                <w:color w:val="C00000"/>
                <w:sz w:val="17"/>
              </w:rPr>
              <w:t>-2.6%</w:t>
            </w:r>
          </w:p>
        </w:tc>
      </w:tr>
      <w:tr>
        <w:tc>
          <w:tcPr>
            <w:tcW w:type="dxa" w:w="1440"/>
            <w:shd w:fill="FFDCE0" w:val="clear"/>
          </w:tcPr>
          <w:p>
            <w:r>
              <w:rPr>
                <w:sz w:val="17"/>
              </w:rPr>
              <w:t>J+2  Moyenne</w:t>
            </w:r>
          </w:p>
        </w:tc>
        <w:tc>
          <w:tcPr>
            <w:tcW w:type="dxa" w:w="1440"/>
            <w:shd w:fill="FFDCE0" w:val="clear"/>
          </w:tcPr>
          <w:p>
            <w:r>
              <w:rPr>
                <w:sz w:val="17"/>
              </w:rPr>
              <w:t>2026-08-13</w:t>
            </w:r>
          </w:p>
        </w:tc>
        <w:tc>
          <w:tcPr>
            <w:tcW w:type="dxa" w:w="1440"/>
            <w:shd w:fill="FFDCE0" w:val="clear"/>
          </w:tcPr>
          <w:p>
            <w:r>
              <w:rPr>
                <w:sz w:val="17"/>
              </w:rPr>
              <w:t>2,823</w:t>
            </w:r>
          </w:p>
        </w:tc>
        <w:tc>
          <w:tcPr>
            <w:tcW w:type="dxa" w:w="1440"/>
            <w:shd w:fill="FFDCE0" w:val="clear"/>
          </w:tcPr>
          <w:p>
            <w:r>
              <w:rPr>
                <w:b/>
                <w:sz w:val="17"/>
              </w:rPr>
              <w:t>3,024</w:t>
            </w:r>
          </w:p>
        </w:tc>
        <w:tc>
          <w:tcPr>
            <w:tcW w:type="dxa" w:w="1440"/>
            <w:shd w:fill="FFDCE0" w:val="clear"/>
          </w:tcPr>
          <w:p>
            <w:r>
              <w:rPr>
                <w:sz w:val="17"/>
              </w:rPr>
              <w:t>3,225</w:t>
            </w:r>
          </w:p>
        </w:tc>
        <w:tc>
          <w:tcPr>
            <w:tcW w:type="dxa" w:w="1440"/>
            <w:shd w:fill="FFDCE0" w:val="clear"/>
          </w:tcPr>
          <w:p>
            <w:r>
              <w:rPr>
                <w:b/>
                <w:color w:val="C00000"/>
                <w:sz w:val="17"/>
              </w:rPr>
              <w:t>-3.7%</w:t>
            </w:r>
          </w:p>
        </w:tc>
      </w:tr>
      <w:tr>
        <w:tc>
          <w:tcPr>
            <w:tcW w:type="dxa" w:w="1440"/>
            <w:shd w:fill="FFDCE0" w:val="clear"/>
          </w:tcPr>
          <w:p>
            <w:r>
              <w:rPr>
                <w:sz w:val="17"/>
              </w:rPr>
              <w:t>J+3  Moyenne</w:t>
            </w:r>
          </w:p>
        </w:tc>
        <w:tc>
          <w:tcPr>
            <w:tcW w:type="dxa" w:w="1440"/>
            <w:shd w:fill="FFDCE0" w:val="clear"/>
          </w:tcPr>
          <w:p>
            <w:r>
              <w:rPr>
                <w:sz w:val="17"/>
              </w:rPr>
              <w:t>2026-08-14</w:t>
            </w:r>
          </w:p>
        </w:tc>
        <w:tc>
          <w:tcPr>
            <w:tcW w:type="dxa" w:w="1440"/>
            <w:shd w:fill="FFDCE0" w:val="clear"/>
          </w:tcPr>
          <w:p>
            <w:r>
              <w:rPr>
                <w:sz w:val="17"/>
              </w:rPr>
              <w:t>2,736</w:t>
            </w:r>
          </w:p>
        </w:tc>
        <w:tc>
          <w:tcPr>
            <w:tcW w:type="dxa" w:w="1440"/>
            <w:shd w:fill="FFDCE0" w:val="clear"/>
          </w:tcPr>
          <w:p>
            <w:r>
              <w:rPr>
                <w:b/>
                <w:sz w:val="17"/>
              </w:rPr>
              <w:t>2,978</w:t>
            </w:r>
          </w:p>
        </w:tc>
        <w:tc>
          <w:tcPr>
            <w:tcW w:type="dxa" w:w="1440"/>
            <w:shd w:fill="FFDCE0" w:val="clear"/>
          </w:tcPr>
          <w:p>
            <w:r>
              <w:rPr>
                <w:sz w:val="17"/>
              </w:rPr>
              <w:t>3,220</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2,662</w:t>
            </w:r>
          </w:p>
        </w:tc>
        <w:tc>
          <w:tcPr>
            <w:tcW w:type="dxa" w:w="1440"/>
            <w:shd w:fill="FFDCE0" w:val="clear"/>
          </w:tcPr>
          <w:p>
            <w:r>
              <w:rPr>
                <w:b/>
                <w:sz w:val="17"/>
              </w:rPr>
              <w:t>2,938</w:t>
            </w:r>
          </w:p>
        </w:tc>
        <w:tc>
          <w:tcPr>
            <w:tcW w:type="dxa" w:w="1440"/>
            <w:shd w:fill="FFDCE0" w:val="clear"/>
          </w:tcPr>
          <w:p>
            <w:r>
              <w:rPr>
                <w:sz w:val="17"/>
              </w:rPr>
              <w:t>3,214</w:t>
            </w:r>
          </w:p>
        </w:tc>
        <w:tc>
          <w:tcPr>
            <w:tcW w:type="dxa" w:w="1440"/>
            <w:shd w:fill="FFDCE0" w:val="clear"/>
          </w:tcPr>
          <w:p>
            <w:r>
              <w:rPr>
                <w:b/>
                <w:color w:val="C00000"/>
                <w:sz w:val="17"/>
              </w:rPr>
              <w:t>-6.4%</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2,599</w:t>
            </w:r>
          </w:p>
        </w:tc>
        <w:tc>
          <w:tcPr>
            <w:tcW w:type="dxa" w:w="1440"/>
            <w:shd w:fill="FFDCE0" w:val="clear"/>
          </w:tcPr>
          <w:p>
            <w:r>
              <w:rPr>
                <w:b/>
                <w:sz w:val="17"/>
              </w:rPr>
              <w:t>2,903</w:t>
            </w:r>
          </w:p>
        </w:tc>
        <w:tc>
          <w:tcPr>
            <w:tcW w:type="dxa" w:w="1440"/>
            <w:shd w:fill="FFDCE0" w:val="clear"/>
          </w:tcPr>
          <w:p>
            <w:r>
              <w:rPr>
                <w:sz w:val="17"/>
              </w:rPr>
              <w:t>3,208</w:t>
            </w:r>
          </w:p>
        </w:tc>
        <w:tc>
          <w:tcPr>
            <w:tcW w:type="dxa" w:w="1440"/>
            <w:shd w:fill="FFDCE0" w:val="clear"/>
          </w:tcPr>
          <w:p>
            <w:r>
              <w:rPr>
                <w:b/>
                <w:color w:val="C00000"/>
                <w:sz w:val="17"/>
              </w:rPr>
              <w:t>-7.5%</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2,541</w:t>
            </w:r>
          </w:p>
        </w:tc>
        <w:tc>
          <w:tcPr>
            <w:tcW w:type="dxa" w:w="1440"/>
            <w:shd w:fill="FFDCE0" w:val="clear"/>
          </w:tcPr>
          <w:p>
            <w:r>
              <w:rPr>
                <w:b/>
                <w:sz w:val="17"/>
              </w:rPr>
              <w:t>2,871</w:t>
            </w:r>
          </w:p>
        </w:tc>
        <w:tc>
          <w:tcPr>
            <w:tcW w:type="dxa" w:w="1440"/>
            <w:shd w:fill="FFDCE0" w:val="clear"/>
          </w:tcPr>
          <w:p>
            <w:r>
              <w:rPr>
                <w:sz w:val="17"/>
              </w:rPr>
              <w:t>3,201</w:t>
            </w:r>
          </w:p>
        </w:tc>
        <w:tc>
          <w:tcPr>
            <w:tcW w:type="dxa" w:w="1440"/>
            <w:shd w:fill="FFDCE0" w:val="clear"/>
          </w:tcPr>
          <w:p>
            <w:r>
              <w:rPr>
                <w:b/>
                <w:color w:val="C00000"/>
                <w:sz w:val="17"/>
              </w:rPr>
              <w:t>-8.6%</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2,488</w:t>
            </w:r>
          </w:p>
        </w:tc>
        <w:tc>
          <w:tcPr>
            <w:tcW w:type="dxa" w:w="1440"/>
            <w:shd w:fill="FFDCE0" w:val="clear"/>
          </w:tcPr>
          <w:p>
            <w:r>
              <w:rPr>
                <w:b/>
                <w:sz w:val="17"/>
              </w:rPr>
              <w:t>2,841</w:t>
            </w:r>
          </w:p>
        </w:tc>
        <w:tc>
          <w:tcPr>
            <w:tcW w:type="dxa" w:w="1440"/>
            <w:shd w:fill="FFDCE0" w:val="clear"/>
          </w:tcPr>
          <w:p>
            <w:r>
              <w:rPr>
                <w:sz w:val="17"/>
              </w:rPr>
              <w:t>3,194</w:t>
            </w:r>
          </w:p>
        </w:tc>
        <w:tc>
          <w:tcPr>
            <w:tcW w:type="dxa" w:w="1440"/>
            <w:shd w:fill="FFDCE0" w:val="clear"/>
          </w:tcPr>
          <w:p>
            <w:r>
              <w:rPr>
                <w:b/>
                <w:color w:val="C00000"/>
                <w:sz w:val="17"/>
              </w:rPr>
              <w:t>-9.5%</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2,439</w:t>
            </w:r>
          </w:p>
        </w:tc>
        <w:tc>
          <w:tcPr>
            <w:tcW w:type="dxa" w:w="1440"/>
            <w:shd w:fill="FFDCE0" w:val="clear"/>
          </w:tcPr>
          <w:p>
            <w:r>
              <w:rPr>
                <w:b/>
                <w:sz w:val="17"/>
              </w:rPr>
              <w:t>2,812</w:t>
            </w:r>
          </w:p>
        </w:tc>
        <w:tc>
          <w:tcPr>
            <w:tcW w:type="dxa" w:w="1440"/>
            <w:shd w:fill="FFDCE0" w:val="clear"/>
          </w:tcPr>
          <w:p>
            <w:r>
              <w:rPr>
                <w:sz w:val="17"/>
              </w:rPr>
              <w:t>3,185</w:t>
            </w:r>
          </w:p>
        </w:tc>
        <w:tc>
          <w:tcPr>
            <w:tcW w:type="dxa" w:w="1440"/>
            <w:shd w:fill="FFDCE0" w:val="clear"/>
          </w:tcPr>
          <w:p>
            <w:r>
              <w:rPr>
                <w:b/>
                <w:color w:val="C00000"/>
                <w:sz w:val="17"/>
              </w:rPr>
              <w:t>-10.4%</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2,392</w:t>
            </w:r>
          </w:p>
        </w:tc>
        <w:tc>
          <w:tcPr>
            <w:tcW w:type="dxa" w:w="1440"/>
            <w:shd w:fill="FFDCE0" w:val="clear"/>
          </w:tcPr>
          <w:p>
            <w:r>
              <w:rPr>
                <w:b/>
                <w:sz w:val="17"/>
              </w:rPr>
              <w:t>2,784</w:t>
            </w:r>
          </w:p>
        </w:tc>
        <w:tc>
          <w:tcPr>
            <w:tcW w:type="dxa" w:w="1440"/>
            <w:shd w:fill="FFDCE0" w:val="clear"/>
          </w:tcPr>
          <w:p>
            <w:r>
              <w:rPr>
                <w:sz w:val="17"/>
              </w:rPr>
              <w:t>3,176</w:t>
            </w:r>
          </w:p>
        </w:tc>
        <w:tc>
          <w:tcPr>
            <w:tcW w:type="dxa" w:w="1440"/>
            <w:shd w:fill="FFDCE0" w:val="clear"/>
          </w:tcPr>
          <w:p>
            <w:r>
              <w:rPr>
                <w:b/>
                <w:color w:val="C00000"/>
                <w:sz w:val="17"/>
              </w:rPr>
              <w:t>-11.3%</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2,348</w:t>
            </w:r>
          </w:p>
        </w:tc>
        <w:tc>
          <w:tcPr>
            <w:tcW w:type="dxa" w:w="1440"/>
            <w:shd w:fill="FFDCE0" w:val="clear"/>
          </w:tcPr>
          <w:p>
            <w:r>
              <w:rPr>
                <w:b/>
                <w:sz w:val="17"/>
              </w:rPr>
              <w:t>2,758</w:t>
            </w:r>
          </w:p>
        </w:tc>
        <w:tc>
          <w:tcPr>
            <w:tcW w:type="dxa" w:w="1440"/>
            <w:shd w:fill="FFDCE0" w:val="clear"/>
          </w:tcPr>
          <w:p>
            <w:r>
              <w:rPr>
                <w:sz w:val="17"/>
              </w:rPr>
              <w:t>3,167</w:t>
            </w:r>
          </w:p>
        </w:tc>
        <w:tc>
          <w:tcPr>
            <w:tcW w:type="dxa" w:w="1440"/>
            <w:shd w:fill="FFDCE0" w:val="clear"/>
          </w:tcPr>
          <w:p>
            <w:r>
              <w:rPr>
                <w:b/>
                <w:color w:val="C00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11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34,26 milliards FCFA, un niveau significatif pour une valeur de la BRVM, reflétant sa position de leader dans les services aéroportuaires en Côte d'Ivoire. Avec un BPA de 124 FCFA, le titre se paie 25,4 fois ses bénéfices (PER), un niveau nettement supérieur à la moyenne du marché BRVM (8-12x). Cette prime suggère que le marché intègre des attentes de croissance future ou une certaine rareté du titre, mais elle expose également l'action à un risque de correction si ces attentes ne se matérialisent pas. Le P/B de 6,64x confirme cette valorisation exigeante, le marché valorisant fortement les actifs nets de la société. Enfin, un EV/EBITDA de 12,8x indique que la valeur d'entreprise est élevée par rapport à sa capacité opérationnelle, ce qui renforce le constat d'une valorisation riche, nécessitant une exécution parfaite de la stratégie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 enregistré une baisse de -8,99%, mais a rebondi de +4,32% lors de la dernière séance, signe d'un possible retour des acheteurs. Le titre a évolué dans une fourchette large de 2 800 à 3 780 FCFA, démontrant une volatilité importante. Le cours actuel de 3 140 FCFA se situe sous la moyenne (3 220 FCFA) et la médiane (3 205 FCFA), indiquant une tendance baissière sur la période. L'écart-type de 241 FCFA (CV=7,5%) montre une dispersion modérée autour de la moyenne. Le kurtosis de -0,793 (mésokurtique) et le skewness de 0,260 indiquent une distribution proche de la normale, sans risque de mouvements extrêmes particuliers. Cependant, la volatilité annualisée de 54,7% classe le titre comme très risqué,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(3 140 FCFA) est inférieur à la MM50 (3 158,8 FCFA) mais supérieur à la MM20 (3 041,25 FCFA). Cette configuration, avec une MM20 en dessous de la MM50, confirme une tendance baissière de moyen terme, mais le croisement récent du cours au-dessus de la MM20 suggère un potentiel rebond à court terme. La décision de "Vente" est justifiée par la tendance de fond.</w:t>
      </w:r>
    </w:p>
    <w:p>
      <w:pPr>
        <w:spacing w:after="120" w:line="276" w:lineRule="auto"/>
      </w:pPr>
      <w:r>
        <w:t>**Bandes de Bollinger** : Le cours se situe à l'intérieur des bandes (borne supérieure à 3 237,286 et inférieure à 2 845,214), indiquant une volatilité en contraction après les mouvements récents. La position du prix, plus proche de la borne supérieure, suggère un momentum haussier à très court terme, mais la décision "Neutre" est cohérente avec une phase de consolidation.</w:t>
      </w:r>
    </w:p>
    <w:p>
      <w:pPr>
        <w:spacing w:after="120" w:line="276" w:lineRule="auto"/>
      </w:pPr>
      <w:r>
        <w:t>**MACD** : Le MACD (-38,011) est négatif mais au-dessus de sa ligne de signal (-44,394). Cette configuration, bien que le momentum reste négatif, montre une décélération de la baisse et un croisement haussier potentiel. La décision "Achat" est donc un signal précoce de retournement.</w:t>
      </w:r>
    </w:p>
    <w:p>
      <w:pPr>
        <w:spacing w:after="120" w:line="276" w:lineRule="auto"/>
      </w:pPr>
      <w:r>
        <w:t>**RSI** : À 59,375, le RSI est en zone neutre (30-70), indiquant un équilibre entre acheteurs et vendeurs. Il n'y a pas de pression excessive à l'achat ou à la vente, ce qui justifie la décision "Neutre".</w:t>
      </w:r>
    </w:p>
    <w:p>
      <w:pPr>
        <w:spacing w:after="120" w:line="276" w:lineRule="auto"/>
      </w:pPr>
      <w:r>
        <w:t>**Stochastique** : Le %K (89,474) est très élevé et nettement au-dessus du %D (66,667), ce qui place le titre en zone de surachat à court terme. La décision "Vente" est un signal de prudence, anticipant un possible repli technique après ce mouvement rapide.</w:t>
      </w:r>
    </w:p>
    <w:p>
      <w:pPr>
        <w:spacing w:after="120" w:line="276" w:lineRule="auto"/>
      </w:pPr>
      <w:r>
        <w:t>**Conclusion technique** : Les signaux sont mitigés. Le MACD suggère un début de retournement haussier, mais le Stochastique indique un surachat imminent. La tendance de fond reste baissière (MM), mais le cours tente de se stabiliser. Un scénario de consolidation entre 3 000 et 3 200 FCFA semble le plus probable à court terme.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ABJC a réalisé un chiffre d'affaires de 13,298 milliards FCFA, en croissance de +6,7%, mais son résultat net a baissé de -12,1% à 1,351 milliard FCFA, pénalisé par une hausse de l'impôt (+46,7%). La rentabilité reste néanmoins excellente avec un ROE de 26,2% et un ROA de 14,6%. La structure financière est très saine avec une autonomie financière de 55,9% et une trésorerie nette de 4,035 milliards FCFA. Le BFR est maîtrisé (257 millions FCFA), avec un délai client de 70 jours et un délai fournisseur de 92 jours, favorable à la trésorerie. Les rapports trimestriels 2025 montrent une année en deux temps : un T1 difficile (résultat net -6,8% à 346 millions FCFA) dû à un litige avec la BCEAO et des charges exceptionnelles, suivi d'un T3 très solide (résultat net +17,1% à 1,325 milliard FCFA). Cependant, le rapport du T1 2026 (publié en 2026) est alarmant : malgré une croissance du CA de +1,9%, le résultat net chute de -35,6% à 222,6 millions FCFA, impacté par les ajustements de redevances aéroportuaires. Sur cette base, on estime que l'exercice 2026 pourrait voir une contraction significative de la rentabilité, avec un résultat net potentiel autour de 1 milliard FCFA, si la tendance se maintient.</w:t>
      </w:r>
    </w:p>
    <w:p>
      <w:pPr>
        <w:spacing w:after="120" w:line="276" w:lineRule="auto"/>
      </w:pPr>
      <w:r>
        <w:t>---</w:t>
      </w:r>
    </w:p>
    <w:p>
      <w:pPr>
        <w:spacing w:after="120" w:line="276" w:lineRule="auto"/>
      </w:pPr>
      <w:r>
        <w:t>### PARTIE 4 : CONCLUSION D'INVESTISSEMENT</w:t>
      </w:r>
    </w:p>
    <w:p>
      <w:pPr>
        <w:spacing w:after="120" w:line="276" w:lineRule="auto"/>
      </w:pPr>
      <w:r>
        <w:t>La valorisation d'ABJC est clairement exigeante (PER 25,4x, P/B 6,64x) et ne laisse que peu de marge de sécurité, surtout face à une dégradation récente des fondamentaux. Le comportement du cours sur 100 jours est baissier (-9%) avec une volatilité très élevée (54,7%), mais les statistiques montrent une distribution normale sans risque extrême. Les signaux techniques sont mitigés, oscillant entre un début de retournement (MACD) et un surachat à court terme (Stochastique), dans une tendance de fond toujours négative. Fondamentalement, la société est solide (ROE &gt; 26%, trésorerie abondante), mais les perspectives 2026 sont préoccupantes, avec une chute estimée du résultat net. Les prédictions IA (3 057 FCFA à J+1, puis baisse continue jusqu'à 2 903 FCFA à J+10) confirment le scénario de faiblesse à court terme. La convergence des signaux (valorisation riche, tendance baissière, fondamentaux en détérioration, prédictions négatives) nous amène à formuler une recommandation **VENTE**, avec un niveau de confiance **Moyen** et un risque global **Élevé**. L'horizon d'investissement optimal serait de **court terme (&lt; 3 mois)** pour les investisseurs cherchant à réduire leur exposition, en attendant une stabilisation des résultats et une valorisation plus attractive.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459.19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8,539 titres</w:t>
            </w:r>
          </w:p>
        </w:tc>
        <w:tc>
          <w:tcPr>
            <w:tcW w:type="dxa" w:w="2268"/>
            <w:shd w:fill="FFF2CC" w:val="clear"/>
          </w:tcPr>
          <w:p>
            <w:r>
              <w:rPr>
                <w:b/>
                <w:color w:val="503200"/>
                <w:sz w:val="16"/>
              </w:rPr>
              <w:t xml:space="preserve">Cours actuel : </w:t>
            </w:r>
            <w:r>
              <w:rPr>
                <w:color w:val="000000"/>
                <w:sz w:val="17"/>
              </w:rPr>
              <w:t>7,950 FCFA</w:t>
            </w:r>
          </w:p>
          <w:p>
            <w:r>
              <w:rPr>
                <w:b/>
                <w:color w:val="503200"/>
                <w:sz w:val="16"/>
              </w:rPr>
              <w:t xml:space="preserve">Var. 100 jours : </w:t>
            </w:r>
            <w:r>
              <w:rPr>
                <w:b/>
                <w:color w:val="007800"/>
                <w:sz w:val="17"/>
              </w:rPr>
              <w:t>+52.44%</w:t>
            </w:r>
          </w:p>
          <w:p>
            <w:r>
              <w:rPr>
                <w:b/>
                <w:color w:val="503200"/>
                <w:sz w:val="16"/>
              </w:rPr>
              <w:t xml:space="preserve">Plus haut 100j : </w:t>
            </w:r>
            <w:r>
              <w:rPr>
                <w:color w:val="000000"/>
                <w:sz w:val="17"/>
              </w:rPr>
              <w:t>7,950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29.3%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14.37% (Moyenne) — μ=5,784 FCFA, σ=831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β=0.5413 (Défensif) — Cov=0.000020, Var(idx)=0.000036, ρ=0.175,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8,539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2026-08-12</w:t>
            </w:r>
          </w:p>
        </w:tc>
        <w:tc>
          <w:tcPr>
            <w:tcW w:type="dxa" w:w="1440"/>
            <w:shd w:fill="FFDCE0" w:val="clear"/>
          </w:tcPr>
          <w:p>
            <w:r>
              <w:rPr>
                <w:sz w:val="17"/>
              </w:rPr>
              <w:t>7,047</w:t>
            </w:r>
          </w:p>
        </w:tc>
        <w:tc>
          <w:tcPr>
            <w:tcW w:type="dxa" w:w="1440"/>
            <w:shd w:fill="FFDCE0" w:val="clear"/>
          </w:tcPr>
          <w:p>
            <w:r>
              <w:rPr>
                <w:b/>
                <w:sz w:val="17"/>
              </w:rPr>
              <w:t>7,354</w:t>
            </w:r>
          </w:p>
        </w:tc>
        <w:tc>
          <w:tcPr>
            <w:tcW w:type="dxa" w:w="1440"/>
            <w:shd w:fill="FFDCE0" w:val="clear"/>
          </w:tcPr>
          <w:p>
            <w:r>
              <w:rPr>
                <w:sz w:val="17"/>
              </w:rPr>
              <w:t>7,661</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6,401</w:t>
            </w:r>
          </w:p>
        </w:tc>
        <w:tc>
          <w:tcPr>
            <w:tcW w:type="dxa" w:w="1440"/>
            <w:shd w:fill="FFDCE0" w:val="clear"/>
          </w:tcPr>
          <w:p>
            <w:r>
              <w:rPr>
                <w:b/>
                <w:sz w:val="17"/>
              </w:rPr>
              <w:t>6,802</w:t>
            </w:r>
          </w:p>
        </w:tc>
        <w:tc>
          <w:tcPr>
            <w:tcW w:type="dxa" w:w="1440"/>
            <w:shd w:fill="FFDCE0" w:val="clear"/>
          </w:tcPr>
          <w:p>
            <w:r>
              <w:rPr>
                <w:sz w:val="17"/>
              </w:rPr>
              <w:t>7,204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5,837</w:t>
            </w:r>
          </w:p>
        </w:tc>
        <w:tc>
          <w:tcPr>
            <w:tcW w:type="dxa" w:w="1440"/>
            <w:shd w:fill="FFDCE0" w:val="clear"/>
          </w:tcPr>
          <w:p>
            <w:r>
              <w:rPr>
                <w:b/>
                <w:sz w:val="17"/>
              </w:rPr>
              <w:t>6,292</w:t>
            </w:r>
          </w:p>
        </w:tc>
        <w:tc>
          <w:tcPr>
            <w:tcW w:type="dxa" w:w="1440"/>
            <w:shd w:fill="FFDCE0" w:val="clear"/>
          </w:tcPr>
          <w:p>
            <w:r>
              <w:rPr>
                <w:sz w:val="17"/>
              </w:rPr>
              <w:t>6,747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5,530</w:t>
            </w:r>
          </w:p>
        </w:tc>
        <w:tc>
          <w:tcPr>
            <w:tcW w:type="dxa" w:w="1440"/>
            <w:shd w:fill="FFDCE0" w:val="clear"/>
          </w:tcPr>
          <w:p>
            <w:r>
              <w:rPr>
                <w:b/>
                <w:sz w:val="17"/>
              </w:rPr>
              <w:t>6,034</w:t>
            </w:r>
          </w:p>
        </w:tc>
        <w:tc>
          <w:tcPr>
            <w:tcW w:type="dxa" w:w="1440"/>
            <w:shd w:fill="FFDCE0" w:val="clear"/>
          </w:tcPr>
          <w:p>
            <w:r>
              <w:rPr>
                <w:sz w:val="17"/>
              </w:rPr>
              <w:t>6,537</w:t>
            </w:r>
          </w:p>
        </w:tc>
        <w:tc>
          <w:tcPr>
            <w:tcW w:type="dxa" w:w="1440"/>
            <w:shd w:fill="FFDCE0" w:val="clear"/>
          </w:tcPr>
          <w:p>
            <w:r>
              <w:rPr>
                <w:b/>
                <w:color w:val="C00000"/>
                <w:sz w:val="17"/>
              </w:rPr>
              <w:t>-24.1%</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5,346</w:t>
            </w:r>
          </w:p>
        </w:tc>
        <w:tc>
          <w:tcPr>
            <w:tcW w:type="dxa" w:w="1440"/>
            <w:shd w:fill="FFDCE0" w:val="clear"/>
          </w:tcPr>
          <w:p>
            <w:r>
              <w:rPr>
                <w:b/>
                <w:sz w:val="17"/>
              </w:rPr>
              <w:t>5,896</w:t>
            </w:r>
          </w:p>
        </w:tc>
        <w:tc>
          <w:tcPr>
            <w:tcW w:type="dxa" w:w="1440"/>
            <w:shd w:fill="FFDCE0" w:val="clear"/>
          </w:tcPr>
          <w:p>
            <w:r>
              <w:rPr>
                <w:sz w:val="17"/>
              </w:rPr>
              <w:t>6,446</w:t>
            </w:r>
          </w:p>
        </w:tc>
        <w:tc>
          <w:tcPr>
            <w:tcW w:type="dxa" w:w="1440"/>
            <w:shd w:fill="FFDCE0" w:val="clear"/>
          </w:tcPr>
          <w:p>
            <w:r>
              <w:rPr>
                <w:b/>
                <w:color w:val="C00000"/>
                <w:sz w:val="17"/>
              </w:rPr>
              <w:t>-25.8%</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5,184</w:t>
            </w:r>
          </w:p>
        </w:tc>
        <w:tc>
          <w:tcPr>
            <w:tcW w:type="dxa" w:w="1440"/>
            <w:shd w:fill="FFDCE0" w:val="clear"/>
          </w:tcPr>
          <w:p>
            <w:r>
              <w:rPr>
                <w:b/>
                <w:sz w:val="17"/>
              </w:rPr>
              <w:t>5,774</w:t>
            </w:r>
          </w:p>
        </w:tc>
        <w:tc>
          <w:tcPr>
            <w:tcW w:type="dxa" w:w="1440"/>
            <w:shd w:fill="FFDCE0" w:val="clear"/>
          </w:tcPr>
          <w:p>
            <w:r>
              <w:rPr>
                <w:sz w:val="17"/>
              </w:rPr>
              <w:t>6,364</w:t>
            </w:r>
          </w:p>
        </w:tc>
        <w:tc>
          <w:tcPr>
            <w:tcW w:type="dxa" w:w="1440"/>
            <w:shd w:fill="FFDCE0" w:val="clear"/>
          </w:tcPr>
          <w:p>
            <w:r>
              <w:rPr>
                <w:b/>
                <w:color w:val="C00000"/>
                <w:sz w:val="17"/>
              </w:rPr>
              <w:t>-27.4%</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5,043</w:t>
            </w:r>
          </w:p>
        </w:tc>
        <w:tc>
          <w:tcPr>
            <w:tcW w:type="dxa" w:w="1440"/>
            <w:shd w:fill="FFDCE0" w:val="clear"/>
          </w:tcPr>
          <w:p>
            <w:r>
              <w:rPr>
                <w:b/>
                <w:sz w:val="17"/>
              </w:rPr>
              <w:t>5,668</w:t>
            </w:r>
          </w:p>
        </w:tc>
        <w:tc>
          <w:tcPr>
            <w:tcW w:type="dxa" w:w="1440"/>
            <w:shd w:fill="FFDCE0" w:val="clear"/>
          </w:tcPr>
          <w:p>
            <w:r>
              <w:rPr>
                <w:sz w:val="17"/>
              </w:rPr>
              <w:t>6,294</w:t>
            </w:r>
          </w:p>
        </w:tc>
        <w:tc>
          <w:tcPr>
            <w:tcW w:type="dxa" w:w="1440"/>
            <w:shd w:fill="FFDCE0" w:val="clear"/>
          </w:tcPr>
          <w:p>
            <w:r>
              <w:rPr>
                <w:b/>
                <w:color w:val="C00000"/>
                <w:sz w:val="17"/>
              </w:rPr>
              <w:t>-28.7%</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4,919</w:t>
            </w:r>
          </w:p>
        </w:tc>
        <w:tc>
          <w:tcPr>
            <w:tcW w:type="dxa" w:w="1440"/>
            <w:shd w:fill="FFDCE0" w:val="clear"/>
          </w:tcPr>
          <w:p>
            <w:r>
              <w:rPr>
                <w:b/>
                <w:sz w:val="17"/>
              </w:rPr>
              <w:t>5,577</w:t>
            </w:r>
          </w:p>
        </w:tc>
        <w:tc>
          <w:tcPr>
            <w:tcW w:type="dxa" w:w="1440"/>
            <w:shd w:fill="FFDCE0" w:val="clear"/>
          </w:tcPr>
          <w:p>
            <w:r>
              <w:rPr>
                <w:sz w:val="17"/>
              </w:rPr>
              <w:t>6,235</w:t>
            </w:r>
          </w:p>
        </w:tc>
        <w:tc>
          <w:tcPr>
            <w:tcW w:type="dxa" w:w="1440"/>
            <w:shd w:fill="FFDCE0" w:val="clear"/>
          </w:tcPr>
          <w:p>
            <w:r>
              <w:rPr>
                <w:b/>
                <w:color w:val="C00000"/>
                <w:sz w:val="17"/>
              </w:rPr>
              <w:t>-29.9%</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4,809</w:t>
            </w:r>
          </w:p>
        </w:tc>
        <w:tc>
          <w:tcPr>
            <w:tcW w:type="dxa" w:w="1440"/>
            <w:shd w:fill="FFDCE0" w:val="clear"/>
          </w:tcPr>
          <w:p>
            <w:r>
              <w:rPr>
                <w:b/>
                <w:sz w:val="17"/>
              </w:rPr>
              <w:t>5,498</w:t>
            </w:r>
          </w:p>
        </w:tc>
        <w:tc>
          <w:tcPr>
            <w:tcW w:type="dxa" w:w="1440"/>
            <w:shd w:fill="FFDCE0" w:val="clear"/>
          </w:tcPr>
          <w:p>
            <w:r>
              <w:rPr>
                <w:sz w:val="17"/>
              </w:rPr>
              <w:t>6,186</w:t>
            </w:r>
          </w:p>
        </w:tc>
        <w:tc>
          <w:tcPr>
            <w:tcW w:type="dxa" w:w="1440"/>
            <w:shd w:fill="FFDCE0" w:val="clear"/>
          </w:tcPr>
          <w:p>
            <w:r>
              <w:rPr>
                <w:b/>
                <w:color w:val="C00000"/>
                <w:sz w:val="17"/>
              </w:rPr>
              <w:t>-30.8%</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4,712</w:t>
            </w:r>
          </w:p>
        </w:tc>
        <w:tc>
          <w:tcPr>
            <w:tcW w:type="dxa" w:w="1440"/>
            <w:shd w:fill="FFDCE0" w:val="clear"/>
          </w:tcPr>
          <w:p>
            <w:r>
              <w:rPr>
                <w:b/>
                <w:sz w:val="17"/>
              </w:rPr>
              <w:t>5,429</w:t>
            </w:r>
          </w:p>
        </w:tc>
        <w:tc>
          <w:tcPr>
            <w:tcW w:type="dxa" w:w="1440"/>
            <w:shd w:fill="FFDCE0" w:val="clear"/>
          </w:tcPr>
          <w:p>
            <w:r>
              <w:rPr>
                <w:sz w:val="17"/>
              </w:rPr>
              <w:t>6,145</w:t>
            </w:r>
          </w:p>
        </w:tc>
        <w:tc>
          <w:tcPr>
            <w:tcW w:type="dxa" w:w="1440"/>
            <w:shd w:fill="FFDCE0" w:val="clear"/>
          </w:tcPr>
          <w:p>
            <w:r>
              <w:rPr>
                <w:b/>
                <w:color w:val="C00000"/>
                <w:sz w:val="17"/>
              </w:rPr>
              <w:t>-31.7%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459,19 milliards FCFA, un niveau qui la positionne parmi les valeurs moyennes à grandes capitalisations de la BRVM, lui conférant une liquidité potentielle appréciable. Avec un BPA de 627 FCFA, chaque action génère un bénéfice substantiel, justifiant un PER de 12,7x. Ce ratio, légèrement supérieur à la moyenne historique de la BRVM (8-12x), indique que les investisseurs acceptent de payer une prime modérée pour la qualité de la banque, sans pour autant que la valorisation soit excessive. Le P/B de 3,40x confirme cette perception, le marché valorisant l'action à plus de trois fois sa valeur comptable, ce qui traduit une anticipation de croissance future et une confiance dans la création de valeur. Enfin, l'EV/EBITDA de 23,3x est nettement plus exigeant, signalant que la valeur totale de l'entreprise (dette incluse) est élevée par rapport à sa capacité opérationnelle de génération de cash, un point de vigilance pour les investisseurs regardant la valorisation sous cet angle.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enregistré une performance exceptionnelle de +52,44%, avec une dernière séance en hausse de 3,65%, clôturant à 7 950 FCFA, son plus haut niveau sur la période. Le cours a évolué dans une fourchette de 5 000 à 7 950 FCFA, démontrant une forte dynamique haussière. Les statistiques descriptives révèlent une moyenne de 5 784 FCFA, inférieure à la médiane de 5 352 FCFA, ce qui, combiné à un skewness positif de 1,276, indique une distribution asymétrique avec des journées majoritairement sous la moyenne mais des pics de hausse marqués. L'écart-type de 835 FCFA (CV=14,4%) montre une dispersion modérée, tandis que le kurtosis de 0,412 (mésokurtique) suggère un risque de variations extrêmes proche d'une distribution normale. La volatilité annualisée de 29,3% classe le titre dans la catégorie des valeurs à volatilité élevée, un élément à considérer pour la gestion du risque.</w:t>
      </w:r>
    </w:p>
    <w:p>
      <w:pPr>
        <w:spacing w:after="120" w:line="276" w:lineRule="auto" w:before="240"/>
      </w:pPr>
      <w:r>
        <w:rPr>
          <w:b/>
          <w:color w:val="003366"/>
          <w:sz w:val="24"/>
        </w:rPr>
        <w:t>**PARTIE 2 : ANALYSE TECHNIQUE DÉTAILLÉE**</w:t>
      </w:r>
    </w:p>
    <w:p>
      <w:pPr>
        <w:spacing w:after="120" w:line="276" w:lineRule="auto"/>
      </w:pPr>
      <w:r>
        <w:t>**Moyennes Mobiles**: Le cours actuel de 7 950 FCFA est nettement au-dessus de la MM20 (7 212 FCFA) et de la MM50 (6 388,6 FCFA), confirmant une tendance haussière solide à court et moyen terme. La configuration des moyennes mobiles, avec la MM20 au-dessus de la MM50, valide la dynamique positive et justifie la décision d'achat.</w:t>
      </w:r>
    </w:p>
    <w:p>
      <w:pPr>
        <w:spacing w:after="120" w:line="276" w:lineRule="auto"/>
      </w:pPr>
      <w:r>
        <w:t>**Bandes de Bollinger**: Le prix se situe à 7 950 FCFA, en dessous de la borne supérieure (8 368,1 FCFA) mais nettement au-dessus de la borne inférieure (6 055,9 FCFA). Cette position indique une volatilité modérée avec une pression acheteuse soutenue, sans atteindre des niveaux extrêmes de surachat, d'où la décision neutre.</w:t>
      </w:r>
    </w:p>
    <w:p>
      <w:pPr>
        <w:spacing w:after="120" w:line="276" w:lineRule="auto"/>
      </w:pPr>
      <w:r>
        <w:t>**MACD**: Le MACD (421,2) est supérieur à son signal (414,2), avec un écart positif qui s'est creusé, signalant un momentum haussier robuste. Cette configuration, où la ligne MACD reste au-dessus du signal, confirme la poursuite de la tendance haussière et justifie la décision d'achat.</w:t>
      </w:r>
    </w:p>
    <w:p>
      <w:pPr>
        <w:spacing w:after="120" w:line="276" w:lineRule="auto"/>
      </w:pPr>
      <w:r>
        <w:t>**RSI**: Le RSI à 76,3 est en zone de surachat (au-dessus de 70), indiquant que le titre a fortement monté et pourrait être sujet à un repli technique à court terme. Cette lecture justifie la décision de vente, signalant un risque de correction après une hausse aussi rapide.</w:t>
      </w:r>
    </w:p>
    <w:p>
      <w:pPr>
        <w:spacing w:after="120" w:line="276" w:lineRule="auto"/>
      </w:pPr>
      <w:r>
        <w:t>**Stochastique**: Le %K à 100,0 et le %D à 89,1 sont tous deux en zone de surachat extrême, avec un %K au plus haut. Cette configuration suggère que le titre est survendu à la hausse et qu'une consolidation est probable, justifiant la décision de vente.</w:t>
      </w:r>
    </w:p>
    <w:p>
      <w:pPr>
        <w:spacing w:after="120" w:line="276" w:lineRule="auto"/>
      </w:pPr>
      <w:r>
        <w:t>**Conclusion technique**: Les indicateurs de tendance (MM, MACD) sont clairement haussiers, mais les oscillateurs (RSI, Stochastique) signalent un surachat extrême. Cette divergence entre la tendance et les conditions de marché suggère une possible pause ou correction à court terme avant la poursuite de la tendance haussière. Les investisseurs devraient surveiller un éventuel repli vers les moyennes mobiles comme point d'entrée potentiel.</w:t>
      </w:r>
    </w:p>
    <w:p>
      <w:pPr>
        <w:spacing w:after="120" w:line="276" w:lineRule="auto" w:before="240"/>
      </w:pPr>
      <w:r>
        <w:rPr>
          <w:b/>
          <w:color w:val="003366"/>
          <w:sz w:val="24"/>
        </w:rPr>
        <w:t>**PARTIE 3 : ANALYSE FONDAMENTALE (SECTION CRITIQUE)**</w:t>
      </w:r>
    </w:p>
    <w:p>
      <w:pPr>
        <w:spacing w:after="120" w:line="276" w:lineRule="auto"/>
      </w:pPr>
      <w:r>
        <w:t>En 2025, la BICB affiche des fondamentaux solides avec un Produit Net Bancaire de 52,805 milliards FCFA, en croissance de 16,5% par rapport à 2024, et un résultat net de 36,237 milliards FCFA, en hausse de 24,7%. La banque démontre une excellente rentabilité avec un ROE de 26,8% et un ROA de 2,0%, des niveaux très satisfaisants pour le secteur bancaire. Le coefficient d'exploitation de 31,1% est remarquable, indiquant une excellente maîtrise des charges face aux revenus. Cependant, le coût du risque de 9,6% est élevé, reflétant une politique de provisionnement prudente face à l'expansion rapide des crédits (+37,3% en 2025). Le ratio crédits nets/dépôts de 97,5% montre une transformation tendue, un point de vigilance pour la liquidité. Les rapports trimestriels 2025 confirment cette dynamique : le T3 2025 affiche un PNB en hausse de 26% à 35,9 milliards FCFA, mais un résultat net en baisse de 9% à 13,1 milliards FCFA, en raison du renforcement des provisions. Le T1 2026 est très encourageant avec un PNB en hausse de 35% à 14,6 milliards FCFA et un résultat net en progression de 48% à 8,0 milliards FCFA, suggérant une amélioration de la qualité du crédit. Sur la base de ces données, on estime que l'exercice 2026 devrait confirmer la solidité de la banque, avec une croissance soutenue du PNB et une normalisation du coût du risque.</w:t>
      </w:r>
    </w:p>
    <w:p>
      <w:pPr>
        <w:spacing w:after="120" w:line="276" w:lineRule="auto" w:before="240"/>
      </w:pPr>
      <w:r>
        <w:rPr>
          <w:b/>
          <w:color w:val="003366"/>
          <w:sz w:val="24"/>
        </w:rPr>
        <w:t>**PARTIE 4 : CONCLUSION D'INVESTISSEMENT**</w:t>
      </w:r>
    </w:p>
    <w:p>
      <w:pPr>
        <w:spacing w:after="120" w:line="276" w:lineRule="auto"/>
      </w:pPr>
      <w:r>
        <w:t>La valorisation de BICB (PER 12,7x, P/B 3,4x) est raisonnable pour une banque de cette qualité, mais l'EV/EBITDA élevé (23,3x) tempère l'attrait. Le comportement du cours est très favorable avec une hausse de 52,4% sur 100 jours, mais les statistiques (skewness positif, volatilité 29,3%) et les signaux techniques de surachat (RSI 76,3, Stochastique 100) suggèrent un risque de correction à court terme. Les fondamentaux sont excellents avec un ROE de 26,8%, une croissance du PNB de 16,5% en 2025 et un T1 2026 très prometteur. Les prédictions IA indiquent une trajectoire baissière à J+10 (7 954 à 5 896 FCFA), ce qui contredit la tendance actuelle mais est cohérent avec les signaux de surachat technique. La convergence entre les signaux techniques de surachat et les prédictions IA suggère une consolidation probable. Recommandation : **CONSERVER** avec un niveau de confiance **Moyen** et un risque global **Élevé**. Horizon d'investissement optimal : **Moyen terme (3-12 mois)**, en attendant un repli technique pour renforcer la position, les fondamentaux solides justifiant une détention à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486.67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774 titres</w:t>
            </w:r>
          </w:p>
        </w:tc>
        <w:tc>
          <w:tcPr>
            <w:tcW w:type="dxa" w:w="2268"/>
            <w:shd w:fill="FFF2CC" w:val="clear"/>
          </w:tcPr>
          <w:p>
            <w:r>
              <w:rPr>
                <w:b/>
                <w:color w:val="503200"/>
                <w:sz w:val="16"/>
              </w:rPr>
              <w:t xml:space="preserve">Cours actuel : </w:t>
            </w:r>
            <w:r>
              <w:rPr>
                <w:color w:val="000000"/>
                <w:sz w:val="17"/>
              </w:rPr>
              <w:t>29,200 FCFA</w:t>
            </w:r>
          </w:p>
          <w:p>
            <w:r>
              <w:rPr>
                <w:b/>
                <w:color w:val="503200"/>
                <w:sz w:val="16"/>
              </w:rPr>
              <w:t xml:space="preserve">Var. 100 jours : </w:t>
            </w:r>
            <w:r>
              <w:rPr>
                <w:b/>
                <w:color w:val="007800"/>
                <w:sz w:val="17"/>
              </w:rPr>
              <w:t>+8.35%</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30.3%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7.34% (Moyenne) — μ=26,906 FCFA, σ=1,974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β=0.5868 (Défensif) — Cov=0.000021, Var(idx)=0.000036, ρ=0.187,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774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σ_j=1.91%/j (Stable) — Vol. annualisée≈30.3%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2026-08-12</w:t>
            </w:r>
          </w:p>
        </w:tc>
        <w:tc>
          <w:tcPr>
            <w:tcW w:type="dxa" w:w="1440"/>
            <w:shd w:fill="FFDCE0" w:val="clear"/>
          </w:tcPr>
          <w:p>
            <w:r>
              <w:rPr>
                <w:sz w:val="17"/>
              </w:rPr>
              <w:t>27,611</w:t>
            </w:r>
          </w:p>
        </w:tc>
        <w:tc>
          <w:tcPr>
            <w:tcW w:type="dxa" w:w="1440"/>
            <w:shd w:fill="FFDCE0" w:val="clear"/>
          </w:tcPr>
          <w:p>
            <w:r>
              <w:rPr>
                <w:b/>
                <w:sz w:val="17"/>
              </w:rPr>
              <w:t>28,449</w:t>
            </w:r>
          </w:p>
        </w:tc>
        <w:tc>
          <w:tcPr>
            <w:tcW w:type="dxa" w:w="1440"/>
            <w:shd w:fill="FFDCE0" w:val="clear"/>
          </w:tcPr>
          <w:p>
            <w:r>
              <w:rPr>
                <w:sz w:val="17"/>
              </w:rPr>
              <w:t>29,288</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27,021</w:t>
            </w:r>
          </w:p>
        </w:tc>
        <w:tc>
          <w:tcPr>
            <w:tcW w:type="dxa" w:w="1440"/>
            <w:shd w:fill="FFDCE0" w:val="clear"/>
          </w:tcPr>
          <w:p>
            <w:r>
              <w:rPr>
                <w:b/>
                <w:sz w:val="17"/>
              </w:rPr>
              <w:t>28,196</w:t>
            </w:r>
          </w:p>
        </w:tc>
        <w:tc>
          <w:tcPr>
            <w:tcW w:type="dxa" w:w="1440"/>
            <w:shd w:fill="FFDCE0" w:val="clear"/>
          </w:tcPr>
          <w:p>
            <w:r>
              <w:rPr>
                <w:sz w:val="17"/>
              </w:rPr>
              <w:t>29,371</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26,475</w:t>
            </w:r>
          </w:p>
        </w:tc>
        <w:tc>
          <w:tcPr>
            <w:tcW w:type="dxa" w:w="1440"/>
            <w:shd w:fill="FFDCE0" w:val="clear"/>
          </w:tcPr>
          <w:p>
            <w:r>
              <w:rPr>
                <w:b/>
                <w:sz w:val="17"/>
              </w:rPr>
              <w:t>27,898</w:t>
            </w:r>
          </w:p>
        </w:tc>
        <w:tc>
          <w:tcPr>
            <w:tcW w:type="dxa" w:w="1440"/>
            <w:shd w:fill="FFDCE0" w:val="clear"/>
          </w:tcPr>
          <w:p>
            <w:r>
              <w:rPr>
                <w:sz w:val="17"/>
              </w:rPr>
              <w:t>29,322</w:t>
            </w:r>
          </w:p>
        </w:tc>
        <w:tc>
          <w:tcPr>
            <w:tcW w:type="dxa" w:w="1440"/>
            <w:shd w:fill="FFDCE0" w:val="clear"/>
          </w:tcPr>
          <w:p>
            <w:r>
              <w:rPr>
                <w:b/>
                <w:color w:val="C00000"/>
                <w:sz w:val="17"/>
              </w:rPr>
              <w:t>-4.5%</w:t>
            </w:r>
          </w:p>
        </w:tc>
      </w:tr>
      <w:tr>
        <w:tc>
          <w:tcPr>
            <w:tcW w:type="dxa" w:w="1440"/>
            <w:shd w:fill="FFDCE0" w:val="clear"/>
          </w:tcPr>
          <w:p>
            <w:r>
              <w:rPr>
                <w:sz w:val="17"/>
              </w:rPr>
              <w:t>J+4  Moyenne</w:t>
            </w:r>
          </w:p>
        </w:tc>
        <w:tc>
          <w:tcPr>
            <w:tcW w:type="dxa" w:w="1440"/>
            <w:shd w:fill="FFDCE0" w:val="clear"/>
          </w:tcPr>
          <w:p>
            <w:r>
              <w:rPr>
                <w:sz w:val="17"/>
              </w:rPr>
              <w:t>2026-08-17</w:t>
            </w:r>
          </w:p>
        </w:tc>
        <w:tc>
          <w:tcPr>
            <w:tcW w:type="dxa" w:w="1440"/>
            <w:shd w:fill="FFDCE0" w:val="clear"/>
          </w:tcPr>
          <w:p>
            <w:r>
              <w:rPr>
                <w:sz w:val="17"/>
              </w:rPr>
              <w:t>25,997</w:t>
            </w:r>
          </w:p>
        </w:tc>
        <w:tc>
          <w:tcPr>
            <w:tcW w:type="dxa" w:w="1440"/>
            <w:shd w:fill="FFDCE0" w:val="clear"/>
          </w:tcPr>
          <w:p>
            <w:r>
              <w:rPr>
                <w:b/>
                <w:sz w:val="17"/>
              </w:rPr>
              <w:t>27,625</w:t>
            </w:r>
          </w:p>
        </w:tc>
        <w:tc>
          <w:tcPr>
            <w:tcW w:type="dxa" w:w="1440"/>
            <w:shd w:fill="FFDCE0" w:val="clear"/>
          </w:tcPr>
          <w:p>
            <w:r>
              <w:rPr>
                <w:sz w:val="17"/>
              </w:rPr>
              <w:t>29,253</w:t>
            </w:r>
          </w:p>
        </w:tc>
        <w:tc>
          <w:tcPr>
            <w:tcW w:type="dxa" w:w="1440"/>
            <w:shd w:fill="FFDCE0" w:val="clear"/>
          </w:tcPr>
          <w:p>
            <w:r>
              <w:rPr>
                <w:b/>
                <w:color w:val="C00000"/>
                <w:sz w:val="17"/>
              </w:rPr>
              <w:t>-5.4%</w:t>
            </w:r>
          </w:p>
        </w:tc>
      </w:tr>
      <w:tr>
        <w:tc>
          <w:tcPr>
            <w:tcW w:type="dxa" w:w="1440"/>
            <w:shd w:fill="FFDCE0" w:val="clear"/>
          </w:tcPr>
          <w:p>
            <w:r>
              <w:rPr>
                <w:sz w:val="17"/>
              </w:rPr>
              <w:t>J+5  Moyenne</w:t>
            </w:r>
          </w:p>
        </w:tc>
        <w:tc>
          <w:tcPr>
            <w:tcW w:type="dxa" w:w="1440"/>
            <w:shd w:fill="FFDCE0" w:val="clear"/>
          </w:tcPr>
          <w:p>
            <w:r>
              <w:rPr>
                <w:sz w:val="17"/>
              </w:rPr>
              <w:t>2026-08-18</w:t>
            </w:r>
          </w:p>
        </w:tc>
        <w:tc>
          <w:tcPr>
            <w:tcW w:type="dxa" w:w="1440"/>
            <w:shd w:fill="FFDCE0" w:val="clear"/>
          </w:tcPr>
          <w:p>
            <w:r>
              <w:rPr>
                <w:sz w:val="17"/>
              </w:rPr>
              <w:t>25,570</w:t>
            </w:r>
          </w:p>
        </w:tc>
        <w:tc>
          <w:tcPr>
            <w:tcW w:type="dxa" w:w="1440"/>
            <w:shd w:fill="FFDCE0" w:val="clear"/>
          </w:tcPr>
          <w:p>
            <w:r>
              <w:rPr>
                <w:b/>
                <w:sz w:val="17"/>
              </w:rPr>
              <w:t>27,373</w:t>
            </w:r>
          </w:p>
        </w:tc>
        <w:tc>
          <w:tcPr>
            <w:tcW w:type="dxa" w:w="1440"/>
            <w:shd w:fill="FFDCE0" w:val="clear"/>
          </w:tcPr>
          <w:p>
            <w:r>
              <w:rPr>
                <w:sz w:val="17"/>
              </w:rPr>
              <w:t>29,177</w:t>
            </w:r>
          </w:p>
        </w:tc>
        <w:tc>
          <w:tcPr>
            <w:tcW w:type="dxa" w:w="1440"/>
            <w:shd w:fill="FFDCE0" w:val="clear"/>
          </w:tcPr>
          <w:p>
            <w:r>
              <w:rPr>
                <w:b/>
                <w:color w:val="C00000"/>
                <w:sz w:val="17"/>
              </w:rPr>
              <w:t>-6.3%</w:t>
            </w:r>
          </w:p>
        </w:tc>
      </w:tr>
      <w:tr>
        <w:tc>
          <w:tcPr>
            <w:tcW w:type="dxa" w:w="1440"/>
            <w:shd w:fill="FFDCE0" w:val="clear"/>
          </w:tcPr>
          <w:p>
            <w:r>
              <w:rPr>
                <w:sz w:val="17"/>
              </w:rPr>
              <w:t>J+6  Moyenne</w:t>
            </w:r>
          </w:p>
        </w:tc>
        <w:tc>
          <w:tcPr>
            <w:tcW w:type="dxa" w:w="1440"/>
            <w:shd w:fill="FFDCE0" w:val="clear"/>
          </w:tcPr>
          <w:p>
            <w:r>
              <w:rPr>
                <w:sz w:val="17"/>
              </w:rPr>
              <w:t>2026-08-19</w:t>
            </w:r>
          </w:p>
        </w:tc>
        <w:tc>
          <w:tcPr>
            <w:tcW w:type="dxa" w:w="1440"/>
            <w:shd w:fill="FFDCE0" w:val="clear"/>
          </w:tcPr>
          <w:p>
            <w:r>
              <w:rPr>
                <w:sz w:val="17"/>
              </w:rPr>
              <w:t>25,177</w:t>
            </w:r>
          </w:p>
        </w:tc>
        <w:tc>
          <w:tcPr>
            <w:tcW w:type="dxa" w:w="1440"/>
            <w:shd w:fill="FFDCE0" w:val="clear"/>
          </w:tcPr>
          <w:p>
            <w:r>
              <w:rPr>
                <w:b/>
                <w:sz w:val="17"/>
              </w:rPr>
              <w:t>27,135</w:t>
            </w:r>
          </w:p>
        </w:tc>
        <w:tc>
          <w:tcPr>
            <w:tcW w:type="dxa" w:w="1440"/>
            <w:shd w:fill="FFDCE0" w:val="clear"/>
          </w:tcPr>
          <w:p>
            <w:r>
              <w:rPr>
                <w:sz w:val="17"/>
              </w:rPr>
              <w:t>29,093</w:t>
            </w:r>
          </w:p>
        </w:tc>
        <w:tc>
          <w:tcPr>
            <w:tcW w:type="dxa" w:w="1440"/>
            <w:shd w:fill="FFDCE0" w:val="clear"/>
          </w:tcPr>
          <w:p>
            <w:r>
              <w:rPr>
                <w:b/>
                <w:color w:val="C00000"/>
                <w:sz w:val="17"/>
              </w:rPr>
              <w:t>-7.1%</w:t>
            </w:r>
          </w:p>
        </w:tc>
      </w:tr>
      <w:tr>
        <w:tc>
          <w:tcPr>
            <w:tcW w:type="dxa" w:w="1440"/>
            <w:shd w:fill="FFDCE0" w:val="clear"/>
          </w:tcPr>
          <w:p>
            <w:r>
              <w:rPr>
                <w:sz w:val="17"/>
              </w:rPr>
              <w:t>J+7  Moyenne</w:t>
            </w:r>
          </w:p>
        </w:tc>
        <w:tc>
          <w:tcPr>
            <w:tcW w:type="dxa" w:w="1440"/>
            <w:shd w:fill="FFDCE0" w:val="clear"/>
          </w:tcPr>
          <w:p>
            <w:r>
              <w:rPr>
                <w:sz w:val="17"/>
              </w:rPr>
              <w:t>2026-08-20</w:t>
            </w:r>
          </w:p>
        </w:tc>
        <w:tc>
          <w:tcPr>
            <w:tcW w:type="dxa" w:w="1440"/>
            <w:shd w:fill="FFDCE0" w:val="clear"/>
          </w:tcPr>
          <w:p>
            <w:r>
              <w:rPr>
                <w:sz w:val="17"/>
              </w:rPr>
              <w:t>24,808</w:t>
            </w:r>
          </w:p>
        </w:tc>
        <w:tc>
          <w:tcPr>
            <w:tcW w:type="dxa" w:w="1440"/>
            <w:shd w:fill="FFDCE0" w:val="clear"/>
          </w:tcPr>
          <w:p>
            <w:r>
              <w:rPr>
                <w:b/>
                <w:sz w:val="17"/>
              </w:rPr>
              <w:t>26,906</w:t>
            </w:r>
          </w:p>
        </w:tc>
        <w:tc>
          <w:tcPr>
            <w:tcW w:type="dxa" w:w="1440"/>
            <w:shd w:fill="FFDCE0" w:val="clear"/>
          </w:tcPr>
          <w:p>
            <w:r>
              <w:rPr>
                <w:sz w:val="17"/>
              </w:rPr>
              <w:t>29,003</w:t>
            </w:r>
          </w:p>
        </w:tc>
        <w:tc>
          <w:tcPr>
            <w:tcW w:type="dxa" w:w="1440"/>
            <w:shd w:fill="FFDCE0" w:val="clear"/>
          </w:tcPr>
          <w:p>
            <w:r>
              <w:rPr>
                <w:b/>
                <w:color w:val="C00000"/>
                <w:sz w:val="17"/>
              </w:rPr>
              <w:t>-7.9%</w:t>
            </w:r>
          </w:p>
        </w:tc>
      </w:tr>
      <w:tr>
        <w:tc>
          <w:tcPr>
            <w:tcW w:type="dxa" w:w="1440"/>
            <w:shd w:fill="FFDCE0" w:val="clear"/>
          </w:tcPr>
          <w:p>
            <w:r>
              <w:rPr>
                <w:sz w:val="17"/>
              </w:rPr>
              <w:t>J+8  Moyenne</w:t>
            </w:r>
          </w:p>
        </w:tc>
        <w:tc>
          <w:tcPr>
            <w:tcW w:type="dxa" w:w="1440"/>
            <w:shd w:fill="FFDCE0" w:val="clear"/>
          </w:tcPr>
          <w:p>
            <w:r>
              <w:rPr>
                <w:sz w:val="17"/>
              </w:rPr>
              <w:t>2026-08-21</w:t>
            </w:r>
          </w:p>
        </w:tc>
        <w:tc>
          <w:tcPr>
            <w:tcW w:type="dxa" w:w="1440"/>
            <w:shd w:fill="FFDCE0" w:val="clear"/>
          </w:tcPr>
          <w:p>
            <w:r>
              <w:rPr>
                <w:sz w:val="17"/>
              </w:rPr>
              <w:t>24,461</w:t>
            </w:r>
          </w:p>
        </w:tc>
        <w:tc>
          <w:tcPr>
            <w:tcW w:type="dxa" w:w="1440"/>
            <w:shd w:fill="FFDCE0" w:val="clear"/>
          </w:tcPr>
          <w:p>
            <w:r>
              <w:rPr>
                <w:b/>
                <w:sz w:val="17"/>
              </w:rPr>
              <w:t>26,685</w:t>
            </w:r>
          </w:p>
        </w:tc>
        <w:tc>
          <w:tcPr>
            <w:tcW w:type="dxa" w:w="1440"/>
            <w:shd w:fill="FFDCE0" w:val="clear"/>
          </w:tcPr>
          <w:p>
            <w:r>
              <w:rPr>
                <w:sz w:val="17"/>
              </w:rPr>
              <w:t>28,909</w:t>
            </w:r>
          </w:p>
        </w:tc>
        <w:tc>
          <w:tcPr>
            <w:tcW w:type="dxa" w:w="1440"/>
            <w:shd w:fill="FFDCE0" w:val="clear"/>
          </w:tcPr>
          <w:p>
            <w:r>
              <w:rPr>
                <w:b/>
                <w:color w:val="C00000"/>
                <w:sz w:val="17"/>
              </w:rPr>
              <w:t>-8.6%</w:t>
            </w:r>
          </w:p>
        </w:tc>
      </w:tr>
      <w:tr>
        <w:tc>
          <w:tcPr>
            <w:tcW w:type="dxa" w:w="1440"/>
            <w:shd w:fill="FFDCE0" w:val="clear"/>
          </w:tcPr>
          <w:p>
            <w:r>
              <w:rPr>
                <w:sz w:val="17"/>
              </w:rPr>
              <w:t>J+9  Moyenne</w:t>
            </w:r>
          </w:p>
        </w:tc>
        <w:tc>
          <w:tcPr>
            <w:tcW w:type="dxa" w:w="1440"/>
            <w:shd w:fill="FFDCE0" w:val="clear"/>
          </w:tcPr>
          <w:p>
            <w:r>
              <w:rPr>
                <w:sz w:val="17"/>
              </w:rPr>
              <w:t>2026-08-24</w:t>
            </w:r>
          </w:p>
        </w:tc>
        <w:tc>
          <w:tcPr>
            <w:tcW w:type="dxa" w:w="1440"/>
            <w:shd w:fill="FFDCE0" w:val="clear"/>
          </w:tcPr>
          <w:p>
            <w:r>
              <w:rPr>
                <w:sz w:val="17"/>
              </w:rPr>
              <w:t>24,133</w:t>
            </w:r>
          </w:p>
        </w:tc>
        <w:tc>
          <w:tcPr>
            <w:tcW w:type="dxa" w:w="1440"/>
            <w:shd w:fill="FFDCE0" w:val="clear"/>
          </w:tcPr>
          <w:p>
            <w:r>
              <w:rPr>
                <w:b/>
                <w:sz w:val="17"/>
              </w:rPr>
              <w:t>26,473</w:t>
            </w:r>
          </w:p>
        </w:tc>
        <w:tc>
          <w:tcPr>
            <w:tcW w:type="dxa" w:w="1440"/>
            <w:shd w:fill="FFDCE0" w:val="clear"/>
          </w:tcPr>
          <w:p>
            <w:r>
              <w:rPr>
                <w:sz w:val="17"/>
              </w:rPr>
              <w:t>28,813</w:t>
            </w:r>
          </w:p>
        </w:tc>
        <w:tc>
          <w:tcPr>
            <w:tcW w:type="dxa" w:w="1440"/>
            <w:shd w:fill="FFDCE0" w:val="clear"/>
          </w:tcPr>
          <w:p>
            <w:r>
              <w:rPr>
                <w:b/>
                <w:color w:val="C00000"/>
                <w:sz w:val="17"/>
              </w:rPr>
              <w:t>-9.3%</w:t>
            </w:r>
          </w:p>
        </w:tc>
      </w:tr>
      <w:tr>
        <w:tc>
          <w:tcPr>
            <w:tcW w:type="dxa" w:w="1440"/>
            <w:shd w:fill="FFDCE0" w:val="clear"/>
          </w:tcPr>
          <w:p>
            <w:r>
              <w:rPr>
                <w:sz w:val="17"/>
              </w:rPr>
              <w:t>J+10  Moyenne</w:t>
            </w:r>
          </w:p>
        </w:tc>
        <w:tc>
          <w:tcPr>
            <w:tcW w:type="dxa" w:w="1440"/>
            <w:shd w:fill="FFDCE0" w:val="clear"/>
          </w:tcPr>
          <w:p>
            <w:r>
              <w:rPr>
                <w:sz w:val="17"/>
              </w:rPr>
              <w:t>2026-08-25</w:t>
            </w:r>
          </w:p>
        </w:tc>
        <w:tc>
          <w:tcPr>
            <w:tcW w:type="dxa" w:w="1440"/>
            <w:shd w:fill="FFDCE0" w:val="clear"/>
          </w:tcPr>
          <w:p>
            <w:r>
              <w:rPr>
                <w:sz w:val="17"/>
              </w:rPr>
              <w:t>23,820</w:t>
            </w:r>
          </w:p>
        </w:tc>
        <w:tc>
          <w:tcPr>
            <w:tcW w:type="dxa" w:w="1440"/>
            <w:shd w:fill="FFDCE0" w:val="clear"/>
          </w:tcPr>
          <w:p>
            <w:r>
              <w:rPr>
                <w:b/>
                <w:sz w:val="17"/>
              </w:rPr>
              <w:t>26,267</w:t>
            </w:r>
          </w:p>
        </w:tc>
        <w:tc>
          <w:tcPr>
            <w:tcW w:type="dxa" w:w="1440"/>
            <w:shd w:fill="FFDCE0" w:val="clear"/>
          </w:tcPr>
          <w:p>
            <w:r>
              <w:rPr>
                <w:sz w:val="17"/>
              </w:rPr>
              <w:t>28,715</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486,67 milliards FCFA, ce qui en fait l'une des valeurs les plus significatives de la BRVM, reflétant la confiance des investisseurs dans le secteur bancaire ivoirien. Le BPA de 2 191 FCFA indique que chaque action génère un bénéfice substantiel, justifiant un PER de 13,3x, légèrement supérieur à la moyenne historique de la BRVM (8-12x), ce qui traduit une prime de croissance accordée au titre. Le P/B de 4,04x est particulièrement élevé, signifiant que le marché valorise fortement les actifs nets de la banque, une situation typique des valeurs à forte rentabilité (ROE &gt; 30%). Enfin, l'EV/EBITDA de 9,4x se situe dans la fourchette raisonnable (5-10x), indiquant que la valeur d'entreprise reste cohérente avec la capacité opérationnelle de la banque, malgré une valorisation boursière exigeante.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totale de +8,35%, avec une légère hausse de +0,17% lors de la dernière séance, confirmant une tendance haussière soutenue. Le cours a évolué dans une fourchette de 22 500 FCFA (plus bas) à 29 490 FCFA (plus haut), démontrant une amplitude de trading de près de 31%, signe d'une volatilité significative. La moyenne du cours sur la période (26 906 FCFA) est inférieure à la médiane (27 755 FCFA), et le skewness négatif de -0,521 indique une asymétrie avec davantage de journées au-dessus de la moyenne, ce qui confirme la tendance haussière récente. L'écart-type de 1 984 FCFA (CV = 7,4%) révèle une dispersion modérée des prix, tandis que le kurtosis de -1,151 (platykurtique) suggère une distribution aplatie avec peu de valeurs extrêmes, réduisant le risque de pics soudains. La volatilité annualisée de 30,3% classe le titre dans la catégorie élevée (&gt;30%), ce qui implique des fluctuations importantes à anticiper pour les investisseurs.</w:t>
      </w:r>
    </w:p>
    <w:p>
      <w:pPr>
        <w:spacing w:after="120" w:line="276" w:lineRule="auto" w:before="240"/>
      </w:pPr>
      <w:r>
        <w:rPr>
          <w:b/>
          <w:color w:val="003366"/>
          <w:sz w:val="24"/>
        </w:rPr>
        <w:t>**PARTIE 2 : ANALYSE TECHNIQUE DÉTAILLÉE**</w:t>
      </w:r>
    </w:p>
    <w:p>
      <w:pPr>
        <w:spacing w:after="120" w:line="276" w:lineRule="auto"/>
      </w:pPr>
      <w:r>
        <w:t>**Moyennes Mobiles** : Les moyennes mobiles à 20 jours (28 535 FCFA) et à 50 jours (28 579,6 FCFA) sont très proches l'une de l'autre, avec un cours actuel (29 200 FCFA) légèrement au-dessus des deux. Cette configuration indique une consolidation après une phase de hausse, mais la décision de "Vente" suggère un possible retournement ou un essoufflement du momentum haussier à court terme.</w:t>
      </w:r>
    </w:p>
    <w:p>
      <w:pPr>
        <w:spacing w:after="120" w:line="276" w:lineRule="auto"/>
      </w:pPr>
      <w:r>
        <w:t>**Bandes de Bollinger** : Le cours se situe à 29 200 FCFA, proche de la borne supérieure (29 621 FCFA) et nettement au-dessus de la borne inférieure (27 448 FCFA). Cette position indique une pression acheteuse persistante, mais la proximité de la borne supérieure suggère que le titre pourrait être temporairement suracheté. La décision "Neutre" reflète l'absence de signal directionnel fort, la volatilité restant contenue.</w:t>
      </w:r>
    </w:p>
    <w:p>
      <w:pPr>
        <w:spacing w:after="120" w:line="276" w:lineRule="auto"/>
      </w:pPr>
      <w:r>
        <w:t>**MACD** : Le MACD (237,905) est nettement supérieur à sa ligne de signal (172,696), avec un écart positif de 65 points, indiquant un momentum haussier solide. La décision "Achat" est justifiée par cette divergence positive, qui confirme la dynamique ascendante du titre et suggère une poursuite de la tendance haussière à court terme.</w:t>
      </w:r>
    </w:p>
    <w:p>
      <w:pPr>
        <w:spacing w:after="120" w:line="276" w:lineRule="auto"/>
      </w:pPr>
      <w:r>
        <w:t>**RSI** : Le RSI s'établit à 69,728, proche du seuil de surachat (70), mais sans le franchir. Cette valeur indique une pression acheteuse soutenue, mais le titre n'est pas encore en zone de surachat extrême. La décision "Neutre" est cohérente avec cette situation, où le risque de correction existe mais n'est pas imminent.</w:t>
      </w:r>
    </w:p>
    <w:p>
      <w:pPr>
        <w:spacing w:after="120" w:line="276" w:lineRule="auto"/>
      </w:pPr>
      <w:r>
        <w:t>**Stochastique** : Le %K et le %D sont tous deux à 100,0, indiquant une condition de surachat extrême. Cette configuration signale que le titre a fortement progressé récemment et qu'une correction technique est probable à très court terme. La décision "Vente" est justifiée par ce niveau extrême, qui précède souvent un repli.</w:t>
      </w:r>
    </w:p>
    <w:p>
      <w:pPr>
        <w:spacing w:after="120" w:line="276" w:lineRule="auto"/>
      </w:pPr>
      <w:r>
        <w:t>**Conclusion technique** : Les indicateurs techniques sont mitigés, avec un MACD positif (Achat) contrastant avec un Stochastique en surachat extrême (Vente) et des moyennes mobiles en consolidation (Vente). Le RSI proche de 70 et les bandes de Bollinger proches de la borne supérieure suggèrent un essoufflement potentiel. Globalement, la tendance de fond reste haussière, mais un repli technique de court terme est probable avant une reprise.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BICC révèlent une banque extrêmement performante : le Produit Net Bancaire (PNB) s'établit à 79,563 milliards FCFA, avec un résultat net de 36,520 milliards FCFA, soit une marge nette exceptionnelle de 45,9%. Le ROE atteint 30,29%, largement au-dessus du seuil d'excellence de 15%, et le ROA de 3,24% confirme une utilisation efficace des actifs. Le coefficient d'exploitation de 50,83% témoigne d'une excellente maîtrise des charges, tandis que le coût du risque (-12,15%) indique un portefeuille de crédits sain. Les dépôts clientèle (952,872 milliards FCFA) dépassent largement les créances sur la clientèle (524,439 milliards FCFA), démontrant une forte capacité de transformation et une liquidité abondante. Les rapports trimestriels confirment cette dynamique : le T1 2025 (PNB de 18,130 milliards, +9,3% et résultat net de 8,011 milliards, +23%), le S1 2025 (PNB de 37,146 milliards, +16,6% et résultat net de 16,253 milliards, +42,5%) et le T3 2025 (PNB cumulé de 58,119 milliards, +16,4% et résultat net de 27,402 milliards, +50,8%) montrent une accélération continue de la rentabilité. Le rapport T1 2026 (PNB de 21,214 milliards, +17,0% et résultat net de 10,387 milliards, +29,7%) confirme la poursuite de cette tendance. Sur la base de ces données, on estime que l'exercice 2026 devrait dépasser les performances de 2025, avec un PNB potentiel de 85-90 milliards FCFA et un résultat net de 40-42 milliards FCFA. La banque affiche une solidité financière remarquable, avec une autonomie financière de 10,7% (faible mais typique du secteur bancaire) et une solvabilité générale de 112%, malgré une dépendance élevée aux dépôts clientèle (89,3% du bilan).</w:t>
      </w:r>
    </w:p>
    <w:p>
      <w:pPr>
        <w:spacing w:after="120" w:line="276" w:lineRule="auto" w:before="240"/>
      </w:pPr>
      <w:r>
        <w:rPr>
          <w:b/>
          <w:color w:val="003366"/>
          <w:sz w:val="24"/>
        </w:rPr>
        <w:t>**PARTIE 4 : CONCLUSION D'INVESTISSEMENT**</w:t>
      </w:r>
    </w:p>
    <w:p>
      <w:pPr>
        <w:spacing w:after="120" w:line="276" w:lineRule="auto"/>
      </w:pPr>
      <w:r>
        <w:t>La valorisation de BICC (PER de 13,3x, P/B de 4,04x, EV/EBITDA de 9,4x) indique une prime de croissance justifiée par des fondamentaux exceptionnels, mais qui laisse peu de marge de sécurité. Le comportement du cours sur 100 jours (+8,35%) avec une volatilité élevée (30,3%) et une distribution platykurtique suggère une tendance haussière stable mais des fluctuations à anticiper. Les signaux techniques sont mitigés : le MACD positif contraste avec un Stochastique en surachat extrême et des moyennes mobiles en consolidation, indiquant un possible repli de court terme avant reprise. Les fondamentaux sont excellents, avec un ROE de 30,3%, une marge nette de 45,9% et une croissance soutenue du PNB (+16,9% en 2025), confirmée par les rapports trimestriels récents. Les prédictions IA (J+1 à J+10) prévoient une baisse progressive de 28 449 à 27 373 FCFA, contredisant les signaux haussiers de long terme mais confirmant le risque de correction technique à court terme. **Recommandation finale : ACHAT** avec un niveau de confiance Moyen et un risque global Moyen. La convergence entre des fondamentaux solides et une valorisation raisonnable justifie l'achat, mais la prudence est recommandée à court terme en raison des signaux techniques de surachat. L'horizon d'investissement optimal est le moyen terme (3-12 mois), permettant de capitaliser sur la croissance continue de la banque tout en absorbant les fluctuations techniques à venir.</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2,164 titres</w:t>
            </w:r>
          </w:p>
        </w:tc>
        <w:tc>
          <w:tcPr>
            <w:tcW w:type="dxa" w:w="2268"/>
            <w:shd w:fill="FFF2CC" w:val="clear"/>
          </w:tcPr>
          <w:p>
            <w:r>
              <w:rPr>
                <w:b/>
                <w:color w:val="503200"/>
                <w:sz w:val="16"/>
              </w:rPr>
              <w:t xml:space="preserve">Cours actuel : </w:t>
            </w:r>
            <w:r>
              <w:rPr>
                <w:color w:val="000000"/>
                <w:sz w:val="17"/>
              </w:rPr>
              <w:t>1,985 FCFA</w:t>
            </w:r>
          </w:p>
          <w:p>
            <w:r>
              <w:rPr>
                <w:b/>
                <w:color w:val="503200"/>
                <w:sz w:val="16"/>
              </w:rPr>
              <w:t xml:space="preserve">Var. 100 jours : </w:t>
            </w:r>
            <w:r>
              <w:rPr>
                <w:b/>
                <w:color w:val="007800"/>
                <w:sz w:val="17"/>
              </w:rPr>
              <w:t>+24.06%</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48.2%</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11.51% (Moyenne) — μ=1,722 FCFA, σ=198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β=0.0158 (Défensif) — Cov=0.000001, Var(idx)=0.000036, ρ=0.003,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σ_j=3.04%/j (Modérée) — Vol. annualisée≈48.2%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2026-08-12</w:t>
            </w:r>
          </w:p>
        </w:tc>
        <w:tc>
          <w:tcPr>
            <w:tcW w:type="dxa" w:w="1440"/>
            <w:shd w:fill="FAFAFA" w:val="clear"/>
          </w:tcPr>
          <w:p>
            <w:r>
              <w:rPr>
                <w:sz w:val="17"/>
              </w:rPr>
              <w:t>1,874</w:t>
            </w:r>
          </w:p>
        </w:tc>
        <w:tc>
          <w:tcPr>
            <w:tcW w:type="dxa" w:w="1440"/>
            <w:shd w:fill="FAFAFA" w:val="clear"/>
          </w:tcPr>
          <w:p>
            <w:r>
              <w:rPr>
                <w:b/>
                <w:sz w:val="17"/>
              </w:rPr>
              <w:t>1,958</w:t>
            </w:r>
          </w:p>
        </w:tc>
        <w:tc>
          <w:tcPr>
            <w:tcW w:type="dxa" w:w="1440"/>
            <w:shd w:fill="FAFAFA" w:val="clear"/>
          </w:tcPr>
          <w:p>
            <w:r>
              <w:rPr>
                <w:sz w:val="17"/>
              </w:rPr>
              <w:t>2,043</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2026-08-13</w:t>
            </w:r>
          </w:p>
        </w:tc>
        <w:tc>
          <w:tcPr>
            <w:tcW w:type="dxa" w:w="1440"/>
            <w:shd w:fill="FAFAFA" w:val="clear"/>
          </w:tcPr>
          <w:p>
            <w:r>
              <w:rPr>
                <w:sz w:val="17"/>
              </w:rPr>
              <w:t>1,842</w:t>
            </w:r>
          </w:p>
        </w:tc>
        <w:tc>
          <w:tcPr>
            <w:tcW w:type="dxa" w:w="1440"/>
            <w:shd w:fill="FAFAFA" w:val="clear"/>
          </w:tcPr>
          <w:p>
            <w:r>
              <w:rPr>
                <w:b/>
                <w:sz w:val="17"/>
              </w:rPr>
              <w:t>1,962</w:t>
            </w:r>
          </w:p>
        </w:tc>
        <w:tc>
          <w:tcPr>
            <w:tcW w:type="dxa" w:w="1440"/>
            <w:shd w:fill="FAFAFA" w:val="clear"/>
          </w:tcPr>
          <w:p>
            <w:r>
              <w:rPr>
                <w:sz w:val="17"/>
              </w:rPr>
              <w:t>2,082</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2026-08-14</w:t>
            </w:r>
          </w:p>
        </w:tc>
        <w:tc>
          <w:tcPr>
            <w:tcW w:type="dxa" w:w="1440"/>
            <w:shd w:fill="FAFAFA" w:val="clear"/>
          </w:tcPr>
          <w:p>
            <w:r>
              <w:rPr>
                <w:sz w:val="17"/>
              </w:rPr>
              <w:t>1,813</w:t>
            </w:r>
          </w:p>
        </w:tc>
        <w:tc>
          <w:tcPr>
            <w:tcW w:type="dxa" w:w="1440"/>
            <w:shd w:fill="FAFAFA" w:val="clear"/>
          </w:tcPr>
          <w:p>
            <w:r>
              <w:rPr>
                <w:b/>
                <w:sz w:val="17"/>
              </w:rPr>
              <w:t>1,960</w:t>
            </w:r>
          </w:p>
        </w:tc>
        <w:tc>
          <w:tcPr>
            <w:tcW w:type="dxa" w:w="1440"/>
            <w:shd w:fill="FAFAFA" w:val="clear"/>
          </w:tcPr>
          <w:p>
            <w:r>
              <w:rPr>
                <w:sz w:val="17"/>
              </w:rPr>
              <w:t>2,106</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2026-08-17</w:t>
            </w:r>
          </w:p>
        </w:tc>
        <w:tc>
          <w:tcPr>
            <w:tcW w:type="dxa" w:w="1440"/>
            <w:shd w:fill="FAFAFA" w:val="clear"/>
          </w:tcPr>
          <w:p>
            <w:r>
              <w:rPr>
                <w:sz w:val="17"/>
              </w:rPr>
              <w:t>1,788</w:t>
            </w:r>
          </w:p>
        </w:tc>
        <w:tc>
          <w:tcPr>
            <w:tcW w:type="dxa" w:w="1440"/>
            <w:shd w:fill="FAFAFA" w:val="clear"/>
          </w:tcPr>
          <w:p>
            <w:r>
              <w:rPr>
                <w:b/>
                <w:sz w:val="17"/>
              </w:rPr>
              <w:t>1,957</w:t>
            </w:r>
          </w:p>
        </w:tc>
        <w:tc>
          <w:tcPr>
            <w:tcW w:type="dxa" w:w="1440"/>
            <w:shd w:fill="FAFAFA" w:val="clear"/>
          </w:tcPr>
          <w:p>
            <w:r>
              <w:rPr>
                <w:sz w:val="17"/>
              </w:rPr>
              <w:t>2,126</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2026-08-18</w:t>
            </w:r>
          </w:p>
        </w:tc>
        <w:tc>
          <w:tcPr>
            <w:tcW w:type="dxa" w:w="1440"/>
            <w:shd w:fill="FAFAFA" w:val="clear"/>
          </w:tcPr>
          <w:p>
            <w:r>
              <w:rPr>
                <w:sz w:val="17"/>
              </w:rPr>
              <w:t>1,766</w:t>
            </w:r>
          </w:p>
        </w:tc>
        <w:tc>
          <w:tcPr>
            <w:tcW w:type="dxa" w:w="1440"/>
            <w:shd w:fill="FAFAFA" w:val="clear"/>
          </w:tcPr>
          <w:p>
            <w:r>
              <w:rPr>
                <w:b/>
                <w:sz w:val="17"/>
              </w:rPr>
              <w:t>1,955</w:t>
            </w:r>
          </w:p>
        </w:tc>
        <w:tc>
          <w:tcPr>
            <w:tcW w:type="dxa" w:w="1440"/>
            <w:shd w:fill="FAFAFA" w:val="clear"/>
          </w:tcPr>
          <w:p>
            <w:r>
              <w:rPr>
                <w:sz w:val="17"/>
              </w:rPr>
              <w:t>2,144</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2026-08-19</w:t>
            </w:r>
          </w:p>
        </w:tc>
        <w:tc>
          <w:tcPr>
            <w:tcW w:type="dxa" w:w="1440"/>
            <w:shd w:fill="FAFAFA" w:val="clear"/>
          </w:tcPr>
          <w:p>
            <w:r>
              <w:rPr>
                <w:sz w:val="17"/>
              </w:rPr>
              <w:t>1,747</w:t>
            </w:r>
          </w:p>
        </w:tc>
        <w:tc>
          <w:tcPr>
            <w:tcW w:type="dxa" w:w="1440"/>
            <w:shd w:fill="FAFAFA" w:val="clear"/>
          </w:tcPr>
          <w:p>
            <w:r>
              <w:rPr>
                <w:b/>
                <w:sz w:val="17"/>
              </w:rPr>
              <w:t>1,954</w:t>
            </w:r>
          </w:p>
        </w:tc>
        <w:tc>
          <w:tcPr>
            <w:tcW w:type="dxa" w:w="1440"/>
            <w:shd w:fill="FAFAFA" w:val="clear"/>
          </w:tcPr>
          <w:p>
            <w:r>
              <w:rPr>
                <w:sz w:val="17"/>
              </w:rPr>
              <w:t>2,161</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2026-08-20</w:t>
            </w:r>
          </w:p>
        </w:tc>
        <w:tc>
          <w:tcPr>
            <w:tcW w:type="dxa" w:w="1440"/>
            <w:shd w:fill="FAFAFA" w:val="clear"/>
          </w:tcPr>
          <w:p>
            <w:r>
              <w:rPr>
                <w:sz w:val="17"/>
              </w:rPr>
              <w:t>1,729</w:t>
            </w:r>
          </w:p>
        </w:tc>
        <w:tc>
          <w:tcPr>
            <w:tcW w:type="dxa" w:w="1440"/>
            <w:shd w:fill="FAFAFA" w:val="clear"/>
          </w:tcPr>
          <w:p>
            <w:r>
              <w:rPr>
                <w:b/>
                <w:sz w:val="17"/>
              </w:rPr>
              <w:t>1,953</w:t>
            </w:r>
          </w:p>
        </w:tc>
        <w:tc>
          <w:tcPr>
            <w:tcW w:type="dxa" w:w="1440"/>
            <w:shd w:fill="FAFAFA" w:val="clear"/>
          </w:tcPr>
          <w:p>
            <w:r>
              <w:rPr>
                <w:sz w:val="17"/>
              </w:rPr>
              <w:t>2,176</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2026-08-21</w:t>
            </w:r>
          </w:p>
        </w:tc>
        <w:tc>
          <w:tcPr>
            <w:tcW w:type="dxa" w:w="1440"/>
            <w:shd w:fill="FAFAFA" w:val="clear"/>
          </w:tcPr>
          <w:p>
            <w:r>
              <w:rPr>
                <w:sz w:val="17"/>
              </w:rPr>
              <w:t>1,713</w:t>
            </w:r>
          </w:p>
        </w:tc>
        <w:tc>
          <w:tcPr>
            <w:tcW w:type="dxa" w:w="1440"/>
            <w:shd w:fill="FAFAFA" w:val="clear"/>
          </w:tcPr>
          <w:p>
            <w:r>
              <w:rPr>
                <w:b/>
                <w:sz w:val="17"/>
              </w:rPr>
              <w:t>1,952</w:t>
            </w:r>
          </w:p>
        </w:tc>
        <w:tc>
          <w:tcPr>
            <w:tcW w:type="dxa" w:w="1440"/>
            <w:shd w:fill="FAFAFA" w:val="clear"/>
          </w:tcPr>
          <w:p>
            <w:r>
              <w:rPr>
                <w:sz w:val="17"/>
              </w:rPr>
              <w:t>2,190</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2026-08-24</w:t>
            </w:r>
          </w:p>
        </w:tc>
        <w:tc>
          <w:tcPr>
            <w:tcW w:type="dxa" w:w="1440"/>
            <w:shd w:fill="FAFAFA" w:val="clear"/>
          </w:tcPr>
          <w:p>
            <w:r>
              <w:rPr>
                <w:sz w:val="17"/>
              </w:rPr>
              <w:t>1,698</w:t>
            </w:r>
          </w:p>
        </w:tc>
        <w:tc>
          <w:tcPr>
            <w:tcW w:type="dxa" w:w="1440"/>
            <w:shd w:fill="FAFAFA" w:val="clear"/>
          </w:tcPr>
          <w:p>
            <w:r>
              <w:rPr>
                <w:b/>
                <w:sz w:val="17"/>
              </w:rPr>
              <w:t>1,951</w:t>
            </w:r>
          </w:p>
        </w:tc>
        <w:tc>
          <w:tcPr>
            <w:tcW w:type="dxa" w:w="1440"/>
            <w:shd w:fill="FAFAFA" w:val="clear"/>
          </w:tcPr>
          <w:p>
            <w:r>
              <w:rPr>
                <w:sz w:val="17"/>
              </w:rPr>
              <w:t>2,204</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2026-08-25</w:t>
            </w:r>
          </w:p>
        </w:tc>
        <w:tc>
          <w:tcPr>
            <w:tcW w:type="dxa" w:w="1440"/>
            <w:shd w:fill="FAFAFA" w:val="clear"/>
          </w:tcPr>
          <w:p>
            <w:r>
              <w:rPr>
                <w:sz w:val="17"/>
              </w:rPr>
              <w:t>1,683</w:t>
            </w:r>
          </w:p>
        </w:tc>
        <w:tc>
          <w:tcPr>
            <w:tcW w:type="dxa" w:w="1440"/>
            <w:shd w:fill="FAFAFA" w:val="clear"/>
          </w:tcPr>
          <w:p>
            <w:r>
              <w:rPr>
                <w:b/>
                <w:sz w:val="17"/>
              </w:rPr>
              <w:t>1,950</w:t>
            </w:r>
          </w:p>
        </w:tc>
        <w:tc>
          <w:tcPr>
            <w:tcW w:type="dxa" w:w="1440"/>
            <w:shd w:fill="FAFAFA" w:val="clear"/>
          </w:tcPr>
          <w:p>
            <w:r>
              <w:rPr>
                <w:sz w:val="17"/>
              </w:rPr>
              <w:t>2,216</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Absolument. Voici un rapport d'analyse structuré et professionnel sur l'action BNBC,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13,15 milliards FCFA, un niveau modeste qui la classe parmi les petites capitalisations de la BRVM. Le BPA est de 3 FCFA par action, ce qui est extrêmement faible. En conséquence, le PER de 589,1x est exceptionnellement élevé, très loin de la moyenne du marché BRVM (8-12x), indiquant que les investisseurs paient un prix très élevé pour des bénéfices actuels quasi inexistants. Cependant, le P/B de 0,74x offre un contraste saisissant : le marché valorise l'action en dessous de sa valeur comptable, ce qui pourrait signaler une décote et une opportunité potentielle pour les investisseurs "value". Enfin, l'EV/EBITDA de 24,2x, bien que supérieur au seuil de 15x jugé exigeant, doit être relativisé au vu de la faiblesse des bénéfices, reflétant une capacité opérationnelle (EBITDA) qui ne justifie pas pleinement la valeur d'entreprise.</w:t>
      </w:r>
    </w:p>
    <w:p>
      <w:pPr>
        <w:spacing w:after="120" w:line="276" w:lineRule="auto"/>
      </w:pPr>
      <w:r>
        <w:t>### **PARTIE 1 : ANALYSE DU COURS — STATISTIQUES ET ÉVOLUTION (100 derniers jours)**</w:t>
      </w:r>
    </w:p>
    <w:p>
      <w:pPr>
        <w:spacing w:after="120" w:line="276" w:lineRule="auto"/>
      </w:pPr>
      <w:r>
        <w:t>Sur les 100 derniers jours, l'action BNBC a enregistré une performance remarquable de +24,06%, avec une accélération notable lors de la dernière séance (+4,20%). Le cours a évolué dans une fourchette de 1 300 à 2 100 FCFA, démontrant une forte amplitude de trading. La moyenne (1 722 FCFA) est supérieure à la médiane (1 640 FCFA), indiquant une distribution légèrement asymétrique à droite, où les fortes hausses récentes tirent la moyenne vers le haut. L'écart-type de 199 FCFA (CV = 11,6%) révèle une dispersion modérée autour de la moyenne. Le kurtosis négatif (-1.213) suggère une distribution "plate" avec moins de valeurs extrêmes que la normale, tandis que le skewness proche de zéro (0.066) confirme une symétrie globale. La volatilité annualisée de 48,2% classe le titre comme très volatil, un élément de risque majeur à considérer.</w:t>
      </w:r>
    </w:p>
    <w:p>
      <w:pPr>
        <w:spacing w:after="120" w:line="276" w:lineRule="auto"/>
      </w:pPr>
      <w:r>
        <w:t>### **PARTIE 2 : ANALYSE TECHNIQUE DÉTAILLÉE**</w:t>
      </w:r>
    </w:p>
    <w:p>
      <w:pPr>
        <w:spacing w:after="120" w:line="276" w:lineRule="auto"/>
      </w:pPr>
      <w:r>
        <w:t>**Moyennes Mobiles** : Le cours actuel (1 985 FCFA) est supérieur à la MM20 (1 914,5 FCFA) et à la MM50 (1 894,6 FCFA), avec une MM20 au-dessus de la MM50. Cette configuration haussière confirme une dynamique positive à court et moyen terme, justifiant la décision d'**Achat**.</w:t>
      </w:r>
    </w:p>
    <w:p>
      <w:pPr>
        <w:spacing w:after="120" w:line="276" w:lineRule="auto"/>
      </w:pPr>
      <w:r>
        <w:t>**Bandes de Bollinger** : Le prix se situe dans la partie supérieure des bandes, proche de la borne haute (2 033 FCFA), ce qui indique une pression acheteuse soutenue. La largeur des bandes reflète la volatilité élevée. La décision est **Neutre**, car le cours n'a pas encore touché la borne, mais la tendance est clairement haussière.</w:t>
      </w:r>
    </w:p>
    <w:p>
      <w:pPr>
        <w:spacing w:after="120" w:line="276" w:lineRule="auto"/>
      </w:pPr>
      <w:r>
        <w:t>**MACD** : La valeur du MACD (14.108) est très proche de sa ligne de signal (14.229), avec une valeur légèrement inférieure. Ce croisement baissier naissant suggère un affaiblissement du momentum haussier à très court terme, d'où la décision de **Vente**.</w:t>
      </w:r>
    </w:p>
    <w:p>
      <w:pPr>
        <w:spacing w:after="120" w:line="276" w:lineRule="auto"/>
      </w:pPr>
      <w:r>
        <w:t>**RSI** : Le RSI est à 50,0, une valeur parfaitement neutre. Le titre n'est ni suracheté ni survendu, indiquant un équilibre entre acheteurs et vendeurs. La décision est **Neutre**, laissant place à une évolution dans les deux sens.</w:t>
      </w:r>
    </w:p>
    <w:p>
      <w:pPr>
        <w:spacing w:after="120" w:line="276" w:lineRule="auto"/>
      </w:pPr>
      <w:r>
        <w:t>**Stochastique** : Le %K (95.652) est extrêmement élevé et très au-dessus du %D (47.826). Cette configuration indique une condition de surachat sévère, avec un écart important qui précède souvent un retournement baissier. La décision de **Vente** est donc justifiée.</w:t>
      </w:r>
    </w:p>
    <w:p>
      <w:pPr>
        <w:spacing w:after="120" w:line="276" w:lineRule="auto"/>
      </w:pPr>
      <w:r>
        <w:t>**Conclusion technique** : Les signaux sont mitigés. La tendance de fond (MM) est haussière, mais les oscillateurs (MACD, Stochastique) signalent un essoufflement et des conditions de surachat. Le RSI neutre et les bandes de Bollinger ne fournissent pas de direction claire. Il est probable que le titre connaisse une consolidation ou un léger repli à court terme avant de poursuivre sa tendance.</w:t>
      </w:r>
    </w:p>
    <w:p>
      <w:pPr>
        <w:spacing w:after="120" w:line="276" w:lineRule="auto"/>
      </w:pPr>
      <w:r>
        <w:t>### **PARTIE 3 : ANALYSE FONDAMENTALE (SECTION CRITIQUE)**</w:t>
      </w:r>
    </w:p>
    <w:p>
      <w:pPr>
        <w:spacing w:after="120" w:line="276" w:lineRule="auto"/>
      </w:pPr>
      <w:r>
        <w:t>En 2025, selon les données structurées, BNBC a réalisé un chiffre d'affaires de 42,454 milliards FCFA, en baisse de 6,31% par rapport à 2024. Le résultat net est anémique à 22,32 millions FCFA, soit une marge nette de 0,05%, avec un ROE de 0,13% et un ROA de 0,05%, des niveaux extrêmement faibles. La structure financière est préoccupante : la trésorerie nette est fortement négative (-16,69 milliards FCFA) et le BFR est élevé (29,37 milliards FCFA), avec des délais clients (104 jours) et de stockage (339 jours) très longs, immobilisant le capital. Le ratio d'endettement de 105% souligne une dépendance aux créanciers. Les rapports trimestriels de 2025 confirment cette fragilité, avec un S1 2025 en perte (-139,57 millions FCFA) et un T3 2025 en recul d'activité (-13%). Cependant, le rapport du T1 2026, le plus récent, montre une amélioration spectaculaire du résultat net, qui passe à +65,57 millions FCFA (contre une perte de -16,15 millions au T1 2025), grâce à l'intégration de la division Équipement. Sur cette base, on estime que l'exercice 2026 pourrait voir une amélioration de la rentabilité, mais la prudence reste de mise.</w:t>
      </w:r>
    </w:p>
    <w:p>
      <w:pPr>
        <w:spacing w:after="120" w:line="276" w:lineRule="auto"/>
      </w:pPr>
      <w:r>
        <w:t>### **PARTIE 4 : CONCLUSION D'INVESTISSEMENT**</w:t>
      </w:r>
    </w:p>
    <w:p>
      <w:pPr>
        <w:spacing w:after="120" w:line="276" w:lineRule="auto"/>
      </w:pPr>
      <w:r>
        <w:t>La valorisation de BNBC est paradoxale : un PER extrêmement élevé (589x) suggère une surévaluation, mais un P/B sous la valeur comptable (0,74x) indique une potentielle sous-évaluation. Le comportement du cours est haussier sur 100 jours (+24%), mais la volatilité est très élevée (48,2%). Les signaux techniques sont divergents : la tendance de fond est positive, mais les oscillateurs indiquent un surachat imminent. Les fondamentaux sont très faibles, avec une rentabilité quasi nulle et une trésorerie négative, bien que le T1 2026 montre des signes encourageants. Les prédictions IA (1 955-1 962 FCFA) suggèrent une stabilisation, contredisant la poursuite de la hausse. En synthèse, le profil risque/rendement est défavorable à court terme. La recommandation est **CONSERVER** avec un niveau de confiance **Moyen** et un risque global **Élevé**. L'horizon d'investissement optimal serait de **moyen terme (3-12 mois)**, en attendant de voir si l'amélioration de la rentabilité se confirme sur les prochains trimestres.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351.06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5,484 titres</w:t>
            </w:r>
          </w:p>
        </w:tc>
        <w:tc>
          <w:tcPr>
            <w:tcW w:type="dxa" w:w="2268"/>
            <w:shd w:fill="FFF2CC" w:val="clear"/>
          </w:tcPr>
          <w:p>
            <w:r>
              <w:rPr>
                <w:b/>
                <w:color w:val="503200"/>
                <w:sz w:val="16"/>
              </w:rPr>
              <w:t xml:space="preserve">Cours actuel : </w:t>
            </w:r>
            <w:r>
              <w:rPr>
                <w:color w:val="000000"/>
                <w:sz w:val="17"/>
              </w:rPr>
              <w:t>8,655 FCFA</w:t>
            </w:r>
          </w:p>
          <w:p>
            <w:r>
              <w:rPr>
                <w:b/>
                <w:color w:val="503200"/>
                <w:sz w:val="16"/>
              </w:rPr>
              <w:t xml:space="preserve">Var. 100 jours : </w:t>
            </w:r>
            <w:r>
              <w:rPr>
                <w:b/>
                <w:color w:val="007800"/>
                <w:sz w:val="17"/>
              </w:rPr>
              <w:t>+9.63%</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6.95% (Moyenne) — μ=8,558 FCFA, σ=594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β=-0.1968 (Contre-cyclique) — Cov=-0.000007, Var(idx)=0.000036, ρ=-0.082,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5,484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σ_j=1.45%/j (Stable) — Vol. annualisée≈23.0%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2026-08-12</w:t>
            </w:r>
          </w:p>
        </w:tc>
        <w:tc>
          <w:tcPr>
            <w:tcW w:type="dxa" w:w="1440"/>
            <w:shd w:fill="FFDCE0" w:val="clear"/>
          </w:tcPr>
          <w:p>
            <w:r>
              <w:rPr>
                <w:sz w:val="17"/>
              </w:rPr>
              <w:t>8,328</w:t>
            </w:r>
          </w:p>
        </w:tc>
        <w:tc>
          <w:tcPr>
            <w:tcW w:type="dxa" w:w="1440"/>
            <w:shd w:fill="FFDCE0" w:val="clear"/>
          </w:tcPr>
          <w:p>
            <w:r>
              <w:rPr>
                <w:b/>
                <w:sz w:val="17"/>
              </w:rPr>
              <w:t>8,447</w:t>
            </w:r>
          </w:p>
        </w:tc>
        <w:tc>
          <w:tcPr>
            <w:tcW w:type="dxa" w:w="1440"/>
            <w:shd w:fill="FFDCE0" w:val="clear"/>
          </w:tcPr>
          <w:p>
            <w:r>
              <w:rPr>
                <w:sz w:val="17"/>
              </w:rPr>
              <w:t>8,567</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8,165</w:t>
            </w:r>
          </w:p>
        </w:tc>
        <w:tc>
          <w:tcPr>
            <w:tcW w:type="dxa" w:w="1440"/>
            <w:shd w:fill="FFDCE0" w:val="clear"/>
          </w:tcPr>
          <w:p>
            <w:r>
              <w:rPr>
                <w:b/>
                <w:sz w:val="17"/>
              </w:rPr>
              <w:t>8,332</w:t>
            </w:r>
          </w:p>
        </w:tc>
        <w:tc>
          <w:tcPr>
            <w:tcW w:type="dxa" w:w="1440"/>
            <w:shd w:fill="FFDCE0" w:val="clear"/>
          </w:tcPr>
          <w:p>
            <w:r>
              <w:rPr>
                <w:sz w:val="17"/>
              </w:rPr>
              <w:t>8,499</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8,023</w:t>
            </w:r>
          </w:p>
        </w:tc>
        <w:tc>
          <w:tcPr>
            <w:tcW w:type="dxa" w:w="1440"/>
            <w:shd w:fill="FFDCE0" w:val="clear"/>
          </w:tcPr>
          <w:p>
            <w:r>
              <w:rPr>
                <w:b/>
                <w:sz w:val="17"/>
              </w:rPr>
              <w:t>8,224</w:t>
            </w:r>
          </w:p>
        </w:tc>
        <w:tc>
          <w:tcPr>
            <w:tcW w:type="dxa" w:w="1440"/>
            <w:shd w:fill="FFDCE0" w:val="clear"/>
          </w:tcPr>
          <w:p>
            <w:r>
              <w:rPr>
                <w:sz w:val="17"/>
              </w:rPr>
              <w:t>8,425</w:t>
            </w:r>
          </w:p>
        </w:tc>
        <w:tc>
          <w:tcPr>
            <w:tcW w:type="dxa" w:w="1440"/>
            <w:shd w:fill="FFDCE0" w:val="clear"/>
          </w:tcPr>
          <w:p>
            <w:r>
              <w:rPr>
                <w:b/>
                <w:color w:val="C00000"/>
                <w:sz w:val="17"/>
              </w:rPr>
              <w:t>-5.0%</w:t>
            </w:r>
          </w:p>
        </w:tc>
      </w:tr>
      <w:tr>
        <w:tc>
          <w:tcPr>
            <w:tcW w:type="dxa" w:w="1440"/>
            <w:shd w:fill="FFDCE0" w:val="clear"/>
          </w:tcPr>
          <w:p>
            <w:r>
              <w:rPr>
                <w:sz w:val="17"/>
              </w:rPr>
              <w:t>J+4  Moyenne</w:t>
            </w:r>
          </w:p>
        </w:tc>
        <w:tc>
          <w:tcPr>
            <w:tcW w:type="dxa" w:w="1440"/>
            <w:shd w:fill="FFDCE0" w:val="clear"/>
          </w:tcPr>
          <w:p>
            <w:r>
              <w:rPr>
                <w:sz w:val="17"/>
              </w:rPr>
              <w:t>2026-08-17</w:t>
            </w:r>
          </w:p>
        </w:tc>
        <w:tc>
          <w:tcPr>
            <w:tcW w:type="dxa" w:w="1440"/>
            <w:shd w:fill="FFDCE0" w:val="clear"/>
          </w:tcPr>
          <w:p>
            <w:r>
              <w:rPr>
                <w:sz w:val="17"/>
              </w:rPr>
              <w:t>7,901</w:t>
            </w:r>
          </w:p>
        </w:tc>
        <w:tc>
          <w:tcPr>
            <w:tcW w:type="dxa" w:w="1440"/>
            <w:shd w:fill="FFDCE0" w:val="clear"/>
          </w:tcPr>
          <w:p>
            <w:r>
              <w:rPr>
                <w:b/>
                <w:sz w:val="17"/>
              </w:rPr>
              <w:t>8,131</w:t>
            </w:r>
          </w:p>
        </w:tc>
        <w:tc>
          <w:tcPr>
            <w:tcW w:type="dxa" w:w="1440"/>
            <w:shd w:fill="FFDCE0" w:val="clear"/>
          </w:tcPr>
          <w:p>
            <w:r>
              <w:rPr>
                <w:sz w:val="17"/>
              </w:rPr>
              <w:t>8,360</w:t>
            </w:r>
          </w:p>
        </w:tc>
        <w:tc>
          <w:tcPr>
            <w:tcW w:type="dxa" w:w="1440"/>
            <w:shd w:fill="FFDCE0" w:val="clear"/>
          </w:tcPr>
          <w:p>
            <w:r>
              <w:rPr>
                <w:b/>
                <w:color w:val="C00000"/>
                <w:sz w:val="17"/>
              </w:rPr>
              <w:t>-6.1%</w:t>
            </w:r>
          </w:p>
        </w:tc>
      </w:tr>
      <w:tr>
        <w:tc>
          <w:tcPr>
            <w:tcW w:type="dxa" w:w="1440"/>
            <w:shd w:fill="FFDCE0" w:val="clear"/>
          </w:tcPr>
          <w:p>
            <w:r>
              <w:rPr>
                <w:sz w:val="17"/>
              </w:rPr>
              <w:t>J+5  Moyenne</w:t>
            </w:r>
          </w:p>
        </w:tc>
        <w:tc>
          <w:tcPr>
            <w:tcW w:type="dxa" w:w="1440"/>
            <w:shd w:fill="FFDCE0" w:val="clear"/>
          </w:tcPr>
          <w:p>
            <w:r>
              <w:rPr>
                <w:sz w:val="17"/>
              </w:rPr>
              <w:t>2026-08-18</w:t>
            </w:r>
          </w:p>
        </w:tc>
        <w:tc>
          <w:tcPr>
            <w:tcW w:type="dxa" w:w="1440"/>
            <w:shd w:fill="FFDCE0" w:val="clear"/>
          </w:tcPr>
          <w:p>
            <w:r>
              <w:rPr>
                <w:sz w:val="17"/>
              </w:rPr>
              <w:t>7,791</w:t>
            </w:r>
          </w:p>
        </w:tc>
        <w:tc>
          <w:tcPr>
            <w:tcW w:type="dxa" w:w="1440"/>
            <w:shd w:fill="FFDCE0" w:val="clear"/>
          </w:tcPr>
          <w:p>
            <w:r>
              <w:rPr>
                <w:b/>
                <w:sz w:val="17"/>
              </w:rPr>
              <w:t>8,046</w:t>
            </w:r>
          </w:p>
        </w:tc>
        <w:tc>
          <w:tcPr>
            <w:tcW w:type="dxa" w:w="1440"/>
            <w:shd w:fill="FFDCE0" w:val="clear"/>
          </w:tcPr>
          <w:p>
            <w:r>
              <w:rPr>
                <w:sz w:val="17"/>
              </w:rPr>
              <w:t>8,300</w:t>
            </w:r>
          </w:p>
        </w:tc>
        <w:tc>
          <w:tcPr>
            <w:tcW w:type="dxa" w:w="1440"/>
            <w:shd w:fill="FFDCE0" w:val="clear"/>
          </w:tcPr>
          <w:p>
            <w:r>
              <w:rPr>
                <w:b/>
                <w:color w:val="C00000"/>
                <w:sz w:val="17"/>
              </w:rPr>
              <w:t>-7.0%</w:t>
            </w:r>
          </w:p>
        </w:tc>
      </w:tr>
      <w:tr>
        <w:tc>
          <w:tcPr>
            <w:tcW w:type="dxa" w:w="1440"/>
            <w:shd w:fill="FFDCE0" w:val="clear"/>
          </w:tcPr>
          <w:p>
            <w:r>
              <w:rPr>
                <w:sz w:val="17"/>
              </w:rPr>
              <w:t>J+6  Moyenne</w:t>
            </w:r>
          </w:p>
        </w:tc>
        <w:tc>
          <w:tcPr>
            <w:tcW w:type="dxa" w:w="1440"/>
            <w:shd w:fill="FFDCE0" w:val="clear"/>
          </w:tcPr>
          <w:p>
            <w:r>
              <w:rPr>
                <w:sz w:val="17"/>
              </w:rPr>
              <w:t>2026-08-19</w:t>
            </w:r>
          </w:p>
        </w:tc>
        <w:tc>
          <w:tcPr>
            <w:tcW w:type="dxa" w:w="1440"/>
            <w:shd w:fill="FFDCE0" w:val="clear"/>
          </w:tcPr>
          <w:p>
            <w:r>
              <w:rPr>
                <w:sz w:val="17"/>
              </w:rPr>
              <w:t>7,690</w:t>
            </w:r>
          </w:p>
        </w:tc>
        <w:tc>
          <w:tcPr>
            <w:tcW w:type="dxa" w:w="1440"/>
            <w:shd w:fill="FFDCE0" w:val="clear"/>
          </w:tcPr>
          <w:p>
            <w:r>
              <w:rPr>
                <w:b/>
                <w:sz w:val="17"/>
              </w:rPr>
              <w:t>7,966</w:t>
            </w:r>
          </w:p>
        </w:tc>
        <w:tc>
          <w:tcPr>
            <w:tcW w:type="dxa" w:w="1440"/>
            <w:shd w:fill="FFDCE0" w:val="clear"/>
          </w:tcPr>
          <w:p>
            <w:r>
              <w:rPr>
                <w:sz w:val="17"/>
              </w:rPr>
              <w:t>8,242</w:t>
            </w:r>
          </w:p>
        </w:tc>
        <w:tc>
          <w:tcPr>
            <w:tcW w:type="dxa" w:w="1440"/>
            <w:shd w:fill="FFDCE0" w:val="clear"/>
          </w:tcPr>
          <w:p>
            <w:r>
              <w:rPr>
                <w:b/>
                <w:color w:val="C00000"/>
                <w:sz w:val="17"/>
              </w:rPr>
              <w:t>-8.0%</w:t>
            </w:r>
          </w:p>
        </w:tc>
      </w:tr>
      <w:tr>
        <w:tc>
          <w:tcPr>
            <w:tcW w:type="dxa" w:w="1440"/>
            <w:shd w:fill="FFDCE0" w:val="clear"/>
          </w:tcPr>
          <w:p>
            <w:r>
              <w:rPr>
                <w:sz w:val="17"/>
              </w:rPr>
              <w:t>J+7  Moyenne</w:t>
            </w:r>
          </w:p>
        </w:tc>
        <w:tc>
          <w:tcPr>
            <w:tcW w:type="dxa" w:w="1440"/>
            <w:shd w:fill="FFDCE0" w:val="clear"/>
          </w:tcPr>
          <w:p>
            <w:r>
              <w:rPr>
                <w:sz w:val="17"/>
              </w:rPr>
              <w:t>2026-08-20</w:t>
            </w:r>
          </w:p>
        </w:tc>
        <w:tc>
          <w:tcPr>
            <w:tcW w:type="dxa" w:w="1440"/>
            <w:shd w:fill="FFDCE0" w:val="clear"/>
          </w:tcPr>
          <w:p>
            <w:r>
              <w:rPr>
                <w:sz w:val="17"/>
              </w:rPr>
              <w:t>7,595</w:t>
            </w:r>
          </w:p>
        </w:tc>
        <w:tc>
          <w:tcPr>
            <w:tcW w:type="dxa" w:w="1440"/>
            <w:shd w:fill="FFDCE0" w:val="clear"/>
          </w:tcPr>
          <w:p>
            <w:r>
              <w:rPr>
                <w:b/>
                <w:sz w:val="17"/>
              </w:rPr>
              <w:t>7,890</w:t>
            </w:r>
          </w:p>
        </w:tc>
        <w:tc>
          <w:tcPr>
            <w:tcW w:type="dxa" w:w="1440"/>
            <w:shd w:fill="FFDCE0" w:val="clear"/>
          </w:tcPr>
          <w:p>
            <w:r>
              <w:rPr>
                <w:sz w:val="17"/>
              </w:rPr>
              <w:t>8,185</w:t>
            </w:r>
          </w:p>
        </w:tc>
        <w:tc>
          <w:tcPr>
            <w:tcW w:type="dxa" w:w="1440"/>
            <w:shd w:fill="FFDCE0" w:val="clear"/>
          </w:tcPr>
          <w:p>
            <w:r>
              <w:rPr>
                <w:b/>
                <w:color w:val="C00000"/>
                <w:sz w:val="17"/>
              </w:rPr>
              <w:t>-8.8%</w:t>
            </w:r>
          </w:p>
        </w:tc>
      </w:tr>
      <w:tr>
        <w:tc>
          <w:tcPr>
            <w:tcW w:type="dxa" w:w="1440"/>
            <w:shd w:fill="FFDCE0" w:val="clear"/>
          </w:tcPr>
          <w:p>
            <w:r>
              <w:rPr>
                <w:sz w:val="17"/>
              </w:rPr>
              <w:t>J+8  Moyenne</w:t>
            </w:r>
          </w:p>
        </w:tc>
        <w:tc>
          <w:tcPr>
            <w:tcW w:type="dxa" w:w="1440"/>
            <w:shd w:fill="FFDCE0" w:val="clear"/>
          </w:tcPr>
          <w:p>
            <w:r>
              <w:rPr>
                <w:sz w:val="17"/>
              </w:rPr>
              <w:t>2026-08-21</w:t>
            </w:r>
          </w:p>
        </w:tc>
        <w:tc>
          <w:tcPr>
            <w:tcW w:type="dxa" w:w="1440"/>
            <w:shd w:fill="FFDCE0" w:val="clear"/>
          </w:tcPr>
          <w:p>
            <w:r>
              <w:rPr>
                <w:sz w:val="17"/>
              </w:rPr>
              <w:t>7,506</w:t>
            </w:r>
          </w:p>
        </w:tc>
        <w:tc>
          <w:tcPr>
            <w:tcW w:type="dxa" w:w="1440"/>
            <w:shd w:fill="FFDCE0" w:val="clear"/>
          </w:tcPr>
          <w:p>
            <w:r>
              <w:rPr>
                <w:b/>
                <w:sz w:val="17"/>
              </w:rPr>
              <w:t>7,819</w:t>
            </w:r>
          </w:p>
        </w:tc>
        <w:tc>
          <w:tcPr>
            <w:tcW w:type="dxa" w:w="1440"/>
            <w:shd w:fill="FFDCE0" w:val="clear"/>
          </w:tcPr>
          <w:p>
            <w:r>
              <w:rPr>
                <w:sz w:val="17"/>
              </w:rPr>
              <w:t>8,131</w:t>
            </w:r>
          </w:p>
        </w:tc>
        <w:tc>
          <w:tcPr>
            <w:tcW w:type="dxa" w:w="1440"/>
            <w:shd w:fill="FFDCE0" w:val="clear"/>
          </w:tcPr>
          <w:p>
            <w:r>
              <w:rPr>
                <w:b/>
                <w:color w:val="C00000"/>
                <w:sz w:val="17"/>
              </w:rPr>
              <w:t>-9.7%</w:t>
            </w:r>
          </w:p>
        </w:tc>
      </w:tr>
      <w:tr>
        <w:tc>
          <w:tcPr>
            <w:tcW w:type="dxa" w:w="1440"/>
            <w:shd w:fill="FFDCE0" w:val="clear"/>
          </w:tcPr>
          <w:p>
            <w:r>
              <w:rPr>
                <w:sz w:val="17"/>
              </w:rPr>
              <w:t>J+9  Moyenne</w:t>
            </w:r>
          </w:p>
        </w:tc>
        <w:tc>
          <w:tcPr>
            <w:tcW w:type="dxa" w:w="1440"/>
            <w:shd w:fill="FFDCE0" w:val="clear"/>
          </w:tcPr>
          <w:p>
            <w:r>
              <w:rPr>
                <w:sz w:val="17"/>
              </w:rPr>
              <w:t>2026-08-24</w:t>
            </w:r>
          </w:p>
        </w:tc>
        <w:tc>
          <w:tcPr>
            <w:tcW w:type="dxa" w:w="1440"/>
            <w:shd w:fill="FFDCE0" w:val="clear"/>
          </w:tcPr>
          <w:p>
            <w:r>
              <w:rPr>
                <w:sz w:val="17"/>
              </w:rPr>
              <w:t>7,422</w:t>
            </w:r>
          </w:p>
        </w:tc>
        <w:tc>
          <w:tcPr>
            <w:tcW w:type="dxa" w:w="1440"/>
            <w:shd w:fill="FFDCE0" w:val="clear"/>
          </w:tcPr>
          <w:p>
            <w:r>
              <w:rPr>
                <w:b/>
                <w:sz w:val="17"/>
              </w:rPr>
              <w:t>7,750</w:t>
            </w:r>
          </w:p>
        </w:tc>
        <w:tc>
          <w:tcPr>
            <w:tcW w:type="dxa" w:w="1440"/>
            <w:shd w:fill="FFDCE0" w:val="clear"/>
          </w:tcPr>
          <w:p>
            <w:r>
              <w:rPr>
                <w:sz w:val="17"/>
              </w:rPr>
              <w:t>8,079</w:t>
            </w:r>
          </w:p>
        </w:tc>
        <w:tc>
          <w:tcPr>
            <w:tcW w:type="dxa" w:w="1440"/>
            <w:shd w:fill="FFDCE0" w:val="clear"/>
          </w:tcPr>
          <w:p>
            <w:r>
              <w:rPr>
                <w:b/>
                <w:color w:val="C00000"/>
                <w:sz w:val="17"/>
              </w:rPr>
              <w:t>-10.5%</w:t>
            </w:r>
          </w:p>
        </w:tc>
      </w:tr>
      <w:tr>
        <w:tc>
          <w:tcPr>
            <w:tcW w:type="dxa" w:w="1440"/>
            <w:shd w:fill="FFDCE0" w:val="clear"/>
          </w:tcPr>
          <w:p>
            <w:r>
              <w:rPr>
                <w:sz w:val="17"/>
              </w:rPr>
              <w:t>J+10  Moyenne</w:t>
            </w:r>
          </w:p>
        </w:tc>
        <w:tc>
          <w:tcPr>
            <w:tcW w:type="dxa" w:w="1440"/>
            <w:shd w:fill="FFDCE0" w:val="clear"/>
          </w:tcPr>
          <w:p>
            <w:r>
              <w:rPr>
                <w:sz w:val="17"/>
              </w:rPr>
              <w:t>2026-08-25</w:t>
            </w:r>
          </w:p>
        </w:tc>
        <w:tc>
          <w:tcPr>
            <w:tcW w:type="dxa" w:w="1440"/>
            <w:shd w:fill="FFDCE0" w:val="clear"/>
          </w:tcPr>
          <w:p>
            <w:r>
              <w:rPr>
                <w:sz w:val="17"/>
              </w:rPr>
              <w:t>7,342</w:t>
            </w:r>
          </w:p>
        </w:tc>
        <w:tc>
          <w:tcPr>
            <w:tcW w:type="dxa" w:w="1440"/>
            <w:shd w:fill="FFDCE0" w:val="clear"/>
          </w:tcPr>
          <w:p>
            <w:r>
              <w:rPr>
                <w:b/>
                <w:sz w:val="17"/>
              </w:rPr>
              <w:t>7,685</w:t>
            </w:r>
          </w:p>
        </w:tc>
        <w:tc>
          <w:tcPr>
            <w:tcW w:type="dxa" w:w="1440"/>
            <w:shd w:fill="FFDCE0" w:val="clear"/>
          </w:tcPr>
          <w:p>
            <w:r>
              <w:rPr>
                <w:sz w:val="17"/>
              </w:rPr>
              <w:t>8,028</w:t>
            </w:r>
          </w:p>
        </w:tc>
        <w:tc>
          <w:tcPr>
            <w:tcW w:type="dxa" w:w="1440"/>
            <w:shd w:fill="FFDCE0" w:val="clear"/>
          </w:tcPr>
          <w:p>
            <w:r>
              <w:rPr>
                <w:b/>
                <w:color w:val="C00000"/>
                <w:sz w:val="17"/>
              </w:rPr>
              <w:t>-11.2%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351,06 milliards FCFA, ce qui positionne la banque parmi les valeurs moyennes à grandes capitalisations de la BRVM, lui conférant une liquidité théorique appréciable. Avec un BPA de 496 FCFA, chaque action génère un bénéfice substantiel, mais le PER de 17,5x se situe nettement au-dessus de la moyenne historique du marché (~8-12x), indiquant que les investisseurs paient une prime significative pour la croissance anticipée. Le P/B de 2,99x confirme cette prime, le marché valorisant la banque près de trois fois sa valeur comptable, ce qui traduit une forte confiance dans la création de valeur future. Enfin, l'EV/EBITDA de 18,4x, bien que supérieur au seuil exigeant de 15x, reflète la solidité opérationnelle de l'établissement et sa capacité à générer des flux récurrents, justifiant en partie cette valorisation élevée dans le contexte régional.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affiche une progression totale de +9,63%, avec une dernière séance quasi stable (+0,06%), témoignant d'une dynamique haussière soutenue mais arrivant à maturité. Le cours a évolué dans un range de 7 295 FCFA (plus bas) à 9 420 FCFA (plus haut), soit une amplitude de 29%, indiquant une volatilité intra-période marquée. La moyenne (8 558 FCFA) est inférieure à la médiane (8 715 FCFA), et le skewness négatif (-0,696) confirme une asymétrie avec des journées plus fréquentes au-dessus de la moyenne, suggérant une pression acheteuse dominante. L'écart-type de 597 FCFA (CV=7,0%) révèle une dispersion modérée, tandis que le kurtosis de -0,608 (mésokurtique) indique une distribution proche de la normale, sans risque de pics extrêmes. La volatilité annualisée de 23,0% classe le titre dans une zone modérée (15-30%), offrant un équilibre entre potentiel de rendement et risque acceptable pour les investisseurs.</w:t>
      </w:r>
    </w:p>
    <w:p>
      <w:pPr>
        <w:spacing w:after="120" w:line="276" w:lineRule="auto" w:before="240"/>
      </w:pPr>
      <w:r>
        <w:rPr>
          <w:b/>
          <w:color w:val="003366"/>
          <w:sz w:val="24"/>
        </w:rPr>
        <w:t>**PARTIE 2 : ANALYSE TECHNIQUE DÉTAILLÉE**</w:t>
      </w:r>
    </w:p>
    <w:p>
      <w:pPr>
        <w:spacing w:after="120" w:line="276" w:lineRule="auto"/>
      </w:pPr>
      <w:r>
        <w:t>Les **Moyennes Mobiles** (MM20=8 677,5 et MM50=8 799,3) se situent toutes deux au-dessus du cours actuel (8 655 FCFA), signalant une tendance baissière à court et moyen terme. La décision de Vente est justifiée par la position du prix sous ces moyennes, indiquant que les acheteurs perdent du terrain et que la pression vendeuse pourrait s'accentuer si le cours ne repasse pas au-dessus de ces niveaux.</w:t>
      </w:r>
    </w:p>
    <w:p>
      <w:pPr>
        <w:spacing w:after="120" w:line="276" w:lineRule="auto"/>
      </w:pPr>
      <w:r>
        <w:t>Les **Bandes de Bollinger** (borne supérieure 8 833,8, borne inférieure 8 521,2) encadrent le cours à 8 655 FCFA, positionné dans la moitié inférieure du canal. La décision Neutre reflète une volatilité modérée, mais la proximité de la borne inférieure suggère un potentiel de rebond technique si le support tient, ou une poursuite de la baisse en cas de rupture.</w:t>
      </w:r>
    </w:p>
    <w:p>
      <w:pPr>
        <w:spacing w:after="120" w:line="276" w:lineRule="auto"/>
      </w:pPr>
      <w:r>
        <w:t>Le **MACD** (valeur -47,3, signal -58,0) affiche une divergence positive, avec la ligne MACD au-dessus de sa ligne de signal, indiquant un momentum haussier émergent. La décision d'Achat est cohérente avec ce croisement, suggérant que la pression acheteuse commence à se renforcer malgré la faiblesse des moyennes mobiles.</w:t>
      </w:r>
    </w:p>
    <w:p>
      <w:pPr>
        <w:spacing w:after="120" w:line="276" w:lineRule="auto"/>
      </w:pPr>
      <w:r>
        <w:t>Le **RSI** à 56,2 se situe en zone neutre (30-70), sans signal de surachat ni de survente. La décision Neutre est appropriée, laissant place à une évolution dans les deux sens, avec une légère tendance haussière puisque la valeur est au-dessus de 50.</w:t>
      </w:r>
    </w:p>
    <w:p>
      <w:pPr>
        <w:spacing w:after="120" w:line="276" w:lineRule="auto"/>
      </w:pPr>
      <w:r>
        <w:t>Le **Stochastique** (%K=67,5, %D=75,8) montre %K sous %D, indiquant un croisement baissier potentiel à court terme. La décision Neutre reflète cette configuration ambiguë, où le momentum ralentit mais sans signal de retournement majeur.</w:t>
      </w:r>
    </w:p>
    <w:p>
      <w:pPr>
        <w:spacing w:after="120" w:line="276" w:lineRule="auto"/>
      </w:pPr>
      <w:r>
        <w:t>En conclusion technique, les indicateurs sont mitigés : les moyennes mobiles et le stochastique penchent vers une faiblesse à court terme, tandis que le MACD suggère un momentum haussier naissant. Le RSI et les bandes de Bollinger restent neutres, créant un équilibre fragile. La prudence est de mise, avec un biais légèrement négatif à court terme mais un potentiel de reprise si le MACD confirme sa dynamique.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révèlent une banque solide : le PNB s'établit à 51,274 milliards FCFA, avec un résultat net de 20,107 milliards FCFA, générant un ROE de 17,11% et un ROA de 2,08%, tous deux excellents pour le secteur bancaire. Le coefficient d'exploitation de 49,53% est remarquablement efficace (&lt;50%), démontrant une excellente maîtrise des charges. Cependant, le coût du risque de 22,50% (provisions/charges financières) est élevé, signalant une dégradation de la qualité du portefeuille de crédits. Les dépôts clientèle (711,64 milliards FCFA) couvrent largement les créances clientèle (391,72 milliards FCFA), soit un ratio de transformation de 55%, prudent et sain. En 2024, le résultat net était de 19,647 milliards FCFA (baisse de 8,7% vs 2023), mais les rapports trimestriels 2025 montrent une reprise : T1 2025 (PNB 11,081 Mds, RN 4,446 Mds), S1 2025 (PNB 24,556 Mds, RN 11,012 Mds), T3 2025 (PNB 37,065 Mds, RN 15,880 Mds, +13% vs T3 2024). Sur la base de ces tendances, on estime que l'exercice 2025 devrait dépasser les 20 milliards de résultat net, confirmant la solidité. Le rapport T1 2026 (PNB 12,329 Mds, +11%, RN 4,502 Mds, +1%) montre une croissance des revenus mais une pression sur la rentabilité nette. La banque privilégie la qualité à la croissance volumique, avec une contraction des crédits (-8% à -10%) et des dépôts (-0,4% à -5%), mais une amélioration des marges et des commissions. La recommandation fondamentale est positive, avec une solidité financière renforcée par l'augmentation de capital (40,56 Mds FCFA) et des perspectives de croissance soutenues par l'économie béninoise (croissance 7,4% T1 2025).</w:t>
      </w:r>
    </w:p>
    <w:p>
      <w:pPr>
        <w:spacing w:after="120" w:line="276" w:lineRule="auto" w:before="240"/>
      </w:pPr>
      <w:r>
        <w:rPr>
          <w:b/>
          <w:color w:val="003366"/>
          <w:sz w:val="24"/>
        </w:rPr>
        <w:t>**PARTIE 4 : CONCLUSION D'INVESTISSEMENT**</w:t>
      </w:r>
    </w:p>
    <w:p>
      <w:pPr>
        <w:spacing w:after="120" w:line="276" w:lineRule="auto"/>
      </w:pPr>
      <w:r>
        <w:t>La valorisation de BOAB (PER 17,5x, P/B 2,99x, EV/EBITDA 18,4x) indique une prime de croissance significative, potentiellement justifiée par des fondamentaux solides mais risquée si la croissance ralentit. Le comportement du cours (+9,63% sur 100 jours, volatilité modérée de 23%) est globalement favorable, avec une distribution normale et une asymétrie positive, bien que le cours récent montre une consolidation sous les moyennes mobiles. Les signaux techniques sont mitigés : les MM50/MM20 et le stochastique suggèrent une faiblesse à court terme, tandis que le MACD et le RSI neutre offrent un potentiel de rebond. Les fondamentaux sont robustes (ROE 17,11%, coefficient d'exploitation 49,53%, croissance du PNB de 10,2%), avec des estimations 2025 dépassant les 20 milliards de résultat net, mais le coût du risque élevé et la contraction du bilan sont des points de vigilance. Les prédictions IA (J+1 à J+10) montrent une trajectoire baissière de 8 447 à 8 046 FCFA, contredisant les signaux fondamentaux mais confirmant la faiblesse technique à court terme. En synthèse, la convergence entre valorisation exigeante, signaux techniques mitigés et prédictions baissières suggère une prudence à court terme, mais les fondamentaux solides plaident pour une détention à moyen terme. Recommandation : **CONSERVER** avec un niveau de confiance **Moyen**, un risque global **Moyen**, et un horizon d'investissement optimal à **moyen terme (3-12 mois)**, en attendant une meilleure point d'entrée si le cours corrige vers 8 000-8 200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323.40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5,941 titres</w:t>
            </w:r>
          </w:p>
        </w:tc>
        <w:tc>
          <w:tcPr>
            <w:tcW w:type="dxa" w:w="2268"/>
            <w:shd w:fill="FFF2CC" w:val="clear"/>
          </w:tcPr>
          <w:p>
            <w:r>
              <w:rPr>
                <w:b/>
                <w:color w:val="503200"/>
                <w:sz w:val="16"/>
              </w:rPr>
              <w:t xml:space="preserve">Cours actuel : </w:t>
            </w:r>
            <w:r>
              <w:rPr>
                <w:color w:val="000000"/>
                <w:sz w:val="17"/>
              </w:rPr>
              <w:t>7,350 FCFA</w:t>
            </w:r>
          </w:p>
          <w:p>
            <w:r>
              <w:rPr>
                <w:b/>
                <w:color w:val="503200"/>
                <w:sz w:val="16"/>
              </w:rPr>
              <w:t xml:space="preserve">Var. 100 jours : </w:t>
            </w:r>
            <w:r>
              <w:rPr>
                <w:b/>
                <w:color w:val="007800"/>
                <w:sz w:val="17"/>
              </w:rPr>
              <w:t>+41.35%</w:t>
            </w:r>
          </w:p>
          <w:p>
            <w:r>
              <w:rPr>
                <w:b/>
                <w:color w:val="503200"/>
                <w:sz w:val="16"/>
              </w:rPr>
              <w:t xml:space="preserve">Plus haut 100j : </w:t>
            </w:r>
            <w:r>
              <w:rPr>
                <w:color w:val="000000"/>
                <w:sz w:val="17"/>
              </w:rPr>
              <w:t>7,350 FCFA</w:t>
            </w:r>
          </w:p>
          <w:p>
            <w:r>
              <w:rPr>
                <w:b/>
                <w:color w:val="503200"/>
                <w:sz w:val="16"/>
              </w:rPr>
              <w:t xml:space="preserve">Plus bas 100j : </w:t>
            </w:r>
            <w:r>
              <w:rPr>
                <w:color w:val="000000"/>
                <w:sz w:val="17"/>
              </w:rPr>
              <w:t>5,200 FCFA</w:t>
            </w:r>
          </w:p>
          <w:p>
            <w:r>
              <w:rPr>
                <w:b/>
                <w:color w:val="503200"/>
                <w:sz w:val="16"/>
              </w:rPr>
              <w:t xml:space="preserve">Volatilité ann. : </w:t>
            </w:r>
            <w:r>
              <w:rPr>
                <w:color w:val="000000"/>
                <w:sz w:val="17"/>
              </w:rPr>
              <w:t>28.0%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11.03% (Moyenne) — μ=5,871 FCFA, σ=648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β=0.1845 (Défensif) — Cov=0.000007, Var(idx)=0.000036, ρ=0.063,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5,941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2026-08-12</w:t>
            </w:r>
          </w:p>
        </w:tc>
        <w:tc>
          <w:tcPr>
            <w:tcW w:type="dxa" w:w="1440"/>
            <w:shd w:fill="FFDCE0" w:val="clear"/>
          </w:tcPr>
          <w:p>
            <w:r>
              <w:rPr>
                <w:sz w:val="17"/>
              </w:rPr>
              <w:t>6,911</w:t>
            </w:r>
          </w:p>
        </w:tc>
        <w:tc>
          <w:tcPr>
            <w:tcW w:type="dxa" w:w="1440"/>
            <w:shd w:fill="FFDCE0" w:val="clear"/>
          </w:tcPr>
          <w:p>
            <w:r>
              <w:rPr>
                <w:b/>
                <w:sz w:val="17"/>
              </w:rPr>
              <w:t>7,182</w:t>
            </w:r>
          </w:p>
        </w:tc>
        <w:tc>
          <w:tcPr>
            <w:tcW w:type="dxa" w:w="1440"/>
            <w:shd w:fill="FFDCE0" w:val="clear"/>
          </w:tcPr>
          <w:p>
            <w:r>
              <w:rPr>
                <w:sz w:val="17"/>
              </w:rPr>
              <w:t>7,453</w:t>
            </w:r>
          </w:p>
        </w:tc>
        <w:tc>
          <w:tcPr>
            <w:tcW w:type="dxa" w:w="1440"/>
            <w:shd w:fill="FFDCE0" w:val="clear"/>
          </w:tcPr>
          <w:p>
            <w:r>
              <w:rPr>
                <w:b/>
                <w:color w:val="C00000"/>
                <w:sz w:val="17"/>
              </w:rPr>
              <w:t>-2.3%</w:t>
            </w:r>
          </w:p>
        </w:tc>
      </w:tr>
      <w:tr>
        <w:tc>
          <w:tcPr>
            <w:tcW w:type="dxa" w:w="1440"/>
            <w:shd w:fill="FFDCE0" w:val="clear"/>
          </w:tcPr>
          <w:p>
            <w:r>
              <w:rPr>
                <w:sz w:val="17"/>
              </w:rPr>
              <w:t>J+2  Moyenne</w:t>
            </w:r>
          </w:p>
        </w:tc>
        <w:tc>
          <w:tcPr>
            <w:tcW w:type="dxa" w:w="1440"/>
            <w:shd w:fill="FFDCE0" w:val="clear"/>
          </w:tcPr>
          <w:p>
            <w:r>
              <w:rPr>
                <w:sz w:val="17"/>
              </w:rPr>
              <w:t>2026-08-13</w:t>
            </w:r>
          </w:p>
        </w:tc>
        <w:tc>
          <w:tcPr>
            <w:tcW w:type="dxa" w:w="1440"/>
            <w:shd w:fill="FFDCE0" w:val="clear"/>
          </w:tcPr>
          <w:p>
            <w:r>
              <w:rPr>
                <w:sz w:val="17"/>
              </w:rPr>
              <w:t>6,688</w:t>
            </w:r>
          </w:p>
        </w:tc>
        <w:tc>
          <w:tcPr>
            <w:tcW w:type="dxa" w:w="1440"/>
            <w:shd w:fill="FFDCE0" w:val="clear"/>
          </w:tcPr>
          <w:p>
            <w:r>
              <w:rPr>
                <w:b/>
                <w:sz w:val="17"/>
              </w:rPr>
              <w:t>7,065</w:t>
            </w:r>
          </w:p>
        </w:tc>
        <w:tc>
          <w:tcPr>
            <w:tcW w:type="dxa" w:w="1440"/>
            <w:shd w:fill="FFDCE0" w:val="clear"/>
          </w:tcPr>
          <w:p>
            <w:r>
              <w:rPr>
                <w:sz w:val="17"/>
              </w:rPr>
              <w:t>7,443</w:t>
            </w:r>
          </w:p>
        </w:tc>
        <w:tc>
          <w:tcPr>
            <w:tcW w:type="dxa" w:w="1440"/>
            <w:shd w:fill="FFDCE0" w:val="clear"/>
          </w:tcPr>
          <w:p>
            <w:r>
              <w:rPr>
                <w:b/>
                <w:color w:val="C00000"/>
                <w:sz w:val="17"/>
              </w:rPr>
              <w:t>-3.9%</w:t>
            </w:r>
          </w:p>
        </w:tc>
      </w:tr>
      <w:tr>
        <w:tc>
          <w:tcPr>
            <w:tcW w:type="dxa" w:w="1440"/>
            <w:shd w:fill="FFDCE0" w:val="clear"/>
          </w:tcPr>
          <w:p>
            <w:r>
              <w:rPr>
                <w:sz w:val="17"/>
              </w:rPr>
              <w:t>J+3  Moyenne</w:t>
            </w:r>
          </w:p>
        </w:tc>
        <w:tc>
          <w:tcPr>
            <w:tcW w:type="dxa" w:w="1440"/>
            <w:shd w:fill="FFDCE0" w:val="clear"/>
          </w:tcPr>
          <w:p>
            <w:r>
              <w:rPr>
                <w:sz w:val="17"/>
              </w:rPr>
              <w:t>2026-08-14</w:t>
            </w:r>
          </w:p>
        </w:tc>
        <w:tc>
          <w:tcPr>
            <w:tcW w:type="dxa" w:w="1440"/>
            <w:shd w:fill="FFDCE0" w:val="clear"/>
          </w:tcPr>
          <w:p>
            <w:r>
              <w:rPr>
                <w:sz w:val="17"/>
              </w:rPr>
              <w:t>6,513</w:t>
            </w:r>
          </w:p>
        </w:tc>
        <w:tc>
          <w:tcPr>
            <w:tcW w:type="dxa" w:w="1440"/>
            <w:shd w:fill="FFDCE0" w:val="clear"/>
          </w:tcPr>
          <w:p>
            <w:r>
              <w:rPr>
                <w:b/>
                <w:sz w:val="17"/>
              </w:rPr>
              <w:t>6,969</w:t>
            </w:r>
          </w:p>
        </w:tc>
        <w:tc>
          <w:tcPr>
            <w:tcW w:type="dxa" w:w="1440"/>
            <w:shd w:fill="FFDCE0" w:val="clear"/>
          </w:tcPr>
          <w:p>
            <w:r>
              <w:rPr>
                <w:sz w:val="17"/>
              </w:rPr>
              <w:t>7,425</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6,372</w:t>
            </w:r>
          </w:p>
        </w:tc>
        <w:tc>
          <w:tcPr>
            <w:tcW w:type="dxa" w:w="1440"/>
            <w:shd w:fill="FFDCE0" w:val="clear"/>
          </w:tcPr>
          <w:p>
            <w:r>
              <w:rPr>
                <w:b/>
                <w:sz w:val="17"/>
              </w:rPr>
              <w:t>6,893</w:t>
            </w:r>
          </w:p>
        </w:tc>
        <w:tc>
          <w:tcPr>
            <w:tcW w:type="dxa" w:w="1440"/>
            <w:shd w:fill="FFDCE0" w:val="clear"/>
          </w:tcPr>
          <w:p>
            <w:r>
              <w:rPr>
                <w:sz w:val="17"/>
              </w:rPr>
              <w:t>7,413</w:t>
            </w:r>
          </w:p>
        </w:tc>
        <w:tc>
          <w:tcPr>
            <w:tcW w:type="dxa" w:w="1440"/>
            <w:shd w:fill="FFDCE0" w:val="clear"/>
          </w:tcPr>
          <w:p>
            <w:r>
              <w:rPr>
                <w:b/>
                <w:color w:val="C00000"/>
                <w:sz w:val="17"/>
              </w:rPr>
              <w:t>-6.2%</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6,251</w:t>
            </w:r>
          </w:p>
        </w:tc>
        <w:tc>
          <w:tcPr>
            <w:tcW w:type="dxa" w:w="1440"/>
            <w:shd w:fill="FFDCE0" w:val="clear"/>
          </w:tcPr>
          <w:p>
            <w:r>
              <w:rPr>
                <w:b/>
                <w:sz w:val="17"/>
              </w:rPr>
              <w:t>6,827</w:t>
            </w:r>
          </w:p>
        </w:tc>
        <w:tc>
          <w:tcPr>
            <w:tcW w:type="dxa" w:w="1440"/>
            <w:shd w:fill="FFDCE0" w:val="clear"/>
          </w:tcPr>
          <w:p>
            <w:r>
              <w:rPr>
                <w:sz w:val="17"/>
              </w:rPr>
              <w:t>7,404</w:t>
            </w:r>
          </w:p>
        </w:tc>
        <w:tc>
          <w:tcPr>
            <w:tcW w:type="dxa" w:w="1440"/>
            <w:shd w:fill="FFDCE0" w:val="clear"/>
          </w:tcPr>
          <w:p>
            <w:r>
              <w:rPr>
                <w:b/>
                <w:color w:val="C00000"/>
                <w:sz w:val="17"/>
              </w:rPr>
              <w:t>-7.1%</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6,142</w:t>
            </w:r>
          </w:p>
        </w:tc>
        <w:tc>
          <w:tcPr>
            <w:tcW w:type="dxa" w:w="1440"/>
            <w:shd w:fill="FFDCE0" w:val="clear"/>
          </w:tcPr>
          <w:p>
            <w:r>
              <w:rPr>
                <w:b/>
                <w:sz w:val="17"/>
              </w:rPr>
              <w:t>6,768</w:t>
            </w:r>
          </w:p>
        </w:tc>
        <w:tc>
          <w:tcPr>
            <w:tcW w:type="dxa" w:w="1440"/>
            <w:shd w:fill="FFDCE0" w:val="clear"/>
          </w:tcPr>
          <w:p>
            <w:r>
              <w:rPr>
                <w:sz w:val="17"/>
              </w:rPr>
              <w:t>7,394</w:t>
            </w:r>
          </w:p>
        </w:tc>
        <w:tc>
          <w:tcPr>
            <w:tcW w:type="dxa" w:w="1440"/>
            <w:shd w:fill="FFDCE0" w:val="clear"/>
          </w:tcPr>
          <w:p>
            <w:r>
              <w:rPr>
                <w:b/>
                <w:color w:val="C00000"/>
                <w:sz w:val="17"/>
              </w:rPr>
              <w:t>-7.9%</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6,041</w:t>
            </w:r>
          </w:p>
        </w:tc>
        <w:tc>
          <w:tcPr>
            <w:tcW w:type="dxa" w:w="1440"/>
            <w:shd w:fill="FFDCE0" w:val="clear"/>
          </w:tcPr>
          <w:p>
            <w:r>
              <w:rPr>
                <w:b/>
                <w:sz w:val="17"/>
              </w:rPr>
              <w:t>6,712</w:t>
            </w:r>
          </w:p>
        </w:tc>
        <w:tc>
          <w:tcPr>
            <w:tcW w:type="dxa" w:w="1440"/>
            <w:shd w:fill="FFDCE0" w:val="clear"/>
          </w:tcPr>
          <w:p>
            <w:r>
              <w:rPr>
                <w:sz w:val="17"/>
              </w:rPr>
              <w:t>7,383</w:t>
            </w:r>
          </w:p>
        </w:tc>
        <w:tc>
          <w:tcPr>
            <w:tcW w:type="dxa" w:w="1440"/>
            <w:shd w:fill="FFDCE0" w:val="clear"/>
          </w:tcPr>
          <w:p>
            <w:r>
              <w:rPr>
                <w:b/>
                <w:color w:val="C00000"/>
                <w:sz w:val="17"/>
              </w:rPr>
              <w:t>-8.7%</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5,947</w:t>
            </w:r>
          </w:p>
        </w:tc>
        <w:tc>
          <w:tcPr>
            <w:tcW w:type="dxa" w:w="1440"/>
            <w:shd w:fill="FFDCE0" w:val="clear"/>
          </w:tcPr>
          <w:p>
            <w:r>
              <w:rPr>
                <w:b/>
                <w:sz w:val="17"/>
              </w:rPr>
              <w:t>6,658</w:t>
            </w:r>
          </w:p>
        </w:tc>
        <w:tc>
          <w:tcPr>
            <w:tcW w:type="dxa" w:w="1440"/>
            <w:shd w:fill="FFDCE0" w:val="clear"/>
          </w:tcPr>
          <w:p>
            <w:r>
              <w:rPr>
                <w:sz w:val="17"/>
              </w:rPr>
              <w:t>7,369</w:t>
            </w:r>
          </w:p>
        </w:tc>
        <w:tc>
          <w:tcPr>
            <w:tcW w:type="dxa" w:w="1440"/>
            <w:shd w:fill="FFDCE0" w:val="clear"/>
          </w:tcPr>
          <w:p>
            <w:r>
              <w:rPr>
                <w:b/>
                <w:color w:val="C00000"/>
                <w:sz w:val="17"/>
              </w:rPr>
              <w:t>-9.4%</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5,858</w:t>
            </w:r>
          </w:p>
        </w:tc>
        <w:tc>
          <w:tcPr>
            <w:tcW w:type="dxa" w:w="1440"/>
            <w:shd w:fill="FFDCE0" w:val="clear"/>
          </w:tcPr>
          <w:p>
            <w:r>
              <w:rPr>
                <w:b/>
                <w:sz w:val="17"/>
              </w:rPr>
              <w:t>6,606</w:t>
            </w:r>
          </w:p>
        </w:tc>
        <w:tc>
          <w:tcPr>
            <w:tcW w:type="dxa" w:w="1440"/>
            <w:shd w:fill="FFDCE0" w:val="clear"/>
          </w:tcPr>
          <w:p>
            <w:r>
              <w:rPr>
                <w:sz w:val="17"/>
              </w:rPr>
              <w:t>7,355</w:t>
            </w:r>
          </w:p>
        </w:tc>
        <w:tc>
          <w:tcPr>
            <w:tcW w:type="dxa" w:w="1440"/>
            <w:shd w:fill="FFDCE0" w:val="clear"/>
          </w:tcPr>
          <w:p>
            <w:r>
              <w:rPr>
                <w:b/>
                <w:color w:val="C00000"/>
                <w:sz w:val="17"/>
              </w:rPr>
              <w:t>-10.1%</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5,774</w:t>
            </w:r>
          </w:p>
        </w:tc>
        <w:tc>
          <w:tcPr>
            <w:tcW w:type="dxa" w:w="1440"/>
            <w:shd w:fill="FFDCE0" w:val="clear"/>
          </w:tcPr>
          <w:p>
            <w:r>
              <w:rPr>
                <w:b/>
                <w:sz w:val="17"/>
              </w:rPr>
              <w:t>6,556</w:t>
            </w:r>
          </w:p>
        </w:tc>
        <w:tc>
          <w:tcPr>
            <w:tcW w:type="dxa" w:w="1440"/>
            <w:shd w:fill="FFDCE0" w:val="clear"/>
          </w:tcPr>
          <w:p>
            <w:r>
              <w:rPr>
                <w:sz w:val="17"/>
              </w:rPr>
              <w:t>7,339</w:t>
            </w:r>
          </w:p>
        </w:tc>
        <w:tc>
          <w:tcPr>
            <w:tcW w:type="dxa" w:w="1440"/>
            <w:shd w:fill="FFDCE0" w:val="clear"/>
          </w:tcPr>
          <w:p>
            <w:r>
              <w:rPr>
                <w:b/>
                <w:color w:val="C00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11 août 2026**</w:t>
        <w:br/>
        <w:t>**Cours de référence : 7,350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BOABF s'établit à 323,40 milliards FCFA, un niveau significatif qui la positionne parmi les valeurs moyennes à grandes capitalisations de la BRVM. Avec un BPA de 438 FCFA, chaque action génère un bénéfice confortable, justifiant un PER de 16,8x. Ce ratio est nettement supérieur à la moyenne historique de la BRVM (8-12x), indiquant que le marché valorise déjà une prime de croissance ou de rareté sur ce titre. Le P/B de 2,56x confirme cette prime, le marché valorisant la société à plus de 2,5 fois ses capitaux propres, signe d'une confiance dans la création de valeur future. Enfin, un EV/EBITDA de 7,2x reste dans une zone raisonnable (5-10x), suggérant que la valorisation globale de l'entreprise, rapportée à sa capacité opérationnelle, n'est pas excessive malgré le PER élevé.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BOABF a enregistré une performance exceptionnelle de +41,35%, avec une dernière séance en légère hausse de +0,34%. Le cours a évolué dans une fourchette large de 5,200 FCFA (plus bas) à 7,350 FCFA (plus haut), démontrant une dynamique haussière soutenue. La moyenne du cours sur la période est de 5,871 FCFA, tandis que la médiane est plus basse à 5,592 FCFA. Cet écart positif entre moyenne et médiane, couplé à un skewness de 1,330, indique une distribution asymétrique avec des jours de forte hausse tirant la moyenne vers le haut. L'écart-type de 651 FCFA (CV=11,1%) montre une dispersion modérée. Le kurtosis de 0,143 (mésokurtique) suggère une distribution proche de la normale, sans risque de pics extrêmes. La volatilité annualisée de 28,0% classe le titre dans une zone de volatilité modérée à élevée, reflétant un risque de marché significatif mais non excessif.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(7,350 FCFA) se positionne nettement au-dessus de la MM20 (7,106,5 FCFA) et de la MM50 (6,255,3 FCFA). Cette configuration haussière, où le prix est supérieur à ses moyennes mobiles clés, confirme une tendance de fond positive. La décision d'achat est justifiée par cette dynamique, bien que l'écart avec la MM20 suggère une possible consolidation à court terme.</w:t>
      </w:r>
    </w:p>
    <w:p>
      <w:pPr>
        <w:spacing w:after="120" w:line="276" w:lineRule="auto"/>
      </w:pPr>
      <w:r>
        <w:t>**Bandes de Bollinger** : Le cours se situe à 7,350 FCFA, proche de la borne supérieure (7,546,8 FCFA) et bien au-dessus de la borne inférieure (6,666,2 FCFA). Cette position indique une pression acheteuse soutenue, mais le titre n'est pas encore en zone de surachat extrême. La décision neutre reflète un équilibre entre la force de la tendance et le risque de retour vers la moyenne.</w:t>
      </w:r>
    </w:p>
    <w:p>
      <w:pPr>
        <w:spacing w:after="120" w:line="276" w:lineRule="auto"/>
      </w:pPr>
      <w:r>
        <w:t>**MACD** : La valeur du MACD (297,501) est inférieure à son signal (321,126), indiquant un momentum en perte de vitesse. Cette divergence baissière, bien que légère, suggère une possible correction à court terme après la forte hausse. La décision de vente est donc un signal de prudence, mais sans cassure majeure de la tendance.</w:t>
      </w:r>
    </w:p>
    <w:p>
      <w:pPr>
        <w:spacing w:after="120" w:line="276" w:lineRule="auto"/>
      </w:pPr>
      <w:r>
        <w:t>**RSI** : À 58,929, le RSI se situe en zone neutre (30-70), indiquant que le titre n'est ni suracheté ni survendu. Cette valeur reflète un équilibre entre acheteurs et vendeurs, avec une légère dominance acheteuse. La décision neutre est cohérente avec cette lecture.</w:t>
      </w:r>
    </w:p>
    <w:p>
      <w:pPr>
        <w:spacing w:after="120" w:line="276" w:lineRule="auto"/>
      </w:pPr>
      <w:r>
        <w:t>**Stochastique** : Les valeurs %K et %D sont toutes deux à 100,0, indiquant une condition de surachat extrême. Ce niveau signale que le titre a fortement progressé et qu'une consolidation technique est probable. La décision de vente est justifiée par ce niveau de surachat, qui précède souvent un repli.</w:t>
      </w:r>
    </w:p>
    <w:p>
      <w:pPr>
        <w:spacing w:after="120" w:line="276" w:lineRule="auto"/>
      </w:pPr>
      <w:r>
        <w:t>**Conclusion technique** : La tendance de fond reste haussière, confirmée par les moyennes mobiles et la position dans les bandes de Bollinger. Cependant, les indicateurs de momentum (MACD, Stochastique) montrent des signes d'essoufflement, suggérant une consolidation à court terme. Le RSI neutre laisse une marge de manœuvre, mais la prudence est de mise sur les niveaux actuels.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BOABF révèlent une banque solide mais sous pression. Le Produit Net Bancaire (PNB) s'établit à 57,820 milliards FCFA, avec une croissance marginale de 0,57%, reflétant une activité atone. Le résultat net atteint 19,252 milliards FCFA, en baisse significative par rapport aux exercices précédents (25,48 milliards en 2022). Cette dégradation est principalement due à une explosion du coût du risque, qui passe à 8,355 milliards FCFA, soit 33,9% des charges financières, un niveau élevé indiquant une détérioration de la qualité du portefeuille de crédits. Le coefficient d'exploitation de 47,19% reste excellent, démontrant une gestion rigoureuse des charges. Le ROE de 15,22% et le ROA de 1,68% restent positifs mais sous pression. Les rapports trimestriels de 2025 confirment cette tendance : le T1 2025 montre un résultat net en baisse de 16,6%, le S1 2025 un effondrement de 46,5% (coût du risque multiplié par 14), et le T3 2025 une baisse cumulée de 27,7%. Le rapport du T1 2026, publié récemment, indique une poursuite de la contraction avec un PNB en baisse de 10,75% et un résultat net en recul de 12,99%. Sur la base de ces données, on estime que l'exercice 2026 pourrait voir un PNB autour de 52-55 milliards FCFA et un résultat net entre 15-17 milliards FCFA, si le coût du risque se stabilise. La banque maintient une collecte de dépôts dynamique (877,8 milliards FCFA) et une position de leader sur son marché, mais la stagnation des crédits (-11% sur 9 mois en 2025) et la pression sur la rentabilité constituent des points de vigilance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BOABF (PER 16,8x, P/B 2,56x) apparaît exigeante par rapport aux fondamentaux actuels, le marché intégrant une prime de croissance qui ne se matérialise pas encore dans les résultats. Le comportement du cours sur 100 jours (+41,35%) est impressionnant, mais les statistiques (skewness positif, volatilité 28%) suggèrent une dynamique spéculative. Les signaux techniques sont mitigés : la tendance de fond reste haussière, mais les indicateurs de momentum (MACD, Stochastique) signalent un essoufflement imminent. Les fondamentaux montrent une banque solide mais en difficulté, avec une rentabilité en baisse et un coût du risque élevé. Les prédictions IA pour les 10 prochains jours (7,182 à 6,827 FCFA) confirment cette analyse, anticipant une correction de 5 à 7% par rapport au cours actuel. En synthèse, la convergence entre la surévaluation relative, les signaux techniques de surachat et la dégradation fondamentale suggère une prudence accrue. **Recommandation : CONSERVER** avec un niveau de confiance **Moyen**. Le risque global est **Élevé** en raison de la combinaison de la volatilité du titre, de la pression sur la rentabilité et du contexte sécuritaire au Burkina Faso. L'horizon d'investissement optimal serait à **moyen terme (3-12 mois)**, en attendant une stabilisation du coût du risque et une confirmation de la reprise de l'activité de crédit.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476.20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13,949 titres</w:t>
            </w:r>
          </w:p>
        </w:tc>
        <w:tc>
          <w:tcPr>
            <w:tcW w:type="dxa" w:w="2268"/>
            <w:shd w:fill="FFF2CC" w:val="clear"/>
          </w:tcPr>
          <w:p>
            <w:r>
              <w:rPr>
                <w:b/>
                <w:color w:val="503200"/>
                <w:sz w:val="16"/>
              </w:rPr>
              <w:t xml:space="preserve">Cours actuel : </w:t>
            </w:r>
            <w:r>
              <w:rPr>
                <w:color w:val="000000"/>
                <w:sz w:val="17"/>
              </w:rPr>
              <w:t>11,905 FCFA</w:t>
            </w:r>
          </w:p>
          <w:p>
            <w:r>
              <w:rPr>
                <w:b/>
                <w:color w:val="503200"/>
                <w:sz w:val="16"/>
              </w:rPr>
              <w:t xml:space="preserve">Var. 100 jours : </w:t>
            </w:r>
            <w:r>
              <w:rPr>
                <w:b/>
                <w:color w:val="007800"/>
                <w:sz w:val="17"/>
              </w:rPr>
              <w:t>+32.28%</w:t>
            </w:r>
          </w:p>
          <w:p>
            <w:r>
              <w:rPr>
                <w:b/>
                <w:color w:val="503200"/>
                <w:sz w:val="16"/>
              </w:rPr>
              <w:t xml:space="preserve">Plus haut 100j : </w:t>
            </w:r>
            <w:r>
              <w:rPr>
                <w:color w:val="000000"/>
                <w:sz w:val="17"/>
              </w:rPr>
              <w:t>11,905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9.16% (Moyenne) — μ=9,211 FCFA, σ=843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β=0.6557 (Défensif) — Cov=0.000024, Var(idx)=0.000036, ρ=0.231,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13,949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2026-08-12</w:t>
            </w:r>
          </w:p>
        </w:tc>
        <w:tc>
          <w:tcPr>
            <w:tcW w:type="dxa" w:w="1440"/>
            <w:shd w:fill="FFDCE0" w:val="clear"/>
          </w:tcPr>
          <w:p>
            <w:r>
              <w:rPr>
                <w:sz w:val="17"/>
              </w:rPr>
              <w:t>10,949</w:t>
            </w:r>
          </w:p>
        </w:tc>
        <w:tc>
          <w:tcPr>
            <w:tcW w:type="dxa" w:w="1440"/>
            <w:shd w:fill="FFDCE0" w:val="clear"/>
          </w:tcPr>
          <w:p>
            <w:r>
              <w:rPr>
                <w:b/>
                <w:sz w:val="17"/>
              </w:rPr>
              <w:t>11,280</w:t>
            </w:r>
          </w:p>
        </w:tc>
        <w:tc>
          <w:tcPr>
            <w:tcW w:type="dxa" w:w="1440"/>
            <w:shd w:fill="FFDCE0" w:val="clear"/>
          </w:tcPr>
          <w:p>
            <w:r>
              <w:rPr>
                <w:sz w:val="17"/>
              </w:rPr>
              <w:t>11,610</w:t>
            </w:r>
          </w:p>
        </w:tc>
        <w:tc>
          <w:tcPr>
            <w:tcW w:type="dxa" w:w="1440"/>
            <w:shd w:fill="FFDCE0" w:val="clear"/>
          </w:tcPr>
          <w:p>
            <w:r>
              <w:rPr>
                <w:b/>
                <w:color w:val="C00000"/>
                <w:sz w:val="17"/>
              </w:rPr>
              <w:t>-5.3%</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10,456</w:t>
            </w:r>
          </w:p>
        </w:tc>
        <w:tc>
          <w:tcPr>
            <w:tcW w:type="dxa" w:w="1440"/>
            <w:shd w:fill="FFDCE0" w:val="clear"/>
          </w:tcPr>
          <w:p>
            <w:r>
              <w:rPr>
                <w:b/>
                <w:sz w:val="17"/>
              </w:rPr>
              <w:t>10,907</w:t>
            </w:r>
          </w:p>
        </w:tc>
        <w:tc>
          <w:tcPr>
            <w:tcW w:type="dxa" w:w="1440"/>
            <w:shd w:fill="FFDCE0" w:val="clear"/>
          </w:tcPr>
          <w:p>
            <w:r>
              <w:rPr>
                <w:sz w:val="17"/>
              </w:rPr>
              <w:t>11,359</w:t>
            </w:r>
          </w:p>
        </w:tc>
        <w:tc>
          <w:tcPr>
            <w:tcW w:type="dxa" w:w="1440"/>
            <w:shd w:fill="FFDCE0" w:val="clear"/>
          </w:tcPr>
          <w:p>
            <w:r>
              <w:rPr>
                <w:b/>
                <w:color w:val="C00000"/>
                <w:sz w:val="17"/>
              </w:rPr>
              <w:t>-8.4%</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9,965</w:t>
            </w:r>
          </w:p>
        </w:tc>
        <w:tc>
          <w:tcPr>
            <w:tcW w:type="dxa" w:w="1440"/>
            <w:shd w:fill="FFDCE0" w:val="clear"/>
          </w:tcPr>
          <w:p>
            <w:r>
              <w:rPr>
                <w:b/>
                <w:sz w:val="17"/>
              </w:rPr>
              <w:t>10,498</w:t>
            </w:r>
          </w:p>
        </w:tc>
        <w:tc>
          <w:tcPr>
            <w:tcW w:type="dxa" w:w="1440"/>
            <w:shd w:fill="FFDCE0" w:val="clear"/>
          </w:tcPr>
          <w:p>
            <w:r>
              <w:rPr>
                <w:sz w:val="17"/>
              </w:rPr>
              <w:t>11,030</w:t>
            </w:r>
          </w:p>
        </w:tc>
        <w:tc>
          <w:tcPr>
            <w:tcW w:type="dxa" w:w="1440"/>
            <w:shd w:fill="FFDCE0" w:val="clear"/>
          </w:tcPr>
          <w:p>
            <w:r>
              <w:rPr>
                <w:b/>
                <w:color w:val="C00000"/>
                <w:sz w:val="17"/>
              </w:rPr>
              <w:t>-11.8%</w:t>
            </w:r>
          </w:p>
        </w:tc>
      </w:tr>
      <w:tr>
        <w:tc>
          <w:tcPr>
            <w:tcW w:type="dxa" w:w="1440"/>
            <w:shd w:fill="FFDCE0" w:val="clear"/>
          </w:tcPr>
          <w:p>
            <w:r>
              <w:rPr>
                <w:sz w:val="17"/>
              </w:rPr>
              <w:t>J+4  Moyenne</w:t>
            </w:r>
          </w:p>
        </w:tc>
        <w:tc>
          <w:tcPr>
            <w:tcW w:type="dxa" w:w="1440"/>
            <w:shd w:fill="FFDCE0" w:val="clear"/>
          </w:tcPr>
          <w:p>
            <w:r>
              <w:rPr>
                <w:sz w:val="17"/>
              </w:rPr>
              <w:t>2026-08-17</w:t>
            </w:r>
          </w:p>
        </w:tc>
        <w:tc>
          <w:tcPr>
            <w:tcW w:type="dxa" w:w="1440"/>
            <w:shd w:fill="FFDCE0" w:val="clear"/>
          </w:tcPr>
          <w:p>
            <w:r>
              <w:rPr>
                <w:sz w:val="17"/>
              </w:rPr>
              <w:t>9,534</w:t>
            </w:r>
          </w:p>
        </w:tc>
        <w:tc>
          <w:tcPr>
            <w:tcW w:type="dxa" w:w="1440"/>
            <w:shd w:fill="FFDCE0" w:val="clear"/>
          </w:tcPr>
          <w:p>
            <w:r>
              <w:rPr>
                <w:b/>
                <w:sz w:val="17"/>
              </w:rPr>
              <w:t>10,127</w:t>
            </w:r>
          </w:p>
        </w:tc>
        <w:tc>
          <w:tcPr>
            <w:tcW w:type="dxa" w:w="1440"/>
            <w:shd w:fill="FFDCE0" w:val="clear"/>
          </w:tcPr>
          <w:p>
            <w:r>
              <w:rPr>
                <w:sz w:val="17"/>
              </w:rPr>
              <w:t>10,719</w:t>
            </w:r>
          </w:p>
        </w:tc>
        <w:tc>
          <w:tcPr>
            <w:tcW w:type="dxa" w:w="1440"/>
            <w:shd w:fill="FFDCE0" w:val="clear"/>
          </w:tcPr>
          <w:p>
            <w:r>
              <w:rPr>
                <w:b/>
                <w:color w:val="C00000"/>
                <w:sz w:val="17"/>
              </w:rPr>
              <w:t>-14.9%</w:t>
            </w:r>
          </w:p>
        </w:tc>
      </w:tr>
      <w:tr>
        <w:tc>
          <w:tcPr>
            <w:tcW w:type="dxa" w:w="1440"/>
            <w:shd w:fill="FFDCE0" w:val="clear"/>
          </w:tcPr>
          <w:p>
            <w:r>
              <w:rPr>
                <w:sz w:val="17"/>
              </w:rPr>
              <w:t>J+5  Moyenne</w:t>
            </w:r>
          </w:p>
        </w:tc>
        <w:tc>
          <w:tcPr>
            <w:tcW w:type="dxa" w:w="1440"/>
            <w:shd w:fill="FFDCE0" w:val="clear"/>
          </w:tcPr>
          <w:p>
            <w:r>
              <w:rPr>
                <w:sz w:val="17"/>
              </w:rPr>
              <w:t>2026-08-18</w:t>
            </w:r>
          </w:p>
        </w:tc>
        <w:tc>
          <w:tcPr>
            <w:tcW w:type="dxa" w:w="1440"/>
            <w:shd w:fill="FFDCE0" w:val="clear"/>
          </w:tcPr>
          <w:p>
            <w:r>
              <w:rPr>
                <w:sz w:val="17"/>
              </w:rPr>
              <w:t>9,157</w:t>
            </w:r>
          </w:p>
        </w:tc>
        <w:tc>
          <w:tcPr>
            <w:tcW w:type="dxa" w:w="1440"/>
            <w:shd w:fill="FFDCE0" w:val="clear"/>
          </w:tcPr>
          <w:p>
            <w:r>
              <w:rPr>
                <w:b/>
                <w:sz w:val="17"/>
              </w:rPr>
              <w:t>9,799</w:t>
            </w:r>
          </w:p>
        </w:tc>
        <w:tc>
          <w:tcPr>
            <w:tcW w:type="dxa" w:w="1440"/>
            <w:shd w:fill="FFDCE0" w:val="clear"/>
          </w:tcPr>
          <w:p>
            <w:r>
              <w:rPr>
                <w:sz w:val="17"/>
              </w:rPr>
              <w:t>10,440</w:t>
            </w:r>
          </w:p>
        </w:tc>
        <w:tc>
          <w:tcPr>
            <w:tcW w:type="dxa" w:w="1440"/>
            <w:shd w:fill="FFDCE0" w:val="clear"/>
          </w:tcPr>
          <w:p>
            <w:r>
              <w:rPr>
                <w:b/>
                <w:color w:val="C00000"/>
                <w:sz w:val="17"/>
              </w:rPr>
              <w:t>-17.7%</w:t>
            </w:r>
          </w:p>
        </w:tc>
      </w:tr>
      <w:tr>
        <w:tc>
          <w:tcPr>
            <w:tcW w:type="dxa" w:w="1440"/>
            <w:shd w:fill="FFDCE0" w:val="clear"/>
          </w:tcPr>
          <w:p>
            <w:r>
              <w:rPr>
                <w:sz w:val="17"/>
              </w:rPr>
              <w:t>J+6  Moyenne</w:t>
            </w:r>
          </w:p>
        </w:tc>
        <w:tc>
          <w:tcPr>
            <w:tcW w:type="dxa" w:w="1440"/>
            <w:shd w:fill="FFDCE0" w:val="clear"/>
          </w:tcPr>
          <w:p>
            <w:r>
              <w:rPr>
                <w:sz w:val="17"/>
              </w:rPr>
              <w:t>2026-08-19</w:t>
            </w:r>
          </w:p>
        </w:tc>
        <w:tc>
          <w:tcPr>
            <w:tcW w:type="dxa" w:w="1440"/>
            <w:shd w:fill="FFDCE0" w:val="clear"/>
          </w:tcPr>
          <w:p>
            <w:r>
              <w:rPr>
                <w:sz w:val="17"/>
              </w:rPr>
              <w:t>8,828</w:t>
            </w:r>
          </w:p>
        </w:tc>
        <w:tc>
          <w:tcPr>
            <w:tcW w:type="dxa" w:w="1440"/>
            <w:shd w:fill="FFDCE0" w:val="clear"/>
          </w:tcPr>
          <w:p>
            <w:r>
              <w:rPr>
                <w:b/>
                <w:sz w:val="17"/>
              </w:rPr>
              <w:t>9,510</w:t>
            </w:r>
          </w:p>
        </w:tc>
        <w:tc>
          <w:tcPr>
            <w:tcW w:type="dxa" w:w="1440"/>
            <w:shd w:fill="FFDCE0" w:val="clear"/>
          </w:tcPr>
          <w:p>
            <w:r>
              <w:rPr>
                <w:sz w:val="17"/>
              </w:rPr>
              <w:t>10,192</w:t>
            </w:r>
          </w:p>
        </w:tc>
        <w:tc>
          <w:tcPr>
            <w:tcW w:type="dxa" w:w="1440"/>
            <w:shd w:fill="FFDCE0" w:val="clear"/>
          </w:tcPr>
          <w:p>
            <w:r>
              <w:rPr>
                <w:b/>
                <w:color w:val="C00000"/>
                <w:sz w:val="17"/>
              </w:rPr>
              <w:t>-20.1%</w:t>
            </w:r>
          </w:p>
        </w:tc>
      </w:tr>
      <w:tr>
        <w:tc>
          <w:tcPr>
            <w:tcW w:type="dxa" w:w="1440"/>
            <w:shd w:fill="FFDCE0" w:val="clear"/>
          </w:tcPr>
          <w:p>
            <w:r>
              <w:rPr>
                <w:sz w:val="17"/>
              </w:rPr>
              <w:t>J+7  Moyenne</w:t>
            </w:r>
          </w:p>
        </w:tc>
        <w:tc>
          <w:tcPr>
            <w:tcW w:type="dxa" w:w="1440"/>
            <w:shd w:fill="FFDCE0" w:val="clear"/>
          </w:tcPr>
          <w:p>
            <w:r>
              <w:rPr>
                <w:sz w:val="17"/>
              </w:rPr>
              <w:t>2026-08-20</w:t>
            </w:r>
          </w:p>
        </w:tc>
        <w:tc>
          <w:tcPr>
            <w:tcW w:type="dxa" w:w="1440"/>
            <w:shd w:fill="FFDCE0" w:val="clear"/>
          </w:tcPr>
          <w:p>
            <w:r>
              <w:rPr>
                <w:sz w:val="17"/>
              </w:rPr>
              <w:t>8,539</w:t>
            </w:r>
          </w:p>
        </w:tc>
        <w:tc>
          <w:tcPr>
            <w:tcW w:type="dxa" w:w="1440"/>
            <w:shd w:fill="FFDCE0" w:val="clear"/>
          </w:tcPr>
          <w:p>
            <w:r>
              <w:rPr>
                <w:b/>
                <w:sz w:val="17"/>
              </w:rPr>
              <w:t>9,256</w:t>
            </w:r>
          </w:p>
        </w:tc>
        <w:tc>
          <w:tcPr>
            <w:tcW w:type="dxa" w:w="1440"/>
            <w:shd w:fill="FFDCE0" w:val="clear"/>
          </w:tcPr>
          <w:p>
            <w:r>
              <w:rPr>
                <w:sz w:val="17"/>
              </w:rPr>
              <w:t>9,973</w:t>
            </w:r>
          </w:p>
        </w:tc>
        <w:tc>
          <w:tcPr>
            <w:tcW w:type="dxa" w:w="1440"/>
            <w:shd w:fill="FFDCE0" w:val="clear"/>
          </w:tcPr>
          <w:p>
            <w:r>
              <w:rPr>
                <w:b/>
                <w:color w:val="C00000"/>
                <w:sz w:val="17"/>
              </w:rPr>
              <w:t>-22.2%</w:t>
            </w:r>
          </w:p>
        </w:tc>
      </w:tr>
      <w:tr>
        <w:tc>
          <w:tcPr>
            <w:tcW w:type="dxa" w:w="1440"/>
            <w:shd w:fill="FFDCE0" w:val="clear"/>
          </w:tcPr>
          <w:p>
            <w:r>
              <w:rPr>
                <w:sz w:val="17"/>
              </w:rPr>
              <w:t>J+8  Moyenne</w:t>
            </w:r>
          </w:p>
        </w:tc>
        <w:tc>
          <w:tcPr>
            <w:tcW w:type="dxa" w:w="1440"/>
            <w:shd w:fill="FFDCE0" w:val="clear"/>
          </w:tcPr>
          <w:p>
            <w:r>
              <w:rPr>
                <w:sz w:val="17"/>
              </w:rPr>
              <w:t>2026-08-21</w:t>
            </w:r>
          </w:p>
        </w:tc>
        <w:tc>
          <w:tcPr>
            <w:tcW w:type="dxa" w:w="1440"/>
            <w:shd w:fill="FFDCE0" w:val="clear"/>
          </w:tcPr>
          <w:p>
            <w:r>
              <w:rPr>
                <w:sz w:val="17"/>
              </w:rPr>
              <w:t>8,284</w:t>
            </w:r>
          </w:p>
        </w:tc>
        <w:tc>
          <w:tcPr>
            <w:tcW w:type="dxa" w:w="1440"/>
            <w:shd w:fill="FFDCE0" w:val="clear"/>
          </w:tcPr>
          <w:p>
            <w:r>
              <w:rPr>
                <w:b/>
                <w:sz w:val="17"/>
              </w:rPr>
              <w:t>9,031</w:t>
            </w:r>
          </w:p>
        </w:tc>
        <w:tc>
          <w:tcPr>
            <w:tcW w:type="dxa" w:w="1440"/>
            <w:shd w:fill="FFDCE0" w:val="clear"/>
          </w:tcPr>
          <w:p>
            <w:r>
              <w:rPr>
                <w:sz w:val="17"/>
              </w:rPr>
              <w:t>9,779</w:t>
            </w:r>
          </w:p>
        </w:tc>
        <w:tc>
          <w:tcPr>
            <w:tcW w:type="dxa" w:w="1440"/>
            <w:shd w:fill="FFDCE0" w:val="clear"/>
          </w:tcPr>
          <w:p>
            <w:r>
              <w:rPr>
                <w:b/>
                <w:color w:val="C00000"/>
                <w:sz w:val="17"/>
              </w:rPr>
              <w:t>-24.1%</w:t>
            </w:r>
          </w:p>
        </w:tc>
      </w:tr>
      <w:tr>
        <w:tc>
          <w:tcPr>
            <w:tcW w:type="dxa" w:w="1440"/>
            <w:shd w:fill="FFDCE0" w:val="clear"/>
          </w:tcPr>
          <w:p>
            <w:r>
              <w:rPr>
                <w:sz w:val="17"/>
              </w:rPr>
              <w:t>J+9  Moyenne</w:t>
            </w:r>
          </w:p>
        </w:tc>
        <w:tc>
          <w:tcPr>
            <w:tcW w:type="dxa" w:w="1440"/>
            <w:shd w:fill="FFDCE0" w:val="clear"/>
          </w:tcPr>
          <w:p>
            <w:r>
              <w:rPr>
                <w:sz w:val="17"/>
              </w:rPr>
              <w:t>2026-08-24</w:t>
            </w:r>
          </w:p>
        </w:tc>
        <w:tc>
          <w:tcPr>
            <w:tcW w:type="dxa" w:w="1440"/>
            <w:shd w:fill="FFDCE0" w:val="clear"/>
          </w:tcPr>
          <w:p>
            <w:r>
              <w:rPr>
                <w:sz w:val="17"/>
              </w:rPr>
              <w:t>8,056</w:t>
            </w:r>
          </w:p>
        </w:tc>
        <w:tc>
          <w:tcPr>
            <w:tcW w:type="dxa" w:w="1440"/>
            <w:shd w:fill="FFDCE0" w:val="clear"/>
          </w:tcPr>
          <w:p>
            <w:r>
              <w:rPr>
                <w:b/>
                <w:sz w:val="17"/>
              </w:rPr>
              <w:t>8,831</w:t>
            </w:r>
          </w:p>
        </w:tc>
        <w:tc>
          <w:tcPr>
            <w:tcW w:type="dxa" w:w="1440"/>
            <w:shd w:fill="FFDCE0" w:val="clear"/>
          </w:tcPr>
          <w:p>
            <w:r>
              <w:rPr>
                <w:sz w:val="17"/>
              </w:rPr>
              <w:t>9,607</w:t>
            </w:r>
          </w:p>
        </w:tc>
        <w:tc>
          <w:tcPr>
            <w:tcW w:type="dxa" w:w="1440"/>
            <w:shd w:fill="FFDCE0" w:val="clear"/>
          </w:tcPr>
          <w:p>
            <w:r>
              <w:rPr>
                <w:b/>
                <w:color w:val="C00000"/>
                <w:sz w:val="17"/>
              </w:rPr>
              <w:t>-25.8%</w:t>
            </w:r>
          </w:p>
        </w:tc>
      </w:tr>
      <w:tr>
        <w:tc>
          <w:tcPr>
            <w:tcW w:type="dxa" w:w="1440"/>
            <w:shd w:fill="FFDCE0" w:val="clear"/>
          </w:tcPr>
          <w:p>
            <w:r>
              <w:rPr>
                <w:sz w:val="17"/>
              </w:rPr>
              <w:t>J+10  Moyenne</w:t>
            </w:r>
          </w:p>
        </w:tc>
        <w:tc>
          <w:tcPr>
            <w:tcW w:type="dxa" w:w="1440"/>
            <w:shd w:fill="FFDCE0" w:val="clear"/>
          </w:tcPr>
          <w:p>
            <w:r>
              <w:rPr>
                <w:sz w:val="17"/>
              </w:rPr>
              <w:t>2026-08-25</w:t>
            </w:r>
          </w:p>
        </w:tc>
        <w:tc>
          <w:tcPr>
            <w:tcW w:type="dxa" w:w="1440"/>
            <w:shd w:fill="FFDCE0" w:val="clear"/>
          </w:tcPr>
          <w:p>
            <w:r>
              <w:rPr>
                <w:sz w:val="17"/>
              </w:rPr>
              <w:t>7,851</w:t>
            </w:r>
          </w:p>
        </w:tc>
        <w:tc>
          <w:tcPr>
            <w:tcW w:type="dxa" w:w="1440"/>
            <w:shd w:fill="FFDCE0" w:val="clear"/>
          </w:tcPr>
          <w:p>
            <w:r>
              <w:rPr>
                <w:b/>
                <w:sz w:val="17"/>
              </w:rPr>
              <w:t>8,652</w:t>
            </w:r>
          </w:p>
        </w:tc>
        <w:tc>
          <w:tcPr>
            <w:tcW w:type="dxa" w:w="1440"/>
            <w:shd w:fill="FFDCE0" w:val="clear"/>
          </w:tcPr>
          <w:p>
            <w:r>
              <w:rPr>
                <w:sz w:val="17"/>
              </w:rPr>
              <w:t>9,453</w:t>
            </w:r>
          </w:p>
        </w:tc>
        <w:tc>
          <w:tcPr>
            <w:tcW w:type="dxa" w:w="1440"/>
            <w:shd w:fill="FFDCE0" w:val="clear"/>
          </w:tcPr>
          <w:p>
            <w:r>
              <w:rPr>
                <w:b/>
                <w:color w:val="C00000"/>
                <w:sz w:val="17"/>
              </w:rPr>
              <w:t>-27.3%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**Date de l'analyse : 11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476,20 milliards FCFA, BOAC se positionne comme l'une des valeurs les plus lourdes et les plus liquides de la cote BRVM, reflétant son statut de banque systémique de premier plan en Côte d'Ivoire. Le BPA de 888 FCFA indique que chaque action génère un bénéfice substantiel, justifiant un PER de 13,4x. Ce niveau, bien que supérieur à la moyenne historique de la BRVM (8-12x), reste modéré et traduit une valorisation raisonnable pour une banque de cette envergure. Le P/B de 3,74x confirme que le marché accorde une prime de croissance significative à la banque, valorisant ses capitaux propres à près de quatre fois leur valeur comptable. Enfin, l'EV/EBITDA de 26,9x, très supérieur au seuil de 15x, signale que la valeur d'entreprise est exigeante par rapport à sa capacité opérationnelle, ce qui pourrait refléter des attentes élevées de croissance future ou une prime de rareté sur le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BOAC a enregistré une performance spectaculaire de +32,28%, avec une dernière séance en hausse de +2,63% à 11 905 FCFA, atteignant son plus haut historique sur la période. Le titre a évolué dans une fourchette de 8 100 à 11 905 FCFA, démontrant une tendance haussière puissante et soutenue. Les statistiques descriptives révèlent une moyenne de 9 211 FCFA contre une médiane de 8 900 FCFA ; cet écart, couplé à un skewness positif de 1,665, confirme une distribution asymétrique où les fortes hausses récentes tirent la moyenne vers le haut, avec un nombre plus important de journées sous la moyenne. L'écart-type de 848 FCFA (CV=9,2%) indique une dispersion modérée, mais le kurtosis de 2,086 (leptokurtique) signale un risque de mouvements extrêmes et de pics de volatilité. La volatilité annualisée de 27,0% classe le titre dans une zone de volatilité modérée à élevée, cohérente avec une phase d'accélération haussière marquée par des prises de bénéfices potentielles.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11 905 FCFA évolue nettement au-dessus de la MM20 (10 638,5 FCFA) et de la MM50 (9 739,7 FCFA), dans une configuration de tendance haussière parfaitement alignée. L'écart croissant entre les deux moyennes mobiles et le cours confirme la vigueur du mouvement, justifiant un signal d'**Achat** malgré une possible extension excessive à court terme.</w:t>
      </w:r>
    </w:p>
    <w:p>
      <w:pPr>
        <w:spacing w:after="120" w:line="276" w:lineRule="auto"/>
      </w:pPr>
      <w:r>
        <w:t>**Bandes de Bollinger :** Le prix se situe à 11 905 FCFA, très proche de la borne supérieure (12 237,48 FCFA), indiquant que le titre est en zone de surachat technique. La largeur des bandes reflète une volatilité accrue. Le signal est **Neutre** car, bien que la tendance soit forte, le risque d'un retour vers la moyenne (borne inférieure à 9 039,5 FCFA) augmente à mesure que le prix s'approche de la borne supérieure.</w:t>
      </w:r>
    </w:p>
    <w:p>
      <w:pPr>
        <w:spacing w:after="120" w:line="276" w:lineRule="auto"/>
      </w:pPr>
      <w:r>
        <w:t>**MACD :** La valeur du MACD (606,09) est nettement supérieure à sa ligne de signal (506,81), avec un histogramme positif et en expansion. Cette configuration classique de croisement haussier confirme un momentum positif robuste et une dynamique d'achat toujours en vigueur, justifiant la décision d'**Achat**.</w:t>
      </w:r>
    </w:p>
    <w:p>
      <w:pPr>
        <w:spacing w:after="120" w:line="276" w:lineRule="auto"/>
      </w:pPr>
      <w:r>
        <w:t>**RSI :** Le RSI à 85,69 est extrêmement élevé, bien au-delà du seuil de surachat de 70. Cette valeur traduit une pression d'achat excessive et une surchauffe du titre. Historiquement, un tel niveau précède souvent une correction ou une consolidation. La décision est donc clairement **Vente** à court terme, signalant un risque de retournement.</w:t>
      </w:r>
    </w:p>
    <w:p>
      <w:pPr>
        <w:spacing w:after="120" w:line="276" w:lineRule="auto"/>
      </w:pPr>
      <w:r>
        <w:t>**Stochastique :** Les valeurs de %K et %D sont toutes deux à 100,0, en territoire de surachat extrême. Ce niveau maximal indique que le titre est survendu dans sa phase ascendante et qu'un croisement baissier est imminent. La décision de **Vente** est justifiée, car la probabilité d'un repli technique est élevée.</w:t>
      </w:r>
    </w:p>
    <w:p>
      <w:pPr>
        <w:spacing w:after="120" w:line="276" w:lineRule="auto"/>
      </w:pPr>
      <w:r>
        <w:t>**Conclusion technique :** La tendance de fond reste résolument haussière, portée par les moyennes mobiles et le MACD. Cependant, les oscillateurs (RSI et Stochastique) sont en zone de surachat extrême, signalant une exubérance à court terme. Le scénario le plus probable est une poursuite de la tendance après une phase de consolidation ou de léger repli, rendant les niveaux actuels risqués pour un nouvel achat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BOAC font état d'un Produit Net Bancaire (PNB) de 73,545 milliards FCFA, en légère croissance de 1,13%, et d'un résultat net de 35,540 milliards FCFA. La banque affiche une rentabilité exceptionnelle avec un ROE de 27,91% et un ROA de 3,22%, démontrant une excellente création de valeur. Le coefficient d'exploitation de 36,70% témoigne d'une gestion très efficace, bien en deçà du seuil de 60%. Le coût du risque de 6,67% reste un point de vigilance, mais la banque dispose d'une liquidité abondante (trésorerie nette de 161,55 milliards FCFA) et d'une solvabilité confortable (solvabilité générale de 113,05%). Les rapports trimestriels de 2025 (T1, S1, T3) confirment une année de consolidation : le T1 2025 montrait une croissance du PNB de +4,93% et un résultat net en hausse de +14,59%, mais cette dynamique s'est estompée au S1 (PNB -0,35%) et au T3 (PNB +0,23%, résultat net +1,29%). On estime que l'exercice 2025 s'est clôturé sur une stagnation de l'activité, compensée par une maîtrise des coûts et une baisse du coût du risque. La banque a renforcé son bilan avec un total de 1 103,306 milliards FCFA, porté par une collecte de dépôts robuste (850,548 milliards FCFA), tandis que les crédits à la clientèle (430,433 milliards FCFA) montrent une contraction, reflétant une stratégie prudente. Les objectifs triennaux (horizon 2027) annoncent une croissance du PNB de +11,6%, ce qui suggère un potentiel de rebond. En conclusion, BOAC présente des fondamentaux solides, une rentabilité élevée et une structure financière saine, malgré une croissance atone à court terme.</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 profil contrasté. La valorisation (PER 13,4x, P/B 3,74x) est exigeante mais justifiée par une rentabilité hors normes (ROE &gt;27%). Le comportement du cours (+32,28% en 100 jours) est extrêmement haussier, mais les statistiques (kurtosis élevé, skewness positif) et la volatilité de 27% signalent un risque accru de correction. Les signaux techniques sont mitigés : la tendance de fond (MM, MACD) reste positive, mais les oscillateurs (RSI 85,7, Stochastique 100) sont en surachat extrême, indiquant une surchauffe à court terme. Les fondamentaux sont solides, avec une banque efficace et rentable, mais la croissance est en plateau. Les prédictions IA pour les 10 prochains jours (de 11 280 à 9 799 FCFA) confirment ce scénario de correction technique, anticipant un repli d'environ 17% par rapport au cours actuel. En conséquence, la recommandation finale est **CONSERVER** pour les investisseurs en portefeuille, avec un niveau de confiance **Moyen** et un risque global **Élevé** à court terme. Pour les nouveaux investisseurs, il est conseillé d'attendre une consolidation vers les 10 000-10 500 FCFA pour initier une position, avec un horizon d'investissement **moyen terme (3-12 mois)** pour capitaliser sur le potentiel de croissance stratégique de la banque à l'horizon 2027.</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160.58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6,373 titres</w:t>
            </w:r>
          </w:p>
        </w:tc>
        <w:tc>
          <w:tcPr>
            <w:tcW w:type="dxa" w:w="2268"/>
            <w:shd w:fill="FFF2CC" w:val="clear"/>
          </w:tcPr>
          <w:p>
            <w:r>
              <w:rPr>
                <w:b/>
                <w:color w:val="503200"/>
                <w:sz w:val="16"/>
              </w:rPr>
              <w:t xml:space="preserve">Cours actuel : </w:t>
            </w:r>
            <w:r>
              <w:rPr>
                <w:color w:val="000000"/>
                <w:sz w:val="17"/>
              </w:rPr>
              <w:t>5,850 FCFA</w:t>
            </w:r>
          </w:p>
          <w:p>
            <w:r>
              <w:rPr>
                <w:b/>
                <w:color w:val="503200"/>
                <w:sz w:val="16"/>
              </w:rPr>
              <w:t xml:space="preserve">Var. 100 jours : </w:t>
            </w:r>
            <w:r>
              <w:rPr>
                <w:b/>
                <w:color w:val="007800"/>
                <w:sz w:val="17"/>
              </w:rPr>
              <w:t>+23.16%</w:t>
            </w:r>
          </w:p>
          <w:p>
            <w:r>
              <w:rPr>
                <w:b/>
                <w:color w:val="503200"/>
                <w:sz w:val="16"/>
              </w:rPr>
              <w:t xml:space="preserve">Plus haut 100j : </w:t>
            </w:r>
            <w:r>
              <w:rPr>
                <w:color w:val="000000"/>
                <w:sz w:val="17"/>
              </w:rPr>
              <w:t>5,850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8.25% (Moyenne) — μ=4,949 FCFA, σ=408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β=0.3626 (Défensif) — Cov=0.000013, Var(idx)=0.000036, ρ=0.110,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σ_j=1.97%/j (Stable) — Vol. annualisée≈31.3%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2026-08-12</w:t>
            </w:r>
          </w:p>
        </w:tc>
        <w:tc>
          <w:tcPr>
            <w:tcW w:type="dxa" w:w="1440"/>
            <w:shd w:fill="FAFAFA" w:val="clear"/>
          </w:tcPr>
          <w:p>
            <w:r>
              <w:rPr>
                <w:sz w:val="17"/>
              </w:rPr>
              <w:t>5,638</w:t>
            </w:r>
          </w:p>
        </w:tc>
        <w:tc>
          <w:tcPr>
            <w:tcW w:type="dxa" w:w="1440"/>
            <w:shd w:fill="FAFAFA" w:val="clear"/>
          </w:tcPr>
          <w:p>
            <w:r>
              <w:rPr>
                <w:b/>
                <w:sz w:val="17"/>
              </w:rPr>
              <w:t>5,824</w:t>
            </w:r>
          </w:p>
        </w:tc>
        <w:tc>
          <w:tcPr>
            <w:tcW w:type="dxa" w:w="1440"/>
            <w:shd w:fill="FAFAFA" w:val="clear"/>
          </w:tcPr>
          <w:p>
            <w:r>
              <w:rPr>
                <w:sz w:val="17"/>
              </w:rPr>
              <w:t>6,009</w:t>
            </w:r>
          </w:p>
        </w:tc>
        <w:tc>
          <w:tcPr>
            <w:tcW w:type="dxa" w:w="1440"/>
            <w:shd w:fill="FAFAFA" w:val="clear"/>
          </w:tcPr>
          <w:p>
            <w:r>
              <w:rPr>
                <w:b/>
                <w:color w:val="C00000"/>
                <w:sz w:val="17"/>
              </w:rPr>
              <w:t>-0.5%</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5,466</w:t>
            </w:r>
          </w:p>
        </w:tc>
        <w:tc>
          <w:tcPr>
            <w:tcW w:type="dxa" w:w="1440"/>
            <w:shd w:fill="FFDCE0" w:val="clear"/>
          </w:tcPr>
          <w:p>
            <w:r>
              <w:rPr>
                <w:b/>
                <w:sz w:val="17"/>
              </w:rPr>
              <w:t>5,723</w:t>
            </w:r>
          </w:p>
        </w:tc>
        <w:tc>
          <w:tcPr>
            <w:tcW w:type="dxa" w:w="1440"/>
            <w:shd w:fill="FFDCE0" w:val="clear"/>
          </w:tcPr>
          <w:p>
            <w:r>
              <w:rPr>
                <w:sz w:val="17"/>
              </w:rPr>
              <w:t>5,981</w:t>
            </w:r>
          </w:p>
        </w:tc>
        <w:tc>
          <w:tcPr>
            <w:tcW w:type="dxa" w:w="1440"/>
            <w:shd w:fill="FFDCE0" w:val="clear"/>
          </w:tcPr>
          <w:p>
            <w:r>
              <w:rPr>
                <w:b/>
                <w:color w:val="C00000"/>
                <w:sz w:val="17"/>
              </w:rPr>
              <w:t>-2.2%</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5,307</w:t>
            </w:r>
          </w:p>
        </w:tc>
        <w:tc>
          <w:tcPr>
            <w:tcW w:type="dxa" w:w="1440"/>
            <w:shd w:fill="FFDCE0" w:val="clear"/>
          </w:tcPr>
          <w:p>
            <w:r>
              <w:rPr>
                <w:b/>
                <w:sz w:val="17"/>
              </w:rPr>
              <w:t>5,616</w:t>
            </w:r>
          </w:p>
        </w:tc>
        <w:tc>
          <w:tcPr>
            <w:tcW w:type="dxa" w:w="1440"/>
            <w:shd w:fill="FFDCE0" w:val="clear"/>
          </w:tcPr>
          <w:p>
            <w:r>
              <w:rPr>
                <w:sz w:val="17"/>
              </w:rPr>
              <w:t>5,926</w:t>
            </w:r>
          </w:p>
        </w:tc>
        <w:tc>
          <w:tcPr>
            <w:tcW w:type="dxa" w:w="1440"/>
            <w:shd w:fill="FFDCE0" w:val="clear"/>
          </w:tcPr>
          <w:p>
            <w:r>
              <w:rPr>
                <w:b/>
                <w:color w:val="C00000"/>
                <w:sz w:val="17"/>
              </w:rPr>
              <w:t>-4.0%</w:t>
            </w:r>
          </w:p>
        </w:tc>
      </w:tr>
      <w:tr>
        <w:tc>
          <w:tcPr>
            <w:tcW w:type="dxa" w:w="1440"/>
            <w:shd w:fill="FFDCE0" w:val="clear"/>
          </w:tcPr>
          <w:p>
            <w:r>
              <w:rPr>
                <w:sz w:val="17"/>
              </w:rPr>
              <w:t>J+4  Moyenne</w:t>
            </w:r>
          </w:p>
        </w:tc>
        <w:tc>
          <w:tcPr>
            <w:tcW w:type="dxa" w:w="1440"/>
            <w:shd w:fill="FFDCE0" w:val="clear"/>
          </w:tcPr>
          <w:p>
            <w:r>
              <w:rPr>
                <w:sz w:val="17"/>
              </w:rPr>
              <w:t>2026-08-17</w:t>
            </w:r>
          </w:p>
        </w:tc>
        <w:tc>
          <w:tcPr>
            <w:tcW w:type="dxa" w:w="1440"/>
            <w:shd w:fill="FFDCE0" w:val="clear"/>
          </w:tcPr>
          <w:p>
            <w:r>
              <w:rPr>
                <w:sz w:val="17"/>
              </w:rPr>
              <w:t>5,173</w:t>
            </w:r>
          </w:p>
        </w:tc>
        <w:tc>
          <w:tcPr>
            <w:tcW w:type="dxa" w:w="1440"/>
            <w:shd w:fill="FFDCE0" w:val="clear"/>
          </w:tcPr>
          <w:p>
            <w:r>
              <w:rPr>
                <w:b/>
                <w:sz w:val="17"/>
              </w:rPr>
              <w:t>5,525</w:t>
            </w:r>
          </w:p>
        </w:tc>
        <w:tc>
          <w:tcPr>
            <w:tcW w:type="dxa" w:w="1440"/>
            <w:shd w:fill="FFDCE0" w:val="clear"/>
          </w:tcPr>
          <w:p>
            <w:r>
              <w:rPr>
                <w:sz w:val="17"/>
              </w:rPr>
              <w:t>5,877</w:t>
            </w:r>
          </w:p>
        </w:tc>
        <w:tc>
          <w:tcPr>
            <w:tcW w:type="dxa" w:w="1440"/>
            <w:shd w:fill="FFDCE0" w:val="clear"/>
          </w:tcPr>
          <w:p>
            <w:r>
              <w:rPr>
                <w:b/>
                <w:color w:val="C00000"/>
                <w:sz w:val="17"/>
              </w:rPr>
              <w:t>-5.6%</w:t>
            </w:r>
          </w:p>
        </w:tc>
      </w:tr>
      <w:tr>
        <w:tc>
          <w:tcPr>
            <w:tcW w:type="dxa" w:w="1440"/>
            <w:shd w:fill="FFDCE0" w:val="clear"/>
          </w:tcPr>
          <w:p>
            <w:r>
              <w:rPr>
                <w:sz w:val="17"/>
              </w:rPr>
              <w:t>J+5  Moyenne</w:t>
            </w:r>
          </w:p>
        </w:tc>
        <w:tc>
          <w:tcPr>
            <w:tcW w:type="dxa" w:w="1440"/>
            <w:shd w:fill="FFDCE0" w:val="clear"/>
          </w:tcPr>
          <w:p>
            <w:r>
              <w:rPr>
                <w:sz w:val="17"/>
              </w:rPr>
              <w:t>2026-08-18</w:t>
            </w:r>
          </w:p>
        </w:tc>
        <w:tc>
          <w:tcPr>
            <w:tcW w:type="dxa" w:w="1440"/>
            <w:shd w:fill="FFDCE0" w:val="clear"/>
          </w:tcPr>
          <w:p>
            <w:r>
              <w:rPr>
                <w:sz w:val="17"/>
              </w:rPr>
              <w:t>5,061</w:t>
            </w:r>
          </w:p>
        </w:tc>
        <w:tc>
          <w:tcPr>
            <w:tcW w:type="dxa" w:w="1440"/>
            <w:shd w:fill="FFDCE0" w:val="clear"/>
          </w:tcPr>
          <w:p>
            <w:r>
              <w:rPr>
                <w:b/>
                <w:sz w:val="17"/>
              </w:rPr>
              <w:t>5,449</w:t>
            </w:r>
          </w:p>
        </w:tc>
        <w:tc>
          <w:tcPr>
            <w:tcW w:type="dxa" w:w="1440"/>
            <w:shd w:fill="FFDCE0" w:val="clear"/>
          </w:tcPr>
          <w:p>
            <w:r>
              <w:rPr>
                <w:sz w:val="17"/>
              </w:rPr>
              <w:t>5,837</w:t>
            </w:r>
          </w:p>
        </w:tc>
        <w:tc>
          <w:tcPr>
            <w:tcW w:type="dxa" w:w="1440"/>
            <w:shd w:fill="FFDCE0" w:val="clear"/>
          </w:tcPr>
          <w:p>
            <w:r>
              <w:rPr>
                <w:b/>
                <w:color w:val="C00000"/>
                <w:sz w:val="17"/>
              </w:rPr>
              <w:t>-6.9%</w:t>
            </w:r>
          </w:p>
        </w:tc>
      </w:tr>
      <w:tr>
        <w:tc>
          <w:tcPr>
            <w:tcW w:type="dxa" w:w="1440"/>
            <w:shd w:fill="FFDCE0" w:val="clear"/>
          </w:tcPr>
          <w:p>
            <w:r>
              <w:rPr>
                <w:sz w:val="17"/>
              </w:rPr>
              <w:t>J+6  Moyenne</w:t>
            </w:r>
          </w:p>
        </w:tc>
        <w:tc>
          <w:tcPr>
            <w:tcW w:type="dxa" w:w="1440"/>
            <w:shd w:fill="FFDCE0" w:val="clear"/>
          </w:tcPr>
          <w:p>
            <w:r>
              <w:rPr>
                <w:sz w:val="17"/>
              </w:rPr>
              <w:t>2026-08-19</w:t>
            </w:r>
          </w:p>
        </w:tc>
        <w:tc>
          <w:tcPr>
            <w:tcW w:type="dxa" w:w="1440"/>
            <w:shd w:fill="FFDCE0" w:val="clear"/>
          </w:tcPr>
          <w:p>
            <w:r>
              <w:rPr>
                <w:sz w:val="17"/>
              </w:rPr>
              <w:t>4,962</w:t>
            </w:r>
          </w:p>
        </w:tc>
        <w:tc>
          <w:tcPr>
            <w:tcW w:type="dxa" w:w="1440"/>
            <w:shd w:fill="FFDCE0" w:val="clear"/>
          </w:tcPr>
          <w:p>
            <w:r>
              <w:rPr>
                <w:b/>
                <w:sz w:val="17"/>
              </w:rPr>
              <w:t>5,382</w:t>
            </w:r>
          </w:p>
        </w:tc>
        <w:tc>
          <w:tcPr>
            <w:tcW w:type="dxa" w:w="1440"/>
            <w:shd w:fill="FFDCE0" w:val="clear"/>
          </w:tcPr>
          <w:p>
            <w:r>
              <w:rPr>
                <w:sz w:val="17"/>
              </w:rPr>
              <w:t>5,802</w:t>
            </w:r>
          </w:p>
        </w:tc>
        <w:tc>
          <w:tcPr>
            <w:tcW w:type="dxa" w:w="1440"/>
            <w:shd w:fill="FFDCE0" w:val="clear"/>
          </w:tcPr>
          <w:p>
            <w:r>
              <w:rPr>
                <w:b/>
                <w:color w:val="C00000"/>
                <w:sz w:val="17"/>
              </w:rPr>
              <w:t>-8.0%</w:t>
            </w:r>
          </w:p>
        </w:tc>
      </w:tr>
      <w:tr>
        <w:tc>
          <w:tcPr>
            <w:tcW w:type="dxa" w:w="1440"/>
            <w:shd w:fill="FFDCE0" w:val="clear"/>
          </w:tcPr>
          <w:p>
            <w:r>
              <w:rPr>
                <w:sz w:val="17"/>
              </w:rPr>
              <w:t>J+7  Moyenne</w:t>
            </w:r>
          </w:p>
        </w:tc>
        <w:tc>
          <w:tcPr>
            <w:tcW w:type="dxa" w:w="1440"/>
            <w:shd w:fill="FFDCE0" w:val="clear"/>
          </w:tcPr>
          <w:p>
            <w:r>
              <w:rPr>
                <w:sz w:val="17"/>
              </w:rPr>
              <w:t>2026-08-20</w:t>
            </w:r>
          </w:p>
        </w:tc>
        <w:tc>
          <w:tcPr>
            <w:tcW w:type="dxa" w:w="1440"/>
            <w:shd w:fill="FFDCE0" w:val="clear"/>
          </w:tcPr>
          <w:p>
            <w:r>
              <w:rPr>
                <w:sz w:val="17"/>
              </w:rPr>
              <w:t>4,872</w:t>
            </w:r>
          </w:p>
        </w:tc>
        <w:tc>
          <w:tcPr>
            <w:tcW w:type="dxa" w:w="1440"/>
            <w:shd w:fill="FFDCE0" w:val="clear"/>
          </w:tcPr>
          <w:p>
            <w:r>
              <w:rPr>
                <w:b/>
                <w:sz w:val="17"/>
              </w:rPr>
              <w:t>5,321</w:t>
            </w:r>
          </w:p>
        </w:tc>
        <w:tc>
          <w:tcPr>
            <w:tcW w:type="dxa" w:w="1440"/>
            <w:shd w:fill="FFDCE0" w:val="clear"/>
          </w:tcPr>
          <w:p>
            <w:r>
              <w:rPr>
                <w:sz w:val="17"/>
              </w:rPr>
              <w:t>5,769</w:t>
            </w:r>
          </w:p>
        </w:tc>
        <w:tc>
          <w:tcPr>
            <w:tcW w:type="dxa" w:w="1440"/>
            <w:shd w:fill="FFDCE0" w:val="clear"/>
          </w:tcPr>
          <w:p>
            <w:r>
              <w:rPr>
                <w:b/>
                <w:color w:val="C00000"/>
                <w:sz w:val="17"/>
              </w:rPr>
              <w:t>-9.1%</w:t>
            </w:r>
          </w:p>
        </w:tc>
      </w:tr>
      <w:tr>
        <w:tc>
          <w:tcPr>
            <w:tcW w:type="dxa" w:w="1440"/>
            <w:shd w:fill="FFDCE0" w:val="clear"/>
          </w:tcPr>
          <w:p>
            <w:r>
              <w:rPr>
                <w:sz w:val="17"/>
              </w:rPr>
              <w:t>J+8  Moyenne</w:t>
            </w:r>
          </w:p>
        </w:tc>
        <w:tc>
          <w:tcPr>
            <w:tcW w:type="dxa" w:w="1440"/>
            <w:shd w:fill="FFDCE0" w:val="clear"/>
          </w:tcPr>
          <w:p>
            <w:r>
              <w:rPr>
                <w:sz w:val="17"/>
              </w:rPr>
              <w:t>2026-08-21</w:t>
            </w:r>
          </w:p>
        </w:tc>
        <w:tc>
          <w:tcPr>
            <w:tcW w:type="dxa" w:w="1440"/>
            <w:shd w:fill="FFDCE0" w:val="clear"/>
          </w:tcPr>
          <w:p>
            <w:r>
              <w:rPr>
                <w:sz w:val="17"/>
              </w:rPr>
              <w:t>4,789</w:t>
            </w:r>
          </w:p>
        </w:tc>
        <w:tc>
          <w:tcPr>
            <w:tcW w:type="dxa" w:w="1440"/>
            <w:shd w:fill="FFDCE0" w:val="clear"/>
          </w:tcPr>
          <w:p>
            <w:r>
              <w:rPr>
                <w:b/>
                <w:sz w:val="17"/>
              </w:rPr>
              <w:t>5,263</w:t>
            </w:r>
          </w:p>
        </w:tc>
        <w:tc>
          <w:tcPr>
            <w:tcW w:type="dxa" w:w="1440"/>
            <w:shd w:fill="FFDCE0" w:val="clear"/>
          </w:tcPr>
          <w:p>
            <w:r>
              <w:rPr>
                <w:sz w:val="17"/>
              </w:rPr>
              <w:t>5,737</w:t>
            </w:r>
          </w:p>
        </w:tc>
        <w:tc>
          <w:tcPr>
            <w:tcW w:type="dxa" w:w="1440"/>
            <w:shd w:fill="FFDCE0" w:val="clear"/>
          </w:tcPr>
          <w:p>
            <w:r>
              <w:rPr>
                <w:b/>
                <w:color w:val="C00000"/>
                <w:sz w:val="17"/>
              </w:rPr>
              <w:t>-10.0%</w:t>
            </w:r>
          </w:p>
        </w:tc>
      </w:tr>
      <w:tr>
        <w:tc>
          <w:tcPr>
            <w:tcW w:type="dxa" w:w="1440"/>
            <w:shd w:fill="FFDCE0" w:val="clear"/>
          </w:tcPr>
          <w:p>
            <w:r>
              <w:rPr>
                <w:sz w:val="17"/>
              </w:rPr>
              <w:t>J+9  Moyenne</w:t>
            </w:r>
          </w:p>
        </w:tc>
        <w:tc>
          <w:tcPr>
            <w:tcW w:type="dxa" w:w="1440"/>
            <w:shd w:fill="FFDCE0" w:val="clear"/>
          </w:tcPr>
          <w:p>
            <w:r>
              <w:rPr>
                <w:sz w:val="17"/>
              </w:rPr>
              <w:t>2026-08-24</w:t>
            </w:r>
          </w:p>
        </w:tc>
        <w:tc>
          <w:tcPr>
            <w:tcW w:type="dxa" w:w="1440"/>
            <w:shd w:fill="FFDCE0" w:val="clear"/>
          </w:tcPr>
          <w:p>
            <w:r>
              <w:rPr>
                <w:sz w:val="17"/>
              </w:rPr>
              <w:t>4,711</w:t>
            </w:r>
          </w:p>
        </w:tc>
        <w:tc>
          <w:tcPr>
            <w:tcW w:type="dxa" w:w="1440"/>
            <w:shd w:fill="FFDCE0" w:val="clear"/>
          </w:tcPr>
          <w:p>
            <w:r>
              <w:rPr>
                <w:b/>
                <w:sz w:val="17"/>
              </w:rPr>
              <w:t>5,208</w:t>
            </w:r>
          </w:p>
        </w:tc>
        <w:tc>
          <w:tcPr>
            <w:tcW w:type="dxa" w:w="1440"/>
            <w:shd w:fill="FFDCE0" w:val="clear"/>
          </w:tcPr>
          <w:p>
            <w:r>
              <w:rPr>
                <w:sz w:val="17"/>
              </w:rPr>
              <w:t>5,706</w:t>
            </w:r>
          </w:p>
        </w:tc>
        <w:tc>
          <w:tcPr>
            <w:tcW w:type="dxa" w:w="1440"/>
            <w:shd w:fill="FFDCE0" w:val="clear"/>
          </w:tcPr>
          <w:p>
            <w:r>
              <w:rPr>
                <w:b/>
                <w:color w:val="C00000"/>
                <w:sz w:val="17"/>
              </w:rPr>
              <w:t>-11.0%</w:t>
            </w:r>
          </w:p>
        </w:tc>
      </w:tr>
      <w:tr>
        <w:tc>
          <w:tcPr>
            <w:tcW w:type="dxa" w:w="1440"/>
            <w:shd w:fill="FFDCE0" w:val="clear"/>
          </w:tcPr>
          <w:p>
            <w:r>
              <w:rPr>
                <w:sz w:val="17"/>
              </w:rPr>
              <w:t>J+10  Moyenne</w:t>
            </w:r>
          </w:p>
        </w:tc>
        <w:tc>
          <w:tcPr>
            <w:tcW w:type="dxa" w:w="1440"/>
            <w:shd w:fill="FFDCE0" w:val="clear"/>
          </w:tcPr>
          <w:p>
            <w:r>
              <w:rPr>
                <w:sz w:val="17"/>
              </w:rPr>
              <w:t>2026-08-25</w:t>
            </w:r>
          </w:p>
        </w:tc>
        <w:tc>
          <w:tcPr>
            <w:tcW w:type="dxa" w:w="1440"/>
            <w:shd w:fill="FFDCE0" w:val="clear"/>
          </w:tcPr>
          <w:p>
            <w:r>
              <w:rPr>
                <w:sz w:val="17"/>
              </w:rPr>
              <w:t>4,638</w:t>
            </w:r>
          </w:p>
        </w:tc>
        <w:tc>
          <w:tcPr>
            <w:tcW w:type="dxa" w:w="1440"/>
            <w:shd w:fill="FFDCE0" w:val="clear"/>
          </w:tcPr>
          <w:p>
            <w:r>
              <w:rPr>
                <w:b/>
                <w:sz w:val="17"/>
              </w:rPr>
              <w:t>5,157</w:t>
            </w:r>
          </w:p>
        </w:tc>
        <w:tc>
          <w:tcPr>
            <w:tcW w:type="dxa" w:w="1440"/>
            <w:shd w:fill="FFDCE0" w:val="clear"/>
          </w:tcPr>
          <w:p>
            <w:r>
              <w:rPr>
                <w:sz w:val="17"/>
              </w:rPr>
              <w:t>5,676</w:t>
            </w:r>
          </w:p>
        </w:tc>
        <w:tc>
          <w:tcPr>
            <w:tcW w:type="dxa" w:w="1440"/>
            <w:shd w:fill="FFDCE0" w:val="clear"/>
          </w:tcPr>
          <w:p>
            <w:r>
              <w:rPr>
                <w:b/>
                <w:color w:val="C00000"/>
                <w:sz w:val="17"/>
              </w:rPr>
              <w:t>-11.9%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w:t>
        <w:br/>
        <w:t>**Date de l'analyse : 11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BOAM s'établit à 160,58 milliards FCFA, un niveau significatif qui la positionne parmi les valeurs moyennes de la cote. Avec un BPA de 404 FCFA, le titre se négocie à un PER de 14,5x, nettement supérieur à la moyenne historique de la BRVM (8-12x), indiquant que les investisseurs paient une prime substantielle pour la croissance anticipée. Le P/B de 3,22x confirme cette prime, le marché valorisant la banque à plus de trois fois sa valeur comptable, ce qui reflète une forte confiance dans la création de valeur future. Enfin, un EV/EBITDA de 7,3x reste dans une zone raisonnable (5-10x), suggérant que la valorisation globale de l'entreprise, intégrant sa dette, demeure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BOAM a enregistré une progression remarquable de +23,16%, avec une accélération notable lors de la dernière séance (+2,63%), clôturant à 5 850 FCFA, son plus haut niveau sur la période. Cette tendance haussière s'est déroulée dans un range de trading de 4 425 à 5 850 FCFA. L'analyse statistique révèle une moyenne de 4 949 FCFA, inférieure à la médiane de 4 752 FCFA, ce qui, combiné à un skewness positif de 0.893, indique une distribution asymétrique avec des journées plus fréquentes sous la moyenne mais des gains extrêmes plus importants. L'écart-type de 410 FCFA (CV=8,3%) montre une dispersion modérée, tandis qu'un kurtosis de -0.696 (mésokurtique) suggère une distribution proche de la normale, sans risque de pics extrêmes. La volatilité annualisée de 31,3% classe le titre comme à forte volatilité, un paramètre crucial pour la gestion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(5 850 FCFA) se situe nettement au-dessus de la MM20 (5 651 FCFA) et de la MM50 (5 165,4 FCFA), dans une configuration de tendance haussière claire. La pente positive des deux moyennes confirme la dynamique positive, justifiant la décision d'**Achat**.</w:t>
      </w:r>
    </w:p>
    <w:p>
      <w:pPr>
        <w:spacing w:after="120" w:line="276" w:lineRule="auto"/>
      </w:pPr>
      <w:r>
        <w:t>**Bandes de Bollinger** : Le prix est collé à la borne supérieure (5 845,8 FCFA), indiquant une pression acheteuse très forte et une phase de surachat technique. La largeur des bandes reflète la volatilité élevée du titre. Cette position extrême suggère un risque de consolidation à court terme, d'où la décision de **Vente**.</w:t>
      </w:r>
    </w:p>
    <w:p>
      <w:pPr>
        <w:spacing w:after="120" w:line="276" w:lineRule="auto"/>
      </w:pPr>
      <w:r>
        <w:t>**MACD** : Le MACD (135,394) est passé sous sa ligne de signal (150,575), formant un croisement baissier. Ce signal indique un affaiblissement du momentum haussier, malgré des valeurs toujours positives. La décision de **Vente** suggère une possible correction à venir.</w:t>
      </w:r>
    </w:p>
    <w:p>
      <w:pPr>
        <w:spacing w:after="120" w:line="276" w:lineRule="auto"/>
      </w:pPr>
      <w:r>
        <w:t>**RSI** : À 59,204, le RSI se situe en zone neutre, indiquant que le titre n'est ni suracheté ni survendu. Il existe encore une marge de progression avant d'atteindre la zone de surachat (70), mais le momentum n'est plus aussi puissant qu'en début de tendance. La décision est **Neutre**.</w:t>
      </w:r>
    </w:p>
    <w:p>
      <w:pPr>
        <w:spacing w:after="120" w:line="276" w:lineRule="auto"/>
      </w:pPr>
      <w:r>
        <w:t>**Stochastique** : Avec un %K à 100,0 et un %D à 89,524, l'oscillateur est en zone de surachat extrême. Le %K étant au plus haut, cela signale une condition de surachat sévère, souvent précurseur d'un repli technique. La décision de **Vente** est donc cohérente.</w:t>
      </w:r>
    </w:p>
    <w:p>
      <w:pPr>
        <w:spacing w:after="120" w:line="276" w:lineRule="auto"/>
      </w:pPr>
      <w:r>
        <w:t>**Conclusion technique** : Les indicateurs de tendance (MM) sont positifs, mais les oscillateurs de momentum (MACD, Stochastique) et de volatilité (Bollinger) signalent une condition de surachat extrême. Cette divergence suggère une probabilité élevée de consolidation ou de correction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BOAM font état d'un Produit Net Bancaire (PNB) de 37,996 milliards FCFA, en croissance de 5,08% par rapport à 2024 (36,16 milliards). Le résultat net s'établit à 11,081 milliards FCFA, contre 9,12 milliards en 2024, portant la marge nette à un niveau élevé de 29,16%. La rentabilité des fonds propres (ROE) est excellente à 22,24%, et le ROA de 1,87% est solide pour le secteur. Le coefficient d'exploitation de 63,14% reste légèrement au-dessus du seuil d'efficacité de 60%, mais s'améliore. Le coût du risque, à 43,39% des charges financières, demeure un point de vigilance. Les dépôts clientèle (502,89 Mds) financent largement les crédits (253,65 Mds), assurant une liquidité confortable. Les rapports trimestriels de 2025 confirment cette dynamique : le T1 montre un résultat net en hausse de 91%, le S1 de +28,8%, et le T3 de +26,2%. Sur la base de ces performances, on estime que la tendance de forte croissance de la rentabilité s'est poursuivie, consolidant la solidité financière de la banque malgré un environnement macroéconomique difficile au Mali.</w:t>
      </w:r>
    </w:p>
    <w:p>
      <w:pPr>
        <w:spacing w:after="120" w:line="276" w:lineRule="auto"/>
      </w:pPr>
      <w:r>
        <w:t>---</w:t>
      </w:r>
    </w:p>
    <w:p>
      <w:pPr>
        <w:spacing w:after="120" w:line="276" w:lineRule="auto"/>
      </w:pPr>
      <w:r>
        <w:t>### PARTIE 4 : CONCLUSION D'INVESTISSEMENT</w:t>
      </w:r>
    </w:p>
    <w:p>
      <w:pPr>
        <w:spacing w:after="120" w:line="276" w:lineRule="auto"/>
      </w:pPr>
      <w:r>
        <w:t>La valorisation de BOAM (PER 14,5x, P/B 3,22x) intègre déjà une prime de croissance substantielle, laissant peu de marge d'erreur. Le comportement du cours est fortement haussier (+23,16% sur 100 jours) mais accompagné d'une volatilité élevée (31,3%) et de statistiques montrant une asymétrie positive. Les signaux techniques sont paradoxaux : la tendance de fond (MM) est positive, mais tous les oscillateurs (MACD, Stochastique, Bollinger) crient au surachat, annonçant une consolidation probable. Les fondamentaux sont excellents (ROE &gt;22%, croissance du RN &gt;26%), mais le coût du risque et l'environnement sécuritaire restent des risques majeurs. Les prédictions IA (5 824 à 5 449 FCFA sur 10 jours) confirment cette analyse en projetant un repli technique. En synthèse, la convergence entre le surachat technique et les prédictions IA suggère une pause dans la hausse. **Recommandation : CONSERVER**, avec un niveau de confiance **Moyen** et un risque global **Élevé**. L'horizon d'investissement optimal est le **moyen terme (3-12 mois)**, en attendant une correction pour renforcer la position sur des fondamentaux solides.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106.08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10,582 titres</w:t>
            </w:r>
          </w:p>
        </w:tc>
        <w:tc>
          <w:tcPr>
            <w:tcW w:type="dxa" w:w="2268"/>
            <w:shd w:fill="FFF2CC" w:val="clear"/>
          </w:tcPr>
          <w:p>
            <w:r>
              <w:rPr>
                <w:b/>
                <w:color w:val="503200"/>
                <w:sz w:val="16"/>
              </w:rPr>
              <w:t xml:space="preserve">Cours actuel : </w:t>
            </w:r>
            <w:r>
              <w:rPr>
                <w:color w:val="000000"/>
                <w:sz w:val="17"/>
              </w:rPr>
              <w:t>5,100 FCFA</w:t>
            </w:r>
          </w:p>
          <w:p>
            <w:r>
              <w:rPr>
                <w:b/>
                <w:color w:val="503200"/>
                <w:sz w:val="16"/>
              </w:rPr>
              <w:t xml:space="preserve">Var. 100 jours : </w:t>
            </w:r>
            <w:r>
              <w:rPr>
                <w:b/>
                <w:color w:val="007800"/>
                <w:sz w:val="17"/>
              </w:rPr>
              <w:t>+72.88%</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22.16% (Élevée) — μ=3,839 FCFA, σ=851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β=0.5220 (Défensif) — Cov=0.000019, Var(idx)=0.000036, ρ=0.117,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10,582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σ_j=2.79%/j (Stable) — Vol. annualisée≈44.3%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2026-08-12</w:t>
            </w:r>
          </w:p>
        </w:tc>
        <w:tc>
          <w:tcPr>
            <w:tcW w:type="dxa" w:w="1440"/>
            <w:shd w:fill="FAFAFA" w:val="clear"/>
          </w:tcPr>
          <w:p>
            <w:r>
              <w:rPr>
                <w:sz w:val="17"/>
              </w:rPr>
              <w:t>4,899</w:t>
            </w:r>
          </w:p>
        </w:tc>
        <w:tc>
          <w:tcPr>
            <w:tcW w:type="dxa" w:w="1440"/>
            <w:shd w:fill="FAFAFA" w:val="clear"/>
          </w:tcPr>
          <w:p>
            <w:r>
              <w:rPr>
                <w:b/>
                <w:sz w:val="17"/>
              </w:rPr>
              <w:t>5,129</w:t>
            </w:r>
          </w:p>
        </w:tc>
        <w:tc>
          <w:tcPr>
            <w:tcW w:type="dxa" w:w="1440"/>
            <w:shd w:fill="FAFAFA" w:val="clear"/>
          </w:tcPr>
          <w:p>
            <w:r>
              <w:rPr>
                <w:sz w:val="17"/>
              </w:rPr>
              <w:t>5,359</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2026-08-13</w:t>
            </w:r>
          </w:p>
        </w:tc>
        <w:tc>
          <w:tcPr>
            <w:tcW w:type="dxa" w:w="1440"/>
            <w:shd w:fill="FAFAFA" w:val="clear"/>
          </w:tcPr>
          <w:p>
            <w:r>
              <w:rPr>
                <w:sz w:val="17"/>
              </w:rPr>
              <w:t>4,790</w:t>
            </w:r>
          </w:p>
        </w:tc>
        <w:tc>
          <w:tcPr>
            <w:tcW w:type="dxa" w:w="1440"/>
            <w:shd w:fill="FAFAFA" w:val="clear"/>
          </w:tcPr>
          <w:p>
            <w:r>
              <w:rPr>
                <w:b/>
                <w:sz w:val="17"/>
              </w:rPr>
              <w:t>5,115</w:t>
            </w:r>
          </w:p>
        </w:tc>
        <w:tc>
          <w:tcPr>
            <w:tcW w:type="dxa" w:w="1440"/>
            <w:shd w:fill="FAFAFA" w:val="clear"/>
          </w:tcPr>
          <w:p>
            <w:r>
              <w:rPr>
                <w:sz w:val="17"/>
              </w:rPr>
              <w:t>5,439</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2026-08-14</w:t>
            </w:r>
          </w:p>
        </w:tc>
        <w:tc>
          <w:tcPr>
            <w:tcW w:type="dxa" w:w="1440"/>
            <w:shd w:fill="FAFAFA" w:val="clear"/>
          </w:tcPr>
          <w:p>
            <w:r>
              <w:rPr>
                <w:sz w:val="17"/>
              </w:rPr>
              <w:t>4,707</w:t>
            </w:r>
          </w:p>
        </w:tc>
        <w:tc>
          <w:tcPr>
            <w:tcW w:type="dxa" w:w="1440"/>
            <w:shd w:fill="FAFAFA" w:val="clear"/>
          </w:tcPr>
          <w:p>
            <w:r>
              <w:rPr>
                <w:b/>
                <w:sz w:val="17"/>
              </w:rPr>
              <w:t>5,104</w:t>
            </w:r>
          </w:p>
        </w:tc>
        <w:tc>
          <w:tcPr>
            <w:tcW w:type="dxa" w:w="1440"/>
            <w:shd w:fill="FAFAFA" w:val="clear"/>
          </w:tcPr>
          <w:p>
            <w:r>
              <w:rPr>
                <w:sz w:val="17"/>
              </w:rPr>
              <w:t>5,501</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2026-08-17</w:t>
            </w:r>
          </w:p>
        </w:tc>
        <w:tc>
          <w:tcPr>
            <w:tcW w:type="dxa" w:w="1440"/>
            <w:shd w:fill="FAFAFA" w:val="clear"/>
          </w:tcPr>
          <w:p>
            <w:r>
              <w:rPr>
                <w:sz w:val="17"/>
              </w:rPr>
              <w:t>4,637</w:t>
            </w:r>
          </w:p>
        </w:tc>
        <w:tc>
          <w:tcPr>
            <w:tcW w:type="dxa" w:w="1440"/>
            <w:shd w:fill="FAFAFA" w:val="clear"/>
          </w:tcPr>
          <w:p>
            <w:r>
              <w:rPr>
                <w:b/>
                <w:sz w:val="17"/>
              </w:rPr>
              <w:t>5,095</w:t>
            </w:r>
          </w:p>
        </w:tc>
        <w:tc>
          <w:tcPr>
            <w:tcW w:type="dxa" w:w="1440"/>
            <w:shd w:fill="FAFAFA" w:val="clear"/>
          </w:tcPr>
          <w:p>
            <w:r>
              <w:rPr>
                <w:sz w:val="17"/>
              </w:rPr>
              <w:t>5,552</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2026-08-18</w:t>
            </w:r>
          </w:p>
        </w:tc>
        <w:tc>
          <w:tcPr>
            <w:tcW w:type="dxa" w:w="1440"/>
            <w:shd w:fill="FAFAFA" w:val="clear"/>
          </w:tcPr>
          <w:p>
            <w:r>
              <w:rPr>
                <w:sz w:val="17"/>
              </w:rPr>
              <w:t>4,575</w:t>
            </w:r>
          </w:p>
        </w:tc>
        <w:tc>
          <w:tcPr>
            <w:tcW w:type="dxa" w:w="1440"/>
            <w:shd w:fill="FAFAFA" w:val="clear"/>
          </w:tcPr>
          <w:p>
            <w:r>
              <w:rPr>
                <w:b/>
                <w:sz w:val="17"/>
              </w:rPr>
              <w:t>5,085</w:t>
            </w:r>
          </w:p>
        </w:tc>
        <w:tc>
          <w:tcPr>
            <w:tcW w:type="dxa" w:w="1440"/>
            <w:shd w:fill="FAFAFA" w:val="clear"/>
          </w:tcPr>
          <w:p>
            <w:r>
              <w:rPr>
                <w:sz w:val="17"/>
              </w:rPr>
              <w:t>5,595</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2026-08-19</w:t>
            </w:r>
          </w:p>
        </w:tc>
        <w:tc>
          <w:tcPr>
            <w:tcW w:type="dxa" w:w="1440"/>
            <w:shd w:fill="FAFAFA" w:val="clear"/>
          </w:tcPr>
          <w:p>
            <w:r>
              <w:rPr>
                <w:sz w:val="17"/>
              </w:rPr>
              <w:t>4,518</w:t>
            </w:r>
          </w:p>
        </w:tc>
        <w:tc>
          <w:tcPr>
            <w:tcW w:type="dxa" w:w="1440"/>
            <w:shd w:fill="FAFAFA" w:val="clear"/>
          </w:tcPr>
          <w:p>
            <w:r>
              <w:rPr>
                <w:b/>
                <w:sz w:val="17"/>
              </w:rPr>
              <w:t>5,076</w:t>
            </w:r>
          </w:p>
        </w:tc>
        <w:tc>
          <w:tcPr>
            <w:tcW w:type="dxa" w:w="1440"/>
            <w:shd w:fill="FAFAFA" w:val="clear"/>
          </w:tcPr>
          <w:p>
            <w:r>
              <w:rPr>
                <w:sz w:val="17"/>
              </w:rPr>
              <w:t>5,634</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2026-08-20</w:t>
            </w:r>
          </w:p>
        </w:tc>
        <w:tc>
          <w:tcPr>
            <w:tcW w:type="dxa" w:w="1440"/>
            <w:shd w:fill="FAFAFA" w:val="clear"/>
          </w:tcPr>
          <w:p>
            <w:r>
              <w:rPr>
                <w:sz w:val="17"/>
              </w:rPr>
              <w:t>4,465</w:t>
            </w:r>
          </w:p>
        </w:tc>
        <w:tc>
          <w:tcPr>
            <w:tcW w:type="dxa" w:w="1440"/>
            <w:shd w:fill="FAFAFA" w:val="clear"/>
          </w:tcPr>
          <w:p>
            <w:r>
              <w:rPr>
                <w:b/>
                <w:sz w:val="17"/>
              </w:rPr>
              <w:t>5,067</w:t>
            </w:r>
          </w:p>
        </w:tc>
        <w:tc>
          <w:tcPr>
            <w:tcW w:type="dxa" w:w="1440"/>
            <w:shd w:fill="FAFAFA" w:val="clear"/>
          </w:tcPr>
          <w:p>
            <w:r>
              <w:rPr>
                <w:sz w:val="17"/>
              </w:rPr>
              <w:t>5,668</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2026-08-21</w:t>
            </w:r>
          </w:p>
        </w:tc>
        <w:tc>
          <w:tcPr>
            <w:tcW w:type="dxa" w:w="1440"/>
            <w:shd w:fill="FAFAFA" w:val="clear"/>
          </w:tcPr>
          <w:p>
            <w:r>
              <w:rPr>
                <w:sz w:val="17"/>
              </w:rPr>
              <w:t>4,416</w:t>
            </w:r>
          </w:p>
        </w:tc>
        <w:tc>
          <w:tcPr>
            <w:tcW w:type="dxa" w:w="1440"/>
            <w:shd w:fill="FAFAFA" w:val="clear"/>
          </w:tcPr>
          <w:p>
            <w:r>
              <w:rPr>
                <w:b/>
                <w:sz w:val="17"/>
              </w:rPr>
              <w:t>5,058</w:t>
            </w:r>
          </w:p>
        </w:tc>
        <w:tc>
          <w:tcPr>
            <w:tcW w:type="dxa" w:w="1440"/>
            <w:shd w:fill="FAFAFA" w:val="clear"/>
          </w:tcPr>
          <w:p>
            <w:r>
              <w:rPr>
                <w:sz w:val="17"/>
              </w:rPr>
              <w:t>5,700</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2026-08-24</w:t>
            </w:r>
          </w:p>
        </w:tc>
        <w:tc>
          <w:tcPr>
            <w:tcW w:type="dxa" w:w="1440"/>
            <w:shd w:fill="FAFAFA" w:val="clear"/>
          </w:tcPr>
          <w:p>
            <w:r>
              <w:rPr>
                <w:sz w:val="17"/>
              </w:rPr>
              <w:t>4,369</w:t>
            </w:r>
          </w:p>
        </w:tc>
        <w:tc>
          <w:tcPr>
            <w:tcW w:type="dxa" w:w="1440"/>
            <w:shd w:fill="FAFAFA" w:val="clear"/>
          </w:tcPr>
          <w:p>
            <w:r>
              <w:rPr>
                <w:b/>
                <w:sz w:val="17"/>
              </w:rPr>
              <w:t>5,049</w:t>
            </w:r>
          </w:p>
        </w:tc>
        <w:tc>
          <w:tcPr>
            <w:tcW w:type="dxa" w:w="1440"/>
            <w:shd w:fill="FAFAFA" w:val="clear"/>
          </w:tcPr>
          <w:p>
            <w:r>
              <w:rPr>
                <w:sz w:val="17"/>
              </w:rPr>
              <w:t>5,729</w:t>
            </w:r>
          </w:p>
        </w:tc>
        <w:tc>
          <w:tcPr>
            <w:tcW w:type="dxa" w:w="1440"/>
            <w:shd w:fill="FAFAFA" w:val="clear"/>
          </w:tcPr>
          <w:p>
            <w:r>
              <w:rPr>
                <w:b/>
                <w:color w:val="C00000"/>
                <w:sz w:val="17"/>
              </w:rPr>
              <w:t>-1.0%</w:t>
            </w:r>
          </w:p>
        </w:tc>
      </w:tr>
      <w:tr>
        <w:tc>
          <w:tcPr>
            <w:tcW w:type="dxa" w:w="1440"/>
            <w:shd w:fill="FAFAFA" w:val="clear"/>
          </w:tcPr>
          <w:p>
            <w:r>
              <w:rPr>
                <w:sz w:val="17"/>
              </w:rPr>
              <w:t>J+10  ⭐</w:t>
            </w:r>
          </w:p>
        </w:tc>
        <w:tc>
          <w:tcPr>
            <w:tcW w:type="dxa" w:w="1440"/>
            <w:shd w:fill="FAFAFA" w:val="clear"/>
          </w:tcPr>
          <w:p>
            <w:r>
              <w:rPr>
                <w:sz w:val="17"/>
              </w:rPr>
              <w:t>2026-08-25</w:t>
            </w:r>
          </w:p>
        </w:tc>
        <w:tc>
          <w:tcPr>
            <w:tcW w:type="dxa" w:w="1440"/>
            <w:shd w:fill="FAFAFA" w:val="clear"/>
          </w:tcPr>
          <w:p>
            <w:r>
              <w:rPr>
                <w:sz w:val="17"/>
              </w:rPr>
              <w:t>4,325</w:t>
            </w:r>
          </w:p>
        </w:tc>
        <w:tc>
          <w:tcPr>
            <w:tcW w:type="dxa" w:w="1440"/>
            <w:shd w:fill="FAFAFA" w:val="clear"/>
          </w:tcPr>
          <w:p>
            <w:r>
              <w:rPr>
                <w:b/>
                <w:sz w:val="17"/>
              </w:rPr>
              <w:t>5,040</w:t>
            </w:r>
          </w:p>
        </w:tc>
        <w:tc>
          <w:tcPr>
            <w:tcW w:type="dxa" w:w="1440"/>
            <w:shd w:fill="FAFAFA" w:val="clear"/>
          </w:tcPr>
          <w:p>
            <w:r>
              <w:rPr>
                <w:sz w:val="17"/>
              </w:rPr>
              <w:t>5,755</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 NIGER (BOAN)**</w:t>
        <w:br/>
        <w:t>**Date : 12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106,08 milliards FCFA, un niveau significatif qui la positionne parmi les valeurs moyennes du marché BRVM. Le BPA de 20 FCFA par action est particulièrement faible, ce qui explique un PER de 259,4x, extrêmement élevé par rapport à la moyenne du marché BRVM (8-12x). Les investisseurs paient donc un prix très supérieur aux bénéfices actuels, ce qui traduit une anticipation de forte croissance future ou une spéculation importante. Le P/B de 2,94x indique que le marché valorise la société près de 3 fois sa valeur comptable, une prime de croissance notable. Enfin, l'EV/EBITDA de 39,5x est très exigeant, signifiant que la valeur totale de l'entreprise représente près de 40 fois sa capacité opérationnelle, un niveau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progression spectaculaire de +72,88%, passant d'un plus bas de 2 460 FCFA à un plus haut de 5 400 FCFA, avant de clôturer à 5 100 FCFA, en léger repli de -1,92% sur la dernière séance. Cette tendance fortement haussière témoigne d'un intérêt marqué des investisseurs, malgré une volatilité annualisée élevée de 44,3%, indiquant un risque de marché important. La moyenne du cours sur la période (3 839 FCFA) est supérieure à la médiane (3 705 FCFA), suggérant une distribution asymétrique positive (skewness de 0,408), avec des valeurs extrêmes tirant la moyenne vers le haut. L'écart-type de 855 FCFA (CV=22,3%) confirme une dispersion modérée des prix. Le kurtosis de -0,808 (mésokurtique) indique une distribution proche de la normale, sans risque de pics extrêmes particuliers.</w:t>
      </w:r>
    </w:p>
    <w:p>
      <w:pPr>
        <w:spacing w:after="120" w:line="276" w:lineRule="auto"/>
      </w:pPr>
      <w:r>
        <w:t>---</w:t>
      </w:r>
    </w:p>
    <w:p>
      <w:pPr>
        <w:spacing w:after="120" w:line="276" w:lineRule="auto"/>
      </w:pPr>
      <w:r>
        <w:t>### PARTIE 2 : ANALYSE TECHNIQUE DÉTAILLÉE</w:t>
      </w:r>
    </w:p>
    <w:p>
      <w:pPr>
        <w:spacing w:after="120" w:line="276" w:lineRule="auto"/>
      </w:pPr>
      <w:r>
        <w:t>**Moyennes Mobiles :** La MM20 à 5 221,5 FCFA et la MM50 à 4 488,3 FCFA sont toutes deux inférieures au cours actuel de 5 100 FCFA, bien que le prix soit passé sous la MM20. La tendance de fond reste haussière, mais un repli à court terme est possible. La décision globale est un **Achat** à moyen terme.</w:t>
      </w:r>
    </w:p>
    <w:p>
      <w:pPr>
        <w:spacing w:after="120" w:line="276" w:lineRule="auto"/>
      </w:pPr>
      <w:r>
        <w:t>**Bandes de Bollinger :** Le cours se situe à 5 100 FCFA, entre la borne inférieure (4 922,3 FCFA) et la borne supérieure (5 520,7 FCFA), proche de la zone médiane. La volatilité est modérée, et le prix n'est pas en situation de surachat ou de survente. La décision est **Neutre**, avec un potentiel de rebond vers la borne supérieure.</w:t>
      </w:r>
    </w:p>
    <w:p>
      <w:pPr>
        <w:spacing w:after="120" w:line="276" w:lineRule="auto"/>
      </w:pPr>
      <w:r>
        <w:t>**MACD :** Le MACD (182,7) est inférieur à sa ligne de signal (248,5), indiquant un momentum baissier à court terme. Cette configuration suggère une possible correction après la forte hausse. La décision est **Vente**.</w:t>
      </w:r>
    </w:p>
    <w:p>
      <w:pPr>
        <w:spacing w:after="120" w:line="276" w:lineRule="auto"/>
      </w:pPr>
      <w:r>
        <w:t>**RSI :** Le RSI à 44,97 se situe en zone neutre (30-70), sans signal de surachat ni de survente. Il n'y a pas de pression directionnelle forte. La décision est **Neutre**.</w:t>
      </w:r>
    </w:p>
    <w:p>
      <w:pPr>
        <w:spacing w:after="120" w:line="276" w:lineRule="auto"/>
      </w:pPr>
      <w:r>
        <w:t>**Stochastique :** Le %K (7,69) est très inférieur au %D (28,2), indiquant une zone de survente extrême. Un rebond technique est probable à très court terme. La décision est **Achat**.</w:t>
      </w:r>
    </w:p>
    <w:p>
      <w:pPr>
        <w:spacing w:after="120" w:line="276" w:lineRule="auto"/>
      </w:pPr>
      <w:r>
        <w:t>**Conclusion technique :** Les signaux sont mitigés : la tendance de fond (MM) reste positive, mais le momentum à court terme (MACD) est baissier. Le stochastique en survente suggère un rebond imminent. Globalement, le titre est dans une phase de consolidation après une forte hausse, avec un biais haussier à moyen terme.</w:t>
      </w:r>
    </w:p>
    <w:p>
      <w:pPr>
        <w:spacing w:after="120" w:line="276" w:lineRule="auto"/>
      </w:pPr>
      <w:r>
        <w:t>---</w:t>
      </w:r>
    </w:p>
    <w:p>
      <w:pPr>
        <w:spacing w:after="120" w:line="276" w:lineRule="auto"/>
      </w:pPr>
      <w:r>
        <w:t>### PARTIE 3 : ANALYSE FONDAMENTALE (SECTION CRITIQUE)</w:t>
      </w:r>
    </w:p>
    <w:p>
      <w:pPr>
        <w:spacing w:after="120" w:line="276" w:lineRule="auto"/>
      </w:pPr>
      <w:r>
        <w:t>En 2025, BOAN a enregistré un Produit Net Bancaire (PNB) de 21,125 milliards FCFA, en légère baisse de -1,2% par rapport à 2024 (21,38 milliards FCFA). Le résultat net a chuté de manière spectaculaire à 409 millions FCFA, contre 5,002 milliards en 2024, soit une baisse de -91,8%. Cette dégradation s'explique par un coût du risque élevé (provisions de 4,292 milliards FCFA), des charges générales en hausse (+3,9%) et un contexte macroéconomique difficile au Niger (sanctions post-coup d'État, faible bancarisation à 6,3%, taux de créances en souffrance de 24%). Le ROE s'effondre à 1,13% et le ROA à 0,14%, contre respectivement 11,39% et 1,49% en 2024. Le coefficient d'exploitation se détériore à 74,4%, bien au-dessus du seuil d'efficacité de 60%. Les dépôts clientèle (183,28 milliards FCFA) restent supérieurs aux crédits (128,45 milliards FCFA), mais la banque a volontairement réduit son portefeuille de crédits de -20,9% pour limiter les risques. Cependant, les rapports trimestriels 2025 montrent une stabilisation progressive : le T3 2025 affiche un PNB quasi stable (-1,8%) et le T1 2026 (rapport daté de 2026) révèle un résultat net en forte hausse de +28,9% à 1 467 millions FCFA, avec un PNB en progression de +7,9% et un coefficient d'exploitation amélioré à 56,2%. Sur la base de ces tendances, on estime que l'exercice 2026 devrait marquer un net redressement, avec un objectif budgétaire de PNB à 22,3 milliards FCFA (+6,4%) et un résultat avant impôt multiplié par six. La banque bénéficie du soutien du groupe Bank of Africa et d'un plan stratégique axé sur la digitalisation et la réduction du coût du risque.</w:t>
      </w:r>
    </w:p>
    <w:p>
      <w:pPr>
        <w:spacing w:after="120" w:line="276" w:lineRule="auto"/>
      </w:pPr>
      <w:r>
        <w:t>---</w:t>
      </w:r>
    </w:p>
    <w:p>
      <w:pPr>
        <w:spacing w:after="120" w:line="276" w:lineRule="auto"/>
      </w:pPr>
      <w:r>
        <w:t>### PARTIE 4 : CONCLUSION D'INVESTISSEMENT</w:t>
      </w:r>
    </w:p>
    <w:p>
      <w:pPr>
        <w:spacing w:after="120" w:line="276" w:lineRule="auto"/>
      </w:pPr>
      <w:r>
        <w:t>La valorisation de BOAN est extrêmement exigeante (PER de 259,4x, EV/EBITDA de 39,5x), indiquant une forte surévaluation par rapport aux bénéfices actuels, mais reflétant les attentes d'un rebond en 2026. Le comportement du cours sur 100 jours est très haussier (+72,88%) avec une volatilité élevée (44,3%), signalant un intérêt spéculatif important. Les signaux techniques sont mitigés : la tendance de fond reste positive (MM), mais le momentum à court terme est baissier (MACD), avec un stochastique en survente suggérant un rebond imminent. Les fondamentaux montrent une année 2025 très difficile, mais les rapports trimestriels 2026 confirment une nette amélioration de la rentabilité. Les prédictions IA (5 129 FCFA à J+1, puis baisse progressive à 5 085 FCFA à J+10) suggèrent une stabilisation après la forte hausse. En synthèse, la convergence entre les signaux techniques (rebond attendu) et fondamentaux (amélioration 2026) est positive, mais la valorisation reste un frein. **Recommandation : CONSERVER** avec un niveau de confiance **Moyen** et un risque global **Élevé**. L'horizon d'investissement optimal est le **moyen terme (3-12 mois)**, en attendant la confirmation du redressement sur l'exercice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9,061 titres</w:t>
            </w:r>
          </w:p>
        </w:tc>
        <w:tc>
          <w:tcPr>
            <w:tcW w:type="dxa" w:w="2268"/>
            <w:shd w:fill="FFF2CC" w:val="clear"/>
          </w:tcPr>
          <w:p>
            <w:r>
              <w:rPr>
                <w:b/>
                <w:color w:val="503200"/>
                <w:sz w:val="16"/>
              </w:rPr>
              <w:t xml:space="preserve">Cours actuel : </w:t>
            </w:r>
            <w:r>
              <w:rPr>
                <w:color w:val="000000"/>
                <w:sz w:val="17"/>
              </w:rPr>
              <w:t>7,700 FCFA</w:t>
            </w:r>
          </w:p>
          <w:p>
            <w:r>
              <w:rPr>
                <w:b/>
                <w:color w:val="503200"/>
                <w:sz w:val="16"/>
              </w:rPr>
              <w:t xml:space="preserve">Var. 100 jours : </w:t>
            </w:r>
            <w:r>
              <w:rPr>
                <w:b/>
                <w:color w:val="007800"/>
                <w:sz w:val="17"/>
              </w:rPr>
              <w:t>+10.00%</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5.38% (Moyenne) — μ=7,267 FCFA, σ=391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β=0.5197 (Défensif) — Cov=0.000019, Var(idx)=0.000036, ρ=0.202,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9,061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2026-08-12</w:t>
            </w:r>
          </w:p>
        </w:tc>
        <w:tc>
          <w:tcPr>
            <w:tcW w:type="dxa" w:w="1440"/>
            <w:shd w:fill="FFDCE0" w:val="clear"/>
          </w:tcPr>
          <w:p>
            <w:r>
              <w:rPr>
                <w:sz w:val="17"/>
              </w:rPr>
              <w:t>7,365</w:t>
            </w:r>
          </w:p>
        </w:tc>
        <w:tc>
          <w:tcPr>
            <w:tcW w:type="dxa" w:w="1440"/>
            <w:shd w:fill="FFDCE0" w:val="clear"/>
          </w:tcPr>
          <w:p>
            <w:r>
              <w:rPr>
                <w:b/>
                <w:sz w:val="17"/>
              </w:rPr>
              <w:t>7,542</w:t>
            </w:r>
          </w:p>
        </w:tc>
        <w:tc>
          <w:tcPr>
            <w:tcW w:type="dxa" w:w="1440"/>
            <w:shd w:fill="FFDCE0" w:val="clear"/>
          </w:tcPr>
          <w:p>
            <w:r>
              <w:rPr>
                <w:sz w:val="17"/>
              </w:rPr>
              <w:t>7,718</w:t>
            </w:r>
          </w:p>
        </w:tc>
        <w:tc>
          <w:tcPr>
            <w:tcW w:type="dxa" w:w="1440"/>
            <w:shd w:fill="FFDCE0" w:val="clear"/>
          </w:tcPr>
          <w:p>
            <w:r>
              <w:rPr>
                <w:b/>
                <w:color w:val="C00000"/>
                <w:sz w:val="17"/>
              </w:rPr>
              <w:t>-2.1%</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7,181</w:t>
            </w:r>
          </w:p>
        </w:tc>
        <w:tc>
          <w:tcPr>
            <w:tcW w:type="dxa" w:w="1440"/>
            <w:shd w:fill="FFDCE0" w:val="clear"/>
          </w:tcPr>
          <w:p>
            <w:r>
              <w:rPr>
                <w:b/>
                <w:sz w:val="17"/>
              </w:rPr>
              <w:t>7,428</w:t>
            </w:r>
          </w:p>
        </w:tc>
        <w:tc>
          <w:tcPr>
            <w:tcW w:type="dxa" w:w="1440"/>
            <w:shd w:fill="FFDCE0" w:val="clear"/>
          </w:tcPr>
          <w:p>
            <w:r>
              <w:rPr>
                <w:sz w:val="17"/>
              </w:rPr>
              <w:t>7,674</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7,022</w:t>
            </w:r>
          </w:p>
        </w:tc>
        <w:tc>
          <w:tcPr>
            <w:tcW w:type="dxa" w:w="1440"/>
            <w:shd w:fill="FFDCE0" w:val="clear"/>
          </w:tcPr>
          <w:p>
            <w:r>
              <w:rPr>
                <w:b/>
                <w:sz w:val="17"/>
              </w:rPr>
              <w:t>7,319</w:t>
            </w:r>
          </w:p>
        </w:tc>
        <w:tc>
          <w:tcPr>
            <w:tcW w:type="dxa" w:w="1440"/>
            <w:shd w:fill="FFDCE0" w:val="clear"/>
          </w:tcPr>
          <w:p>
            <w:r>
              <w:rPr>
                <w:sz w:val="17"/>
              </w:rPr>
              <w:t>7,617</w:t>
            </w:r>
          </w:p>
        </w:tc>
        <w:tc>
          <w:tcPr>
            <w:tcW w:type="dxa" w:w="1440"/>
            <w:shd w:fill="FFDCE0" w:val="clear"/>
          </w:tcPr>
          <w:p>
            <w:r>
              <w:rPr>
                <w:b/>
                <w:color w:val="C00000"/>
                <w:sz w:val="17"/>
              </w:rPr>
              <w:t>-4.9%</w:t>
            </w:r>
          </w:p>
        </w:tc>
      </w:tr>
      <w:tr>
        <w:tc>
          <w:tcPr>
            <w:tcW w:type="dxa" w:w="1440"/>
            <w:shd w:fill="FFDCE0" w:val="clear"/>
          </w:tcPr>
          <w:p>
            <w:r>
              <w:rPr>
                <w:sz w:val="17"/>
              </w:rPr>
              <w:t>J+4  Moyenne</w:t>
            </w:r>
          </w:p>
        </w:tc>
        <w:tc>
          <w:tcPr>
            <w:tcW w:type="dxa" w:w="1440"/>
            <w:shd w:fill="FFDCE0" w:val="clear"/>
          </w:tcPr>
          <w:p>
            <w:r>
              <w:rPr>
                <w:sz w:val="17"/>
              </w:rPr>
              <w:t>2026-08-17</w:t>
            </w:r>
          </w:p>
        </w:tc>
        <w:tc>
          <w:tcPr>
            <w:tcW w:type="dxa" w:w="1440"/>
            <w:shd w:fill="FFDCE0" w:val="clear"/>
          </w:tcPr>
          <w:p>
            <w:r>
              <w:rPr>
                <w:sz w:val="17"/>
              </w:rPr>
              <w:t>6,880</w:t>
            </w:r>
          </w:p>
        </w:tc>
        <w:tc>
          <w:tcPr>
            <w:tcW w:type="dxa" w:w="1440"/>
            <w:shd w:fill="FFDCE0" w:val="clear"/>
          </w:tcPr>
          <w:p>
            <w:r>
              <w:rPr>
                <w:b/>
                <w:sz w:val="17"/>
              </w:rPr>
              <w:t>7,219</w:t>
            </w:r>
          </w:p>
        </w:tc>
        <w:tc>
          <w:tcPr>
            <w:tcW w:type="dxa" w:w="1440"/>
            <w:shd w:fill="FFDCE0" w:val="clear"/>
          </w:tcPr>
          <w:p>
            <w:r>
              <w:rPr>
                <w:sz w:val="17"/>
              </w:rPr>
              <w:t>7,558</w:t>
            </w:r>
          </w:p>
        </w:tc>
        <w:tc>
          <w:tcPr>
            <w:tcW w:type="dxa" w:w="1440"/>
            <w:shd w:fill="FFDCE0" w:val="clear"/>
          </w:tcPr>
          <w:p>
            <w:r>
              <w:rPr>
                <w:b/>
                <w:color w:val="C00000"/>
                <w:sz w:val="17"/>
              </w:rPr>
              <w:t>-6.2%</w:t>
            </w:r>
          </w:p>
        </w:tc>
      </w:tr>
      <w:tr>
        <w:tc>
          <w:tcPr>
            <w:tcW w:type="dxa" w:w="1440"/>
            <w:shd w:fill="FFDCE0" w:val="clear"/>
          </w:tcPr>
          <w:p>
            <w:r>
              <w:rPr>
                <w:sz w:val="17"/>
              </w:rPr>
              <w:t>J+5  Moyenne</w:t>
            </w:r>
          </w:p>
        </w:tc>
        <w:tc>
          <w:tcPr>
            <w:tcW w:type="dxa" w:w="1440"/>
            <w:shd w:fill="FFDCE0" w:val="clear"/>
          </w:tcPr>
          <w:p>
            <w:r>
              <w:rPr>
                <w:sz w:val="17"/>
              </w:rPr>
              <w:t>2026-08-18</w:t>
            </w:r>
          </w:p>
        </w:tc>
        <w:tc>
          <w:tcPr>
            <w:tcW w:type="dxa" w:w="1440"/>
            <w:shd w:fill="FFDCE0" w:val="clear"/>
          </w:tcPr>
          <w:p>
            <w:r>
              <w:rPr>
                <w:sz w:val="17"/>
              </w:rPr>
              <w:t>6,751</w:t>
            </w:r>
          </w:p>
        </w:tc>
        <w:tc>
          <w:tcPr>
            <w:tcW w:type="dxa" w:w="1440"/>
            <w:shd w:fill="FFDCE0" w:val="clear"/>
          </w:tcPr>
          <w:p>
            <w:r>
              <w:rPr>
                <w:b/>
                <w:sz w:val="17"/>
              </w:rPr>
              <w:t>7,125</w:t>
            </w:r>
          </w:p>
        </w:tc>
        <w:tc>
          <w:tcPr>
            <w:tcW w:type="dxa" w:w="1440"/>
            <w:shd w:fill="FFDCE0" w:val="clear"/>
          </w:tcPr>
          <w:p>
            <w:r>
              <w:rPr>
                <w:sz w:val="17"/>
              </w:rPr>
              <w:t>7,499</w:t>
            </w:r>
          </w:p>
        </w:tc>
        <w:tc>
          <w:tcPr>
            <w:tcW w:type="dxa" w:w="1440"/>
            <w:shd w:fill="FFDCE0" w:val="clear"/>
          </w:tcPr>
          <w:p>
            <w:r>
              <w:rPr>
                <w:b/>
                <w:color w:val="C00000"/>
                <w:sz w:val="17"/>
              </w:rPr>
              <w:t>-7.5%</w:t>
            </w:r>
          </w:p>
        </w:tc>
      </w:tr>
      <w:tr>
        <w:tc>
          <w:tcPr>
            <w:tcW w:type="dxa" w:w="1440"/>
            <w:shd w:fill="FFDCE0" w:val="clear"/>
          </w:tcPr>
          <w:p>
            <w:r>
              <w:rPr>
                <w:sz w:val="17"/>
              </w:rPr>
              <w:t>J+6  Moyenne</w:t>
            </w:r>
          </w:p>
        </w:tc>
        <w:tc>
          <w:tcPr>
            <w:tcW w:type="dxa" w:w="1440"/>
            <w:shd w:fill="FFDCE0" w:val="clear"/>
          </w:tcPr>
          <w:p>
            <w:r>
              <w:rPr>
                <w:sz w:val="17"/>
              </w:rPr>
              <w:t>2026-08-19</w:t>
            </w:r>
          </w:p>
        </w:tc>
        <w:tc>
          <w:tcPr>
            <w:tcW w:type="dxa" w:w="1440"/>
            <w:shd w:fill="FFDCE0" w:val="clear"/>
          </w:tcPr>
          <w:p>
            <w:r>
              <w:rPr>
                <w:sz w:val="17"/>
              </w:rPr>
              <w:t>6,631</w:t>
            </w:r>
          </w:p>
        </w:tc>
        <w:tc>
          <w:tcPr>
            <w:tcW w:type="dxa" w:w="1440"/>
            <w:shd w:fill="FFDCE0" w:val="clear"/>
          </w:tcPr>
          <w:p>
            <w:r>
              <w:rPr>
                <w:b/>
                <w:sz w:val="17"/>
              </w:rPr>
              <w:t>7,036</w:t>
            </w:r>
          </w:p>
        </w:tc>
        <w:tc>
          <w:tcPr>
            <w:tcW w:type="dxa" w:w="1440"/>
            <w:shd w:fill="FFDCE0" w:val="clear"/>
          </w:tcPr>
          <w:p>
            <w:r>
              <w:rPr>
                <w:sz w:val="17"/>
              </w:rPr>
              <w:t>7,440</w:t>
            </w:r>
          </w:p>
        </w:tc>
        <w:tc>
          <w:tcPr>
            <w:tcW w:type="dxa" w:w="1440"/>
            <w:shd w:fill="FFDCE0" w:val="clear"/>
          </w:tcPr>
          <w:p>
            <w:r>
              <w:rPr>
                <w:b/>
                <w:color w:val="C00000"/>
                <w:sz w:val="17"/>
              </w:rPr>
              <w:t>-8.6%</w:t>
            </w:r>
          </w:p>
        </w:tc>
      </w:tr>
      <w:tr>
        <w:tc>
          <w:tcPr>
            <w:tcW w:type="dxa" w:w="1440"/>
            <w:shd w:fill="FFDCE0" w:val="clear"/>
          </w:tcPr>
          <w:p>
            <w:r>
              <w:rPr>
                <w:sz w:val="17"/>
              </w:rPr>
              <w:t>J+7  Moyenne</w:t>
            </w:r>
          </w:p>
        </w:tc>
        <w:tc>
          <w:tcPr>
            <w:tcW w:type="dxa" w:w="1440"/>
            <w:shd w:fill="FFDCE0" w:val="clear"/>
          </w:tcPr>
          <w:p>
            <w:r>
              <w:rPr>
                <w:sz w:val="17"/>
              </w:rPr>
              <w:t>2026-08-20</w:t>
            </w:r>
          </w:p>
        </w:tc>
        <w:tc>
          <w:tcPr>
            <w:tcW w:type="dxa" w:w="1440"/>
            <w:shd w:fill="FFDCE0" w:val="clear"/>
          </w:tcPr>
          <w:p>
            <w:r>
              <w:rPr>
                <w:sz w:val="17"/>
              </w:rPr>
              <w:t>6,520</w:t>
            </w:r>
          </w:p>
        </w:tc>
        <w:tc>
          <w:tcPr>
            <w:tcW w:type="dxa" w:w="1440"/>
            <w:shd w:fill="FFDCE0" w:val="clear"/>
          </w:tcPr>
          <w:p>
            <w:r>
              <w:rPr>
                <w:b/>
                <w:sz w:val="17"/>
              </w:rPr>
              <w:t>6,951</w:t>
            </w:r>
          </w:p>
        </w:tc>
        <w:tc>
          <w:tcPr>
            <w:tcW w:type="dxa" w:w="1440"/>
            <w:shd w:fill="FFDCE0" w:val="clear"/>
          </w:tcPr>
          <w:p>
            <w:r>
              <w:rPr>
                <w:sz w:val="17"/>
              </w:rPr>
              <w:t>7,383</w:t>
            </w:r>
          </w:p>
        </w:tc>
        <w:tc>
          <w:tcPr>
            <w:tcW w:type="dxa" w:w="1440"/>
            <w:shd w:fill="FFDCE0" w:val="clear"/>
          </w:tcPr>
          <w:p>
            <w:r>
              <w:rPr>
                <w:b/>
                <w:color w:val="C00000"/>
                <w:sz w:val="17"/>
              </w:rPr>
              <w:t>-9.7%</w:t>
            </w:r>
          </w:p>
        </w:tc>
      </w:tr>
      <w:tr>
        <w:tc>
          <w:tcPr>
            <w:tcW w:type="dxa" w:w="1440"/>
            <w:shd w:fill="FFDCE0" w:val="clear"/>
          </w:tcPr>
          <w:p>
            <w:r>
              <w:rPr>
                <w:sz w:val="17"/>
              </w:rPr>
              <w:t>J+8  Moyenne</w:t>
            </w:r>
          </w:p>
        </w:tc>
        <w:tc>
          <w:tcPr>
            <w:tcW w:type="dxa" w:w="1440"/>
            <w:shd w:fill="FFDCE0" w:val="clear"/>
          </w:tcPr>
          <w:p>
            <w:r>
              <w:rPr>
                <w:sz w:val="17"/>
              </w:rPr>
              <w:t>2026-08-21</w:t>
            </w:r>
          </w:p>
        </w:tc>
        <w:tc>
          <w:tcPr>
            <w:tcW w:type="dxa" w:w="1440"/>
            <w:shd w:fill="FFDCE0" w:val="clear"/>
          </w:tcPr>
          <w:p>
            <w:r>
              <w:rPr>
                <w:sz w:val="17"/>
              </w:rPr>
              <w:t>6,415</w:t>
            </w:r>
          </w:p>
        </w:tc>
        <w:tc>
          <w:tcPr>
            <w:tcW w:type="dxa" w:w="1440"/>
            <w:shd w:fill="FFDCE0" w:val="clear"/>
          </w:tcPr>
          <w:p>
            <w:r>
              <w:rPr>
                <w:b/>
                <w:sz w:val="17"/>
              </w:rPr>
              <w:t>6,871</w:t>
            </w:r>
          </w:p>
        </w:tc>
        <w:tc>
          <w:tcPr>
            <w:tcW w:type="dxa" w:w="1440"/>
            <w:shd w:fill="FFDCE0" w:val="clear"/>
          </w:tcPr>
          <w:p>
            <w:r>
              <w:rPr>
                <w:sz w:val="17"/>
              </w:rPr>
              <w:t>7,327</w:t>
            </w:r>
          </w:p>
        </w:tc>
        <w:tc>
          <w:tcPr>
            <w:tcW w:type="dxa" w:w="1440"/>
            <w:shd w:fill="FFDCE0" w:val="clear"/>
          </w:tcPr>
          <w:p>
            <w:r>
              <w:rPr>
                <w:b/>
                <w:color w:val="C00000"/>
                <w:sz w:val="17"/>
              </w:rPr>
              <w:t>-10.8%</w:t>
            </w:r>
          </w:p>
        </w:tc>
      </w:tr>
      <w:tr>
        <w:tc>
          <w:tcPr>
            <w:tcW w:type="dxa" w:w="1440"/>
            <w:shd w:fill="FFDCE0" w:val="clear"/>
          </w:tcPr>
          <w:p>
            <w:r>
              <w:rPr>
                <w:sz w:val="17"/>
              </w:rPr>
              <w:t>J+9  Moyenne</w:t>
            </w:r>
          </w:p>
        </w:tc>
        <w:tc>
          <w:tcPr>
            <w:tcW w:type="dxa" w:w="1440"/>
            <w:shd w:fill="FFDCE0" w:val="clear"/>
          </w:tcPr>
          <w:p>
            <w:r>
              <w:rPr>
                <w:sz w:val="17"/>
              </w:rPr>
              <w:t>2026-08-24</w:t>
            </w:r>
          </w:p>
        </w:tc>
        <w:tc>
          <w:tcPr>
            <w:tcW w:type="dxa" w:w="1440"/>
            <w:shd w:fill="FFDCE0" w:val="clear"/>
          </w:tcPr>
          <w:p>
            <w:r>
              <w:rPr>
                <w:sz w:val="17"/>
              </w:rPr>
              <w:t>6,316</w:t>
            </w:r>
          </w:p>
        </w:tc>
        <w:tc>
          <w:tcPr>
            <w:tcW w:type="dxa" w:w="1440"/>
            <w:shd w:fill="FFDCE0" w:val="clear"/>
          </w:tcPr>
          <w:p>
            <w:r>
              <w:rPr>
                <w:b/>
                <w:sz w:val="17"/>
              </w:rPr>
              <w:t>6,795</w:t>
            </w:r>
          </w:p>
        </w:tc>
        <w:tc>
          <w:tcPr>
            <w:tcW w:type="dxa" w:w="1440"/>
            <w:shd w:fill="FFDCE0" w:val="clear"/>
          </w:tcPr>
          <w:p>
            <w:r>
              <w:rPr>
                <w:sz w:val="17"/>
              </w:rPr>
              <w:t>7,273</w:t>
            </w:r>
          </w:p>
        </w:tc>
        <w:tc>
          <w:tcPr>
            <w:tcW w:type="dxa" w:w="1440"/>
            <w:shd w:fill="FFDCE0" w:val="clear"/>
          </w:tcPr>
          <w:p>
            <w:r>
              <w:rPr>
                <w:b/>
                <w:color w:val="C00000"/>
                <w:sz w:val="17"/>
              </w:rPr>
              <w:t>-11.8%</w:t>
            </w:r>
          </w:p>
        </w:tc>
      </w:tr>
      <w:tr>
        <w:tc>
          <w:tcPr>
            <w:tcW w:type="dxa" w:w="1440"/>
            <w:shd w:fill="FFDCE0" w:val="clear"/>
          </w:tcPr>
          <w:p>
            <w:r>
              <w:rPr>
                <w:sz w:val="17"/>
              </w:rPr>
              <w:t>J+10  Moyenne</w:t>
            </w:r>
          </w:p>
        </w:tc>
        <w:tc>
          <w:tcPr>
            <w:tcW w:type="dxa" w:w="1440"/>
            <w:shd w:fill="FFDCE0" w:val="clear"/>
          </w:tcPr>
          <w:p>
            <w:r>
              <w:rPr>
                <w:sz w:val="17"/>
              </w:rPr>
              <w:t>2026-08-25</w:t>
            </w:r>
          </w:p>
        </w:tc>
        <w:tc>
          <w:tcPr>
            <w:tcW w:type="dxa" w:w="1440"/>
            <w:shd w:fill="FFDCE0" w:val="clear"/>
          </w:tcPr>
          <w:p>
            <w:r>
              <w:rPr>
                <w:sz w:val="17"/>
              </w:rPr>
              <w:t>6,223</w:t>
            </w:r>
          </w:p>
        </w:tc>
        <w:tc>
          <w:tcPr>
            <w:tcW w:type="dxa" w:w="1440"/>
            <w:shd w:fill="FFDCE0" w:val="clear"/>
          </w:tcPr>
          <w:p>
            <w:r>
              <w:rPr>
                <w:b/>
                <w:sz w:val="17"/>
              </w:rPr>
              <w:t>6,722</w:t>
            </w:r>
          </w:p>
        </w:tc>
        <w:tc>
          <w:tcPr>
            <w:tcW w:type="dxa" w:w="1440"/>
            <w:shd w:fill="FFDCE0" w:val="clear"/>
          </w:tcPr>
          <w:p>
            <w:r>
              <w:rPr>
                <w:sz w:val="17"/>
              </w:rPr>
              <w:t>7,221</w:t>
            </w:r>
          </w:p>
        </w:tc>
        <w:tc>
          <w:tcPr>
            <w:tcW w:type="dxa" w:w="1440"/>
            <w:shd w:fill="FFDCE0" w:val="clear"/>
          </w:tcPr>
          <w:p>
            <w:r>
              <w:rPr>
                <w:b/>
                <w:color w:val="C00000"/>
                <w:sz w:val="17"/>
              </w:rPr>
              <w:t>-12.7%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w:t>
        <w:br/>
        <w:t>**Date de l'analyse : 11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277,20 Mds FCFA positionne BOAS comme une valeur de premier plan sur la BRVM, reflétant la confiance des investisseurs dans le secteur bancaire sénégalais. Avec un BPA de 608 FCFA, chaque action génère un bénéfice substantiel, justifiant un PER de 12,7x, légèrement au-dessus de la moyenne historique de la BRVM (8-12x), ce qui traduit une prime de croissance accordée au titre. Le P/B de 2,87x confirme cette prime, le marché valorisant la banque près de trois fois sa valeur comptable, signe d'une anticipation de rentabilité future élevée. Enfin, un EV/EBITDA de 8,1x, dans la fourchette raisonnable de 5-10x, indique que la valeur d'entreprise reste cohérente avec sa capacité opérationnelle à générer des flux, malgré une valorisation boursière exigeante.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 enregistré une progression totale de +10,00%, avec une légère consolidation de -0,65% lors de la dernière séance, clôturant à 7 700 FCFA. Le titre a évolué dans un range de 6 400 à 8 050 FCFA, démontrant une dynamique haussière soutenue. Les statistiques descriptives révèlent une distribution relativement symétrique et stable : la moyenne (7 267 FCFA) et la médiane (7 310 FCFA) sont proches, avec un skewness de -0,137 indiquant une asymétrie négligeable. L'écart-type de 393 FCFA (CV=5,4%) montre une dispersion modérée, tandis que le kurtosis de -0,803 (mésokurtique) suggère l'absence de pics de volatilité extrêmes, un signe de stabilité. La volatilité annualisée de 24,6% classe le titre dans la catégorie modérée (15-30%), offrant un équilibre entre risque et rendement potentiel.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(7 700 FCFA) se positionne au-dessus de la MM20 (7 656,75 FCFA) et de la MM50 (7 474 FCFA), confirmant une tendance haussière de court et moyen terme. La configuration des MM, avec la MM20 au-dessus de la MM50, valide la dynamique positive et justifie la décision d'achat.</w:t>
      </w:r>
    </w:p>
    <w:p>
      <w:pPr>
        <w:spacing w:after="120" w:line="276" w:lineRule="auto"/>
      </w:pPr>
      <w:r>
        <w:t>**Bandes de Bollinger** : Le prix se situe dans la partie supérieure des bandes (borne supérieure à 8 035,825 FCFA, borne inférieure à 7 277,675 FCFA), indiquant une volatilité normale sans surachat extrême. La position du cours proche de la moyenne suggère un équilibre, d'où une décision neutre.</w:t>
      </w:r>
    </w:p>
    <w:p>
      <w:pPr>
        <w:spacing w:after="120" w:line="276" w:lineRule="auto"/>
      </w:pPr>
      <w:r>
        <w:t>**MACD** : La valeur MACD (78,509) est inférieure à son signal (89,634), signalant un momentum baissier à court terme. Cette divergence négative, bien que modérée, suggère une possible correction, justifiant la décision de vente.</w:t>
      </w:r>
    </w:p>
    <w:p>
      <w:pPr>
        <w:spacing w:after="120" w:line="276" w:lineRule="auto"/>
      </w:pPr>
      <w:r>
        <w:t>**RSI** : À 58,566, le RSI se situe dans la zone neutre (30-70), indiquant que le titre n'est ni suracheté ni survendu. Cette valeur reflète un momentum haussier modéré sans pression excessive, d'où une décision neutre.</w:t>
      </w:r>
    </w:p>
    <w:p>
      <w:pPr>
        <w:spacing w:after="120" w:line="276" w:lineRule="auto"/>
      </w:pPr>
      <w:r>
        <w:t>**Stochastique** : Avec %K à 43,617 et %D à 48,567, les oscillateurs sont en zone neutre, sans croisement significatif. Cette configuration indique une absence de signal directionnel fort, justifiant une décision neutre.</w:t>
      </w:r>
    </w:p>
    <w:p>
      <w:pPr>
        <w:spacing w:after="120" w:line="276" w:lineRule="auto"/>
      </w:pPr>
      <w:r>
        <w:t>**Conclusion technique** : Les indicateurs sont mitigés, avec une tendance haussière confirmée par les moyennes mobiles, mais un momentum à court terme en perte de vitesse (MACD négatif, RSI neutre). Le titre semble en phase de consolidation après sa hausse, avec un potentiel de reprise si le MACD se retourne à la hausse.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BOAS révèlent une banque solide et rentable. Le Produit Net Bancaire (PNB) s'établit à 51,926 Mds FCFA, avec un résultat net de 21,905 Mds FCFA, générant un ROE de 22,69% et un ROA de 2,62%, tous deux excellents pour le secteur. Le coefficient d'exploitation de 44,02% témoigne d'une efficacité opérationnelle remarquable, bien en dessous du seuil de 60%. Le coût du risque de 23,31% reste élevé, mais en amélioration selon les rapports trimestriels. Les dépôts clientèle (686,927 Mds FCFA) dépassent largement les créances (386,424 Mds FCFA), assurant une transformation saine. Les rapports trimestriels 2025 confirment cette dynamique : le T1 (PNB +2,36%, RN +9,25%), le S1 (PNB +6,77%, RN +12,70%) et le T3 (PNB +6,71%, RN +10,01%) montrent une accélération progressive. Sur la base du T3 2025, on estime que l'exercice 2025 devrait clôturer avec un PNB d'environ 52 Mds FCFA et un résultat net de 21,9 Mds FCFA, en ligne avec les données annuelles. Les rapports de 2026 (T1) indiquent une poursuite de la croissance (PNB +6,82%, RN +9,78%), avec un coefficient d'exploitation amélioré à 42,1%. La banque démontre une gestion prudente des risques et une croissance soutenue, malgré un environnement économique difficile.</w:t>
      </w:r>
    </w:p>
    <w:p>
      <w:pPr>
        <w:spacing w:after="120" w:line="276" w:lineRule="auto"/>
      </w:pPr>
      <w:r>
        <w:t>---</w:t>
      </w:r>
    </w:p>
    <w:p>
      <w:pPr>
        <w:spacing w:after="120" w:line="276" w:lineRule="auto"/>
      </w:pPr>
      <w:r>
        <w:t>### PARTIE 4 : CONCLUSION D'INVESTISSEMENT</w:t>
      </w:r>
    </w:p>
    <w:p>
      <w:pPr>
        <w:spacing w:after="120" w:line="276" w:lineRule="auto"/>
      </w:pPr>
      <w:r>
        <w:t>La valorisation de BOAS (PER 12,7x, P/B 2,87x) est légèrement supérieure à la moyenne BRVM, mais justifiée par une rentabilité exceptionnelle (ROE &gt;22%). Le comportement du cours sur 100 jours (+10%) montre une tendance haussière stable, avec une volatilité modérée et des statistiques rassurantes (distribution symétrique, pas de pics extrêmes). Les signaux techniques sont mitigés, avec une tendance de fond positive (MM) mais un momentum à court terme en consolidation (MACD, RSI neutre). Les fondamentaux sont solides, avec une croissance continue du PNB et du résultat net, une efficacité opérationnelle améliorée et une gestion du risque maîtrisée. Les prédictions IA (J+1 à J+10) indiquent une baisse progressive vers 7 125 FCFA, ce qui contredit la tendance haussière récente et suggère une correction à court terme. Cette divergence entre les fondamentaux solides et la prédiction technique à court terme justifie une recommandation **CONSERVER**, avec un niveau de confiance **Moyen**. Le risque global est **Moyen**, et l'horizon d'investissement optimal est le **moyen terme (3-12 mois)**, permettant de capitaliser sur la croissance fondamentale tout en absorbant la volatilité technique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2,507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+6.06%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8.63% (Moyenne) — μ=3,739 FCFA, σ=323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β=-0.0239 (Contre-cyclique) — Cov=-0.000001, Var(idx)=0.000036, ρ=-0.004,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2,507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σ_j=3.52%/j (Modérée) — Vol. annualisée≈55.8%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2026-08-12</w:t>
            </w:r>
          </w:p>
        </w:tc>
        <w:tc>
          <w:tcPr>
            <w:tcW w:type="dxa" w:w="1440"/>
            <w:shd w:fill="C6EFCE" w:val="clear"/>
          </w:tcPr>
          <w:p>
            <w:r>
              <w:rPr>
                <w:sz w:val="17"/>
              </w:rPr>
              <w:t>3,437</w:t>
            </w:r>
          </w:p>
        </w:tc>
        <w:tc>
          <w:tcPr>
            <w:tcW w:type="dxa" w:w="1440"/>
            <w:shd w:fill="C6EFCE" w:val="clear"/>
          </w:tcPr>
          <w:p>
            <w:r>
              <w:rPr>
                <w:b/>
                <w:sz w:val="17"/>
              </w:rPr>
              <w:t>3,654</w:t>
            </w:r>
          </w:p>
        </w:tc>
        <w:tc>
          <w:tcPr>
            <w:tcW w:type="dxa" w:w="1440"/>
            <w:shd w:fill="C6EFCE" w:val="clear"/>
          </w:tcPr>
          <w:p>
            <w:r>
              <w:rPr>
                <w:sz w:val="17"/>
              </w:rPr>
              <w:t>3,871</w:t>
            </w:r>
          </w:p>
        </w:tc>
        <w:tc>
          <w:tcPr>
            <w:tcW w:type="dxa" w:w="1440"/>
            <w:shd w:fill="C6EFCE" w:val="clear"/>
          </w:tcPr>
          <w:p>
            <w:r>
              <w:rPr>
                <w:b/>
                <w:color w:val="008000"/>
                <w:sz w:val="17"/>
              </w:rPr>
              <w:t>+4.4%</w:t>
            </w:r>
          </w:p>
        </w:tc>
      </w:tr>
      <w:tr>
        <w:tc>
          <w:tcPr>
            <w:tcW w:type="dxa" w:w="1440"/>
            <w:shd w:fill="C6EFCE" w:val="clear"/>
          </w:tcPr>
          <w:p>
            <w:r>
              <w:rPr>
                <w:sz w:val="17"/>
              </w:rPr>
              <w:t>J+2  Moyenne</w:t>
            </w:r>
          </w:p>
        </w:tc>
        <w:tc>
          <w:tcPr>
            <w:tcW w:type="dxa" w:w="1440"/>
            <w:shd w:fill="C6EFCE" w:val="clear"/>
          </w:tcPr>
          <w:p>
            <w:r>
              <w:rPr>
                <w:sz w:val="17"/>
              </w:rPr>
              <w:t>2026-08-13</w:t>
            </w:r>
          </w:p>
        </w:tc>
        <w:tc>
          <w:tcPr>
            <w:tcW w:type="dxa" w:w="1440"/>
            <w:shd w:fill="C6EFCE" w:val="clear"/>
          </w:tcPr>
          <w:p>
            <w:r>
              <w:rPr>
                <w:sz w:val="17"/>
              </w:rPr>
              <w:t>3,483</w:t>
            </w:r>
          </w:p>
        </w:tc>
        <w:tc>
          <w:tcPr>
            <w:tcW w:type="dxa" w:w="1440"/>
            <w:shd w:fill="C6EFCE" w:val="clear"/>
          </w:tcPr>
          <w:p>
            <w:r>
              <w:rPr>
                <w:b/>
                <w:sz w:val="17"/>
              </w:rPr>
              <w:t>3,803</w:t>
            </w:r>
          </w:p>
        </w:tc>
        <w:tc>
          <w:tcPr>
            <w:tcW w:type="dxa" w:w="1440"/>
            <w:shd w:fill="C6EFCE" w:val="clear"/>
          </w:tcPr>
          <w:p>
            <w:r>
              <w:rPr>
                <w:sz w:val="17"/>
              </w:rPr>
              <w:t>4,122</w:t>
            </w:r>
          </w:p>
        </w:tc>
        <w:tc>
          <w:tcPr>
            <w:tcW w:type="dxa" w:w="1440"/>
            <w:shd w:fill="C6EFCE" w:val="clear"/>
          </w:tcPr>
          <w:p>
            <w:r>
              <w:rPr>
                <w:b/>
                <w:color w:val="008000"/>
                <w:sz w:val="17"/>
              </w:rPr>
              <w:t>+8.7%</w:t>
            </w:r>
          </w:p>
        </w:tc>
      </w:tr>
      <w:tr>
        <w:tc>
          <w:tcPr>
            <w:tcW w:type="dxa" w:w="1440"/>
            <w:shd w:fill="C6EFCE" w:val="clear"/>
          </w:tcPr>
          <w:p>
            <w:r>
              <w:rPr>
                <w:sz w:val="17"/>
              </w:rPr>
              <w:t>J+3  Moyenne</w:t>
            </w:r>
          </w:p>
        </w:tc>
        <w:tc>
          <w:tcPr>
            <w:tcW w:type="dxa" w:w="1440"/>
            <w:shd w:fill="C6EFCE" w:val="clear"/>
          </w:tcPr>
          <w:p>
            <w:r>
              <w:rPr>
                <w:sz w:val="17"/>
              </w:rPr>
              <w:t>2026-08-14</w:t>
            </w:r>
          </w:p>
        </w:tc>
        <w:tc>
          <w:tcPr>
            <w:tcW w:type="dxa" w:w="1440"/>
            <w:shd w:fill="C6EFCE" w:val="clear"/>
          </w:tcPr>
          <w:p>
            <w:r>
              <w:rPr>
                <w:sz w:val="17"/>
              </w:rPr>
              <w:t>3,572</w:t>
            </w:r>
          </w:p>
        </w:tc>
        <w:tc>
          <w:tcPr>
            <w:tcW w:type="dxa" w:w="1440"/>
            <w:shd w:fill="C6EFCE" w:val="clear"/>
          </w:tcPr>
          <w:p>
            <w:r>
              <w:rPr>
                <w:b/>
                <w:sz w:val="17"/>
              </w:rPr>
              <w:t>3,982</w:t>
            </w:r>
          </w:p>
        </w:tc>
        <w:tc>
          <w:tcPr>
            <w:tcW w:type="dxa" w:w="1440"/>
            <w:shd w:fill="C6EFCE" w:val="clear"/>
          </w:tcPr>
          <w:p>
            <w:r>
              <w:rPr>
                <w:sz w:val="17"/>
              </w:rPr>
              <w:t>4,392</w:t>
            </w:r>
          </w:p>
        </w:tc>
        <w:tc>
          <w:tcPr>
            <w:tcW w:type="dxa" w:w="1440"/>
            <w:shd w:fill="C6EFCE" w:val="clear"/>
          </w:tcPr>
          <w:p>
            <w:r>
              <w:rPr>
                <w:b/>
                <w:color w:val="008000"/>
                <w:sz w:val="17"/>
              </w:rPr>
              <w:t>+13.8%</w:t>
            </w:r>
          </w:p>
        </w:tc>
      </w:tr>
      <w:tr>
        <w:tc>
          <w:tcPr>
            <w:tcW w:type="dxa" w:w="1440"/>
            <w:shd w:fill="C6EFCE" w:val="clear"/>
          </w:tcPr>
          <w:p>
            <w:r>
              <w:rPr>
                <w:sz w:val="17"/>
              </w:rPr>
              <w:t>J+4  ⭐</w:t>
            </w:r>
          </w:p>
        </w:tc>
        <w:tc>
          <w:tcPr>
            <w:tcW w:type="dxa" w:w="1440"/>
            <w:shd w:fill="C6EFCE" w:val="clear"/>
          </w:tcPr>
          <w:p>
            <w:r>
              <w:rPr>
                <w:sz w:val="17"/>
              </w:rPr>
              <w:t>2026-08-17</w:t>
            </w:r>
          </w:p>
        </w:tc>
        <w:tc>
          <w:tcPr>
            <w:tcW w:type="dxa" w:w="1440"/>
            <w:shd w:fill="C6EFCE" w:val="clear"/>
          </w:tcPr>
          <w:p>
            <w:r>
              <w:rPr>
                <w:sz w:val="17"/>
              </w:rPr>
              <w:t>3,688</w:t>
            </w:r>
          </w:p>
        </w:tc>
        <w:tc>
          <w:tcPr>
            <w:tcW w:type="dxa" w:w="1440"/>
            <w:shd w:fill="C6EFCE" w:val="clear"/>
          </w:tcPr>
          <w:p>
            <w:r>
              <w:rPr>
                <w:b/>
                <w:sz w:val="17"/>
              </w:rPr>
              <w:t>4,185</w:t>
            </w:r>
          </w:p>
        </w:tc>
        <w:tc>
          <w:tcPr>
            <w:tcW w:type="dxa" w:w="1440"/>
            <w:shd w:fill="C6EFCE" w:val="clear"/>
          </w:tcPr>
          <w:p>
            <w:r>
              <w:rPr>
                <w:sz w:val="17"/>
              </w:rPr>
              <w:t>4,683</w:t>
            </w:r>
          </w:p>
        </w:tc>
        <w:tc>
          <w:tcPr>
            <w:tcW w:type="dxa" w:w="1440"/>
            <w:shd w:fill="C6EFCE" w:val="clear"/>
          </w:tcPr>
          <w:p>
            <w:r>
              <w:rPr>
                <w:b/>
                <w:color w:val="008000"/>
                <w:sz w:val="17"/>
              </w:rPr>
              <w:t>+19.6%</w:t>
            </w:r>
          </w:p>
        </w:tc>
      </w:tr>
      <w:tr>
        <w:tc>
          <w:tcPr>
            <w:tcW w:type="dxa" w:w="1440"/>
            <w:shd w:fill="C6EFCE" w:val="clear"/>
          </w:tcPr>
          <w:p>
            <w:r>
              <w:rPr>
                <w:sz w:val="17"/>
              </w:rPr>
              <w:t>J+5  ⭐</w:t>
            </w:r>
          </w:p>
        </w:tc>
        <w:tc>
          <w:tcPr>
            <w:tcW w:type="dxa" w:w="1440"/>
            <w:shd w:fill="C6EFCE" w:val="clear"/>
          </w:tcPr>
          <w:p>
            <w:r>
              <w:rPr>
                <w:sz w:val="17"/>
              </w:rPr>
              <w:t>2026-08-18</w:t>
            </w:r>
          </w:p>
        </w:tc>
        <w:tc>
          <w:tcPr>
            <w:tcW w:type="dxa" w:w="1440"/>
            <w:shd w:fill="C6EFCE" w:val="clear"/>
          </w:tcPr>
          <w:p>
            <w:r>
              <w:rPr>
                <w:sz w:val="17"/>
              </w:rPr>
              <w:t>3,827</w:t>
            </w:r>
          </w:p>
        </w:tc>
        <w:tc>
          <w:tcPr>
            <w:tcW w:type="dxa" w:w="1440"/>
            <w:shd w:fill="C6EFCE" w:val="clear"/>
          </w:tcPr>
          <w:p>
            <w:r>
              <w:rPr>
                <w:b/>
                <w:sz w:val="17"/>
              </w:rPr>
              <w:t>4,414</w:t>
            </w:r>
          </w:p>
        </w:tc>
        <w:tc>
          <w:tcPr>
            <w:tcW w:type="dxa" w:w="1440"/>
            <w:shd w:fill="C6EFCE" w:val="clear"/>
          </w:tcPr>
          <w:p>
            <w:r>
              <w:rPr>
                <w:sz w:val="17"/>
              </w:rPr>
              <w:t>5,000</w:t>
            </w:r>
          </w:p>
        </w:tc>
        <w:tc>
          <w:tcPr>
            <w:tcW w:type="dxa" w:w="1440"/>
            <w:shd w:fill="C6EFCE" w:val="clear"/>
          </w:tcPr>
          <w:p>
            <w:r>
              <w:rPr>
                <w:b/>
                <w:color w:val="008000"/>
                <w:sz w:val="17"/>
              </w:rPr>
              <w:t>+26.1%</w:t>
            </w:r>
          </w:p>
        </w:tc>
      </w:tr>
      <w:tr>
        <w:tc>
          <w:tcPr>
            <w:tcW w:type="dxa" w:w="1440"/>
            <w:shd w:fill="C6EFCE" w:val="clear"/>
          </w:tcPr>
          <w:p>
            <w:r>
              <w:rPr>
                <w:sz w:val="17"/>
              </w:rPr>
              <w:t>J+6  ⭐</w:t>
            </w:r>
          </w:p>
        </w:tc>
        <w:tc>
          <w:tcPr>
            <w:tcW w:type="dxa" w:w="1440"/>
            <w:shd w:fill="C6EFCE" w:val="clear"/>
          </w:tcPr>
          <w:p>
            <w:r>
              <w:rPr>
                <w:sz w:val="17"/>
              </w:rPr>
              <w:t>2026-08-19</w:t>
            </w:r>
          </w:p>
        </w:tc>
        <w:tc>
          <w:tcPr>
            <w:tcW w:type="dxa" w:w="1440"/>
            <w:shd w:fill="C6EFCE" w:val="clear"/>
          </w:tcPr>
          <w:p>
            <w:r>
              <w:rPr>
                <w:sz w:val="17"/>
              </w:rPr>
              <w:t>3,992</w:t>
            </w:r>
          </w:p>
        </w:tc>
        <w:tc>
          <w:tcPr>
            <w:tcW w:type="dxa" w:w="1440"/>
            <w:shd w:fill="C6EFCE" w:val="clear"/>
          </w:tcPr>
          <w:p>
            <w:r>
              <w:rPr>
                <w:b/>
                <w:sz w:val="17"/>
              </w:rPr>
              <w:t>4,673</w:t>
            </w:r>
          </w:p>
        </w:tc>
        <w:tc>
          <w:tcPr>
            <w:tcW w:type="dxa" w:w="1440"/>
            <w:shd w:fill="C6EFCE" w:val="clear"/>
          </w:tcPr>
          <w:p>
            <w:r>
              <w:rPr>
                <w:sz w:val="17"/>
              </w:rPr>
              <w:t>5,353</w:t>
            </w:r>
          </w:p>
        </w:tc>
        <w:tc>
          <w:tcPr>
            <w:tcW w:type="dxa" w:w="1440"/>
            <w:shd w:fill="C6EFCE" w:val="clear"/>
          </w:tcPr>
          <w:p>
            <w:r>
              <w:rPr>
                <w:b/>
                <w:color w:val="008000"/>
                <w:sz w:val="17"/>
              </w:rPr>
              <w:t>+33.5%</w:t>
            </w:r>
          </w:p>
        </w:tc>
      </w:tr>
      <w:tr>
        <w:tc>
          <w:tcPr>
            <w:tcW w:type="dxa" w:w="1440"/>
            <w:shd w:fill="C6EFCE" w:val="clear"/>
          </w:tcPr>
          <w:p>
            <w:r>
              <w:rPr>
                <w:sz w:val="17"/>
              </w:rPr>
              <w:t>J+7  ⭐</w:t>
            </w:r>
          </w:p>
        </w:tc>
        <w:tc>
          <w:tcPr>
            <w:tcW w:type="dxa" w:w="1440"/>
            <w:shd w:fill="C6EFCE" w:val="clear"/>
          </w:tcPr>
          <w:p>
            <w:r>
              <w:rPr>
                <w:sz w:val="17"/>
              </w:rPr>
              <w:t>2026-08-20</w:t>
            </w:r>
          </w:p>
        </w:tc>
        <w:tc>
          <w:tcPr>
            <w:tcW w:type="dxa" w:w="1440"/>
            <w:shd w:fill="C6EFCE" w:val="clear"/>
          </w:tcPr>
          <w:p>
            <w:r>
              <w:rPr>
                <w:sz w:val="17"/>
              </w:rPr>
              <w:t>4,190</w:t>
            </w:r>
          </w:p>
        </w:tc>
        <w:tc>
          <w:tcPr>
            <w:tcW w:type="dxa" w:w="1440"/>
            <w:shd w:fill="C6EFCE" w:val="clear"/>
          </w:tcPr>
          <w:p>
            <w:r>
              <w:rPr>
                <w:b/>
                <w:sz w:val="17"/>
              </w:rPr>
              <w:t>4,971</w:t>
            </w:r>
          </w:p>
        </w:tc>
        <w:tc>
          <w:tcPr>
            <w:tcW w:type="dxa" w:w="1440"/>
            <w:shd w:fill="C6EFCE" w:val="clear"/>
          </w:tcPr>
          <w:p>
            <w:r>
              <w:rPr>
                <w:sz w:val="17"/>
              </w:rPr>
              <w:t>5,753</w:t>
            </w:r>
          </w:p>
        </w:tc>
        <w:tc>
          <w:tcPr>
            <w:tcW w:type="dxa" w:w="1440"/>
            <w:shd w:fill="C6EFCE" w:val="clear"/>
          </w:tcPr>
          <w:p>
            <w:r>
              <w:rPr>
                <w:b/>
                <w:color w:val="008000"/>
                <w:sz w:val="17"/>
              </w:rPr>
              <w:t>+42.0%</w:t>
            </w:r>
          </w:p>
        </w:tc>
      </w:tr>
      <w:tr>
        <w:tc>
          <w:tcPr>
            <w:tcW w:type="dxa" w:w="1440"/>
            <w:shd w:fill="C6EFCE" w:val="clear"/>
          </w:tcPr>
          <w:p>
            <w:r>
              <w:rPr>
                <w:sz w:val="17"/>
              </w:rPr>
              <w:t>J+8  ⭐</w:t>
            </w:r>
          </w:p>
        </w:tc>
        <w:tc>
          <w:tcPr>
            <w:tcW w:type="dxa" w:w="1440"/>
            <w:shd w:fill="C6EFCE" w:val="clear"/>
          </w:tcPr>
          <w:p>
            <w:r>
              <w:rPr>
                <w:sz w:val="17"/>
              </w:rPr>
              <w:t>2026-08-21</w:t>
            </w:r>
          </w:p>
        </w:tc>
        <w:tc>
          <w:tcPr>
            <w:tcW w:type="dxa" w:w="1440"/>
            <w:shd w:fill="C6EFCE" w:val="clear"/>
          </w:tcPr>
          <w:p>
            <w:r>
              <w:rPr>
                <w:sz w:val="17"/>
              </w:rPr>
              <w:t>4,428</w:t>
            </w:r>
          </w:p>
        </w:tc>
        <w:tc>
          <w:tcPr>
            <w:tcW w:type="dxa" w:w="1440"/>
            <w:shd w:fill="C6EFCE" w:val="clear"/>
          </w:tcPr>
          <w:p>
            <w:r>
              <w:rPr>
                <w:b/>
                <w:sz w:val="17"/>
              </w:rPr>
              <w:t>5,323</w:t>
            </w:r>
          </w:p>
        </w:tc>
        <w:tc>
          <w:tcPr>
            <w:tcW w:type="dxa" w:w="1440"/>
            <w:shd w:fill="C6EFCE" w:val="clear"/>
          </w:tcPr>
          <w:p>
            <w:r>
              <w:rPr>
                <w:sz w:val="17"/>
              </w:rPr>
              <w:t>6,218</w:t>
            </w:r>
          </w:p>
        </w:tc>
        <w:tc>
          <w:tcPr>
            <w:tcW w:type="dxa" w:w="1440"/>
            <w:shd w:fill="C6EFCE" w:val="clear"/>
          </w:tcPr>
          <w:p>
            <w:r>
              <w:rPr>
                <w:b/>
                <w:color w:val="008000"/>
                <w:sz w:val="17"/>
              </w:rPr>
              <w:t>+52.1%</w:t>
            </w:r>
          </w:p>
        </w:tc>
      </w:tr>
      <w:tr>
        <w:tc>
          <w:tcPr>
            <w:tcW w:type="dxa" w:w="1440"/>
            <w:shd w:fill="C6EFCE" w:val="clear"/>
          </w:tcPr>
          <w:p>
            <w:r>
              <w:rPr>
                <w:sz w:val="17"/>
              </w:rPr>
              <w:t>J+9  ⭐</w:t>
            </w:r>
          </w:p>
        </w:tc>
        <w:tc>
          <w:tcPr>
            <w:tcW w:type="dxa" w:w="1440"/>
            <w:shd w:fill="C6EFCE" w:val="clear"/>
          </w:tcPr>
          <w:p>
            <w:r>
              <w:rPr>
                <w:sz w:val="17"/>
              </w:rPr>
              <w:t>2026-08-24</w:t>
            </w:r>
          </w:p>
        </w:tc>
        <w:tc>
          <w:tcPr>
            <w:tcW w:type="dxa" w:w="1440"/>
            <w:shd w:fill="C6EFCE" w:val="clear"/>
          </w:tcPr>
          <w:p>
            <w:r>
              <w:rPr>
                <w:sz w:val="17"/>
              </w:rPr>
              <w:t>4,702</w:t>
            </w:r>
          </w:p>
        </w:tc>
        <w:tc>
          <w:tcPr>
            <w:tcW w:type="dxa" w:w="1440"/>
            <w:shd w:fill="C6EFCE" w:val="clear"/>
          </w:tcPr>
          <w:p>
            <w:r>
              <w:rPr>
                <w:b/>
                <w:sz w:val="17"/>
              </w:rPr>
              <w:t>5,723</w:t>
            </w:r>
          </w:p>
        </w:tc>
        <w:tc>
          <w:tcPr>
            <w:tcW w:type="dxa" w:w="1440"/>
            <w:shd w:fill="C6EFCE" w:val="clear"/>
          </w:tcPr>
          <w:p>
            <w:r>
              <w:rPr>
                <w:sz w:val="17"/>
              </w:rPr>
              <w:t>6,743</w:t>
            </w:r>
          </w:p>
        </w:tc>
        <w:tc>
          <w:tcPr>
            <w:tcW w:type="dxa" w:w="1440"/>
            <w:shd w:fill="C6EFCE" w:val="clear"/>
          </w:tcPr>
          <w:p>
            <w:r>
              <w:rPr>
                <w:b/>
                <w:color w:val="008000"/>
                <w:sz w:val="17"/>
              </w:rPr>
              <w:t>+63.5%</w:t>
            </w:r>
          </w:p>
        </w:tc>
      </w:tr>
      <w:tr>
        <w:tc>
          <w:tcPr>
            <w:tcW w:type="dxa" w:w="1440"/>
            <w:shd w:fill="C6EFCE" w:val="clear"/>
          </w:tcPr>
          <w:p>
            <w:r>
              <w:rPr>
                <w:sz w:val="17"/>
              </w:rPr>
              <w:t>J+10  ⭐</w:t>
            </w:r>
          </w:p>
        </w:tc>
        <w:tc>
          <w:tcPr>
            <w:tcW w:type="dxa" w:w="1440"/>
            <w:shd w:fill="C6EFCE" w:val="clear"/>
          </w:tcPr>
          <w:p>
            <w:r>
              <w:rPr>
                <w:sz w:val="17"/>
              </w:rPr>
              <w:t>2026-08-25</w:t>
            </w:r>
          </w:p>
        </w:tc>
        <w:tc>
          <w:tcPr>
            <w:tcW w:type="dxa" w:w="1440"/>
            <w:shd w:fill="C6EFCE" w:val="clear"/>
          </w:tcPr>
          <w:p>
            <w:r>
              <w:rPr>
                <w:sz w:val="17"/>
              </w:rPr>
              <w:t>4,995</w:t>
            </w:r>
          </w:p>
        </w:tc>
        <w:tc>
          <w:tcPr>
            <w:tcW w:type="dxa" w:w="1440"/>
            <w:shd w:fill="C6EFCE" w:val="clear"/>
          </w:tcPr>
          <w:p>
            <w:r>
              <w:rPr>
                <w:b/>
                <w:sz w:val="17"/>
              </w:rPr>
              <w:t>6,152</w:t>
            </w:r>
          </w:p>
        </w:tc>
        <w:tc>
          <w:tcPr>
            <w:tcW w:type="dxa" w:w="1440"/>
            <w:shd w:fill="C6EFCE" w:val="clear"/>
          </w:tcPr>
          <w:p>
            <w:r>
              <w:rPr>
                <w:sz w:val="17"/>
              </w:rPr>
              <w:t>7,308</w:t>
            </w:r>
          </w:p>
        </w:tc>
        <w:tc>
          <w:tcPr>
            <w:tcW w:type="dxa" w:w="1440"/>
            <w:shd w:fill="C6EFCE" w:val="clear"/>
          </w:tcPr>
          <w:p>
            <w:r>
              <w:rPr>
                <w:b/>
                <w:color w:val="008000"/>
                <w:sz w:val="17"/>
              </w:rPr>
              <w:t>+75.8%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Absolument. Voici un rapport d'analyse professionnel structuré pour l'action CABC (SICABLE) sur la BRVM,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20,72 milliards FCFA, ce qui la positionne comme une valeur de taille moyenne sur la BRVM. Avec un BPA de 243 FCFA, le titre se négocie à un PER de 14,4x, une prime notable par rapport à la moyenne historique du marché (8-12x), signifiant que les investisseurs paient un prix relativement élevé pour les bénéfices actuels. Le P/B de 2,22x indique que le marché valorise la société à plus du double de sa valeur comptable, reflétant une prime de croissance. Enfin, un EV/EBITDA de 7,3x suggère une valorisation raisonnable de la capacité opérationnelle de l'entreprise, dans la fourchette standard. Ces ratios, pris ensemble, pointent vers une valorisation qui anticipe une amélioration future de la performance.</w:t>
      </w:r>
    </w:p>
    <w:p>
      <w:pPr>
        <w:spacing w:after="120" w:line="276" w:lineRule="auto"/>
      </w:pPr>
      <w:r>
        <w:t>### PARTIE 1 : ANALYSE DU COURS — STATISTIQUES ET ÉVOLUTION (100 derniers jours)</w:t>
      </w:r>
    </w:p>
    <w:p>
      <w:pPr>
        <w:spacing w:after="120" w:line="276" w:lineRule="auto"/>
      </w:pPr>
      <w:r>
        <w:t>Sur les 100 derniers jours, l'action CABC affiche une progression totale de +6,06%, avec une dernière séance stable (+0,00%). Le cours a évolué dans un range de trading significatif, oscillant entre un plus bas de 3 165 FCFA et un plus haut de 4 500 FCFA, démontrant une volatilité intra-période importante. La moyenne du cours (3 739 FCFA) est légèrement supérieure à la médiane (3 700 FCFA), indiquant une distribution quasi symétrique, confirmée par un skewness de 0.402. L'écart-type de 324 FCFA (CV=8,7%) montre une dispersion modérée autour de la moyenne. Le kurtosis de -0.413 (mésokurtique) suggère l'absence de risques de variations extrêmes. La volatilité annualisée de 55,8% est très élevée, signalant un titre spéculatif à fort potentiel de mouvement.</w:t>
      </w:r>
    </w:p>
    <w:p>
      <w:pPr>
        <w:spacing w:after="120" w:line="276" w:lineRule="auto"/>
      </w:pPr>
      <w:r>
        <w:t>### PARTIE 2 : ANALYSE TECHNIQUE DÉTAILLÉE</w:t>
      </w:r>
    </w:p>
    <w:p>
      <w:pPr>
        <w:spacing w:after="120" w:line="276" w:lineRule="auto"/>
      </w:pPr>
      <w:r>
        <w:t>**Moyennes Mobiles:** Le cours actuel (3 500 FCFA) est inférieur à la MM20 (3 656,75 FCFA) et nettement sous la MM50 (3 882,0 FCFA). Cette configuration baissière, où le prix évolue sous les moyennes clés, confirme la tendance négative à court et moyen terme, justifiant la décision de "Vente".</w:t>
      </w:r>
    </w:p>
    <w:p>
      <w:pPr>
        <w:spacing w:after="120" w:line="276" w:lineRule="auto"/>
      </w:pPr>
      <w:r>
        <w:t>**Bandes de Bollinger:** Le prix se situe dans la partie inférieure de la bande, proche de la borne basse (3 359 FCFA) et loin de la borne haute (3 954,5 FCFA). Cela indique une pression vendeuse et une volatilité élevée. La position du prix suggère qu'il pourrait être temporairement survendu, mais la tendance reste baissière, d'où la décision "Neutre".</w:t>
      </w:r>
    </w:p>
    <w:p>
      <w:pPr>
        <w:spacing w:after="120" w:line="276" w:lineRule="auto"/>
      </w:pPr>
      <w:r>
        <w:t>**MACD:** Le MACD (-116,39) est négatif et inférieur à sa ligne de signal (-101,82). Cette divergence baissière confirme un momentum négatif et une dynamique de prix défavorable. La décision de "Vente" est cohérente avec cette configuration, indiquant que la tendance baissière est toujours en place.</w:t>
      </w:r>
    </w:p>
    <w:p>
      <w:pPr>
        <w:spacing w:after="120" w:line="276" w:lineRule="auto"/>
      </w:pPr>
      <w:r>
        <w:t>**RSI:** Avec une valeur de 30,77, le RSI est à la limite de la zone de survente (&lt;30). Cela indique que le titre a fortement baissé et pourrait être proche d'un rebond technique. Cependant, tant que le RSI n'est pas sous les 30, la tendance baissière reste dominante, justifiant la décision "Neutre".</w:t>
      </w:r>
    </w:p>
    <w:p>
      <w:pPr>
        <w:spacing w:after="120" w:line="276" w:lineRule="auto"/>
      </w:pPr>
      <w:r>
        <w:t>**Stochastique:** Les lignes %K (5,38) et %D (8,81) sont très basses et en zone de survente profonde. Le croisement potentiel de %K au-dessus de %D pourrait signaler un retournement haussier imminent. Cette configuration suggère un épuisement de la pression vendeuse, d'où la décision "Achat".</w:t>
      </w:r>
    </w:p>
    <w:p>
      <w:pPr>
        <w:spacing w:after="120" w:line="276" w:lineRule="auto"/>
      </w:pPr>
      <w:r>
        <w:t>**Conclusion technique:** Les indicateurs de tendance (MM, MACD) sont clairement baissiers, tandis que les oscillateurs de momentum (RSI, Stochastique) indiquent des conditions de survente extrême. Ce contraste suggère un potentiel de rebond technique à court terme, mais la tendance de fond reste négative. La prudence est de mise, et un signal d'achat ne serait validé qu'après un retour du cours au-dessus de la MM20.</w:t>
      </w:r>
    </w:p>
    <w:p>
      <w:pPr>
        <w:spacing w:after="120" w:line="276" w:lineRule="auto"/>
      </w:pPr>
      <w:r>
        <w:t>### PARTIE 3 : ANALYSE FONDAMENTALE (SECTION CRITIQUE)</w:t>
      </w:r>
    </w:p>
    <w:p>
      <w:pPr>
        <w:spacing w:after="120" w:line="276" w:lineRule="auto"/>
      </w:pPr>
      <w:r>
        <w:t>En 2025, selon les données structurées, CABC a réalisé un chiffre d'affaires de 21,263 milliards FCFA, en croissance de +11,2% par rapport à 2024. Le résultat net s'établit à 1,439 milliard FCFA, confirmant un retour à une forte rentabilité après les pertes de 2023 et 2024. La marge nette est de 6,77%, le ROE est excellent à 15,40% et le ROA est sain à 6,10%. Cependant, l'analyse des ratios de structure révèle des points de vigilance : un délai de paiement clients très élevé (144,7 jours) et une durée de stockage importante (152,1 jours), qui pèsent sur le Besoin en Fonds de Roulement (7,186 Mds FCFA) et expliquent un flux de trésorerie opérationnel négatif (-819,66 M FCFA). Les rapports trimestriels de 2025 (S1 et 9 mois) confirment cette dynamique positive, avec un résultat net en forte hausse. Le rapport du T1 2026 (daté de 2026) montre une chute temporaire de l'activité (-26,5% de CA) due à une maintenance planifiée, mais la direction anticipe une normalisation dès le T2 2026. La recommandation fondamentale est donc **CONSERVER**, car la société est fondamentalement solide et rentable, mais fait face à des défis de gestion de trésorerie et de volatilité conjoncturelle.</w:t>
      </w:r>
    </w:p>
    <w:p>
      <w:pPr>
        <w:spacing w:after="120" w:line="276" w:lineRule="auto"/>
      </w:pPr>
      <w:r>
        <w:t>### PARTIE 4 : CONCLUSION D'INVESTISSEMENT</w:t>
      </w:r>
    </w:p>
    <w:p>
      <w:pPr>
        <w:spacing w:after="120" w:line="276" w:lineRule="auto"/>
      </w:pPr>
      <w:r>
        <w:t>La valorisation de CABC (PER 14,4x, P/B 2,22x) est exigeante et anticipe une croissance future, ce qui contraste avec une tendance technique récente baissière. Les signaux techniques sont mitigés, avec une tendance de fond négative mais des conditions de survente qui suggèrent un rebond imminent. Les fondamentaux, eux, sont solides avec un retour à une forte rentabilité en 2025 (ROE &gt;15%), mais la gestion du BFR et la volatilité des matières premières restent des risques majeurs. Les prédictions IA (3 654 à 4 414 FCFA sur 10 jours) suggèrent un fort rebond, ce qui contredit la tendance technique mais est cohérent avec les signaux de survente et les fondamentaux. En synthèse, la convergence entre les fondamentaux solides, les prédictions IA haussières et les signaux de survente technique plaident pour une recommandation **ACHAT** à court terme, malgré une valorisation peu attrayante. Le niveau de confiance est **Moyen** et le risque global est **Élevé** en raison de la volatilité du titre. L'horizon d'investissement optimal serait le **court terme (&lt;3 mois)** pour profiter du rebond anticipé, avec une surveillance étroite des niveaux de résistance.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1,706 titres</w:t>
            </w:r>
          </w:p>
        </w:tc>
        <w:tc>
          <w:tcPr>
            <w:tcW w:type="dxa" w:w="2268"/>
            <w:shd w:fill="FFF2CC" w:val="clear"/>
          </w:tcPr>
          <w:p>
            <w:r>
              <w:rPr>
                <w:b/>
                <w:color w:val="503200"/>
                <w:sz w:val="16"/>
              </w:rPr>
              <w:t xml:space="preserve">Cours actuel : </w:t>
            </w:r>
            <w:r>
              <w:rPr>
                <w:color w:val="000000"/>
                <w:sz w:val="17"/>
              </w:rPr>
              <w:t>29,000 FCFA</w:t>
            </w:r>
          </w:p>
          <w:p>
            <w:r>
              <w:rPr>
                <w:b/>
                <w:color w:val="503200"/>
                <w:sz w:val="16"/>
              </w:rPr>
              <w:t xml:space="preserve">Var. 100 jours : </w:t>
            </w:r>
            <w:r>
              <w:rPr>
                <w:b/>
                <w:color w:val="007800"/>
                <w:sz w:val="17"/>
              </w:rPr>
              <w:t>+114.81%</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13,500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24.82% (Élevée) — μ=20,836 FCFA, σ=5,171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β=0.6187 (Défensif) — Cov=0.000022, Var(idx)=0.000036, ρ=0.140,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1,706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2026-08-12</w:t>
            </w:r>
          </w:p>
        </w:tc>
        <w:tc>
          <w:tcPr>
            <w:tcW w:type="dxa" w:w="1440"/>
            <w:shd w:fill="FFDCE0" w:val="clear"/>
          </w:tcPr>
          <w:p>
            <w:r>
              <w:rPr>
                <w:sz w:val="17"/>
              </w:rPr>
              <w:t>25,580</w:t>
            </w:r>
          </w:p>
        </w:tc>
        <w:tc>
          <w:tcPr>
            <w:tcW w:type="dxa" w:w="1440"/>
            <w:shd w:fill="FFDCE0" w:val="clear"/>
          </w:tcPr>
          <w:p>
            <w:r>
              <w:rPr>
                <w:b/>
                <w:sz w:val="17"/>
              </w:rPr>
              <w:t>26,825</w:t>
            </w:r>
          </w:p>
        </w:tc>
        <w:tc>
          <w:tcPr>
            <w:tcW w:type="dxa" w:w="1440"/>
            <w:shd w:fill="FFDCE0" w:val="clear"/>
          </w:tcPr>
          <w:p>
            <w:r>
              <w:rPr>
                <w:sz w:val="17"/>
              </w:rPr>
              <w:t>28,070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2026-08-13</w:t>
            </w:r>
          </w:p>
        </w:tc>
        <w:tc>
          <w:tcPr>
            <w:tcW w:type="dxa" w:w="1440"/>
            <w:shd w:fill="FFDCE0" w:val="clear"/>
          </w:tcPr>
          <w:p>
            <w:r>
              <w:rPr>
                <w:sz w:val="17"/>
              </w:rPr>
              <w:t>23,184</w:t>
            </w:r>
          </w:p>
        </w:tc>
        <w:tc>
          <w:tcPr>
            <w:tcW w:type="dxa" w:w="1440"/>
            <w:shd w:fill="FFDCE0" w:val="clear"/>
          </w:tcPr>
          <w:p>
            <w:r>
              <w:rPr>
                <w:b/>
                <w:sz w:val="17"/>
              </w:rPr>
              <w:t>24,813</w:t>
            </w:r>
          </w:p>
        </w:tc>
        <w:tc>
          <w:tcPr>
            <w:tcW w:type="dxa" w:w="1440"/>
            <w:shd w:fill="FFDCE0" w:val="clear"/>
          </w:tcPr>
          <w:p>
            <w:r>
              <w:rPr>
                <w:sz w:val="17"/>
              </w:rPr>
              <w:t>26,442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2026-08-14</w:t>
            </w:r>
          </w:p>
        </w:tc>
        <w:tc>
          <w:tcPr>
            <w:tcW w:type="dxa" w:w="1440"/>
            <w:shd w:fill="FFDCE0" w:val="clear"/>
          </w:tcPr>
          <w:p>
            <w:r>
              <w:rPr>
                <w:sz w:val="17"/>
              </w:rPr>
              <w:t>21,107</w:t>
            </w:r>
          </w:p>
        </w:tc>
        <w:tc>
          <w:tcPr>
            <w:tcW w:type="dxa" w:w="1440"/>
            <w:shd w:fill="FFDCE0" w:val="clear"/>
          </w:tcPr>
          <w:p>
            <w:r>
              <w:rPr>
                <w:b/>
                <w:sz w:val="17"/>
              </w:rPr>
              <w:t>22,952</w:t>
            </w:r>
          </w:p>
        </w:tc>
        <w:tc>
          <w:tcPr>
            <w:tcW w:type="dxa" w:w="1440"/>
            <w:shd w:fill="FFDCE0" w:val="clear"/>
          </w:tcPr>
          <w:p>
            <w:r>
              <w:rPr>
                <w:sz w:val="17"/>
              </w:rPr>
              <w:t>24,797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19,260</w:t>
            </w:r>
          </w:p>
        </w:tc>
        <w:tc>
          <w:tcPr>
            <w:tcW w:type="dxa" w:w="1440"/>
            <w:shd w:fill="FFDCE0" w:val="clear"/>
          </w:tcPr>
          <w:p>
            <w:r>
              <w:rPr>
                <w:b/>
                <w:sz w:val="17"/>
              </w:rPr>
              <w:t>21,231</w:t>
            </w:r>
          </w:p>
        </w:tc>
        <w:tc>
          <w:tcPr>
            <w:tcW w:type="dxa" w:w="1440"/>
            <w:shd w:fill="FFDCE0" w:val="clear"/>
          </w:tcPr>
          <w:p>
            <w:r>
              <w:rPr>
                <w:sz w:val="17"/>
              </w:rPr>
              <w:t>23,202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17,600</w:t>
            </w:r>
          </w:p>
        </w:tc>
        <w:tc>
          <w:tcPr>
            <w:tcW w:type="dxa" w:w="1440"/>
            <w:shd w:fill="FFDCE0" w:val="clear"/>
          </w:tcPr>
          <w:p>
            <w:r>
              <w:rPr>
                <w:b/>
                <w:sz w:val="17"/>
              </w:rPr>
              <w:t>19,638</w:t>
            </w:r>
          </w:p>
        </w:tc>
        <w:tc>
          <w:tcPr>
            <w:tcW w:type="dxa" w:w="1440"/>
            <w:shd w:fill="FFDCE0" w:val="clear"/>
          </w:tcPr>
          <w:p>
            <w:r>
              <w:rPr>
                <w:sz w:val="17"/>
              </w:rPr>
              <w:t>21,677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16,864</w:t>
            </w:r>
          </w:p>
        </w:tc>
        <w:tc>
          <w:tcPr>
            <w:tcW w:type="dxa" w:w="1440"/>
            <w:shd w:fill="FFDCE0" w:val="clear"/>
          </w:tcPr>
          <w:p>
            <w:r>
              <w:rPr>
                <w:b/>
                <w:sz w:val="17"/>
              </w:rPr>
              <w:t>19,027</w:t>
            </w:r>
          </w:p>
        </w:tc>
        <w:tc>
          <w:tcPr>
            <w:tcW w:type="dxa" w:w="1440"/>
            <w:shd w:fill="FFDCE0" w:val="clear"/>
          </w:tcPr>
          <w:p>
            <w:r>
              <w:rPr>
                <w:sz w:val="17"/>
              </w:rPr>
              <w:t>21,191</w:t>
            </w:r>
          </w:p>
        </w:tc>
        <w:tc>
          <w:tcPr>
            <w:tcW w:type="dxa" w:w="1440"/>
            <w:shd w:fill="FFDCE0" w:val="clear"/>
          </w:tcPr>
          <w:p>
            <w:r>
              <w:rPr>
                <w:b/>
                <w:color w:val="C00000"/>
                <w:sz w:val="17"/>
              </w:rPr>
              <w:t>-34.4%</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16,271</w:t>
            </w:r>
          </w:p>
        </w:tc>
        <w:tc>
          <w:tcPr>
            <w:tcW w:type="dxa" w:w="1440"/>
            <w:shd w:fill="FFDCE0" w:val="clear"/>
          </w:tcPr>
          <w:p>
            <w:r>
              <w:rPr>
                <w:b/>
                <w:sz w:val="17"/>
              </w:rPr>
              <w:t>18,550</w:t>
            </w:r>
          </w:p>
        </w:tc>
        <w:tc>
          <w:tcPr>
            <w:tcW w:type="dxa" w:w="1440"/>
            <w:shd w:fill="FFDCE0" w:val="clear"/>
          </w:tcPr>
          <w:p>
            <w:r>
              <w:rPr>
                <w:sz w:val="17"/>
              </w:rPr>
              <w:t>20,828</w:t>
            </w:r>
          </w:p>
        </w:tc>
        <w:tc>
          <w:tcPr>
            <w:tcW w:type="dxa" w:w="1440"/>
            <w:shd w:fill="FFDCE0" w:val="clear"/>
          </w:tcPr>
          <w:p>
            <w:r>
              <w:rPr>
                <w:b/>
                <w:color w:val="C00000"/>
                <w:sz w:val="17"/>
              </w:rPr>
              <w:t>-36.0%</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15,744</w:t>
            </w:r>
          </w:p>
        </w:tc>
        <w:tc>
          <w:tcPr>
            <w:tcW w:type="dxa" w:w="1440"/>
            <w:shd w:fill="FFDCE0" w:val="clear"/>
          </w:tcPr>
          <w:p>
            <w:r>
              <w:rPr>
                <w:b/>
                <w:sz w:val="17"/>
              </w:rPr>
              <w:t>18,123</w:t>
            </w:r>
          </w:p>
        </w:tc>
        <w:tc>
          <w:tcPr>
            <w:tcW w:type="dxa" w:w="1440"/>
            <w:shd w:fill="FFDCE0" w:val="clear"/>
          </w:tcPr>
          <w:p>
            <w:r>
              <w:rPr>
                <w:sz w:val="17"/>
              </w:rPr>
              <w:t>20,503</w:t>
            </w:r>
          </w:p>
        </w:tc>
        <w:tc>
          <w:tcPr>
            <w:tcW w:type="dxa" w:w="1440"/>
            <w:shd w:fill="FFDCE0" w:val="clear"/>
          </w:tcPr>
          <w:p>
            <w:r>
              <w:rPr>
                <w:b/>
                <w:color w:val="C00000"/>
                <w:sz w:val="17"/>
              </w:rPr>
              <w:t>-37.5%</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15,268</w:t>
            </w:r>
          </w:p>
        </w:tc>
        <w:tc>
          <w:tcPr>
            <w:tcW w:type="dxa" w:w="1440"/>
            <w:shd w:fill="FFDCE0" w:val="clear"/>
          </w:tcPr>
          <w:p>
            <w:r>
              <w:rPr>
                <w:b/>
                <w:sz w:val="17"/>
              </w:rPr>
              <w:t>17,738</w:t>
            </w:r>
          </w:p>
        </w:tc>
        <w:tc>
          <w:tcPr>
            <w:tcW w:type="dxa" w:w="1440"/>
            <w:shd w:fill="FFDCE0" w:val="clear"/>
          </w:tcPr>
          <w:p>
            <w:r>
              <w:rPr>
                <w:sz w:val="17"/>
              </w:rPr>
              <w:t>20,208</w:t>
            </w:r>
          </w:p>
        </w:tc>
        <w:tc>
          <w:tcPr>
            <w:tcW w:type="dxa" w:w="1440"/>
            <w:shd w:fill="FFDCE0" w:val="clear"/>
          </w:tcPr>
          <w:p>
            <w:r>
              <w:rPr>
                <w:b/>
                <w:color w:val="C00000"/>
                <w:sz w:val="17"/>
              </w:rPr>
              <w:t>-38.8%</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14,836</w:t>
            </w:r>
          </w:p>
        </w:tc>
        <w:tc>
          <w:tcPr>
            <w:tcW w:type="dxa" w:w="1440"/>
            <w:shd w:fill="FFDCE0" w:val="clear"/>
          </w:tcPr>
          <w:p>
            <w:r>
              <w:rPr>
                <w:b/>
                <w:sz w:val="17"/>
              </w:rPr>
              <w:t>17,388</w:t>
            </w:r>
          </w:p>
        </w:tc>
        <w:tc>
          <w:tcPr>
            <w:tcW w:type="dxa" w:w="1440"/>
            <w:shd w:fill="FFDCE0" w:val="clear"/>
          </w:tcPr>
          <w:p>
            <w:r>
              <w:rPr>
                <w:sz w:val="17"/>
              </w:rPr>
              <w:t>19,940</w:t>
            </w:r>
          </w:p>
        </w:tc>
        <w:tc>
          <w:tcPr>
            <w:tcW w:type="dxa" w:w="1440"/>
            <w:shd w:fill="FFDCE0" w:val="clear"/>
          </w:tcPr>
          <w:p>
            <w:r>
              <w:rPr>
                <w:b/>
                <w:color w:val="C00000"/>
                <w:sz w:val="17"/>
              </w:rPr>
              <w:t>-40.0%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11 août 2026**</w:t>
        <w:br/>
        <w:t>**Cours de référence : 29 000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928 milliards FCFA, ce qui en fait l'une des toutes premières capitalisations de la BRVM, reflétant la confiance des investisseurs dans ce pilier bancaire régional. Avec un BPA de 2 047 FCFA, chaque action génère un bénéfice substantiel, justifiant un PER de 14,2x. Ce niveau est supérieur à la moyenne historique de la BRVM (8-12x), indiquant que le marché valorise déjà une prime de croissance et de qualité. Le ratio EV/EBITDA de 10,5x, bien que dans la fourchette haute (10-15x), confirme une valorisation exigeante mais cohérente avec la forte rentabilité opérationnelle de la banque. Le ratio P/B n'est pas disponible dans les données fournies, ce qui limite la comparaison directe avec la valeur comptable, mais les autres indicateurs suggèrent que le titre n'est pas "bon marché" et intègre des attentes de performance soutenue.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connu une appréciation spectaculaire de +114,81%, passant d'un plus bas de 13 500 FCFA à un plus haut de 30 005 FCFA, avec un cours actuel de 29 000 FCFA. La variation de +1,93% sur la dernière séance témoigne d'un momentum haussier persistant. La moyenne du cours sur la période (20 836 FCFA) est inférieure à la médiane (21 498 FCFA), et le mode (22 000 FCFA) est plus élevé que la moyenne, ce qui indique une distribution légèrement asymétrique où le cours a passé plus de temps à des niveaux bas avant de brutalement accélérer. L'écart-type de 5 197 FCFA (CV de 24,9%) révèle une dispersion modérée. Le kurtosis négatif (-1.208) signale une distribution "aplatie" avec peu de valeurs extrêmes, tandis que le skewness positif (0.207) confirme une queue de distribution vers les hausses récentes. La volatilité annualisée de 41,9% classe le titre comme très volatil (&gt;30%), un niveau élevé qui reflète un risque important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(MM20 &amp; MM50) :** La MM20 (28 048 FCFA) et la MM50 (25 174 FCFA) sont toutes deux inférieures au cours actuel de 29 000 FCFA, confirmant une tendance haussière solide à court et moyen terme. La configuration en "courbe ascendante" (MM20 &gt; MM50) renforce le signal d'achat, indiquant que la dynamique positive est soutenue par les volumes et l'intérêt des investisseurs.</w:t>
      </w:r>
    </w:p>
    <w:p>
      <w:pPr>
        <w:spacing w:after="120" w:line="276" w:lineRule="auto"/>
      </w:pPr>
      <w:r>
        <w:t>**Bandes de Bollinger :** Le prix (29 000 FCFA) se situe en dessous de la borne supérieure (30 325 FCFA) mais nettement au-dessus de la borne inférieure (25 771 FCFA). L'écart entre les bornes est large, reflétant la volatilité élevée du titre. La décision "Neutre" suggère que le cours, bien qu'en zone de surachat potentiel, n'a pas encore touché la borne extrême, laissant une marge de fluctuation avant un éventuel retournement.</w:t>
      </w:r>
    </w:p>
    <w:p>
      <w:pPr>
        <w:spacing w:after="120" w:line="276" w:lineRule="auto"/>
      </w:pPr>
      <w:r>
        <w:t>**MACD :** La valeur du MACD (909) est inférieure à sa ligne de signal (1 007), indiquant un croisement baissier récent. Ce signal de "Vente" suggère un ralentissement du momentum haussier à très court terme, même si le MACD reste en territoire positif, signe que la tendance de fond demeure haussière.</w:t>
      </w:r>
    </w:p>
    <w:p>
      <w:pPr>
        <w:spacing w:after="120" w:line="276" w:lineRule="auto"/>
      </w:pPr>
      <w:r>
        <w:t>**RSI :** Le RSI à 86,96 est extrêmement élevé, bien au-dessus du seuil de surachat (70). Cette valeur indique que le titre est fortement suracheté, ce qui augmente le risque d'un repli technique à court terme. La décision de "Vente" est cohérente avec cette lecture, signalant une possible correction après une hausse aussi rapide.</w:t>
      </w:r>
    </w:p>
    <w:p>
      <w:pPr>
        <w:spacing w:after="120" w:line="276" w:lineRule="auto"/>
      </w:pPr>
      <w:r>
        <w:t>**Stochastique :** Le %K (100) et le %D (96,65) sont tous deux à des niveaux extrêmes de surachat. Le %K étant au maximum, cela confirme une pression acheteuse excessive. La décision de "Vente" est justifiée par ces conditions de surachat extrême, qui précèdent souvent un retournement ou une consolidation.</w:t>
      </w:r>
    </w:p>
    <w:p>
      <w:pPr>
        <w:spacing w:after="120" w:line="276" w:lineRule="auto"/>
      </w:pPr>
      <w:r>
        <w:t>**Conclusion technique :** L'analyse technique révèle un conflit majeur. La tendance de fond (MM) est clairement haussière, mais tous les oscillateurs (RSI, Stochastique, MACD) sont en zone de surachat extrême et émettent des signaux de vente. Cette divergence suggère une forte probabilité de consolidation ou de correction à court terme, mais ne remet pas en cause la tendance haussière de moyen terme tant que le cours reste au-dessus de la MM50.</w:t>
      </w:r>
    </w:p>
    <w:p>
      <w:pPr>
        <w:spacing w:after="120" w:line="276" w:lineRule="auto"/>
      </w:pPr>
      <w:r>
        <w:t>---</w:t>
      </w:r>
    </w:p>
    <w:p>
      <w:pPr>
        <w:spacing w:after="120" w:line="276" w:lineRule="auto"/>
      </w:pPr>
      <w:r>
        <w:t>### PARTIE 3 : ANALYSE FONDAMENTALE (SECTION CRITIQUE)</w:t>
      </w:r>
    </w:p>
    <w:p>
      <w:pPr>
        <w:spacing w:after="120" w:line="276" w:lineRule="auto"/>
      </w:pPr>
      <w:r>
        <w:t>En 2025, CBIBF affiche des résultats financiers solides et en nette amélioration. Le Produit Net Bancaire (PNB) s'établit à 138,986 milliards FCFA, en croissance de 6,1%, tandis que le Résultat Net atteint 65,495 milliards FCFA, soit une progression remarquable de +36,6% par rapport à 2024. Cette performance est portée par une amélioration significative du coût du risque, qui a baissé de 59,3% à 16,5 milliards FCFA, et une maîtrise des charges, avec un coefficient d'exploitation excellent de 36,4% (bien en dessous du seuil de 60% considéré comme efficace). La marge nette de 47,1% et le ROA de 2,18% témoignent d'une rentabilité élevée. Les dépôts clients ont fortement progressé (+14,9% à 2 015 milliards FCFA), finançant une croissance modérée des crédits (+5,4% à 1 327 milliards FCFA), ce qui reflète une politique de transformation prudente. Les rapports trimestriels de 2025 (T1, S1, T3) confirment une dynamique positive tout au long de l'année, avec un PNB en hausse continue. Le rapport T1 2026, publié récemment, montre une accélération spectaculaire : PNB en hausse de +28,5% à 36,8 milliards FCFA et Résultat Net en progression de +22,2% à 21,5 milliards FCFA, avec une marge nette de 58,4%. Sur cette base, on estime que l'exercice 2026 pourrait voir un PNB dépasser les 160 milliards FCFA et un résultat net supérieur à 75 milliards FCFA. La banque bénéficie d'une notation financière AA/AI avec perspective stable, confirmant sa solidité. Les risques restent liés à l'environnement sécuritaire et politique du Burkina Faso, mais la performance opérationnelle et la gestion rigoureuse du risque plaident pour une recommandation d'achat.</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d'investissement contrasté. La valorisation (PER de 14,2x) est exigeante mais justifiée par une croissance fondamentale robuste et une rentabilité en forte hausse. Le comportement du cours (+114,81% en 100 jours) est extrêmement haussier, mais la volatilité élevée (41,9%) et les statistiques (kurtosis platykurtique, skewness positif) signalent un risque de retournement. Les signaux techniques sont en divergence : la tendance (MM) est positive, mais les oscillateurs (RSI, Stochastique, MACD) sont en surachat extrême, suggérant une correction imminente. Les fondamentaux sont excellents, avec une croissance soutenue du PNB et du résultat net, une maîtrise du coût du risque et un coefficient d'exploitation très efficace. Les prédictions IA pour les 10 prochains jours (chute de 26 825 à 19 638 FCFA) contredisent fortement la tendance actuelle et anticipent un dégonflement de la bulle spéculative. **Recommandation finale : VENTE** à court terme pour profiter de la surchauffe technique, avec un niveau de confiance **Moyen** et un risque global **Élevé**. L'horizon d'investissement optimal serait de moyen terme (3-12 mois), après une probable correction, pour réintégrer le titre à des niveaux plus raisonnables, en s'appuyant sur la solidité fondamentale de la banque.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307.43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3,634 titres</w:t>
            </w:r>
          </w:p>
        </w:tc>
        <w:tc>
          <w:tcPr>
            <w:tcW w:type="dxa" w:w="2268"/>
            <w:shd w:fill="FFF2CC" w:val="clear"/>
          </w:tcPr>
          <w:p>
            <w:r>
              <w:rPr>
                <w:b/>
                <w:color w:val="503200"/>
                <w:sz w:val="16"/>
              </w:rPr>
              <w:t xml:space="preserve">Cours actuel : </w:t>
            </w:r>
            <w:r>
              <w:rPr>
                <w:color w:val="000000"/>
                <w:sz w:val="17"/>
              </w:rPr>
              <w:t>1,695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6.36% (Moyenne) — μ=1,607 FCFA, σ=102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β=1.0348 (Neutre (suit le marché)) — Cov=0.000038, Var(idx)=0.000036, ρ=0.206,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2026-08-12</w:t>
            </w:r>
          </w:p>
        </w:tc>
        <w:tc>
          <w:tcPr>
            <w:tcW w:type="dxa" w:w="1440"/>
            <w:shd w:fill="FFDCE0" w:val="clear"/>
          </w:tcPr>
          <w:p>
            <w:r>
              <w:rPr>
                <w:sz w:val="17"/>
              </w:rPr>
              <w:t>1,576</w:t>
            </w:r>
          </w:p>
        </w:tc>
        <w:tc>
          <w:tcPr>
            <w:tcW w:type="dxa" w:w="1440"/>
            <w:shd w:fill="FFDCE0" w:val="clear"/>
          </w:tcPr>
          <w:p>
            <w:r>
              <w:rPr>
                <w:b/>
                <w:sz w:val="17"/>
              </w:rPr>
              <w:t>1,650</w:t>
            </w:r>
          </w:p>
        </w:tc>
        <w:tc>
          <w:tcPr>
            <w:tcW w:type="dxa" w:w="1440"/>
            <w:shd w:fill="FFDCE0" w:val="clear"/>
          </w:tcPr>
          <w:p>
            <w:r>
              <w:rPr>
                <w:sz w:val="17"/>
              </w:rPr>
              <w:t>1,723</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2026-08-13</w:t>
            </w:r>
          </w:p>
        </w:tc>
        <w:tc>
          <w:tcPr>
            <w:tcW w:type="dxa" w:w="1440"/>
            <w:shd w:fill="FFDCE0" w:val="clear"/>
          </w:tcPr>
          <w:p>
            <w:r>
              <w:rPr>
                <w:sz w:val="17"/>
              </w:rPr>
              <w:t>1,525</w:t>
            </w:r>
          </w:p>
        </w:tc>
        <w:tc>
          <w:tcPr>
            <w:tcW w:type="dxa" w:w="1440"/>
            <w:shd w:fill="FFDCE0" w:val="clear"/>
          </w:tcPr>
          <w:p>
            <w:r>
              <w:rPr>
                <w:b/>
                <w:sz w:val="17"/>
              </w:rPr>
              <w:t>1,628</w:t>
            </w:r>
          </w:p>
        </w:tc>
        <w:tc>
          <w:tcPr>
            <w:tcW w:type="dxa" w:w="1440"/>
            <w:shd w:fill="FFDCE0" w:val="clear"/>
          </w:tcPr>
          <w:p>
            <w:r>
              <w:rPr>
                <w:sz w:val="17"/>
              </w:rPr>
              <w:t>1,731</w:t>
            </w:r>
          </w:p>
        </w:tc>
        <w:tc>
          <w:tcPr>
            <w:tcW w:type="dxa" w:w="1440"/>
            <w:shd w:fill="FFDCE0" w:val="clear"/>
          </w:tcPr>
          <w:p>
            <w:r>
              <w:rPr>
                <w:b/>
                <w:color w:val="C00000"/>
                <w:sz w:val="17"/>
              </w:rPr>
              <w:t>-3.9%</w:t>
            </w:r>
          </w:p>
        </w:tc>
      </w:tr>
      <w:tr>
        <w:tc>
          <w:tcPr>
            <w:tcW w:type="dxa" w:w="1440"/>
            <w:shd w:fill="FFDCE0" w:val="clear"/>
          </w:tcPr>
          <w:p>
            <w:r>
              <w:rPr>
                <w:sz w:val="17"/>
              </w:rPr>
              <w:t>J+3  Moyenne</w:t>
            </w:r>
          </w:p>
        </w:tc>
        <w:tc>
          <w:tcPr>
            <w:tcW w:type="dxa" w:w="1440"/>
            <w:shd w:fill="FFDCE0" w:val="clear"/>
          </w:tcPr>
          <w:p>
            <w:r>
              <w:rPr>
                <w:sz w:val="17"/>
              </w:rPr>
              <w:t>2026-08-14</w:t>
            </w:r>
          </w:p>
        </w:tc>
        <w:tc>
          <w:tcPr>
            <w:tcW w:type="dxa" w:w="1440"/>
            <w:shd w:fill="FFDCE0" w:val="clear"/>
          </w:tcPr>
          <w:p>
            <w:r>
              <w:rPr>
                <w:sz w:val="17"/>
              </w:rPr>
              <w:t>1,480</w:t>
            </w:r>
          </w:p>
        </w:tc>
        <w:tc>
          <w:tcPr>
            <w:tcW w:type="dxa" w:w="1440"/>
            <w:shd w:fill="FFDCE0" w:val="clear"/>
          </w:tcPr>
          <w:p>
            <w:r>
              <w:rPr>
                <w:b/>
                <w:sz w:val="17"/>
              </w:rPr>
              <w:t>1,605</w:t>
            </w:r>
          </w:p>
        </w:tc>
        <w:tc>
          <w:tcPr>
            <w:tcW w:type="dxa" w:w="1440"/>
            <w:shd w:fill="FFDCE0" w:val="clear"/>
          </w:tcPr>
          <w:p>
            <w:r>
              <w:rPr>
                <w:sz w:val="17"/>
              </w:rPr>
              <w:t>1,729</w:t>
            </w:r>
          </w:p>
        </w:tc>
        <w:tc>
          <w:tcPr>
            <w:tcW w:type="dxa" w:w="1440"/>
            <w:shd w:fill="FFDCE0" w:val="clear"/>
          </w:tcPr>
          <w:p>
            <w:r>
              <w:rPr>
                <w:b/>
                <w:color w:val="C00000"/>
                <w:sz w:val="17"/>
              </w:rPr>
              <w:t>-5.3%</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1,440</w:t>
            </w:r>
          </w:p>
        </w:tc>
        <w:tc>
          <w:tcPr>
            <w:tcW w:type="dxa" w:w="1440"/>
            <w:shd w:fill="FFDCE0" w:val="clear"/>
          </w:tcPr>
          <w:p>
            <w:r>
              <w:rPr>
                <w:b/>
                <w:sz w:val="17"/>
              </w:rPr>
              <w:t>1,581</w:t>
            </w:r>
          </w:p>
        </w:tc>
        <w:tc>
          <w:tcPr>
            <w:tcW w:type="dxa" w:w="1440"/>
            <w:shd w:fill="FFDCE0" w:val="clear"/>
          </w:tcPr>
          <w:p>
            <w:r>
              <w:rPr>
                <w:sz w:val="17"/>
              </w:rPr>
              <w:t>1,723</w:t>
            </w:r>
          </w:p>
        </w:tc>
        <w:tc>
          <w:tcPr>
            <w:tcW w:type="dxa" w:w="1440"/>
            <w:shd w:fill="FFDCE0" w:val="clear"/>
          </w:tcPr>
          <w:p>
            <w:r>
              <w:rPr>
                <w:b/>
                <w:color w:val="C00000"/>
                <w:sz w:val="17"/>
              </w:rPr>
              <w:t>-6.7%</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1,402</w:t>
            </w:r>
          </w:p>
        </w:tc>
        <w:tc>
          <w:tcPr>
            <w:tcW w:type="dxa" w:w="1440"/>
            <w:shd w:fill="FFDCE0" w:val="clear"/>
          </w:tcPr>
          <w:p>
            <w:r>
              <w:rPr>
                <w:b/>
                <w:sz w:val="17"/>
              </w:rPr>
              <w:t>1,558</w:t>
            </w:r>
          </w:p>
        </w:tc>
        <w:tc>
          <w:tcPr>
            <w:tcW w:type="dxa" w:w="1440"/>
            <w:shd w:fill="FFDCE0" w:val="clear"/>
          </w:tcPr>
          <w:p>
            <w:r>
              <w:rPr>
                <w:sz w:val="17"/>
              </w:rPr>
              <w:t>1,714</w:t>
            </w:r>
          </w:p>
        </w:tc>
        <w:tc>
          <w:tcPr>
            <w:tcW w:type="dxa" w:w="1440"/>
            <w:shd w:fill="FFDCE0" w:val="clear"/>
          </w:tcPr>
          <w:p>
            <w:r>
              <w:rPr>
                <w:b/>
                <w:color w:val="C00000"/>
                <w:sz w:val="17"/>
              </w:rPr>
              <w:t>-8.1%</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1,367</w:t>
            </w:r>
          </w:p>
        </w:tc>
        <w:tc>
          <w:tcPr>
            <w:tcW w:type="dxa" w:w="1440"/>
            <w:shd w:fill="FFDCE0" w:val="clear"/>
          </w:tcPr>
          <w:p>
            <w:r>
              <w:rPr>
                <w:b/>
                <w:sz w:val="17"/>
              </w:rPr>
              <w:t>1,535</w:t>
            </w:r>
          </w:p>
        </w:tc>
        <w:tc>
          <w:tcPr>
            <w:tcW w:type="dxa" w:w="1440"/>
            <w:shd w:fill="FFDCE0" w:val="clear"/>
          </w:tcPr>
          <w:p>
            <w:r>
              <w:rPr>
                <w:sz w:val="17"/>
              </w:rPr>
              <w:t>1,704</w:t>
            </w:r>
          </w:p>
        </w:tc>
        <w:tc>
          <w:tcPr>
            <w:tcW w:type="dxa" w:w="1440"/>
            <w:shd w:fill="FFDCE0" w:val="clear"/>
          </w:tcPr>
          <w:p>
            <w:r>
              <w:rPr>
                <w:b/>
                <w:color w:val="C00000"/>
                <w:sz w:val="17"/>
              </w:rPr>
              <w:t>-9.4%</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1,334</w:t>
            </w:r>
          </w:p>
        </w:tc>
        <w:tc>
          <w:tcPr>
            <w:tcW w:type="dxa" w:w="1440"/>
            <w:shd w:fill="FFDCE0" w:val="clear"/>
          </w:tcPr>
          <w:p>
            <w:r>
              <w:rPr>
                <w:b/>
                <w:sz w:val="17"/>
              </w:rPr>
              <w:t>1,513</w:t>
            </w:r>
          </w:p>
        </w:tc>
        <w:tc>
          <w:tcPr>
            <w:tcW w:type="dxa" w:w="1440"/>
            <w:shd w:fill="FFDCE0" w:val="clear"/>
          </w:tcPr>
          <w:p>
            <w:r>
              <w:rPr>
                <w:sz w:val="17"/>
              </w:rPr>
              <w:t>1,692</w:t>
            </w:r>
          </w:p>
        </w:tc>
        <w:tc>
          <w:tcPr>
            <w:tcW w:type="dxa" w:w="1440"/>
            <w:shd w:fill="FFDCE0" w:val="clear"/>
          </w:tcPr>
          <w:p>
            <w:r>
              <w:rPr>
                <w:b/>
                <w:color w:val="C00000"/>
                <w:sz w:val="17"/>
              </w:rPr>
              <w:t>-10.7%</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1,303</w:t>
            </w:r>
          </w:p>
        </w:tc>
        <w:tc>
          <w:tcPr>
            <w:tcW w:type="dxa" w:w="1440"/>
            <w:shd w:fill="FFDCE0" w:val="clear"/>
          </w:tcPr>
          <w:p>
            <w:r>
              <w:rPr>
                <w:b/>
                <w:sz w:val="17"/>
              </w:rPr>
              <w:t>1,492</w:t>
            </w:r>
          </w:p>
        </w:tc>
        <w:tc>
          <w:tcPr>
            <w:tcW w:type="dxa" w:w="1440"/>
            <w:shd w:fill="FFDCE0" w:val="clear"/>
          </w:tcPr>
          <w:p>
            <w:r>
              <w:rPr>
                <w:sz w:val="17"/>
              </w:rPr>
              <w:t>1,681</w:t>
            </w:r>
          </w:p>
        </w:tc>
        <w:tc>
          <w:tcPr>
            <w:tcW w:type="dxa" w:w="1440"/>
            <w:shd w:fill="FFDCE0" w:val="clear"/>
          </w:tcPr>
          <w:p>
            <w:r>
              <w:rPr>
                <w:b/>
                <w:color w:val="C00000"/>
                <w:sz w:val="17"/>
              </w:rPr>
              <w:t>-12.0%</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1,273</w:t>
            </w:r>
          </w:p>
        </w:tc>
        <w:tc>
          <w:tcPr>
            <w:tcW w:type="dxa" w:w="1440"/>
            <w:shd w:fill="FFDCE0" w:val="clear"/>
          </w:tcPr>
          <w:p>
            <w:r>
              <w:rPr>
                <w:b/>
                <w:sz w:val="17"/>
              </w:rPr>
              <w:t>1,471</w:t>
            </w:r>
          </w:p>
        </w:tc>
        <w:tc>
          <w:tcPr>
            <w:tcW w:type="dxa" w:w="1440"/>
            <w:shd w:fill="FFDCE0" w:val="clear"/>
          </w:tcPr>
          <w:p>
            <w:r>
              <w:rPr>
                <w:sz w:val="17"/>
              </w:rPr>
              <w:t>1,668</w:t>
            </w:r>
          </w:p>
        </w:tc>
        <w:tc>
          <w:tcPr>
            <w:tcW w:type="dxa" w:w="1440"/>
            <w:shd w:fill="FFDCE0" w:val="clear"/>
          </w:tcPr>
          <w:p>
            <w:r>
              <w:rPr>
                <w:b/>
                <w:color w:val="C00000"/>
                <w:sz w:val="17"/>
              </w:rPr>
              <w:t>-13.2%</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1,245</w:t>
            </w:r>
          </w:p>
        </w:tc>
        <w:tc>
          <w:tcPr>
            <w:tcW w:type="dxa" w:w="1440"/>
            <w:shd w:fill="FFDCE0" w:val="clear"/>
          </w:tcPr>
          <w:p>
            <w:r>
              <w:rPr>
                <w:b/>
                <w:sz w:val="17"/>
              </w:rPr>
              <w:t>1,450</w:t>
            </w:r>
          </w:p>
        </w:tc>
        <w:tc>
          <w:tcPr>
            <w:tcW w:type="dxa" w:w="1440"/>
            <w:shd w:fill="FFDCE0" w:val="clear"/>
          </w:tcPr>
          <w:p>
            <w:r>
              <w:rPr>
                <w:sz w:val="17"/>
              </w:rPr>
              <w:t>1,655</w:t>
            </w:r>
          </w:p>
        </w:tc>
        <w:tc>
          <w:tcPr>
            <w:tcW w:type="dxa" w:w="1440"/>
            <w:shd w:fill="FFDCE0" w:val="clear"/>
          </w:tcPr>
          <w:p>
            <w:r>
              <w:rPr>
                <w:b/>
                <w:color w:val="C00000"/>
                <w:sz w:val="17"/>
              </w:rPr>
              <w:t>-14.5%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307,43 milliards FCFA, un niveau significatif qui en fait l'une des valeurs moyennes à grandes capitalisations de la BRVM. Avec un BPA de 26 FCFA, le titre se négocie à un PER de 65,5x, soit un niveau extrêmement élevé comparé à la moyenne historique de la place (~8-12x), indiquant que les investisseurs paient une prime considérable pour chaque franc de bénéfice. Le P/B de 15,80x confirme cette surévaluation relative, le marché valorisant l'actif net comptable à plus de quinze fois sa valeur. Enfin, l'EV/EBITDA de 33,3x, bien au-delà du seuil exigeant de 15x, suggère que la valeur d'entreprise intègre des attentes de croissance très optimistes, potentiellement difficiles à tenir au regard des fondamentaux actuels.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cours de CFAC affiche une variation totale nulle (+0,00%), avec une dernière séance également stable, reflétant une phase de consolidation marquée. Le titre a évolué dans un range de 500 FCFA, oscillant entre un plus bas de 1 325 FCFA et un plus haut de 1 825 FCFA, soit une amplitude de 37,7%, indiquant une volatilité intra-période notable. La moyenne (1 607 FCFA) et la médiane (1 605 FCFA) sont quasi identiques, suggérant une distribution symétrique des prix, confirmée par un skewness de -0,373 et un kurtosis de -0,093 (mésokurtique). L'écart-type de 103 FCFA (CV=6,4%) révèle une dispersion modérée autour de la moyenne. La volatilité annualisée de 48,7% classe le titre dans la catégorie des actifs à très forte volatilité (&gt;30%), un paramètre essentiel pour la gestion du risque.</w:t>
      </w:r>
    </w:p>
    <w:p>
      <w:pPr>
        <w:spacing w:after="120" w:line="276" w:lineRule="auto" w:before="240"/>
      </w:pPr>
      <w:r>
        <w:rPr>
          <w:b/>
          <w:color w:val="003366"/>
          <w:sz w:val="24"/>
        </w:rPr>
        <w:t>**PARTIE 2 : ANALYSE TECHNIQUE DÉTAILLÉE**</w:t>
      </w:r>
    </w:p>
    <w:p>
      <w:pPr>
        <w:spacing w:after="120" w:line="276" w:lineRule="auto"/>
      </w:pPr>
      <w:r>
        <w:t>**Moyennes Mobiles** : Le cours actuel (1 695 FCFA) se positionne au-dessus de la MM20 (1 657,5 FCFA) et de la MM50 (1 654,7 FCFA), avec un écart de 2,3% et 2,4% respectivement. Cette configuration haussière, où le prix évolue au-dessus des deux moyennes, confirme une dynamique positive à court et moyen terme, justifiant la décision d'achat.</w:t>
      </w:r>
    </w:p>
    <w:p>
      <w:pPr>
        <w:spacing w:after="120" w:line="276" w:lineRule="auto"/>
      </w:pPr>
      <w:r>
        <w:t>**Bandes de Bollinger** : Le prix se situe à 1 695 FCFA, entre la borne supérieure (1 749,35 FCFA) et la borne inférieure (1 565,65 FCFA), occupant une position médiane-haute dans le canal. La largeur des bandes (183,7 FCFA) reflète une volatilité modérée. La décision neutre s'explique par l'absence de contact avec les bornes, le titre évoluant dans une zone de confort sans signal directionnel fort.</w:t>
      </w:r>
    </w:p>
    <w:p>
      <w:pPr>
        <w:spacing w:after="120" w:line="276" w:lineRule="auto"/>
      </w:pPr>
      <w:r>
        <w:t>**MACD** : La valeur du MACD (15,42) est supérieure à son signal (11,76), avec un écart positif de 3,66 points. Cette configuration haussière indique un momentum positif en cours de formation, le MACD étant au-dessus de sa ligne de signal, ce qui valide la décision d'achat.</w:t>
      </w:r>
    </w:p>
    <w:p>
      <w:pPr>
        <w:spacing w:after="120" w:line="276" w:lineRule="auto"/>
      </w:pPr>
      <w:r>
        <w:t>**RSI** : À 66,07, le RSI se situe dans la zone neutre-haute (30-70), proche du seuil de surachat (70). Cette valeur suggère une pression acheteuse encore présente mais potentiellement proche de l'épuisement. La décision neutre est cohérente avec cette position, le titre n'étant ni survendu ni suracheté de manière extrême.</w:t>
      </w:r>
    </w:p>
    <w:p>
      <w:pPr>
        <w:spacing w:after="120" w:line="276" w:lineRule="auto"/>
      </w:pPr>
      <w:r>
        <w:t>**Stochastique** : Le %K (94,44) et le %D (96,39) sont tous deux en zone de surachat extrême (&gt;80), avec un %K inférieur au %D, indiquant un croisement baissier potentiel. Cette configuration signale un essoufflement probable de la dynamique haussière à très court terme, justifiant la décision de vente.</w:t>
      </w:r>
    </w:p>
    <w:p>
      <w:pPr>
        <w:spacing w:after="120" w:line="276" w:lineRule="auto"/>
      </w:pPr>
      <w:r>
        <w:t>**Conclusion technique** : La convergence des signaux est mitigée : les moyennes mobiles et le MACD sont positifs, mais le stochastique en surachat extrême et le RSI proche de 70 suggèrent un risque de correction. Le titre est dans une phase haussière de moyen terme, mais les indicateurs de momentum court terme appellent à la prudence.</w:t>
      </w:r>
    </w:p>
    <w:p>
      <w:pPr>
        <w:spacing w:after="120" w:line="276" w:lineRule="auto" w:before="240"/>
      </w:pPr>
      <w:r>
        <w:rPr>
          <w:b/>
          <w:color w:val="003366"/>
          <w:sz w:val="24"/>
        </w:rPr>
        <w:t>**PARTIE 3 : ANALYSE FONDAMENTALE (SECTION CRITIQUE)**</w:t>
      </w:r>
    </w:p>
    <w:p>
      <w:pPr>
        <w:spacing w:after="120" w:line="276" w:lineRule="auto"/>
      </w:pPr>
      <w:r>
        <w:t>En 2024, CFAC (CFAO Motors CI) a réalisé un chiffre d'affaires de 158,313 milliards FCFA, en baisse de 12,1% par rapport à 2023 (180,162 milliards), avec un résultat net de 4,693 milliards FCFA, en recul de 26,7%. Le ROE s'établit à 24,13% (&gt;15%, excellent) et le ROA à 5,52%, malgré la contraction. La marge nette est de 2,96% et la marge opérationnelle de 4,96%. Le BFR est négatif (-3,482 milliards FCFA), ce qui est favorable, mais le délai clients de 36,64 jours et la durée de stockage de 88,35 jours pèsent sur la trésorerie. L'endettement est maîtrisé (ratio d'endettement de 23,07%). Les rapports trimestriels 2025 montrent un redressement spectaculaire : au T1 2025, le CA atteint 46,161 milliards (+14,5%) avec un résultat net de 3,836 milliards (+279,7%), et au S1 2025, le CA est de 91,182 milliards (+18,4%) avec un résultat net de 5,420 milliards (+152,7%). Sur cette base, on estime que l'exercice 2025 pourrait dépasser 190 milliards de CA et 10 milliards de résultat net, soit une croissance de 20% et 113% respectivement, confirmant la solidité du modèle économique et la position de leader (43,4% de parts de marché).</w:t>
      </w:r>
    </w:p>
    <w:p>
      <w:pPr>
        <w:spacing w:after="120" w:line="276" w:lineRule="auto" w:before="240"/>
      </w:pPr>
      <w:r>
        <w:rPr>
          <w:b/>
          <w:color w:val="003366"/>
          <w:sz w:val="24"/>
        </w:rPr>
        <w:t>**PARTIE 4 : CONCLUSION D'INVESTISSEMENT**</w:t>
      </w:r>
    </w:p>
    <w:p>
      <w:pPr>
        <w:spacing w:after="120" w:line="276" w:lineRule="auto"/>
      </w:pPr>
      <w:r>
        <w:t>La valorisation de CFAC est extrêmement exigeante (PER 65,5x, P/B 15,8x, EV/EBITDA 33,3x), indiquant une surévaluation relative par rapport aux fondamentaux actuels, malgré des ratios de rentabilité (ROE 24,1%) solides. Le comportement du cours sur 100 jours montre une stabilité (+0,00%) avec une volatilité élevée (48,7%), et des statistiques (kurtosis, skewness) suggérant une distribution normale sans extrême. Les signaux techniques sont mitigés : les moyennes mobiles et le MACD sont positifs, mais le stochastique en surachat extrême et le RSI proche de 70 signalent un risque de correction à court terme. Les fondamentaux 2025, estimés à partir des rapports trimestriels (T1 et S1), montrent un redressement net de la rentabilité, mais la valorisation actuelle intègre déjà ces attentes. Les prédictions IA (1 650 à 1 558 FCFA sur 10 jours) indiquent une baisse de 8,1%, contredisant les signaux techniques positifs. En synthèse, la convergence entre la surévaluation, les signaux techniques mitigés et les prédictions baissières conduit à une recommandation **CONSERVER** avec un niveau de confiance **Moyen** et un risque global **Élevé**. L'horizon optimal est le **moyen terme (3-12 mois)**, en attendant une correction du cours ou une confirmation durable de la croissance des bénéfices.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297.36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6,357 titres</w:t>
            </w:r>
          </w:p>
        </w:tc>
        <w:tc>
          <w:tcPr>
            <w:tcW w:type="dxa" w:w="2268"/>
            <w:shd w:fill="FFF2CC" w:val="clear"/>
          </w:tcPr>
          <w:p>
            <w:r>
              <w:rPr>
                <w:b/>
                <w:color w:val="503200"/>
                <w:sz w:val="16"/>
              </w:rPr>
              <w:t xml:space="preserve">Cours actuel : </w:t>
            </w:r>
            <w:r>
              <w:rPr>
                <w:color w:val="000000"/>
                <w:sz w:val="17"/>
              </w:rPr>
              <w:t>5,310 FCFA</w:t>
            </w:r>
          </w:p>
          <w:p>
            <w:r>
              <w:rPr>
                <w:b/>
                <w:color w:val="503200"/>
                <w:sz w:val="16"/>
              </w:rPr>
              <w:t xml:space="preserve">Var. 100 jours : </w:t>
            </w:r>
            <w:r>
              <w:rPr>
                <w:b/>
                <w:color w:val="007800"/>
                <w:sz w:val="17"/>
              </w:rPr>
              <w:t>+58.98%</w:t>
            </w:r>
          </w:p>
          <w:p>
            <w:r>
              <w:rPr>
                <w:b/>
                <w:color w:val="503200"/>
                <w:sz w:val="16"/>
              </w:rPr>
              <w:t xml:space="preserve">Plus haut 100j : </w:t>
            </w:r>
            <w:r>
              <w:rPr>
                <w:color w:val="000000"/>
                <w:sz w:val="17"/>
              </w:rPr>
              <w:t>5,485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21.92% (Élevée) — μ=4,233 FCFA, σ=928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β=0.7836 (Défensif) — Cov=0.000028, Var(idx)=0.000036, ρ=0.161,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2026-08-12</w:t>
            </w:r>
          </w:p>
        </w:tc>
        <w:tc>
          <w:tcPr>
            <w:tcW w:type="dxa" w:w="1440"/>
            <w:shd w:fill="FFDCE0" w:val="clear"/>
          </w:tcPr>
          <w:p>
            <w:r>
              <w:rPr>
                <w:sz w:val="17"/>
              </w:rPr>
              <w:t>4,705</w:t>
            </w:r>
          </w:p>
        </w:tc>
        <w:tc>
          <w:tcPr>
            <w:tcW w:type="dxa" w:w="1440"/>
            <w:shd w:fill="FFDCE0" w:val="clear"/>
          </w:tcPr>
          <w:p>
            <w:r>
              <w:rPr>
                <w:b/>
                <w:sz w:val="17"/>
              </w:rPr>
              <w:t>4,912</w:t>
            </w:r>
          </w:p>
        </w:tc>
        <w:tc>
          <w:tcPr>
            <w:tcW w:type="dxa" w:w="1440"/>
            <w:shd w:fill="FFDCE0" w:val="clear"/>
          </w:tcPr>
          <w:p>
            <w:r>
              <w:rPr>
                <w:sz w:val="17"/>
              </w:rPr>
              <w:t>5,119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2026-08-13</w:t>
            </w:r>
          </w:p>
        </w:tc>
        <w:tc>
          <w:tcPr>
            <w:tcW w:type="dxa" w:w="1440"/>
            <w:shd w:fill="FFDCE0" w:val="clear"/>
          </w:tcPr>
          <w:p>
            <w:r>
              <w:rPr>
                <w:sz w:val="17"/>
              </w:rPr>
              <w:t>4,273</w:t>
            </w:r>
          </w:p>
        </w:tc>
        <w:tc>
          <w:tcPr>
            <w:tcW w:type="dxa" w:w="1440"/>
            <w:shd w:fill="FFDCE0" w:val="clear"/>
          </w:tcPr>
          <w:p>
            <w:r>
              <w:rPr>
                <w:b/>
                <w:sz w:val="17"/>
              </w:rPr>
              <w:t>4,543</w:t>
            </w:r>
          </w:p>
        </w:tc>
        <w:tc>
          <w:tcPr>
            <w:tcW w:type="dxa" w:w="1440"/>
            <w:shd w:fill="FFDCE0" w:val="clear"/>
          </w:tcPr>
          <w:p>
            <w:r>
              <w:rPr>
                <w:sz w:val="17"/>
              </w:rPr>
              <w:t>4,814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2026-08-14</w:t>
            </w:r>
          </w:p>
        </w:tc>
        <w:tc>
          <w:tcPr>
            <w:tcW w:type="dxa" w:w="1440"/>
            <w:shd w:fill="FFDCE0" w:val="clear"/>
          </w:tcPr>
          <w:p>
            <w:r>
              <w:rPr>
                <w:sz w:val="17"/>
              </w:rPr>
              <w:t>3,896</w:t>
            </w:r>
          </w:p>
        </w:tc>
        <w:tc>
          <w:tcPr>
            <w:tcW w:type="dxa" w:w="1440"/>
            <w:shd w:fill="FFDCE0" w:val="clear"/>
          </w:tcPr>
          <w:p>
            <w:r>
              <w:rPr>
                <w:b/>
                <w:sz w:val="17"/>
              </w:rPr>
              <w:t>4,203</w:t>
            </w:r>
          </w:p>
        </w:tc>
        <w:tc>
          <w:tcPr>
            <w:tcW w:type="dxa" w:w="1440"/>
            <w:shd w:fill="FFDCE0" w:val="clear"/>
          </w:tcPr>
          <w:p>
            <w:r>
              <w:rPr>
                <w:sz w:val="17"/>
              </w:rPr>
              <w:t>4,509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3,560</w:t>
            </w:r>
          </w:p>
        </w:tc>
        <w:tc>
          <w:tcPr>
            <w:tcW w:type="dxa" w:w="1440"/>
            <w:shd w:fill="FFDCE0" w:val="clear"/>
          </w:tcPr>
          <w:p>
            <w:r>
              <w:rPr>
                <w:b/>
                <w:sz w:val="17"/>
              </w:rPr>
              <w:t>3,887</w:t>
            </w:r>
          </w:p>
        </w:tc>
        <w:tc>
          <w:tcPr>
            <w:tcW w:type="dxa" w:w="1440"/>
            <w:shd w:fill="FFDCE0" w:val="clear"/>
          </w:tcPr>
          <w:p>
            <w:r>
              <w:rPr>
                <w:sz w:val="17"/>
              </w:rPr>
              <w:t>4,215</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3,257</w:t>
            </w:r>
          </w:p>
        </w:tc>
        <w:tc>
          <w:tcPr>
            <w:tcW w:type="dxa" w:w="1440"/>
            <w:shd w:fill="FFDCE0" w:val="clear"/>
          </w:tcPr>
          <w:p>
            <w:r>
              <w:rPr>
                <w:b/>
                <w:sz w:val="17"/>
              </w:rPr>
              <w:t>3,596</w:t>
            </w:r>
          </w:p>
        </w:tc>
        <w:tc>
          <w:tcPr>
            <w:tcW w:type="dxa" w:w="1440"/>
            <w:shd w:fill="FFDCE0" w:val="clear"/>
          </w:tcPr>
          <w:p>
            <w:r>
              <w:rPr>
                <w:sz w:val="17"/>
              </w:rPr>
              <w:t>3,935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3,113</w:t>
            </w:r>
          </w:p>
        </w:tc>
        <w:tc>
          <w:tcPr>
            <w:tcW w:type="dxa" w:w="1440"/>
            <w:shd w:fill="FFDCE0" w:val="clear"/>
          </w:tcPr>
          <w:p>
            <w:r>
              <w:rPr>
                <w:b/>
                <w:sz w:val="17"/>
              </w:rPr>
              <w:t>3,471</w:t>
            </w:r>
          </w:p>
        </w:tc>
        <w:tc>
          <w:tcPr>
            <w:tcW w:type="dxa" w:w="1440"/>
            <w:shd w:fill="FFDCE0" w:val="clear"/>
          </w:tcPr>
          <w:p>
            <w:r>
              <w:rPr>
                <w:sz w:val="17"/>
              </w:rPr>
              <w:t>3,829</w:t>
            </w:r>
          </w:p>
        </w:tc>
        <w:tc>
          <w:tcPr>
            <w:tcW w:type="dxa" w:w="1440"/>
            <w:shd w:fill="FFDCE0" w:val="clear"/>
          </w:tcPr>
          <w:p>
            <w:r>
              <w:rPr>
                <w:b/>
                <w:color w:val="C00000"/>
                <w:sz w:val="17"/>
              </w:rPr>
              <w:t>-34.6%</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3,010</w:t>
            </w:r>
          </w:p>
        </w:tc>
        <w:tc>
          <w:tcPr>
            <w:tcW w:type="dxa" w:w="1440"/>
            <w:shd w:fill="FFDCE0" w:val="clear"/>
          </w:tcPr>
          <w:p>
            <w:r>
              <w:rPr>
                <w:b/>
                <w:sz w:val="17"/>
              </w:rPr>
              <w:t>3,388</w:t>
            </w:r>
          </w:p>
        </w:tc>
        <w:tc>
          <w:tcPr>
            <w:tcW w:type="dxa" w:w="1440"/>
            <w:shd w:fill="FFDCE0" w:val="clear"/>
          </w:tcPr>
          <w:p>
            <w:r>
              <w:rPr>
                <w:sz w:val="17"/>
              </w:rPr>
              <w:t>3,765</w:t>
            </w:r>
          </w:p>
        </w:tc>
        <w:tc>
          <w:tcPr>
            <w:tcW w:type="dxa" w:w="1440"/>
            <w:shd w:fill="FFDCE0" w:val="clear"/>
          </w:tcPr>
          <w:p>
            <w:r>
              <w:rPr>
                <w:b/>
                <w:color w:val="C00000"/>
                <w:sz w:val="17"/>
              </w:rPr>
              <w:t>-36.2%</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2,918</w:t>
            </w:r>
          </w:p>
        </w:tc>
        <w:tc>
          <w:tcPr>
            <w:tcW w:type="dxa" w:w="1440"/>
            <w:shd w:fill="FFDCE0" w:val="clear"/>
          </w:tcPr>
          <w:p>
            <w:r>
              <w:rPr>
                <w:b/>
                <w:sz w:val="17"/>
              </w:rPr>
              <w:t>3,313</w:t>
            </w:r>
          </w:p>
        </w:tc>
        <w:tc>
          <w:tcPr>
            <w:tcW w:type="dxa" w:w="1440"/>
            <w:shd w:fill="FFDCE0" w:val="clear"/>
          </w:tcPr>
          <w:p>
            <w:r>
              <w:rPr>
                <w:sz w:val="17"/>
              </w:rPr>
              <w:t>3,708</w:t>
            </w:r>
          </w:p>
        </w:tc>
        <w:tc>
          <w:tcPr>
            <w:tcW w:type="dxa" w:w="1440"/>
            <w:shd w:fill="FFDCE0" w:val="clear"/>
          </w:tcPr>
          <w:p>
            <w:r>
              <w:rPr>
                <w:b/>
                <w:color w:val="C00000"/>
                <w:sz w:val="17"/>
              </w:rPr>
              <w:t>-37.6%</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2,835</w:t>
            </w:r>
          </w:p>
        </w:tc>
        <w:tc>
          <w:tcPr>
            <w:tcW w:type="dxa" w:w="1440"/>
            <w:shd w:fill="FFDCE0" w:val="clear"/>
          </w:tcPr>
          <w:p>
            <w:r>
              <w:rPr>
                <w:b/>
                <w:sz w:val="17"/>
              </w:rPr>
              <w:t>3,246</w:t>
            </w:r>
          </w:p>
        </w:tc>
        <w:tc>
          <w:tcPr>
            <w:tcW w:type="dxa" w:w="1440"/>
            <w:shd w:fill="FFDCE0" w:val="clear"/>
          </w:tcPr>
          <w:p>
            <w:r>
              <w:rPr>
                <w:sz w:val="17"/>
              </w:rPr>
              <w:t>3,656</w:t>
            </w:r>
          </w:p>
        </w:tc>
        <w:tc>
          <w:tcPr>
            <w:tcW w:type="dxa" w:w="1440"/>
            <w:shd w:fill="FFDCE0" w:val="clear"/>
          </w:tcPr>
          <w:p>
            <w:r>
              <w:rPr>
                <w:b/>
                <w:color w:val="C00000"/>
                <w:sz w:val="17"/>
              </w:rPr>
              <w:t>-38.9%</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2,760</w:t>
            </w:r>
          </w:p>
        </w:tc>
        <w:tc>
          <w:tcPr>
            <w:tcW w:type="dxa" w:w="1440"/>
            <w:shd w:fill="FFDCE0" w:val="clear"/>
          </w:tcPr>
          <w:p>
            <w:r>
              <w:rPr>
                <w:b/>
                <w:sz w:val="17"/>
              </w:rPr>
              <w:t>3,185</w:t>
            </w:r>
          </w:p>
        </w:tc>
        <w:tc>
          <w:tcPr>
            <w:tcW w:type="dxa" w:w="1440"/>
            <w:shd w:fill="FFDCE0" w:val="clear"/>
          </w:tcPr>
          <w:p>
            <w:r>
              <w:rPr>
                <w:sz w:val="17"/>
              </w:rPr>
              <w:t>3,609</w:t>
            </w:r>
          </w:p>
        </w:tc>
        <w:tc>
          <w:tcPr>
            <w:tcW w:type="dxa" w:w="1440"/>
            <w:shd w:fill="FFDCE0" w:val="clear"/>
          </w:tcPr>
          <w:p>
            <w:r>
              <w:rPr>
                <w:b/>
                <w:color w:val="C00000"/>
                <w:sz w:val="17"/>
              </w:rPr>
              <w:t>-40.0%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Absolument. Voici le rapport d'analyse financière structuré pour l'action CIEC,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297,36 milliards FCFA, ce qui en fait une valeur de première importance sur la BRVM, reflétant son statut de leader dans le secteur de l'électricité en Côte d'Ivoire. Avec un BPA de 234 FCFA, le titre se négocie à un PER de 22,7x, un niveau nettement supérieur à la moyenne du marché BRVM (8-12x), indiquant que les investisseurs anticipent une croissance future des bénéfices, mais paient également une prime significative. Le P/B de 8,27x confirme cette valorisation exigeante, le marché valorisant fortement les actifs nets de la société. Enfin, un EV/EBITDA de 13,1x, bien que dans la fourchette haute (10-15x), suggère que la valeur totale de l'entreprise (capitalisation + dette nette) reste justifiable par sa capacité opérationnelle à générer des flux, mais avec une marge de sécurité limitée.</w:t>
      </w:r>
    </w:p>
    <w:p>
      <w:pPr>
        <w:spacing w:after="120" w:line="276" w:lineRule="auto"/>
      </w:pPr>
      <w:r>
        <w:t>### PARTIE 1 : ANALYSE DU COURS — STATISTIQUES ET ÉVOLUTION (100 derniers jours)</w:t>
      </w:r>
    </w:p>
    <w:p>
      <w:pPr>
        <w:spacing w:after="120" w:line="276" w:lineRule="auto"/>
      </w:pPr>
      <w:r>
        <w:t>Sur les 100 derniers jours, l'action CIEC a enregistré une performance exceptionnelle de +58,98%, avec une dernière séance en hausse de +3,11% à 5 310 FCFA. Le titre a évolué dans une fourchette très large, entre un plus bas de 3 000 FCFA et un plus haut de 5 485 FCFA, démontrant une forte dynamique haussière. Les statistiques descriptives révèlent une moyenne de 4 233 FCFA, inférieure à la médiane de 4 358 FCFA, ce qui indique une distribution légèrement asymétrique à gauche, mais le skewness de -0,054 confirme une symétrie quasi parfaite. L'écart-type de 933 FCFA (CV=22%) montre une dispersion modérée des prix autour de la moyenne. Le kurtosis de -1,830 (platykurtique) indique une distribution aplatie, avec moins de valeurs extrêmes que la normale, ce qui suggère des mouvements de prix moins brusques qu'attendu. La volatilité annualisée de 46,3% classe le titre comme très volatil, un niveau élevé qui implique un risque important mais aussi un fort potentiel de rendement.</w:t>
      </w:r>
    </w:p>
    <w:p>
      <w:pPr>
        <w:spacing w:after="120" w:line="276" w:lineRule="auto"/>
      </w:pPr>
      <w:r>
        <w:t>### PARTIE 2 : ANALYSE TECHNIQUE DÉTAILLÉE</w:t>
      </w:r>
    </w:p>
    <w:p>
      <w:pPr>
        <w:spacing w:after="120" w:line="276" w:lineRule="auto"/>
      </w:pPr>
      <w:r>
        <w:t>**Moyennes Mobiles** : Le cours actuel de 5 310 FCFA est supérieur à la MM20 (5 140,25 FCFA) et à la MM50 (5 129,4 FCFA). Cette configuration, où le prix est au-dessus des deux moyennes, est un signal haussier classique. La décision "Achat" est justifiée par la tendance positive à court et moyen terme, le cours agissant comme un support dynamique.</w:t>
      </w:r>
    </w:p>
    <w:p>
      <w:pPr>
        <w:spacing w:after="120" w:line="276" w:lineRule="auto"/>
      </w:pPr>
      <w:r>
        <w:t>**Bandes de Bollinger** : Le prix se situe à 5 310 FCFA, en dessous de la borne supérieure (5 408,86 FCFA) mais au-dessus de la borne inférieure (4 871,64 FCFA). La position dans la partie haute des bandes indique une pression acheteuse, mais sans atteindre la zone de surachat extrême. La décision "Neutre" s'explique par le fait que le prix n'a pas encore touché la borne supérieure, laissant une marge de progression avant une potentielle correction.</w:t>
      </w:r>
    </w:p>
    <w:p>
      <w:pPr>
        <w:spacing w:after="120" w:line="276" w:lineRule="auto"/>
      </w:pPr>
      <w:r>
        <w:t>**MACD** : La valeur du MACD (14,607) est inférieure à son signal (26,03), ce qui constitue un croisement baissier. Ce signal indique un ralentissement du momentum haussier à court terme. La décision "Vente" est donc cohérente avec cette perte de dynamisme, même si le MACD reste en territoire positif, ce qui nuance la force du signal vendeur.</w:t>
      </w:r>
    </w:p>
    <w:p>
      <w:pPr>
        <w:spacing w:after="120" w:line="276" w:lineRule="auto"/>
      </w:pPr>
      <w:r>
        <w:t>**RSI** : Avec une valeur de 54,08, le RSI se situe en zone neutre, entre 30 et 70. Cela indique que le titre n'est ni suracheté ni survendu, laissant place à une poursuite de la tendance. La décision "Neutre" est justifiée, car le RSI ne fournit pas de signal directionnel fort, mais suggère un équilibre entre acheteurs et vendeurs.</w:t>
      </w:r>
    </w:p>
    <w:p>
      <w:pPr>
        <w:spacing w:after="120" w:line="276" w:lineRule="auto"/>
      </w:pPr>
      <w:r>
        <w:t>**Stochastique** : Le %K (79,75) est nettement supérieur au %D (41,77), indiquant une dynamique haussière récente. Cependant, le %K approche de la zone de surachat (&gt;80), ce qui pourrait signaler un essoufflement à venir. La décision "Neutre" est prudente, car le croisement haussier est en place, mais la proximité de la zone de surachat incite à la vigilance.</w:t>
      </w:r>
    </w:p>
    <w:p>
      <w:pPr>
        <w:spacing w:after="120" w:line="276" w:lineRule="auto"/>
      </w:pPr>
      <w:r>
        <w:t>**Conclusion technique** : La tendance de fond reste haussière, portée par des moyennes mobiles orientées à la hausse et un prix au-dessus de celles-ci. Cependant, les indicateurs de momentum (MACD, Stochastique) montrent des signes de ralentissement ou de surachat imminent. Le RSI neutre et les bandes de Bollinger non extrêmes suggèrent que le mouvement haussier pourrait se poursuivre, mais avec une volatilité accrue et un risque de consolidation à court terme.</w:t>
      </w:r>
    </w:p>
    <w:p>
      <w:pPr>
        <w:spacing w:after="120" w:line="276" w:lineRule="auto"/>
      </w:pPr>
      <w:r>
        <w:t>### PARTIE 3 : ANALYSE FONDAMENTALE (SECTION CRITIQUE)</w:t>
      </w:r>
    </w:p>
    <w:p>
      <w:pPr>
        <w:spacing w:after="120" w:line="276" w:lineRule="auto"/>
      </w:pPr>
      <w:r>
        <w:t>En 2025, la CIEC a réalisé un chiffre d'affaires de 302,320 milliards FCFA, en hausse de 14,8% par rapport à 2024, et un résultat net de 13,127 milliards FCFA, en progression de 24,4%. Cette performance est portée par une excellente rentabilité des fonds propres (ROE) de 36,5%, bien au-dessus du seuil de 15% jugé excellent. En tant qu'entreprise non bancaire, l'analyse se concentre sur les délais d'exploitation : le délai de paiement des clients est très élevé (164 jours), ce qui représente un risque de trésorerie significatif, mais il est compensé par un délai de paiement des fournisseurs encore plus long (970 jours), un BFR négatif de -90,244 milliards FCFA, ce qui est très favorable pour la trésorerie. Le rapport annuel 2025 (daté du 31/12/2025) confirme cette croissance et souligne une politique de dividende attractive de 234 FCFA par action, soit un taux de distribution de 99,8% du résultat net. Sur la base du rapport du 1er semestre 2025, qui affichait un CA de 134,923 milliards FCFA (+18,85%) et un résultat net de 5,096 milliards FCFA, on estime que la croissance s'est accélérée au second semestre, ce qui est cohérent avec les résultats annuels. La structure financière reste fragile avec un ratio d'endettement très élevé (612,9%) et une autonomie financière faible (1,78%), mais la solvabilité générale (101,8%) et la couverture des intérêts (617,7%) sont positives. La recommandation fondamentale est de **CONSERVER**, car la société est solide et rentable, mais sa valorisation et son niveau d'endettement imposent une certaine prudence.</w:t>
      </w:r>
    </w:p>
    <w:p>
      <w:pPr>
        <w:spacing w:after="120" w:line="276" w:lineRule="auto"/>
      </w:pPr>
      <w:r>
        <w:t>### PARTIE 4 : CONCLUSION D'INVESTISSEMENT</w:t>
      </w:r>
    </w:p>
    <w:p>
      <w:pPr>
        <w:spacing w:after="120" w:line="276" w:lineRule="auto"/>
      </w:pPr>
      <w:r>
        <w:t>La valorisation de la CIEC est exigeante, avec un PER de 22,7x et un P/B de 8,27x, indiquant une prime par rapport au marché BRVM, justifiée par une croissance solide et une rentabilité élevée. Le comportement du cours est très favorable, avec une tendance haussière marquée sur 100 jours (+58,98%) et une volatilité élevée (46,3%), offrant un potentiel mais aussi un risque. Les signaux techniques sont mitigés : la tendance de fond est haussière (MM), mais les indicateurs de momentum (MACD, Stochastique) montrent des signes de faiblesse à court terme. Les fondamentaux sont solides, avec une croissance du CA et du résultat net, un ROE excellent, mais une structure financière fragile et un risque de crédit client élevé. Les prédictions IA pour les 10 prochains jours suggèrent une correction brutale du cours, passant de 5 310 FCFA à 3 596 FCFA, ce qui contredit fortement la tendance haussière actuelle et les signaux techniques de moyen terme. Cette divergence entre la prédiction IA et les fondamentaux suggère une possible surchauffe du titre à court terme. En synthèse, la recommandation est de **CONSERVER** le titre pour les investisseurs à long terme, mais de rester extrêmement vigilant à court terme. Le niveau de confiance est **Moyen** et le risque global est **Élevé**. L'horizon d'investissement optimal serait le **moyen terme (3-12 mois)**, en attendant de voir si la correction prédite par l'IA se matérialise ou si le titre continue sa progression.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880.81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3,463 titres</w:t>
            </w:r>
          </w:p>
        </w:tc>
        <w:tc>
          <w:tcPr>
            <w:tcW w:type="dxa" w:w="2268"/>
            <w:shd w:fill="FFF2CC" w:val="clear"/>
          </w:tcPr>
          <w:p>
            <w:r>
              <w:rPr>
                <w:b/>
                <w:color w:val="503200"/>
                <w:sz w:val="16"/>
              </w:rPr>
              <w:t xml:space="preserve">Cours actuel : </w:t>
            </w:r>
            <w:r>
              <w:rPr>
                <w:color w:val="000000"/>
                <w:sz w:val="17"/>
              </w:rPr>
              <w:t>16,000 FCFA</w:t>
            </w:r>
          </w:p>
          <w:p>
            <w:r>
              <w:rPr>
                <w:b/>
                <w:color w:val="503200"/>
                <w:sz w:val="16"/>
              </w:rPr>
              <w:t xml:space="preserve">Var. 100 jours : </w:t>
            </w:r>
            <w:r>
              <w:rPr>
                <w:b/>
                <w:color w:val="B40000"/>
                <w:sz w:val="17"/>
              </w:rPr>
              <w:t>-3.61%</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2.12% (Faible) — μ=16,325 FCFA, σ=347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β=0.2652 (Défensif) — Cov=0.000010, Var(idx)=0.000036, ρ=0.095,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2026-08-12</w:t>
            </w:r>
          </w:p>
        </w:tc>
        <w:tc>
          <w:tcPr>
            <w:tcW w:type="dxa" w:w="1440"/>
            <w:shd w:fill="FAFAFA" w:val="clear"/>
          </w:tcPr>
          <w:p>
            <w:r>
              <w:rPr>
                <w:sz w:val="17"/>
              </w:rPr>
              <w:t>15,603</w:t>
            </w:r>
          </w:p>
        </w:tc>
        <w:tc>
          <w:tcPr>
            <w:tcW w:type="dxa" w:w="1440"/>
            <w:shd w:fill="FAFAFA" w:val="clear"/>
          </w:tcPr>
          <w:p>
            <w:r>
              <w:rPr>
                <w:b/>
                <w:sz w:val="17"/>
              </w:rPr>
              <w:t>16,076</w:t>
            </w:r>
          </w:p>
        </w:tc>
        <w:tc>
          <w:tcPr>
            <w:tcW w:type="dxa" w:w="1440"/>
            <w:shd w:fill="FAFAFA" w:val="clear"/>
          </w:tcPr>
          <w:p>
            <w:r>
              <w:rPr>
                <w:sz w:val="17"/>
              </w:rPr>
              <w:t>16,549</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2026-08-13</w:t>
            </w:r>
          </w:p>
        </w:tc>
        <w:tc>
          <w:tcPr>
            <w:tcW w:type="dxa" w:w="1440"/>
            <w:shd w:fill="FAFAFA" w:val="clear"/>
          </w:tcPr>
          <w:p>
            <w:r>
              <w:rPr>
                <w:sz w:val="17"/>
              </w:rPr>
              <w:t>15,388</w:t>
            </w:r>
          </w:p>
        </w:tc>
        <w:tc>
          <w:tcPr>
            <w:tcW w:type="dxa" w:w="1440"/>
            <w:shd w:fill="FAFAFA" w:val="clear"/>
          </w:tcPr>
          <w:p>
            <w:r>
              <w:rPr>
                <w:b/>
                <w:sz w:val="17"/>
              </w:rPr>
              <w:t>16,056</w:t>
            </w:r>
          </w:p>
        </w:tc>
        <w:tc>
          <w:tcPr>
            <w:tcW w:type="dxa" w:w="1440"/>
            <w:shd w:fill="FAFAFA" w:val="clear"/>
          </w:tcPr>
          <w:p>
            <w:r>
              <w:rPr>
                <w:sz w:val="17"/>
              </w:rPr>
              <w:t>16,724</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2026-08-14</w:t>
            </w:r>
          </w:p>
        </w:tc>
        <w:tc>
          <w:tcPr>
            <w:tcW w:type="dxa" w:w="1440"/>
            <w:shd w:fill="FAFAFA" w:val="clear"/>
          </w:tcPr>
          <w:p>
            <w:r>
              <w:rPr>
                <w:sz w:val="17"/>
              </w:rPr>
              <w:t>15,227</w:t>
            </w:r>
          </w:p>
        </w:tc>
        <w:tc>
          <w:tcPr>
            <w:tcW w:type="dxa" w:w="1440"/>
            <w:shd w:fill="FAFAFA" w:val="clear"/>
          </w:tcPr>
          <w:p>
            <w:r>
              <w:rPr>
                <w:b/>
                <w:sz w:val="17"/>
              </w:rPr>
              <w:t>16,045</w:t>
            </w:r>
          </w:p>
        </w:tc>
        <w:tc>
          <w:tcPr>
            <w:tcW w:type="dxa" w:w="1440"/>
            <w:shd w:fill="FAFAFA" w:val="clear"/>
          </w:tcPr>
          <w:p>
            <w:r>
              <w:rPr>
                <w:sz w:val="17"/>
              </w:rPr>
              <w:t>16,862</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2026-08-17</w:t>
            </w:r>
          </w:p>
        </w:tc>
        <w:tc>
          <w:tcPr>
            <w:tcW w:type="dxa" w:w="1440"/>
            <w:shd w:fill="FAFAFA" w:val="clear"/>
          </w:tcPr>
          <w:p>
            <w:r>
              <w:rPr>
                <w:sz w:val="17"/>
              </w:rPr>
              <w:t>15,090</w:t>
            </w:r>
          </w:p>
        </w:tc>
        <w:tc>
          <w:tcPr>
            <w:tcW w:type="dxa" w:w="1440"/>
            <w:shd w:fill="FAFAFA" w:val="clear"/>
          </w:tcPr>
          <w:p>
            <w:r>
              <w:rPr>
                <w:b/>
                <w:sz w:val="17"/>
              </w:rPr>
              <w:t>16,034</w:t>
            </w:r>
          </w:p>
        </w:tc>
        <w:tc>
          <w:tcPr>
            <w:tcW w:type="dxa" w:w="1440"/>
            <w:shd w:fill="FAFAFA" w:val="clear"/>
          </w:tcPr>
          <w:p>
            <w:r>
              <w:rPr>
                <w:sz w:val="17"/>
              </w:rPr>
              <w:t>16,977</w:t>
            </w:r>
          </w:p>
        </w:tc>
        <w:tc>
          <w:tcPr>
            <w:tcW w:type="dxa" w:w="1440"/>
            <w:shd w:fill="FAFAFA" w:val="clear"/>
          </w:tcPr>
          <w:p>
            <w:r>
              <w:rPr>
                <w:b/>
                <w:color w:val="008000"/>
                <w:sz w:val="17"/>
              </w:rPr>
              <w:t>+0.2%</w:t>
            </w:r>
          </w:p>
        </w:tc>
      </w:tr>
      <w:tr>
        <w:tc>
          <w:tcPr>
            <w:tcW w:type="dxa" w:w="1440"/>
            <w:shd w:fill="FAFAFA" w:val="clear"/>
          </w:tcPr>
          <w:p>
            <w:r>
              <w:rPr>
                <w:sz w:val="17"/>
              </w:rPr>
              <w:t>J+5  Moyenne</w:t>
            </w:r>
          </w:p>
        </w:tc>
        <w:tc>
          <w:tcPr>
            <w:tcW w:type="dxa" w:w="1440"/>
            <w:shd w:fill="FAFAFA" w:val="clear"/>
          </w:tcPr>
          <w:p>
            <w:r>
              <w:rPr>
                <w:sz w:val="17"/>
              </w:rPr>
              <w:t>2026-08-18</w:t>
            </w:r>
          </w:p>
        </w:tc>
        <w:tc>
          <w:tcPr>
            <w:tcW w:type="dxa" w:w="1440"/>
            <w:shd w:fill="FAFAFA" w:val="clear"/>
          </w:tcPr>
          <w:p>
            <w:r>
              <w:rPr>
                <w:sz w:val="17"/>
              </w:rPr>
              <w:t>14,968</w:t>
            </w:r>
          </w:p>
        </w:tc>
        <w:tc>
          <w:tcPr>
            <w:tcW w:type="dxa" w:w="1440"/>
            <w:shd w:fill="FAFAFA" w:val="clear"/>
          </w:tcPr>
          <w:p>
            <w:r>
              <w:rPr>
                <w:b/>
                <w:sz w:val="17"/>
              </w:rPr>
              <w:t>16,022</w:t>
            </w:r>
          </w:p>
        </w:tc>
        <w:tc>
          <w:tcPr>
            <w:tcW w:type="dxa" w:w="1440"/>
            <w:shd w:fill="FAFAFA" w:val="clear"/>
          </w:tcPr>
          <w:p>
            <w:r>
              <w:rPr>
                <w:sz w:val="17"/>
              </w:rPr>
              <w:t>17,076</w:t>
            </w:r>
          </w:p>
        </w:tc>
        <w:tc>
          <w:tcPr>
            <w:tcW w:type="dxa" w:w="1440"/>
            <w:shd w:fill="FAFAFA" w:val="clear"/>
          </w:tcPr>
          <w:p>
            <w:r>
              <w:rPr>
                <w:b/>
                <w:color w:val="008000"/>
                <w:sz w:val="17"/>
              </w:rPr>
              <w:t>+0.1%</w:t>
            </w:r>
          </w:p>
        </w:tc>
      </w:tr>
      <w:tr>
        <w:tc>
          <w:tcPr>
            <w:tcW w:type="dxa" w:w="1440"/>
            <w:shd w:fill="FAFAFA" w:val="clear"/>
          </w:tcPr>
          <w:p>
            <w:r>
              <w:rPr>
                <w:sz w:val="17"/>
              </w:rPr>
              <w:t>J+6  Moyenne</w:t>
            </w:r>
          </w:p>
        </w:tc>
        <w:tc>
          <w:tcPr>
            <w:tcW w:type="dxa" w:w="1440"/>
            <w:shd w:fill="FAFAFA" w:val="clear"/>
          </w:tcPr>
          <w:p>
            <w:r>
              <w:rPr>
                <w:sz w:val="17"/>
              </w:rPr>
              <w:t>2026-08-19</w:t>
            </w:r>
          </w:p>
        </w:tc>
        <w:tc>
          <w:tcPr>
            <w:tcW w:type="dxa" w:w="1440"/>
            <w:shd w:fill="FAFAFA" w:val="clear"/>
          </w:tcPr>
          <w:p>
            <w:r>
              <w:rPr>
                <w:sz w:val="17"/>
              </w:rPr>
              <w:t>14,856</w:t>
            </w:r>
          </w:p>
        </w:tc>
        <w:tc>
          <w:tcPr>
            <w:tcW w:type="dxa" w:w="1440"/>
            <w:shd w:fill="FAFAFA" w:val="clear"/>
          </w:tcPr>
          <w:p>
            <w:r>
              <w:rPr>
                <w:b/>
                <w:sz w:val="17"/>
              </w:rPr>
              <w:t>16,010</w:t>
            </w:r>
          </w:p>
        </w:tc>
        <w:tc>
          <w:tcPr>
            <w:tcW w:type="dxa" w:w="1440"/>
            <w:shd w:fill="FAFAFA" w:val="clear"/>
          </w:tcPr>
          <w:p>
            <w:r>
              <w:rPr>
                <w:sz w:val="17"/>
              </w:rPr>
              <w:t>17,164</w:t>
            </w:r>
          </w:p>
        </w:tc>
        <w:tc>
          <w:tcPr>
            <w:tcW w:type="dxa" w:w="1440"/>
            <w:shd w:fill="FAFAFA" w:val="clear"/>
          </w:tcPr>
          <w:p>
            <w:r>
              <w:rPr>
                <w:b/>
                <w:color w:val="008000"/>
                <w:sz w:val="17"/>
              </w:rPr>
              <w:t>+0.1%</w:t>
            </w:r>
          </w:p>
        </w:tc>
      </w:tr>
      <w:tr>
        <w:tc>
          <w:tcPr>
            <w:tcW w:type="dxa" w:w="1440"/>
            <w:shd w:fill="FAFAFA" w:val="clear"/>
          </w:tcPr>
          <w:p>
            <w:r>
              <w:rPr>
                <w:sz w:val="17"/>
              </w:rPr>
              <w:t>J+7  Moyenne</w:t>
            </w:r>
          </w:p>
        </w:tc>
        <w:tc>
          <w:tcPr>
            <w:tcW w:type="dxa" w:w="1440"/>
            <w:shd w:fill="FAFAFA" w:val="clear"/>
          </w:tcPr>
          <w:p>
            <w:r>
              <w:rPr>
                <w:sz w:val="17"/>
              </w:rPr>
              <w:t>2026-08-20</w:t>
            </w:r>
          </w:p>
        </w:tc>
        <w:tc>
          <w:tcPr>
            <w:tcW w:type="dxa" w:w="1440"/>
            <w:shd w:fill="FAFAFA" w:val="clear"/>
          </w:tcPr>
          <w:p>
            <w:r>
              <w:rPr>
                <w:sz w:val="17"/>
              </w:rPr>
              <w:t>14,753</w:t>
            </w:r>
          </w:p>
        </w:tc>
        <w:tc>
          <w:tcPr>
            <w:tcW w:type="dxa" w:w="1440"/>
            <w:shd w:fill="FAFAFA" w:val="clear"/>
          </w:tcPr>
          <w:p>
            <w:r>
              <w:rPr>
                <w:b/>
                <w:sz w:val="17"/>
              </w:rPr>
              <w:t>15,998</w:t>
            </w:r>
          </w:p>
        </w:tc>
        <w:tc>
          <w:tcPr>
            <w:tcW w:type="dxa" w:w="1440"/>
            <w:shd w:fill="FAFAFA" w:val="clear"/>
          </w:tcPr>
          <w:p>
            <w:r>
              <w:rPr>
                <w:sz w:val="17"/>
              </w:rPr>
              <w:t>17,243</w:t>
            </w:r>
          </w:p>
        </w:tc>
        <w:tc>
          <w:tcPr>
            <w:tcW w:type="dxa" w:w="1440"/>
            <w:shd w:fill="FAFAFA" w:val="clear"/>
          </w:tcPr>
          <w:p>
            <w:r>
              <w:rPr>
                <w:b/>
                <w:color w:val="C00000"/>
                <w:sz w:val="17"/>
              </w:rPr>
              <w:t>-0.0%</w:t>
            </w:r>
          </w:p>
        </w:tc>
      </w:tr>
      <w:tr>
        <w:tc>
          <w:tcPr>
            <w:tcW w:type="dxa" w:w="1440"/>
            <w:shd w:fill="FAFAFA" w:val="clear"/>
          </w:tcPr>
          <w:p>
            <w:r>
              <w:rPr>
                <w:sz w:val="17"/>
              </w:rPr>
              <w:t>J+8  Moyenne</w:t>
            </w:r>
          </w:p>
        </w:tc>
        <w:tc>
          <w:tcPr>
            <w:tcW w:type="dxa" w:w="1440"/>
            <w:shd w:fill="FAFAFA" w:val="clear"/>
          </w:tcPr>
          <w:p>
            <w:r>
              <w:rPr>
                <w:sz w:val="17"/>
              </w:rPr>
              <w:t>2026-08-21</w:t>
            </w:r>
          </w:p>
        </w:tc>
        <w:tc>
          <w:tcPr>
            <w:tcW w:type="dxa" w:w="1440"/>
            <w:shd w:fill="FAFAFA" w:val="clear"/>
          </w:tcPr>
          <w:p>
            <w:r>
              <w:rPr>
                <w:sz w:val="17"/>
              </w:rPr>
              <w:t>14,656</w:t>
            </w:r>
          </w:p>
        </w:tc>
        <w:tc>
          <w:tcPr>
            <w:tcW w:type="dxa" w:w="1440"/>
            <w:shd w:fill="FAFAFA" w:val="clear"/>
          </w:tcPr>
          <w:p>
            <w:r>
              <w:rPr>
                <w:b/>
                <w:sz w:val="17"/>
              </w:rPr>
              <w:t>15,986</w:t>
            </w:r>
          </w:p>
        </w:tc>
        <w:tc>
          <w:tcPr>
            <w:tcW w:type="dxa" w:w="1440"/>
            <w:shd w:fill="FAFAFA" w:val="clear"/>
          </w:tcPr>
          <w:p>
            <w:r>
              <w:rPr>
                <w:sz w:val="17"/>
              </w:rPr>
              <w:t>17,317</w:t>
            </w:r>
          </w:p>
        </w:tc>
        <w:tc>
          <w:tcPr>
            <w:tcW w:type="dxa" w:w="1440"/>
            <w:shd w:fill="FAFAFA" w:val="clear"/>
          </w:tcPr>
          <w:p>
            <w:r>
              <w:rPr>
                <w:b/>
                <w:color w:val="C00000"/>
                <w:sz w:val="17"/>
              </w:rPr>
              <w:t>-0.1%</w:t>
            </w:r>
          </w:p>
        </w:tc>
      </w:tr>
      <w:tr>
        <w:tc>
          <w:tcPr>
            <w:tcW w:type="dxa" w:w="1440"/>
            <w:shd w:fill="FAFAFA" w:val="clear"/>
          </w:tcPr>
          <w:p>
            <w:r>
              <w:rPr>
                <w:sz w:val="17"/>
              </w:rPr>
              <w:t>J+9  Moyenne</w:t>
            </w:r>
          </w:p>
        </w:tc>
        <w:tc>
          <w:tcPr>
            <w:tcW w:type="dxa" w:w="1440"/>
            <w:shd w:fill="FAFAFA" w:val="clear"/>
          </w:tcPr>
          <w:p>
            <w:r>
              <w:rPr>
                <w:sz w:val="17"/>
              </w:rPr>
              <w:t>2026-08-24</w:t>
            </w:r>
          </w:p>
        </w:tc>
        <w:tc>
          <w:tcPr>
            <w:tcW w:type="dxa" w:w="1440"/>
            <w:shd w:fill="FAFAFA" w:val="clear"/>
          </w:tcPr>
          <w:p>
            <w:r>
              <w:rPr>
                <w:sz w:val="17"/>
              </w:rPr>
              <w:t>14,565</w:t>
            </w:r>
          </w:p>
        </w:tc>
        <w:tc>
          <w:tcPr>
            <w:tcW w:type="dxa" w:w="1440"/>
            <w:shd w:fill="FAFAFA" w:val="clear"/>
          </w:tcPr>
          <w:p>
            <w:r>
              <w:rPr>
                <w:b/>
                <w:sz w:val="17"/>
              </w:rPr>
              <w:t>15,975</w:t>
            </w:r>
          </w:p>
        </w:tc>
        <w:tc>
          <w:tcPr>
            <w:tcW w:type="dxa" w:w="1440"/>
            <w:shd w:fill="FAFAFA" w:val="clear"/>
          </w:tcPr>
          <w:p>
            <w:r>
              <w:rPr>
                <w:sz w:val="17"/>
              </w:rPr>
              <w:t>17,385</w:t>
            </w:r>
          </w:p>
        </w:tc>
        <w:tc>
          <w:tcPr>
            <w:tcW w:type="dxa" w:w="1440"/>
            <w:shd w:fill="FAFAFA" w:val="clear"/>
          </w:tcPr>
          <w:p>
            <w:r>
              <w:rPr>
                <w:b/>
                <w:color w:val="C00000"/>
                <w:sz w:val="17"/>
              </w:rPr>
              <w:t>-0.2%</w:t>
            </w:r>
          </w:p>
        </w:tc>
      </w:tr>
      <w:tr>
        <w:tc>
          <w:tcPr>
            <w:tcW w:type="dxa" w:w="1440"/>
            <w:shd w:fill="FAFAFA" w:val="clear"/>
          </w:tcPr>
          <w:p>
            <w:r>
              <w:rPr>
                <w:sz w:val="17"/>
              </w:rPr>
              <w:t>J+10  Moyenne</w:t>
            </w:r>
          </w:p>
        </w:tc>
        <w:tc>
          <w:tcPr>
            <w:tcW w:type="dxa" w:w="1440"/>
            <w:shd w:fill="FAFAFA" w:val="clear"/>
          </w:tcPr>
          <w:p>
            <w:r>
              <w:rPr>
                <w:sz w:val="17"/>
              </w:rPr>
              <w:t>2026-08-25</w:t>
            </w:r>
          </w:p>
        </w:tc>
        <w:tc>
          <w:tcPr>
            <w:tcW w:type="dxa" w:w="1440"/>
            <w:shd w:fill="FAFAFA" w:val="clear"/>
          </w:tcPr>
          <w:p>
            <w:r>
              <w:rPr>
                <w:sz w:val="17"/>
              </w:rPr>
              <w:t>14,478</w:t>
            </w:r>
          </w:p>
        </w:tc>
        <w:tc>
          <w:tcPr>
            <w:tcW w:type="dxa" w:w="1440"/>
            <w:shd w:fill="FAFAFA" w:val="clear"/>
          </w:tcPr>
          <w:p>
            <w:r>
              <w:rPr>
                <w:b/>
                <w:sz w:val="17"/>
              </w:rPr>
              <w:t>15,963</w:t>
            </w:r>
          </w:p>
        </w:tc>
        <w:tc>
          <w:tcPr>
            <w:tcW w:type="dxa" w:w="1440"/>
            <w:shd w:fill="FAFAFA" w:val="clear"/>
          </w:tcPr>
          <w:p>
            <w:r>
              <w:rPr>
                <w:sz w:val="17"/>
              </w:rPr>
              <w:t>17,448</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880,81 milliards FCFA, ce qui en fait l'une des valeurs les plus significatives de la BRVM, reflétant son statut de banque systémique en Côte d'Ivoire. Le BPA de 1 153 FCFA indique que chaque action génère un bénéfice substantiel, justifiant un PER de 13,9x. Ce ratio, bien que supérieur à la moyenne historique de la BRVM (8-12x), reste modéré pour une banque affichant une telle croissance et rentabilité, et témoigne d'une valorisation raisonnable. Le P/B de 4,03x est en revanche exigeant, le marché valorisant fortement les capitaux propres de la banque, ce qui reflète la confiance des investisseurs dans sa capacité à générer de la valeur. Enfin, l'EV/EBITDA de 13,6x, dans la fourchette haute de 10-15x, confirme une valorisation élevée mais cohérente avec la solidité opérationnelle de l'établissement.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ECOC a enregistré une variation totale de -3,61%, avec une baisse de -1,23% lors de la dernière séance, s'établissant à 16 000 FCFA. Le titre a évolué dans une fourchette de 15 520 FCFA (plus bas) à 17 270 FCFA (plus haut), montrant une amplitude de trading notable. La moyenne du cours sur la période est de 16 325 FCFA, très proche de la médiane (16 300 FCFA) et du mode (16 300 FCFA), indiquant une distribution remarquablement symétrique et stable. L'écart-type de 349 FCFA, avec un coefficient de variation de seulement 2,1%, confirme une dispersion très faible du cours. Le kurtosis de 0,256 (mésokurtique) et le skewness de 0,183 indiquent une distribution quasi normale, sans risque de mouvements extrêmes. La volatilité annualisée de 26,8% positionne le titre dans une zone modérée (15-30%), reflétant une stabilité relative tout en conservant un potentiel de mouvement.</w:t>
      </w:r>
    </w:p>
    <w:p>
      <w:pPr>
        <w:spacing w:after="120" w:line="276" w:lineRule="auto" w:before="240"/>
      </w:pPr>
      <w:r>
        <w:rPr>
          <w:b/>
          <w:color w:val="003366"/>
          <w:sz w:val="24"/>
        </w:rPr>
        <w:t>**PARTIE 2 : ANALYSE TECHNIQUE DÉTAILLÉE**</w:t>
      </w:r>
    </w:p>
    <w:p>
      <w:pPr>
        <w:spacing w:after="120" w:line="276" w:lineRule="auto"/>
      </w:pPr>
      <w:r>
        <w:t>Les **Moyennes Mobiles** montrent une configuration baissière : la MM20 (16 072,25 FCFA) est inférieure à la MM50 (16 427,7 FCFA), et le cours actuel (16 000 FCFA) se situe sous les deux moyennes. Cette structure en "death cross" suggère une tendance baissière à court terme, justifiant la décision de vente, bien que la proximité du cours avec la MM20 puisse indiquer un potentiel de stabilisation.</w:t>
      </w:r>
    </w:p>
    <w:p>
      <w:pPr>
        <w:spacing w:after="120" w:line="276" w:lineRule="auto"/>
      </w:pPr>
      <w:r>
        <w:t>Les **Bandes de Bollinger** présentent une décision neutre, avec le cours (16 000 FCFA) positionné entre la borne inférieure (15 670,37 FCFA) et la borne supérieure (16 474,13 FCFA). La largeur des bandes indique une volatilité modérée, et le cours se trouve plus près de la borne inférieure, suggérant une pression vendeuse sans signal extrême.</w:t>
      </w:r>
    </w:p>
    <w:p>
      <w:pPr>
        <w:spacing w:after="120" w:line="276" w:lineRule="auto"/>
      </w:pPr>
      <w:r>
        <w:t>Le **MACD** affiche une valeur de -82,015 avec un signal à -94,539, la ligne MACD étant au-dessus de sa ligne de signal. Cette configuration, bien qu'en territoire négatif, montre un momentum haussier naissant, justifiant la décision d'achat. La convergence positive suggère un potentiel de retournement à court terme.</w:t>
      </w:r>
    </w:p>
    <w:p>
      <w:pPr>
        <w:spacing w:after="120" w:line="276" w:lineRule="auto"/>
      </w:pPr>
      <w:r>
        <w:t>Le **RSI** à 60,289 se situe en zone neutre (30-70), indiquant un équilibre entre pressions acheteuses et vendeuses. Cette valeur, proche de la zone de surachat sans l'atteindre, laisse une marge de progression avant d'atteindre des niveaux extrêmes.</w:t>
      </w:r>
    </w:p>
    <w:p>
      <w:pPr>
        <w:spacing w:after="120" w:line="276" w:lineRule="auto"/>
      </w:pPr>
      <w:r>
        <w:t>Le **Stochastique** montre %K à 53,774 et %D à 78,931, avec %K inférieur à %D, suggérant un croisement baissier potentiel. La décision neutre reflète l'incertitude du marché, bien que la position de %K sous %D puisse indiquer un affaiblissement du momentum haussier.</w:t>
      </w:r>
    </w:p>
    <w:p>
      <w:pPr>
        <w:spacing w:after="120" w:line="276" w:lineRule="auto"/>
      </w:pPr>
      <w:r>
        <w:t>**Conclusion technique** : Les indicateurs sont mitigés, avec une tendance baissière confirmée par les moyennes mobiles mais un MACD montrant des signes de retournement. Le RSI et les bandes de Bollinger suggèrent un équilibre, tandis que le stochastique indique une possible consolidation. Globalement, le titre semble chercher un point d'équilibre après une phase de baisse, avec des signaux contradictoires qui appellent à la prudence.</w:t>
      </w:r>
    </w:p>
    <w:p>
      <w:pPr>
        <w:spacing w:after="120" w:line="276" w:lineRule="auto" w:before="240"/>
      </w:pPr>
      <w:r>
        <w:rPr>
          <w:b/>
          <w:color w:val="003366"/>
          <w:sz w:val="24"/>
        </w:rPr>
        <w:t>**PARTIE 3 : ANALYSE FONDAMENTALE (SECTION CRITIQUE)**</w:t>
      </w:r>
    </w:p>
    <w:p>
      <w:pPr>
        <w:spacing w:after="120" w:line="276" w:lineRule="auto"/>
      </w:pPr>
      <w:r>
        <w:t>En 2025, ECOC affiche des fondamentaux solides avec un Produit Net Bancaire (PNB) de 132,725 milliards FCFA et un résultat net de 63,482 milliards FCFA, démontrant une croissance soutenue. Le ROE de 29,04% et le ROA de 3,09% sont excellents, largement supérieurs aux seuils de référence (15% et 1% respectivement), témoignant d'une gestion très efficace des capitaux propres et des actifs. Le coefficient d'exploitation de 42,89% est remarquable, indiquant une excellente maîtrise des charges opérationnelles. Le coût du risque de 1,36% reste modéré, reflétant une bonne qualité du portefeuille de crédits. Les dépôts clientèle (1 626,223 milliards FCFA) dépassent largement les créances sur la clientèle (1 050,803 milliards FCFA), avec un ratio de transformation sain. Les rapports trimestriels 2025 confirment cette dynamique : le T3 2025 montre un PNB de 96,4 milliards FCFA (+11,3%) et un résultat net de 44,4 milliards FCFA (+15,4%), avec un ROE de 29,7%. Le rapport annuel 2024 indiquait déjà un PNB de 122,3 milliards FCFA et un résultat net de 57,5 milliards FCFA, avec un dividende de 804 FCFA par action. Sur la base du T1 2026 (PNB de 30,8 milliards FCFA, +3,7%), on estime que l'exercice 2026 devrait maintenir une croissance modérée, avec un résultat net potentiel autour de 65-68 milliards FCFA. La banque propose un dividende de 888 FCFA brut par action pour 2025, confirmant une politique actionnariale généreuse. Les perspectives restent positives grâce à la digitalisation et à la forte collecte de dépôts (+33,2% au T3 2025), malgré un environnement macroéconomique complexe.</w:t>
      </w:r>
    </w:p>
    <w:p>
      <w:pPr>
        <w:spacing w:after="120" w:line="276" w:lineRule="auto" w:before="240"/>
      </w:pPr>
      <w:r>
        <w:rPr>
          <w:b/>
          <w:color w:val="003366"/>
          <w:sz w:val="24"/>
        </w:rPr>
        <w:t>**PARTIE 4 : CONCLUSION D'INVESTISSEMENT**</w:t>
      </w:r>
    </w:p>
    <w:p>
      <w:pPr>
        <w:spacing w:after="120" w:line="276" w:lineRule="auto"/>
      </w:pPr>
      <w:r>
        <w:t>La valorisation d'ECOC (PER 13,9x, P/B 4,03x) apparaît exigeante mais justifiée par des fondamentaux exceptionnels, tandis que le comportement du cours montre une stabilité remarquable (CV 2,1%) avec une légère tendance baissière récente. Les signaux techniques sont mitigés, avec une tendance baissière à court terme mais un MACD montrant des signes de retournement. Les fondamentaux sont indiscutablement solides, avec un ROE de 29,04%, un coefficient d'exploitation de 42,89% et une croissance soutenue du PNB, renforcés par des rapports trimestriels positifs. Les prédictions IA (16 076 à 16 022 FCFA sur 10 jours) suggèrent une stabilisation autour des niveaux actuels, confirmant l'absence de mouvement majeur à court terme. La convergence entre la solidité fondamentale et la stabilité du cours, malgré des signaux techniques contrastés, conduit à une recommandation **CONSERVER**. Le niveau de confiance est **Moyen**, le risque global est **Moyen** (volatilité modérée, environnement macroéconomique incertain). L'horizon d'investissement optimal est le **moyen terme (3-12 mois)**, permettant de bénéficier de la croissance des bénéfices et du rendement du dividende (888 FCFA, soit environ 5,5% de rendement), tout en surveillant l'évolution du coût du risque et de la qualité du portefeuille de crédits.</w:t>
      </w:r>
    </w:p>
    <w:p/>
    <w:p/>
    <w:p>
      <w:pPr>
        <w:pStyle w:val="Heading3"/>
      </w:pPr>
      <w:r>
        <w:rPr>
          <w:color w:val="00467F"/>
        </w:rPr>
        <w:t>📎 DOCUMENTS &amp; COMMUNICATIONS OFFICIELS BRVM</w:t>
      </w:r>
    </w:p>
    <w:p>
      <w:r>
        <w:rPr>
          <w:i/>
          <w:color w:val="646464"/>
          <w:sz w:val="18"/>
        </w:rPr>
        <w:t>9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[5]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1247.80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1,351,960 titres</w:t>
            </w:r>
          </w:p>
        </w:tc>
        <w:tc>
          <w:tcPr>
            <w:tcW w:type="dxa" w:w="2268"/>
            <w:shd w:fill="FFF2CC" w:val="clear"/>
          </w:tcPr>
          <w:p>
            <w:r>
              <w:rPr>
                <w:b/>
                <w:color w:val="503200"/>
                <w:sz w:val="16"/>
              </w:rPr>
              <w:t xml:space="preserve">Cours actuel : </w:t>
            </w:r>
            <w:r>
              <w:rPr>
                <w:color w:val="000000"/>
                <w:sz w:val="17"/>
              </w:rPr>
              <w:t>69 FCFA</w:t>
            </w:r>
          </w:p>
          <w:p>
            <w:r>
              <w:rPr>
                <w:b/>
                <w:color w:val="503200"/>
                <w:sz w:val="16"/>
              </w:rPr>
              <w:t xml:space="preserve">Var. 100 jours : </w:t>
            </w:r>
            <w:r>
              <w:rPr>
                <w:b/>
                <w:color w:val="007800"/>
                <w:sz w:val="17"/>
              </w:rPr>
              <w:t>+115.62%</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38.28% (Élevée) — μ=41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β=2.5732 (Très agressif) — Cov=0.000094, Var(idx)=0.000036, ρ=0.388,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1,351,960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σ_j=3.96%/j (Modérée) — Vol. annualisée≈62.8%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2026-08-12</w:t>
            </w:r>
          </w:p>
        </w:tc>
        <w:tc>
          <w:tcPr>
            <w:tcW w:type="dxa" w:w="1440"/>
            <w:shd w:fill="FFDCE0" w:val="clear"/>
          </w:tcPr>
          <w:p>
            <w:r>
              <w:rPr>
                <w:sz w:val="17"/>
              </w:rPr>
              <w:t>59</w:t>
            </w:r>
          </w:p>
        </w:tc>
        <w:tc>
          <w:tcPr>
            <w:tcW w:type="dxa" w:w="1440"/>
            <w:shd w:fill="FFDCE0" w:val="clear"/>
          </w:tcPr>
          <w:p>
            <w:r>
              <w:rPr>
                <w:b/>
                <w:sz w:val="17"/>
              </w:rPr>
              <w:t>64</w:t>
            </w:r>
          </w:p>
        </w:tc>
        <w:tc>
          <w:tcPr>
            <w:tcW w:type="dxa" w:w="1440"/>
            <w:shd w:fill="FFDCE0" w:val="clear"/>
          </w:tcPr>
          <w:p>
            <w:r>
              <w:rPr>
                <w:sz w:val="17"/>
              </w:rPr>
              <w:t>69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2026-08-13</w:t>
            </w:r>
          </w:p>
        </w:tc>
        <w:tc>
          <w:tcPr>
            <w:tcW w:type="dxa" w:w="1440"/>
            <w:shd w:fill="FFDCE0" w:val="clear"/>
          </w:tcPr>
          <w:p>
            <w:r>
              <w:rPr>
                <w:sz w:val="17"/>
              </w:rPr>
              <w:t>52</w:t>
            </w:r>
          </w:p>
        </w:tc>
        <w:tc>
          <w:tcPr>
            <w:tcW w:type="dxa" w:w="1440"/>
            <w:shd w:fill="FFDCE0" w:val="clear"/>
          </w:tcPr>
          <w:p>
            <w:r>
              <w:rPr>
                <w:b/>
                <w:sz w:val="17"/>
              </w:rPr>
              <w:t>59</w:t>
            </w:r>
          </w:p>
        </w:tc>
        <w:tc>
          <w:tcPr>
            <w:tcW w:type="dxa" w:w="1440"/>
            <w:shd w:fill="FFDCE0" w:val="clear"/>
          </w:tcPr>
          <w:p>
            <w:r>
              <w:rPr>
                <w:sz w:val="17"/>
              </w:rPr>
              <w:t>66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2026-08-14</w:t>
            </w:r>
          </w:p>
        </w:tc>
        <w:tc>
          <w:tcPr>
            <w:tcW w:type="dxa" w:w="1440"/>
            <w:shd w:fill="FFDCE0" w:val="clear"/>
          </w:tcPr>
          <w:p>
            <w:r>
              <w:rPr>
                <w:sz w:val="17"/>
              </w:rPr>
              <w:t>46</w:t>
            </w:r>
          </w:p>
        </w:tc>
        <w:tc>
          <w:tcPr>
            <w:tcW w:type="dxa" w:w="1440"/>
            <w:shd w:fill="FFDCE0" w:val="clear"/>
          </w:tcPr>
          <w:p>
            <w:r>
              <w:rPr>
                <w:b/>
                <w:sz w:val="17"/>
              </w:rPr>
              <w:t>55</w:t>
            </w:r>
          </w:p>
        </w:tc>
        <w:tc>
          <w:tcPr>
            <w:tcW w:type="dxa" w:w="1440"/>
            <w:shd w:fill="FFDCE0" w:val="clear"/>
          </w:tcPr>
          <w:p>
            <w:r>
              <w:rPr>
                <w:sz w:val="17"/>
              </w:rPr>
              <w:t>63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42</w:t>
            </w:r>
          </w:p>
        </w:tc>
        <w:tc>
          <w:tcPr>
            <w:tcW w:type="dxa" w:w="1440"/>
            <w:shd w:fill="FFDCE0" w:val="clear"/>
          </w:tcPr>
          <w:p>
            <w:r>
              <w:rPr>
                <w:b/>
                <w:sz w:val="17"/>
              </w:rPr>
              <w:t>51</w:t>
            </w:r>
          </w:p>
        </w:tc>
        <w:tc>
          <w:tcPr>
            <w:tcW w:type="dxa" w:w="1440"/>
            <w:shd w:fill="FFDCE0" w:val="clear"/>
          </w:tcPr>
          <w:p>
            <w:r>
              <w:rPr>
                <w:sz w:val="17"/>
              </w:rPr>
              <w:t>59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38</w:t>
            </w:r>
          </w:p>
        </w:tc>
        <w:tc>
          <w:tcPr>
            <w:tcW w:type="dxa" w:w="1440"/>
            <w:shd w:fill="FFDCE0" w:val="clear"/>
          </w:tcPr>
          <w:p>
            <w:r>
              <w:rPr>
                <w:b/>
                <w:sz w:val="17"/>
              </w:rPr>
              <w:t>47</w:t>
            </w:r>
          </w:p>
        </w:tc>
        <w:tc>
          <w:tcPr>
            <w:tcW w:type="dxa" w:w="1440"/>
            <w:shd w:fill="FFDCE0" w:val="clear"/>
          </w:tcPr>
          <w:p>
            <w:r>
              <w:rPr>
                <w:sz w:val="17"/>
              </w:rPr>
              <w:t>56</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34</w:t>
            </w:r>
          </w:p>
        </w:tc>
        <w:tc>
          <w:tcPr>
            <w:tcW w:type="dxa" w:w="1440"/>
            <w:shd w:fill="FFDCE0" w:val="clear"/>
          </w:tcPr>
          <w:p>
            <w:r>
              <w:rPr>
                <w:b/>
                <w:sz w:val="17"/>
              </w:rPr>
              <w:t>43</w:t>
            </w:r>
          </w:p>
        </w:tc>
        <w:tc>
          <w:tcPr>
            <w:tcW w:type="dxa" w:w="1440"/>
            <w:shd w:fill="FFDCE0" w:val="clear"/>
          </w:tcPr>
          <w:p>
            <w:r>
              <w:rPr>
                <w:sz w:val="17"/>
              </w:rPr>
              <w:t>52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31</w:t>
            </w:r>
          </w:p>
        </w:tc>
        <w:tc>
          <w:tcPr>
            <w:tcW w:type="dxa" w:w="1440"/>
            <w:shd w:fill="FFDCE0" w:val="clear"/>
          </w:tcPr>
          <w:p>
            <w:r>
              <w:rPr>
                <w:b/>
                <w:sz w:val="17"/>
              </w:rPr>
              <w:t>40</w:t>
            </w:r>
          </w:p>
        </w:tc>
        <w:tc>
          <w:tcPr>
            <w:tcW w:type="dxa" w:w="1440"/>
            <w:shd w:fill="FFDCE0" w:val="clear"/>
          </w:tcPr>
          <w:p>
            <w:r>
              <w:rPr>
                <w:sz w:val="17"/>
              </w:rPr>
              <w:t>49</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28</w:t>
            </w:r>
          </w:p>
        </w:tc>
        <w:tc>
          <w:tcPr>
            <w:tcW w:type="dxa" w:w="1440"/>
            <w:shd w:fill="FFDCE0" w:val="clear"/>
          </w:tcPr>
          <w:p>
            <w:r>
              <w:rPr>
                <w:b/>
                <w:sz w:val="17"/>
              </w:rPr>
              <w:t>37</w:t>
            </w:r>
          </w:p>
        </w:tc>
        <w:tc>
          <w:tcPr>
            <w:tcW w:type="dxa" w:w="1440"/>
            <w:shd w:fill="FFDCE0" w:val="clear"/>
          </w:tcPr>
          <w:p>
            <w:r>
              <w:rPr>
                <w:sz w:val="17"/>
              </w:rPr>
              <w:t>46</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25</w:t>
            </w:r>
          </w:p>
        </w:tc>
        <w:tc>
          <w:tcPr>
            <w:tcW w:type="dxa" w:w="1440"/>
            <w:shd w:fill="FFDCE0" w:val="clear"/>
          </w:tcPr>
          <w:p>
            <w:r>
              <w:rPr>
                <w:b/>
                <w:sz w:val="17"/>
              </w:rPr>
              <w:t>34</w:t>
            </w:r>
          </w:p>
        </w:tc>
        <w:tc>
          <w:tcPr>
            <w:tcW w:type="dxa" w:w="1440"/>
            <w:shd w:fill="FFDCE0" w:val="clear"/>
          </w:tcPr>
          <w:p>
            <w:r>
              <w:rPr>
                <w:sz w:val="17"/>
              </w:rPr>
              <w:t>43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23</w:t>
            </w:r>
          </w:p>
        </w:tc>
        <w:tc>
          <w:tcPr>
            <w:tcW w:type="dxa" w:w="1440"/>
            <w:shd w:fill="FFDCE0" w:val="clear"/>
          </w:tcPr>
          <w:p>
            <w:r>
              <w:rPr>
                <w:b/>
                <w:sz w:val="17"/>
              </w:rPr>
              <w:t>32</w:t>
            </w:r>
          </w:p>
        </w:tc>
        <w:tc>
          <w:tcPr>
            <w:tcW w:type="dxa" w:w="1440"/>
            <w:shd w:fill="FFDCE0" w:val="clear"/>
          </w:tcPr>
          <w:p>
            <w:r>
              <w:rPr>
                <w:sz w:val="17"/>
              </w:rPr>
              <w:t>40</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1 247,80 milliards FCFA, ce qui en fait l'une des plus importantes capitalisations de la BRVM, reflétant son statut de banque panafricaine systémique. Avec un BPA de 19 FCFA, le titre se négocie à un PER de 3,6x, très inférieur à la moyenne du marché BRVM (8-12x), indiquant une sous-évaluation significative par rapport aux bénéfices générés. Le P/B de 0,78x confirme cette décote, le marché valorisant le titre en dessous de sa valeur comptable, ce qui suggère une opportunité potentielle pour les investisseurs value. Enfin, l'EV/EBITDA de 5,0x, dans la fourchette basse des 5-10x jugés raisonnables, renforce l'attractivité de la valorisation, le marché ne payant pas cher pour la capacité opérationnelle de la banque.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ETIT a enregistré une progression spectaculaire de +115,62%, avec une dernière séance en hausse de +2,99% à 69 FCFA. Le titre a évolué dans une fourchette très large, entre un plus bas de 26 FCFA et un plus haut de 78 FCFA, démontrant une forte dynamique haussière. La moyenne de 41 FCFA, nettement inférieure à la médiane de 33 FCFA, révèle une asymétrie positive (skewness de 1,105), avec la plupart des séances sous la moyenne mais quelques fortes hausses qui tirent la moyenne vers le haut. L'écart-type de 16 FCFA (CV de 38,5%) témoigne d'une dispersion élevée, tandis que le kurtosis de -0,483 (mésokurtique) indique une distribution proche de la normale, sans risque de pics extrêmes. La volatilité annualisée de 62,8% classe le titre comme très volatil,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Les **Moyennes Mobiles** montrent une configuration haussière avec la MM20 à 68,9 et la MM50 à 51,5, le cours actuel de 69 FCFA se situant au-dessus des deux moyennes. Cette structure, avec la MM20 au-dessus de la MM50, confirme la tendance haussière de moyen terme et justifie la décision d'achat, le titre évoluant dans une dynamique positive soutenue.</w:t>
      </w:r>
    </w:p>
    <w:p>
      <w:pPr>
        <w:spacing w:after="120" w:line="276" w:lineRule="auto"/>
      </w:pPr>
      <w:r>
        <w:t>Les **Bandes de Bollinger** présentent un écartement important entre la borne supérieure (77,383) et la borne inférieure (60,417), reflétant la forte volatilité du titre. Le cours à 69 FCFA se positionne dans la partie médiane-haute des bandes, sans toucher les extrêmes, ce qui indique une situation neutre, le titre n'étant ni suracheté ni survendu à court terme.</w:t>
      </w:r>
    </w:p>
    <w:p>
      <w:pPr>
        <w:spacing w:after="120" w:line="276" w:lineRule="auto"/>
      </w:pPr>
      <w:r>
        <w:t>Le **MACD** affiche une valeur de 3,781 inférieure à son signal de 5,218, suggérant un momentum baissier à court terme malgré la tendance haussière de fond. Cette divergence négative, bien que modérée, indique un essoufflement potentiel de la dynamique haussière et justifie la décision de vente, appelant à la prudence pour les entrées à court terme.</w:t>
      </w:r>
    </w:p>
    <w:p>
      <w:pPr>
        <w:spacing w:after="120" w:line="276" w:lineRule="auto"/>
      </w:pPr>
      <w:r>
        <w:t>Le **RSI** à 53,659 se situe dans la zone neutre (30-70), indiquant un équilibre entre pression acheteuse et vendeuse. Cette valeur ne montre ni surachat ni survente, laissant une marge de manœuvre pour une poursuite de la hausse ou une correction, sans signal directionnel fort.</w:t>
      </w:r>
    </w:p>
    <w:p>
      <w:pPr>
        <w:spacing w:after="120" w:line="276" w:lineRule="auto"/>
      </w:pPr>
      <w:r>
        <w:t>Le **Stochastique** avec %K à 45,455 et %D à 29,798 montre un croisement haussier en cours, le %K étant au-dessus du %D. Cette configuration, bien que dans une zone neutre, suggère un potentiel de rebond technique à court terme, justifiant la décision neutre avec une légère orientation positive.</w:t>
      </w:r>
    </w:p>
    <w:p>
      <w:pPr>
        <w:spacing w:after="120" w:line="276" w:lineRule="auto"/>
      </w:pPr>
      <w:r>
        <w:t>La **conclusion technique** globale est mitigée : la tendance de fond reste haussière grâce aux moyennes mobiles, mais les indicateurs de momentum (MACD, RSI) montrent des signaux de consolidation. Le croisement stochastique offre une perspective de rebond technique, mais la prudence reste de mise à court terme, le titre ayant fortement progressé récemment.</w:t>
      </w:r>
    </w:p>
    <w:p>
      <w:pPr>
        <w:spacing w:after="120" w:line="276" w:lineRule="auto" w:before="240"/>
      </w:pPr>
      <w:r>
        <w:rPr>
          <w:b/>
          <w:color w:val="003366"/>
          <w:sz w:val="24"/>
        </w:rPr>
        <w:t>**PARTIE 3 : ANALYSE FONDAMENTALE (SECTION CRITIQUE)**</w:t>
      </w:r>
    </w:p>
    <w:p>
      <w:pPr>
        <w:spacing w:after="120" w:line="276" w:lineRule="auto"/>
      </w:pPr>
      <w:r>
        <w:t>En 2025, les données structurées d'ETIT révèlent une banque solide avec un Produit Net Bancaire de 1 424,261 milliards FCFA et un résultat net de 345,523 milliards FCFA, démontrant une excellente rentabilité avec un ROE de 21,62% (largement supérieur au seuil de 15% considéré comme excellent) et un ROA de 1,80%. Le coefficient d'exploitation de 27,35% témoigne d'une efficacité opérationnelle remarquable, bien en dessous du seuil de 60% jugé acceptable pour une banque. Le coût du risque de 18,97% reste élevé, signalant un risque de crédit significatif, mais la transformation est saine avec des dépôts clientèle (14 120,139 Mds FCFA) largement supérieurs aux créances (6 570,385 Mds FCFA). Les rapports semestriels 2025 et 2026 confirment cette dynamique : le PNB progresse de +15% au S1 2026 (721,318 Mds FCFA) avec un résultat net de 166,682 Mds FCFA, et le rapport du T1 2026 montre une accélération avec un PNB en hausse de +23%. Les estimations pour 2026, basées sur ces rapports trimestriels, suggèrent un PNB annuel pouvant atteindre 1 600-1 700 Mds FCFA, confirmant la trajectoire de croissance soutenue de la banque.</w:t>
      </w:r>
    </w:p>
    <w:p>
      <w:pPr>
        <w:spacing w:after="120" w:line="276" w:lineRule="auto" w:before="240"/>
      </w:pPr>
      <w:r>
        <w:rPr>
          <w:b/>
          <w:color w:val="003366"/>
          <w:sz w:val="24"/>
        </w:rPr>
        <w:t>**PARTIE 4 : CONCLUSION D'INVESTISSEMENT**</w:t>
      </w:r>
    </w:p>
    <w:p>
      <w:pPr>
        <w:spacing w:after="120" w:line="276" w:lineRule="auto"/>
      </w:pPr>
      <w:r>
        <w:t>La valorisation d'ETIT (PER 3,6x, P/B 0,78x, EV/EBITDA 5,0x) indique une nette sous-évaluation par rapport aux fondamentaux solides de la banque, offrant une marge de sécurité attractive. Le comportement du cours (+115,62% sur 100 jours) montre une dynamique haussière spectaculaire, mais la volatilité élevée (62,8%) et l'asymétrie positive appellent à la prudence. Les signaux techniques sont mitigés avec une tendance haussière confirmée par les moyennes mobiles mais des indicateurs de momentum (MACD, RSI) en consolidation. Les fondamentaux restent excellents avec un ROE de 21,62%, un coefficient d'exploitation de 27,35% et une croissance soutenue du PNB (+15% au S1 2026). Cependant, les prédictions IA pour les 10 prochains jours (64 à 47 FCFA) suggèrent une correction significative de -32%, contredisant les signaux haussiers de moyen terme. La convergence entre la sous-évaluation fondamentale et la tendance haussière de long terme est contrebalancée par les signaux techniques de consolidation et les prédictions baissières à court terme. **Recommandation : ACHAT** avec un niveau de confiance **Moyen** et un risque global **Élevé**, pour un horizon d'investissement **moyen terme (3-12 mois)**, en recommandant une entrée progressive sur les replis techniques.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30.82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3,798 titres</w:t>
            </w:r>
          </w:p>
        </w:tc>
        <w:tc>
          <w:tcPr>
            <w:tcW w:type="dxa" w:w="2268"/>
            <w:shd w:fill="FFF2CC" w:val="clear"/>
          </w:tcPr>
          <w:p>
            <w:r>
              <w:rPr>
                <w:b/>
                <w:color w:val="503200"/>
                <w:sz w:val="16"/>
              </w:rPr>
              <w:t xml:space="preserve">Cours actuel : </w:t>
            </w:r>
            <w:r>
              <w:rPr>
                <w:color w:val="000000"/>
                <w:sz w:val="17"/>
              </w:rPr>
              <w:t>2,185 FCFA</w:t>
            </w:r>
          </w:p>
          <w:p>
            <w:r>
              <w:rPr>
                <w:b/>
                <w:color w:val="503200"/>
                <w:sz w:val="16"/>
              </w:rPr>
              <w:t xml:space="preserve">Var. 100 jours : </w:t>
            </w:r>
            <w:r>
              <w:rPr>
                <w:b/>
                <w:color w:val="B40000"/>
                <w:sz w:val="17"/>
              </w:rPr>
              <w:t>-9.71%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36.9%</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6.86% (Moyenne) — μ=2,174 FCFA, σ=149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β=0.9335 (Neutre (suit le marché)) — Cov=0.000034, Var(idx)=0.000036, ρ=0.244,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3,798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2026-08-12</w:t>
            </w:r>
          </w:p>
        </w:tc>
        <w:tc>
          <w:tcPr>
            <w:tcW w:type="dxa" w:w="1440"/>
            <w:shd w:fill="FAFAFA" w:val="clear"/>
          </w:tcPr>
          <w:p>
            <w:r>
              <w:rPr>
                <w:sz w:val="17"/>
              </w:rPr>
              <w:t>2,122</w:t>
            </w:r>
          </w:p>
        </w:tc>
        <w:tc>
          <w:tcPr>
            <w:tcW w:type="dxa" w:w="1440"/>
            <w:shd w:fill="FAFAFA" w:val="clear"/>
          </w:tcPr>
          <w:p>
            <w:r>
              <w:rPr>
                <w:b/>
                <w:sz w:val="17"/>
              </w:rPr>
              <w:t>2,190</w:t>
            </w:r>
          </w:p>
        </w:tc>
        <w:tc>
          <w:tcPr>
            <w:tcW w:type="dxa" w:w="1440"/>
            <w:shd w:fill="FAFAFA" w:val="clear"/>
          </w:tcPr>
          <w:p>
            <w:r>
              <w:rPr>
                <w:sz w:val="17"/>
              </w:rPr>
              <w:t>2,259</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2026-08-13</w:t>
            </w:r>
          </w:p>
        </w:tc>
        <w:tc>
          <w:tcPr>
            <w:tcW w:type="dxa" w:w="1440"/>
            <w:shd w:fill="FAFAFA" w:val="clear"/>
          </w:tcPr>
          <w:p>
            <w:r>
              <w:rPr>
                <w:sz w:val="17"/>
              </w:rPr>
              <w:t>2,100</w:t>
            </w:r>
          </w:p>
        </w:tc>
        <w:tc>
          <w:tcPr>
            <w:tcW w:type="dxa" w:w="1440"/>
            <w:shd w:fill="FAFAFA" w:val="clear"/>
          </w:tcPr>
          <w:p>
            <w:r>
              <w:rPr>
                <w:b/>
                <w:sz w:val="17"/>
              </w:rPr>
              <w:t>2,197</w:t>
            </w:r>
          </w:p>
        </w:tc>
        <w:tc>
          <w:tcPr>
            <w:tcW w:type="dxa" w:w="1440"/>
            <w:shd w:fill="FAFAFA" w:val="clear"/>
          </w:tcPr>
          <w:p>
            <w:r>
              <w:rPr>
                <w:sz w:val="17"/>
              </w:rPr>
              <w:t>2,295</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2026-08-14</w:t>
            </w:r>
          </w:p>
        </w:tc>
        <w:tc>
          <w:tcPr>
            <w:tcW w:type="dxa" w:w="1440"/>
            <w:shd w:fill="FAFAFA" w:val="clear"/>
          </w:tcPr>
          <w:p>
            <w:r>
              <w:rPr>
                <w:sz w:val="17"/>
              </w:rPr>
              <w:t>2,083</w:t>
            </w:r>
          </w:p>
        </w:tc>
        <w:tc>
          <w:tcPr>
            <w:tcW w:type="dxa" w:w="1440"/>
            <w:shd w:fill="FAFAFA" w:val="clear"/>
          </w:tcPr>
          <w:p>
            <w:r>
              <w:rPr>
                <w:b/>
                <w:sz w:val="17"/>
              </w:rPr>
              <w:t>2,203</w:t>
            </w:r>
          </w:p>
        </w:tc>
        <w:tc>
          <w:tcPr>
            <w:tcW w:type="dxa" w:w="1440"/>
            <w:shd w:fill="FAFAFA" w:val="clear"/>
          </w:tcPr>
          <w:p>
            <w:r>
              <w:rPr>
                <w:sz w:val="17"/>
              </w:rPr>
              <w:t>2,323</w:t>
            </w:r>
          </w:p>
        </w:tc>
        <w:tc>
          <w:tcPr>
            <w:tcW w:type="dxa" w:w="1440"/>
            <w:shd w:fill="FAFAFA" w:val="clear"/>
          </w:tcPr>
          <w:p>
            <w:r>
              <w:rPr>
                <w:b/>
                <w:color w:val="008000"/>
                <w:sz w:val="17"/>
              </w:rPr>
              <w:t>+0.8%</w:t>
            </w:r>
          </w:p>
        </w:tc>
      </w:tr>
      <w:tr>
        <w:tc>
          <w:tcPr>
            <w:tcW w:type="dxa" w:w="1440"/>
            <w:shd w:fill="FAFAFA" w:val="clear"/>
          </w:tcPr>
          <w:p>
            <w:r>
              <w:rPr>
                <w:sz w:val="17"/>
              </w:rPr>
              <w:t>J+4  Moyenne</w:t>
            </w:r>
          </w:p>
        </w:tc>
        <w:tc>
          <w:tcPr>
            <w:tcW w:type="dxa" w:w="1440"/>
            <w:shd w:fill="FAFAFA" w:val="clear"/>
          </w:tcPr>
          <w:p>
            <w:r>
              <w:rPr>
                <w:sz w:val="17"/>
              </w:rPr>
              <w:t>2026-08-17</w:t>
            </w:r>
          </w:p>
        </w:tc>
        <w:tc>
          <w:tcPr>
            <w:tcW w:type="dxa" w:w="1440"/>
            <w:shd w:fill="FAFAFA" w:val="clear"/>
          </w:tcPr>
          <w:p>
            <w:r>
              <w:rPr>
                <w:sz w:val="17"/>
              </w:rPr>
              <w:t>2,072</w:t>
            </w:r>
          </w:p>
        </w:tc>
        <w:tc>
          <w:tcPr>
            <w:tcW w:type="dxa" w:w="1440"/>
            <w:shd w:fill="FAFAFA" w:val="clear"/>
          </w:tcPr>
          <w:p>
            <w:r>
              <w:rPr>
                <w:b/>
                <w:sz w:val="17"/>
              </w:rPr>
              <w:t>2,211</w:t>
            </w:r>
          </w:p>
        </w:tc>
        <w:tc>
          <w:tcPr>
            <w:tcW w:type="dxa" w:w="1440"/>
            <w:shd w:fill="FAFAFA" w:val="clear"/>
          </w:tcPr>
          <w:p>
            <w:r>
              <w:rPr>
                <w:sz w:val="17"/>
              </w:rPr>
              <w:t>2,349</w:t>
            </w:r>
          </w:p>
        </w:tc>
        <w:tc>
          <w:tcPr>
            <w:tcW w:type="dxa" w:w="1440"/>
            <w:shd w:fill="FAFAFA" w:val="clear"/>
          </w:tcPr>
          <w:p>
            <w:r>
              <w:rPr>
                <w:b/>
                <w:color w:val="008000"/>
                <w:sz w:val="17"/>
              </w:rPr>
              <w:t>+1.2%</w:t>
            </w:r>
          </w:p>
        </w:tc>
      </w:tr>
      <w:tr>
        <w:tc>
          <w:tcPr>
            <w:tcW w:type="dxa" w:w="1440"/>
            <w:shd w:fill="FAFAFA" w:val="clear"/>
          </w:tcPr>
          <w:p>
            <w:r>
              <w:rPr>
                <w:sz w:val="17"/>
              </w:rPr>
              <w:t>J+5  Moyenne</w:t>
            </w:r>
          </w:p>
        </w:tc>
        <w:tc>
          <w:tcPr>
            <w:tcW w:type="dxa" w:w="1440"/>
            <w:shd w:fill="FAFAFA" w:val="clear"/>
          </w:tcPr>
          <w:p>
            <w:r>
              <w:rPr>
                <w:sz w:val="17"/>
              </w:rPr>
              <w:t>2026-08-18</w:t>
            </w:r>
          </w:p>
        </w:tc>
        <w:tc>
          <w:tcPr>
            <w:tcW w:type="dxa" w:w="1440"/>
            <w:shd w:fill="FAFAFA" w:val="clear"/>
          </w:tcPr>
          <w:p>
            <w:r>
              <w:rPr>
                <w:sz w:val="17"/>
              </w:rPr>
              <w:t>2,063</w:t>
            </w:r>
          </w:p>
        </w:tc>
        <w:tc>
          <w:tcPr>
            <w:tcW w:type="dxa" w:w="1440"/>
            <w:shd w:fill="FAFAFA" w:val="clear"/>
          </w:tcPr>
          <w:p>
            <w:r>
              <w:rPr>
                <w:b/>
                <w:sz w:val="17"/>
              </w:rPr>
              <w:t>2,219</w:t>
            </w:r>
          </w:p>
        </w:tc>
        <w:tc>
          <w:tcPr>
            <w:tcW w:type="dxa" w:w="1440"/>
            <w:shd w:fill="FAFAFA" w:val="clear"/>
          </w:tcPr>
          <w:p>
            <w:r>
              <w:rPr>
                <w:sz w:val="17"/>
              </w:rPr>
              <w:t>2,375</w:t>
            </w:r>
          </w:p>
        </w:tc>
        <w:tc>
          <w:tcPr>
            <w:tcW w:type="dxa" w:w="1440"/>
            <w:shd w:fill="FAFAFA" w:val="clear"/>
          </w:tcPr>
          <w:p>
            <w:r>
              <w:rPr>
                <w:b/>
                <w:color w:val="008000"/>
                <w:sz w:val="17"/>
              </w:rPr>
              <w:t>+1.6%</w:t>
            </w:r>
          </w:p>
        </w:tc>
      </w:tr>
      <w:tr>
        <w:tc>
          <w:tcPr>
            <w:tcW w:type="dxa" w:w="1440"/>
            <w:shd w:fill="FAFAFA" w:val="clear"/>
          </w:tcPr>
          <w:p>
            <w:r>
              <w:rPr>
                <w:sz w:val="17"/>
              </w:rPr>
              <w:t>J+6  Moyenne</w:t>
            </w:r>
          </w:p>
        </w:tc>
        <w:tc>
          <w:tcPr>
            <w:tcW w:type="dxa" w:w="1440"/>
            <w:shd w:fill="FAFAFA" w:val="clear"/>
          </w:tcPr>
          <w:p>
            <w:r>
              <w:rPr>
                <w:sz w:val="17"/>
              </w:rPr>
              <w:t>2026-08-19</w:t>
            </w:r>
          </w:p>
        </w:tc>
        <w:tc>
          <w:tcPr>
            <w:tcW w:type="dxa" w:w="1440"/>
            <w:shd w:fill="FAFAFA" w:val="clear"/>
          </w:tcPr>
          <w:p>
            <w:r>
              <w:rPr>
                <w:sz w:val="17"/>
              </w:rPr>
              <w:t>2,056</w:t>
            </w:r>
          </w:p>
        </w:tc>
        <w:tc>
          <w:tcPr>
            <w:tcW w:type="dxa" w:w="1440"/>
            <w:shd w:fill="FAFAFA" w:val="clear"/>
          </w:tcPr>
          <w:p>
            <w:r>
              <w:rPr>
                <w:b/>
                <w:sz w:val="17"/>
              </w:rPr>
              <w:t>2,228</w:t>
            </w:r>
          </w:p>
        </w:tc>
        <w:tc>
          <w:tcPr>
            <w:tcW w:type="dxa" w:w="1440"/>
            <w:shd w:fill="FAFAFA" w:val="clear"/>
          </w:tcPr>
          <w:p>
            <w:r>
              <w:rPr>
                <w:sz w:val="17"/>
              </w:rPr>
              <w:t>2,399</w:t>
            </w:r>
          </w:p>
        </w:tc>
        <w:tc>
          <w:tcPr>
            <w:tcW w:type="dxa" w:w="1440"/>
            <w:shd w:fill="FAFAFA" w:val="clear"/>
          </w:tcPr>
          <w:p>
            <w:r>
              <w:rPr>
                <w:b/>
                <w:color w:val="008000"/>
                <w:sz w:val="17"/>
              </w:rPr>
              <w:t>+2.0%</w:t>
            </w:r>
          </w:p>
        </w:tc>
      </w:tr>
      <w:tr>
        <w:tc>
          <w:tcPr>
            <w:tcW w:type="dxa" w:w="1440"/>
            <w:shd w:fill="C6EFCE" w:val="clear"/>
          </w:tcPr>
          <w:p>
            <w:r>
              <w:rPr>
                <w:sz w:val="17"/>
              </w:rPr>
              <w:t>J+7  Moyenne</w:t>
            </w:r>
          </w:p>
        </w:tc>
        <w:tc>
          <w:tcPr>
            <w:tcW w:type="dxa" w:w="1440"/>
            <w:shd w:fill="C6EFCE" w:val="clear"/>
          </w:tcPr>
          <w:p>
            <w:r>
              <w:rPr>
                <w:sz w:val="17"/>
              </w:rPr>
              <w:t>2026-08-20</w:t>
            </w:r>
          </w:p>
        </w:tc>
        <w:tc>
          <w:tcPr>
            <w:tcW w:type="dxa" w:w="1440"/>
            <w:shd w:fill="C6EFCE" w:val="clear"/>
          </w:tcPr>
          <w:p>
            <w:r>
              <w:rPr>
                <w:sz w:val="17"/>
              </w:rPr>
              <w:t>2,051</w:t>
            </w:r>
          </w:p>
        </w:tc>
        <w:tc>
          <w:tcPr>
            <w:tcW w:type="dxa" w:w="1440"/>
            <w:shd w:fill="C6EFCE" w:val="clear"/>
          </w:tcPr>
          <w:p>
            <w:r>
              <w:rPr>
                <w:b/>
                <w:sz w:val="17"/>
              </w:rPr>
              <w:t>2,237</w:t>
            </w:r>
          </w:p>
        </w:tc>
        <w:tc>
          <w:tcPr>
            <w:tcW w:type="dxa" w:w="1440"/>
            <w:shd w:fill="C6EFCE" w:val="clear"/>
          </w:tcPr>
          <w:p>
            <w:r>
              <w:rPr>
                <w:sz w:val="17"/>
              </w:rPr>
              <w:t>2,423</w:t>
            </w:r>
          </w:p>
        </w:tc>
        <w:tc>
          <w:tcPr>
            <w:tcW w:type="dxa" w:w="1440"/>
            <w:shd w:fill="C6EFCE" w:val="clear"/>
          </w:tcPr>
          <w:p>
            <w:r>
              <w:rPr>
                <w:b/>
                <w:color w:val="008000"/>
                <w:sz w:val="17"/>
              </w:rPr>
              <w:t>+2.4%</w:t>
            </w:r>
          </w:p>
        </w:tc>
      </w:tr>
      <w:tr>
        <w:tc>
          <w:tcPr>
            <w:tcW w:type="dxa" w:w="1440"/>
            <w:shd w:fill="C6EFCE" w:val="clear"/>
          </w:tcPr>
          <w:p>
            <w:r>
              <w:rPr>
                <w:sz w:val="17"/>
              </w:rPr>
              <w:t>J+8  Moyenne</w:t>
            </w:r>
          </w:p>
        </w:tc>
        <w:tc>
          <w:tcPr>
            <w:tcW w:type="dxa" w:w="1440"/>
            <w:shd w:fill="C6EFCE" w:val="clear"/>
          </w:tcPr>
          <w:p>
            <w:r>
              <w:rPr>
                <w:sz w:val="17"/>
              </w:rPr>
              <w:t>2026-08-21</w:t>
            </w:r>
          </w:p>
        </w:tc>
        <w:tc>
          <w:tcPr>
            <w:tcW w:type="dxa" w:w="1440"/>
            <w:shd w:fill="C6EFCE" w:val="clear"/>
          </w:tcPr>
          <w:p>
            <w:r>
              <w:rPr>
                <w:sz w:val="17"/>
              </w:rPr>
              <w:t>2,047</w:t>
            </w:r>
          </w:p>
        </w:tc>
        <w:tc>
          <w:tcPr>
            <w:tcW w:type="dxa" w:w="1440"/>
            <w:shd w:fill="C6EFCE" w:val="clear"/>
          </w:tcPr>
          <w:p>
            <w:r>
              <w:rPr>
                <w:b/>
                <w:sz w:val="17"/>
              </w:rPr>
              <w:t>2,247</w:t>
            </w:r>
          </w:p>
        </w:tc>
        <w:tc>
          <w:tcPr>
            <w:tcW w:type="dxa" w:w="1440"/>
            <w:shd w:fill="C6EFCE" w:val="clear"/>
          </w:tcPr>
          <w:p>
            <w:r>
              <w:rPr>
                <w:sz w:val="17"/>
              </w:rPr>
              <w:t>2,446</w:t>
            </w:r>
          </w:p>
        </w:tc>
        <w:tc>
          <w:tcPr>
            <w:tcW w:type="dxa" w:w="1440"/>
            <w:shd w:fill="C6EFCE" w:val="clear"/>
          </w:tcPr>
          <w:p>
            <w:r>
              <w:rPr>
                <w:b/>
                <w:color w:val="008000"/>
                <w:sz w:val="17"/>
              </w:rPr>
              <w:t>+2.8%</w:t>
            </w:r>
          </w:p>
        </w:tc>
      </w:tr>
      <w:tr>
        <w:tc>
          <w:tcPr>
            <w:tcW w:type="dxa" w:w="1440"/>
            <w:shd w:fill="C6EFCE" w:val="clear"/>
          </w:tcPr>
          <w:p>
            <w:r>
              <w:rPr>
                <w:sz w:val="17"/>
              </w:rPr>
              <w:t>J+9  Moyenne</w:t>
            </w:r>
          </w:p>
        </w:tc>
        <w:tc>
          <w:tcPr>
            <w:tcW w:type="dxa" w:w="1440"/>
            <w:shd w:fill="C6EFCE" w:val="clear"/>
          </w:tcPr>
          <w:p>
            <w:r>
              <w:rPr>
                <w:sz w:val="17"/>
              </w:rPr>
              <w:t>2026-08-24</w:t>
            </w:r>
          </w:p>
        </w:tc>
        <w:tc>
          <w:tcPr>
            <w:tcW w:type="dxa" w:w="1440"/>
            <w:shd w:fill="C6EFCE" w:val="clear"/>
          </w:tcPr>
          <w:p>
            <w:r>
              <w:rPr>
                <w:sz w:val="17"/>
              </w:rPr>
              <w:t>2,043</w:t>
            </w:r>
          </w:p>
        </w:tc>
        <w:tc>
          <w:tcPr>
            <w:tcW w:type="dxa" w:w="1440"/>
            <w:shd w:fill="C6EFCE" w:val="clear"/>
          </w:tcPr>
          <w:p>
            <w:r>
              <w:rPr>
                <w:b/>
                <w:sz w:val="17"/>
              </w:rPr>
              <w:t>2,256</w:t>
            </w:r>
          </w:p>
        </w:tc>
        <w:tc>
          <w:tcPr>
            <w:tcW w:type="dxa" w:w="1440"/>
            <w:shd w:fill="C6EFCE" w:val="clear"/>
          </w:tcPr>
          <w:p>
            <w:r>
              <w:rPr>
                <w:sz w:val="17"/>
              </w:rPr>
              <w:t>2,469</w:t>
            </w:r>
          </w:p>
        </w:tc>
        <w:tc>
          <w:tcPr>
            <w:tcW w:type="dxa" w:w="1440"/>
            <w:shd w:fill="C6EFCE" w:val="clear"/>
          </w:tcPr>
          <w:p>
            <w:r>
              <w:rPr>
                <w:b/>
                <w:color w:val="008000"/>
                <w:sz w:val="17"/>
              </w:rPr>
              <w:t>+3.3%</w:t>
            </w:r>
          </w:p>
        </w:tc>
      </w:tr>
      <w:tr>
        <w:tc>
          <w:tcPr>
            <w:tcW w:type="dxa" w:w="1440"/>
            <w:shd w:fill="C6EFCE" w:val="clear"/>
          </w:tcPr>
          <w:p>
            <w:r>
              <w:rPr>
                <w:sz w:val="17"/>
              </w:rPr>
              <w:t>J+10  Moyenne</w:t>
            </w:r>
          </w:p>
        </w:tc>
        <w:tc>
          <w:tcPr>
            <w:tcW w:type="dxa" w:w="1440"/>
            <w:shd w:fill="C6EFCE" w:val="clear"/>
          </w:tcPr>
          <w:p>
            <w:r>
              <w:rPr>
                <w:sz w:val="17"/>
              </w:rPr>
              <w:t>2026-08-25</w:t>
            </w:r>
          </w:p>
        </w:tc>
        <w:tc>
          <w:tcPr>
            <w:tcW w:type="dxa" w:w="1440"/>
            <w:shd w:fill="C6EFCE" w:val="clear"/>
          </w:tcPr>
          <w:p>
            <w:r>
              <w:rPr>
                <w:sz w:val="17"/>
              </w:rPr>
              <w:t>2,041</w:t>
            </w:r>
          </w:p>
        </w:tc>
        <w:tc>
          <w:tcPr>
            <w:tcW w:type="dxa" w:w="1440"/>
            <w:shd w:fill="C6EFCE" w:val="clear"/>
          </w:tcPr>
          <w:p>
            <w:r>
              <w:rPr>
                <w:b/>
                <w:sz w:val="17"/>
              </w:rPr>
              <w:t>2,266</w:t>
            </w:r>
          </w:p>
        </w:tc>
        <w:tc>
          <w:tcPr>
            <w:tcW w:type="dxa" w:w="1440"/>
            <w:shd w:fill="C6EFCE" w:val="clear"/>
          </w:tcPr>
          <w:p>
            <w:r>
              <w:rPr>
                <w:sz w:val="17"/>
              </w:rPr>
              <w:t>2,491</w:t>
            </w:r>
          </w:p>
        </w:tc>
        <w:tc>
          <w:tcPr>
            <w:tcW w:type="dxa" w:w="1440"/>
            <w:shd w:fill="C6EFCE" w:val="clear"/>
          </w:tcPr>
          <w:p>
            <w:r>
              <w:rPr>
                <w:b/>
                <w:color w:val="008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de l'analyse : 11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30,82 milliards FCFA, un niveau modeste qui la classe parmi les valeurs de taille moyenne sur la BRVM. Avec un BPA de seulement 33 FCFA, le PER ressort à 66,1x, un niveau extrêmement élevé au regard de la moyenne historique du marché (8-12x), indiquant que les investisseurs paient un prix très cher pour des bénéfices actuels particulièrement faibles. Le P/B de 1,96x suggère que le marché valorise la société à près du double de sa valeur comptable, ce qui reste dans une fourchette raisonnable mais reflète une certaine confiance dans l'actif net. Enfin, l'EV/EBITDA de 38,4x est très exigeant, signifiant que la valeur totale de l'entreprise (dette incluse) représente plus de 38 fois sa capacité opérationnelle brute, un niveau qui laisse peu de marge d'erreur et témoigne d'une valorisation boursière en avance sur les fondamentaux opérationnels.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variation totale de -9,71%, passant sous son point d'équilibre, bien que la dernière séance affiche un rebond de +2,34% à 2 185 FCFA. Le titre a évolué dans un range de 520 FCFA, entre un plus bas de 1 910 FCFA et un plus haut de 2 430 FCFA, illustrant une volatilité intraday significative. La moyenne du cours (2 174 FCFA) est inférieure à la médiane (2 208 FCFA), ce qui, combiné à un skewness négatif (-0,235), indique une distribution légèrement asymétrique avec des épisodes de baisse plus marqués que les hausses. L'écart-type de 150 FCFA (CV=6,9%) montre une dispersion modérée des prix autour de la moyenne, tandis que le kurtosis de -1,298 (distribution platykurtique) révèle une absence de mouvements extrêmes et une concentration des cotations autour de la moyenne. La volatilité annualisée de 36,9% classe le titre comme très volatil, un niveau élevé qui reflète une incertitude persistante sur la valeur.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(2 185 FCFA) se situe nettement au-dessus de la MM20 (1 991,5 FCFA) et de la MM50 (2 072,8 FCFA), signalant un momentum haussier à court terme. Cependant, la décision globale reste "Vente" car la configuration suggère que le titre pourrait être suracheté à très court terme après un rebond rapide, et la tendance de fond sur 50 jours reste inférieure au plus haut récent.</w:t>
      </w:r>
    </w:p>
    <w:p>
      <w:pPr>
        <w:spacing w:after="120" w:line="276" w:lineRule="auto"/>
      </w:pPr>
      <w:r>
        <w:t>**Bandes de Bollinger** : Le cours évolue au-dessus de la borne supérieure (2 117,7 FCFA), ce qui est un signal classique de surachat. La largeur des bandes (écart de 252 FCFA) indique une volatilité élevée. La décision "Vente" est justifiée par cette sortie de canal, qui précède souvent un retour vers la moyenne.</w:t>
      </w:r>
    </w:p>
    <w:p>
      <w:pPr>
        <w:spacing w:after="120" w:line="276" w:lineRule="auto"/>
      </w:pPr>
      <w:r>
        <w:t>**MACD** : La valeur du MACD (6,558) est positive et nettement supérieure au signal (-21,729), formant un croisement haussier. Ce croisement récent indique un momentum positif en train de s'installer, d'où la décision "Achat". La dynamique semble se renforcer, mais il faudra surveiller la capacité du MACD à rester au-dessus de zéro.</w:t>
      </w:r>
    </w:p>
    <w:p>
      <w:pPr>
        <w:spacing w:after="120" w:line="276" w:lineRule="auto"/>
      </w:pPr>
      <w:r>
        <w:t>**RSI** : À 67,89, le RSI est en zone neutre-haute, proche du seuil de surachat (70). Cela indique que la pression acheteuse est forte mais pas encore excessive. La décision "Neutre" suggère que le titre peut encore progresser à court terme, mais avec un risque croissant de consolidation.</w:t>
      </w:r>
    </w:p>
    <w:p>
      <w:pPr>
        <w:spacing w:after="120" w:line="276" w:lineRule="auto"/>
      </w:pPr>
      <w:r>
        <w:t>**Stochastique** : Les valeurs %K et %D sont toutes deux à 100, un niveau extrême de surachat. Cette configuration signale que le titre est en territoire très survendu d'un point de vue technique, et un retournement baissier est probable à très court terme. La décision "Vente" est donc cohérente avec ce niveau extrême.</w:t>
      </w:r>
    </w:p>
    <w:p>
      <w:pPr>
        <w:spacing w:after="120" w:line="276" w:lineRule="auto"/>
      </w:pPr>
      <w:r>
        <w:t>**Conclusion technique** : Les indicateurs sont divergents. Le MACD et le RSI suggèrent un momentum positif, mais les Bandes de Bollinger et le Stochastique indiquent un surachat extrême. Cette configuration contradictoire suggère une consolidation à court terme avant une possible poursuite de la hausse. La prudence est de mise.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annuelles, FILTISAC CI a réalisé un chiffre d'affaires de 32,109 milliards FCFA, en croissance de 4,6% par rapport à 2024 (30,695 milliards FCFA). Cependant, le résultat net s'effondre à 465,98 millions FCFA contre 18,595 milliards FCFA en 2024, une chute de 97,5% due principalement à l'absence des produits exceptionnels de cession de filiales. La marge nette chute à 1,45% et le ROE à 2,97%, des niveaux très faibles. Le rapport annuel 2024 (publié en 2025) confirme que la performance 2024 était artificielle, tirée par un produit financier exceptionnel, et que le dividende massif de 2 000,67 FCFA par action a vidé la trésorerie. En tant qu'entreprise industrielle, les délais clients (213,7 jours) et de stockage (214,7 jours) sont très élevés, immobilisant le capital, tandis que le BFR de 11,529 milliards FCFA et la trésorerie nette négative de -11,528 milliards FCFA signalent un risque de liquidité majeur. Sur la base des rapports trimestriels, le T1 2026 (publié en 2026) montre un CA en hausse de 55% à 8,901 milliards FCFA et un résultat d'exploitation positif de 75 millions FCFA, mais un résultat net encore déficitaire de -154 millions FCFA. Le rapport du T3 2025 indiquait déjà un résultat courant avant impôt négatif de -216 millions FCFA. On estime que l'exercice 2026 pourrait voir une amélioration opérationnelle, mais la rentabilité nette restera probablement faible et tributaire de la campagne cacaoyère.</w:t>
      </w:r>
    </w:p>
    <w:p>
      <w:pPr>
        <w:spacing w:after="120" w:line="276" w:lineRule="auto"/>
      </w:pPr>
      <w:r>
        <w:t>---</w:t>
      </w:r>
    </w:p>
    <w:p>
      <w:pPr>
        <w:spacing w:after="120" w:line="276" w:lineRule="auto"/>
      </w:pPr>
      <w:r>
        <w:t>### PARTIE 4 : CONCLUSION D'INVESTISSEMENT</w:t>
      </w:r>
    </w:p>
    <w:p>
      <w:pPr>
        <w:spacing w:after="120" w:line="276" w:lineRule="auto"/>
      </w:pPr>
      <w:r>
        <w:t>La valorisation de FTSC est extrêmement exigeante avec un PER de 66,1x et un EV/EBITDA de 38,4x, indiquant une nette surévaluation par rapport aux bénéfices actuels. Le comportement du cours sur 100 jours est baissier (-9,71%) avec une volatilité élevée (36,9%), et les statistiques (kurtosis platykurtique, skewness négatif) suggèrent un profil de risque non linéaire. Les signaux techniques sont mitigés : un momentum haussier (MACD, RSI) contre un surachat extrême (Bollinger, Stochastique), ce qui plaide pour une consolidation. Fondamentalement, la société est fragile : trésorerie négative, BFR élevé, rentabilité opérationnelle à peine positive, et dépendance à la campagne cacaoyère. Les prédictions IA (2 190 à 2 219 FCFA sur 10 jours) suggèrent une légère hausse, mais celle-ci ne repose pas sur des fondamentaux solides. La convergence des signaux est faible : la technique est neutre, le fondamental est négatif, et la valorisation est excessive. En conséquence, la recommandation est **VENTE** avec un niveau de confiance **Moyen** et un risque global **Élevé**. L'horizon d'investissement optimal est le **court terme (&lt;3 mois)** pour les investisseurs déjà positionnés, afin de profiter d'un éventuel rebond technique avant une correction.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84.90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2,846 titres</w:t>
            </w:r>
          </w:p>
        </w:tc>
        <w:tc>
          <w:tcPr>
            <w:tcW w:type="dxa" w:w="2268"/>
            <w:shd w:fill="FFF2CC" w:val="clear"/>
          </w:tcPr>
          <w:p>
            <w:r>
              <w:rPr>
                <w:b/>
                <w:color w:val="503200"/>
                <w:sz w:val="16"/>
              </w:rPr>
              <w:t xml:space="preserve">Cours actuel : </w:t>
            </w:r>
            <w:r>
              <w:rPr>
                <w:color w:val="000000"/>
                <w:sz w:val="17"/>
              </w:rPr>
              <w:t>4,245 FCFA</w:t>
            </w:r>
          </w:p>
          <w:p>
            <w:r>
              <w:rPr>
                <w:b/>
                <w:color w:val="503200"/>
                <w:sz w:val="16"/>
              </w:rPr>
              <w:t xml:space="preserve">Var. 100 jours : </w:t>
            </w:r>
            <w:r>
              <w:rPr>
                <w:b/>
                <w:color w:val="007800"/>
                <w:sz w:val="17"/>
              </w:rPr>
              <w:t>+7.60%</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5.23% (Moyenne) — μ=4,025 FCFA, σ=211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β=0.2295 (Défensif) — Cov=0.000008, Var(idx)=0.000036, ρ=0.063,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σ_j=2.20%/j (Stable) — Vol. annualisée≈35.0%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2026-08-12</w:t>
            </w:r>
          </w:p>
        </w:tc>
        <w:tc>
          <w:tcPr>
            <w:tcW w:type="dxa" w:w="1440"/>
            <w:shd w:fill="FAFAFA" w:val="clear"/>
          </w:tcPr>
          <w:p>
            <w:r>
              <w:rPr>
                <w:sz w:val="17"/>
              </w:rPr>
              <w:t>3,971</w:t>
            </w:r>
          </w:p>
        </w:tc>
        <w:tc>
          <w:tcPr>
            <w:tcW w:type="dxa" w:w="1440"/>
            <w:shd w:fill="FAFAFA" w:val="clear"/>
          </w:tcPr>
          <w:p>
            <w:r>
              <w:rPr>
                <w:b/>
                <w:sz w:val="17"/>
              </w:rPr>
              <w:t>4,176</w:t>
            </w:r>
          </w:p>
        </w:tc>
        <w:tc>
          <w:tcPr>
            <w:tcW w:type="dxa" w:w="1440"/>
            <w:shd w:fill="FAFAFA" w:val="clear"/>
          </w:tcPr>
          <w:p>
            <w:r>
              <w:rPr>
                <w:sz w:val="17"/>
              </w:rPr>
              <w:t>4,382</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2026-08-13</w:t>
            </w:r>
          </w:p>
        </w:tc>
        <w:tc>
          <w:tcPr>
            <w:tcW w:type="dxa" w:w="1440"/>
            <w:shd w:fill="FFDCE0" w:val="clear"/>
          </w:tcPr>
          <w:p>
            <w:r>
              <w:rPr>
                <w:sz w:val="17"/>
              </w:rPr>
              <w:t>3,868</w:t>
            </w:r>
          </w:p>
        </w:tc>
        <w:tc>
          <w:tcPr>
            <w:tcW w:type="dxa" w:w="1440"/>
            <w:shd w:fill="FFDCE0" w:val="clear"/>
          </w:tcPr>
          <w:p>
            <w:r>
              <w:rPr>
                <w:b/>
                <w:sz w:val="17"/>
              </w:rPr>
              <w:t>4,157</w:t>
            </w:r>
          </w:p>
        </w:tc>
        <w:tc>
          <w:tcPr>
            <w:tcW w:type="dxa" w:w="1440"/>
            <w:shd w:fill="FFDCE0" w:val="clear"/>
          </w:tcPr>
          <w:p>
            <w:r>
              <w:rPr>
                <w:sz w:val="17"/>
              </w:rPr>
              <w:t>4,447</w:t>
            </w:r>
          </w:p>
        </w:tc>
        <w:tc>
          <w:tcPr>
            <w:tcW w:type="dxa" w:w="1440"/>
            <w:shd w:fill="FFDCE0" w:val="clear"/>
          </w:tcPr>
          <w:p>
            <w:r>
              <w:rPr>
                <w:b/>
                <w:color w:val="C00000"/>
                <w:sz w:val="17"/>
              </w:rPr>
              <w:t>-2.1%</w:t>
            </w:r>
          </w:p>
        </w:tc>
      </w:tr>
      <w:tr>
        <w:tc>
          <w:tcPr>
            <w:tcW w:type="dxa" w:w="1440"/>
            <w:shd w:fill="FFDCE0" w:val="clear"/>
          </w:tcPr>
          <w:p>
            <w:r>
              <w:rPr>
                <w:sz w:val="17"/>
              </w:rPr>
              <w:t>J+3  Moyenne</w:t>
            </w:r>
          </w:p>
        </w:tc>
        <w:tc>
          <w:tcPr>
            <w:tcW w:type="dxa" w:w="1440"/>
            <w:shd w:fill="FFDCE0" w:val="clear"/>
          </w:tcPr>
          <w:p>
            <w:r>
              <w:rPr>
                <w:sz w:val="17"/>
              </w:rPr>
              <w:t>2026-08-14</w:t>
            </w:r>
          </w:p>
        </w:tc>
        <w:tc>
          <w:tcPr>
            <w:tcW w:type="dxa" w:w="1440"/>
            <w:shd w:fill="FFDCE0" w:val="clear"/>
          </w:tcPr>
          <w:p>
            <w:r>
              <w:rPr>
                <w:sz w:val="17"/>
              </w:rPr>
              <w:t>3,785</w:t>
            </w:r>
          </w:p>
        </w:tc>
        <w:tc>
          <w:tcPr>
            <w:tcW w:type="dxa" w:w="1440"/>
            <w:shd w:fill="FFDCE0" w:val="clear"/>
          </w:tcPr>
          <w:p>
            <w:r>
              <w:rPr>
                <w:b/>
                <w:sz w:val="17"/>
              </w:rPr>
              <w:t>4,138</w:t>
            </w:r>
          </w:p>
        </w:tc>
        <w:tc>
          <w:tcPr>
            <w:tcW w:type="dxa" w:w="1440"/>
            <w:shd w:fill="FFDCE0" w:val="clear"/>
          </w:tcPr>
          <w:p>
            <w:r>
              <w:rPr>
                <w:sz w:val="17"/>
              </w:rPr>
              <w:t>4,491</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3,705</w:t>
            </w:r>
          </w:p>
        </w:tc>
        <w:tc>
          <w:tcPr>
            <w:tcW w:type="dxa" w:w="1440"/>
            <w:shd w:fill="FFDCE0" w:val="clear"/>
          </w:tcPr>
          <w:p>
            <w:r>
              <w:rPr>
                <w:b/>
                <w:sz w:val="17"/>
              </w:rPr>
              <w:t>4,110</w:t>
            </w:r>
          </w:p>
        </w:tc>
        <w:tc>
          <w:tcPr>
            <w:tcW w:type="dxa" w:w="1440"/>
            <w:shd w:fill="FFDCE0" w:val="clear"/>
          </w:tcPr>
          <w:p>
            <w:r>
              <w:rPr>
                <w:sz w:val="17"/>
              </w:rPr>
              <w:t>4,515</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3,632</w:t>
            </w:r>
          </w:p>
        </w:tc>
        <w:tc>
          <w:tcPr>
            <w:tcW w:type="dxa" w:w="1440"/>
            <w:shd w:fill="FFDCE0" w:val="clear"/>
          </w:tcPr>
          <w:p>
            <w:r>
              <w:rPr>
                <w:b/>
                <w:sz w:val="17"/>
              </w:rPr>
              <w:t>4,081</w:t>
            </w:r>
          </w:p>
        </w:tc>
        <w:tc>
          <w:tcPr>
            <w:tcW w:type="dxa" w:w="1440"/>
            <w:shd w:fill="FFDCE0" w:val="clear"/>
          </w:tcPr>
          <w:p>
            <w:r>
              <w:rPr>
                <w:sz w:val="17"/>
              </w:rPr>
              <w:t>4,531</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3,573</w:t>
            </w:r>
          </w:p>
        </w:tc>
        <w:tc>
          <w:tcPr>
            <w:tcW w:type="dxa" w:w="1440"/>
            <w:shd w:fill="FFDCE0" w:val="clear"/>
          </w:tcPr>
          <w:p>
            <w:r>
              <w:rPr>
                <w:b/>
                <w:sz w:val="17"/>
              </w:rPr>
              <w:t>4,063</w:t>
            </w:r>
          </w:p>
        </w:tc>
        <w:tc>
          <w:tcPr>
            <w:tcW w:type="dxa" w:w="1440"/>
            <w:shd w:fill="FFDCE0" w:val="clear"/>
          </w:tcPr>
          <w:p>
            <w:r>
              <w:rPr>
                <w:sz w:val="17"/>
              </w:rPr>
              <w:t>4,554</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3,519</w:t>
            </w:r>
          </w:p>
        </w:tc>
        <w:tc>
          <w:tcPr>
            <w:tcW w:type="dxa" w:w="1440"/>
            <w:shd w:fill="FFDCE0" w:val="clear"/>
          </w:tcPr>
          <w:p>
            <w:r>
              <w:rPr>
                <w:b/>
                <w:sz w:val="17"/>
              </w:rPr>
              <w:t>4,046</w:t>
            </w:r>
          </w:p>
        </w:tc>
        <w:tc>
          <w:tcPr>
            <w:tcW w:type="dxa" w:w="1440"/>
            <w:shd w:fill="FFDCE0" w:val="clear"/>
          </w:tcPr>
          <w:p>
            <w:r>
              <w:rPr>
                <w:sz w:val="17"/>
              </w:rPr>
              <w:t>4,574</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3,458</w:t>
            </w:r>
          </w:p>
        </w:tc>
        <w:tc>
          <w:tcPr>
            <w:tcW w:type="dxa" w:w="1440"/>
            <w:shd w:fill="FFDCE0" w:val="clear"/>
          </w:tcPr>
          <w:p>
            <w:r>
              <w:rPr>
                <w:b/>
                <w:sz w:val="17"/>
              </w:rPr>
              <w:t>4,018</w:t>
            </w:r>
          </w:p>
        </w:tc>
        <w:tc>
          <w:tcPr>
            <w:tcW w:type="dxa" w:w="1440"/>
            <w:shd w:fill="FFDCE0" w:val="clear"/>
          </w:tcPr>
          <w:p>
            <w:r>
              <w:rPr>
                <w:sz w:val="17"/>
              </w:rPr>
              <w:t>4,578</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3,412</w:t>
            </w:r>
          </w:p>
        </w:tc>
        <w:tc>
          <w:tcPr>
            <w:tcW w:type="dxa" w:w="1440"/>
            <w:shd w:fill="FFDCE0" w:val="clear"/>
          </w:tcPr>
          <w:p>
            <w:r>
              <w:rPr>
                <w:b/>
                <w:sz w:val="17"/>
              </w:rPr>
              <w:t>4,004</w:t>
            </w:r>
          </w:p>
        </w:tc>
        <w:tc>
          <w:tcPr>
            <w:tcW w:type="dxa" w:w="1440"/>
            <w:shd w:fill="FFDCE0" w:val="clear"/>
          </w:tcPr>
          <w:p>
            <w:r>
              <w:rPr>
                <w:sz w:val="17"/>
              </w:rPr>
              <w:t>4,595</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3,368</w:t>
            </w:r>
          </w:p>
        </w:tc>
        <w:tc>
          <w:tcPr>
            <w:tcW w:type="dxa" w:w="1440"/>
            <w:shd w:fill="FFDCE0" w:val="clear"/>
          </w:tcPr>
          <w:p>
            <w:r>
              <w:rPr>
                <w:b/>
                <w:sz w:val="17"/>
              </w:rPr>
              <w:t>3,989</w:t>
            </w:r>
          </w:p>
        </w:tc>
        <w:tc>
          <w:tcPr>
            <w:tcW w:type="dxa" w:w="1440"/>
            <w:shd w:fill="FFDCE0" w:val="clear"/>
          </w:tcPr>
          <w:p>
            <w:r>
              <w:rPr>
                <w:sz w:val="17"/>
              </w:rPr>
              <w:t>4,610</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11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84,90 milliards FCFA, un niveau significatif sur la BRVM qui positionne la société parmi les valeurs moyennes de la cote. Avec un BPA de 231 FCFA, chaque action génère un bénéfice confortable, mais le PER de 18,4x se situe nettement au-dessus de la moyenne historique de la place (~8-12x), indiquant que les investisseurs paient une prime substantielle pour la croissance anticipée. Le P/B de 3,87x confirme cette prime, le marché valorisant le titre bien au-delà de sa valeur comptable, ce qui traduit une confiance dans la capacité de création de valeur future. Enfin, l'EV/EBITDA de 10,8x, bien que dans la fourchette moyenne de 10-15x, suggère une valorisation relativement élevée par rapport à la capacité opérationnelle de l'entreprise. Ces ratios, pris ensemble, indiquent une valorisation exigeante qui devra être justifiée par une solide performance future.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LNBB affiche une progression totale de +7,60%, avec une légère consolidation de -1,16% lors de la dernière séance. Le titre a évolué dans une fourchette de 3 765 FCFA (plus bas) à 4 560 FCFA (plus haut), démontrant une amplitude de trading de près de 800 FCFA. La moyenne du cours sur la période (4 025 FCFA) est supérieure à la médiane (3 925 FCFA), ce qui, combiné à un skewness positif de 0,813, indique une distribution asymétrique avec des journées plus fréquentes sous la moyenne mais des mouvements haussiers ponctuels plus marqués. L'écart-type de 212 FCFA (CV=5,3%) révèle une dispersion modérée, tandis que le kurtosis de -0,812 (mésokurtique) suggère une distribution proche de la normale, sans risque de pics extrêmes. La volatilité annualisée de 35,0% classe le titre dans la catégorie "élevée" (&gt;30%), reflétant une sensibilité marquée aux nouvelles du marché et aux résultats de l'entreprise.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(4 245 FCFA) se positionne au-dessus de la MM20 (4 306 FCFA) et de la MM50 (4 167 FCFA), avec une MM20 supérieure à la MM50, configuration typique d'une tendance haussière à moyen terme. La décision "Achat" est justifiée par cette structure positive, bien que le cours soit légèrement sous la MM20, suggérant une consolidation à court terme.</w:t>
      </w:r>
    </w:p>
    <w:p>
      <w:pPr>
        <w:spacing w:after="120" w:line="276" w:lineRule="auto"/>
      </w:pPr>
      <w:r>
        <w:t>**Bandes de Bollinger :** Le prix se situe à 4 245 FCFA, entre la borne inférieure (4 087,305 FCFA) et la borne supérieure (4 524,695 FCFA), proche de la moyenne. Cette position neutre indique une volatilité modérée sans signal directionnel fort, la décision "Neutre" étant cohérente avec l'absence de pression haussière ou baissière marquée.</w:t>
      </w:r>
    </w:p>
    <w:p>
      <w:pPr>
        <w:spacing w:after="120" w:line="276" w:lineRule="auto"/>
      </w:pPr>
      <w:r>
        <w:t>**MACD :** La valeur du MACD (35,989) est inférieure à son signal (52,546), indiquant un momentum baissier à court terme. La décision "Vente" reflète ce croisement négatif, bien que les valeurs restent positives, suggérant une correction au sein d'une tendance haussière plus large.</w:t>
      </w:r>
    </w:p>
    <w:p>
      <w:pPr>
        <w:spacing w:after="120" w:line="276" w:lineRule="auto"/>
      </w:pPr>
      <w:r>
        <w:t>**RSI :** À 55,556, le RSI se situe dans la zone neutre (30-70), sans signal de surachat ni de survente. La décision "Neutre" est appropriée, indiquant un équilibre entre pression acheteuse et vendeuse, avec une légère préférence pour les acheteurs.</w:t>
      </w:r>
    </w:p>
    <w:p>
      <w:pPr>
        <w:spacing w:after="120" w:line="276" w:lineRule="auto"/>
      </w:pPr>
      <w:r>
        <w:t>**Stochastique :** Le %K (14,865) est nettement inférieur au %D (33,578), signalant une condition de survente. La décision "Achat" est justifiée par ce niveau extrême, suggérant un potentiel de rebond technique à court terme.</w:t>
      </w:r>
    </w:p>
    <w:p>
      <w:pPr>
        <w:spacing w:after="120" w:line="276" w:lineRule="auto"/>
      </w:pPr>
      <w:r>
        <w:t>**Conclusion technique :** Les indicateurs sont mitigés : les moyennes mobiles et le stochastique suggèrent un potentiel haussier, tandis que le MACD et le RSI indiquent une consolidation. La configuration globale reste constructive, avec un biais légèrement positif à moyen terme.</w:t>
      </w:r>
    </w:p>
    <w:p>
      <w:pPr>
        <w:spacing w:after="120" w:line="276" w:lineRule="auto"/>
      </w:pPr>
      <w:r>
        <w:t>---</w:t>
      </w:r>
    </w:p>
    <w:p>
      <w:pPr>
        <w:spacing w:after="120" w:line="276" w:lineRule="auto"/>
      </w:pPr>
      <w:r>
        <w:t>### PARTIE 3 : ANALYSE FONDAMENTALE (SECTION CRITIQUE)</w:t>
      </w:r>
    </w:p>
    <w:p>
      <w:pPr>
        <w:spacing w:after="120" w:line="276" w:lineRule="auto"/>
      </w:pPr>
      <w:r>
        <w:t>En 2025, la Loterie Nationale du Bénin a réalisé un chiffre d'affaires de 98,598 milliards FCFA, en baisse de -3,85% par rapport à 2024, avec un résultat net de 4,622 milliards FCFA, en recul de -36%. Le ROE s'établit à 21,05% et le ROA à 14,17%, des niveaux excellents qui témoignent d'une gestion efficace des capitaux propres et des actifs. La marge nette de 4,69% et la marge opérationnelle de 6,47% reflètent une rentabilité sous pression, mais la valeur ajoutée a progressé de +22% à 10,548 milliards FCFA, et l'EBE de +34% à 7,164 milliards FCFA, démontrant une excellente maîtrise des charges opérationnelles. La structure financière est très solide avec une autonomie financière de 67,32%, une trésorerie nette positive de 7,979 milliards FCFA et un BFR de 217,45 millions FCFA. Les délais clients (4,82 jours) et fournisseurs (20,41 jours) sont très courts, indiquant une gestion efficace du besoin en fonds de roulement. Sur la base du rapport S1 2026 (CA en hausse de +4% à 49,937 milliards FCFA et résultat net en progression de +60%), on estime que l'exercice 2026 devrait confirmer une nette amélioration de la rentabilité, portée par les revenus de partenariats et la maîtrise des charges. Le rapport T1 2026 (CA +6%, résultat net -46% à 848 millions FCFA) montre toutefois une volatilité trimestrielle liée au mix produit, avec un taux de retour aux joueurs de 95% sur le pari sportif. La recommandation fondamentale est de **CONSERVER**, la société présentant des fondamentaux solides mais une valorisation exigeante.</w:t>
      </w:r>
    </w:p>
    <w:p>
      <w:pPr>
        <w:spacing w:after="120" w:line="276" w:lineRule="auto"/>
      </w:pPr>
      <w:r>
        <w:t>---</w:t>
      </w:r>
    </w:p>
    <w:p>
      <w:pPr>
        <w:spacing w:after="120" w:line="276" w:lineRule="auto"/>
      </w:pPr>
      <w:r>
        <w:t>### PARTIE 4 : CONCLUSION D'INVESTISSEMENT</w:t>
      </w:r>
    </w:p>
    <w:p>
      <w:pPr>
        <w:spacing w:after="120" w:line="276" w:lineRule="auto"/>
      </w:pPr>
      <w:r>
        <w:t>La valorisation de LNBB (PER 18,4x, P/B 3,87x, EV/EBITDA 10,8x) indique une surévaluation relative par rapport aux moyennes de la BRVM, tandis que le comportement du cours sur 100 jours (+7,60%) montre une tendance haussière avec une volatilité élevée (35%). Les signaux techniques sont mitigés : les moyennes mobiles et le stochastique sont positifs, mais le MACD et le RSI suggèrent une consolidation. Les fondamentaux sont solides avec un ROE de 21,05%, une structure financière saine et des perspectives de redressement en 2026 (résultat net S1 2026 en hausse de +60%). Les prédictions IA (4 176 FCFA à J+1, 4 081 FCFA à J+10) indiquent une trajectoire baissière à court terme, contredisant les signaux techniques positifs. En synthèse, la convergence entre fondamentaux solides et valorisation élevée, combinée à des signaux techniques mixtes et des prédictions IA baissières, conduit à une recommandation **CONSERVER**. Le niveau de confiance est **Moyen**, le risque global est **Élevé** (volatilité 35%), et l'horizon d'investissement optimal est le **moyen terme (3-12 mois)**, en attendant la confirmation du redressement fondamental et une meilleure visibilité sur la rentabilité future.</w:t>
      </w:r>
    </w:p>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5,354 titres</w:t>
            </w:r>
          </w:p>
        </w:tc>
        <w:tc>
          <w:tcPr>
            <w:tcW w:type="dxa" w:w="2268"/>
            <w:shd w:fill="FFF2CC" w:val="clear"/>
          </w:tcPr>
          <w:p>
            <w:r>
              <w:rPr>
                <w:b/>
                <w:color w:val="503200"/>
                <w:sz w:val="16"/>
              </w:rPr>
              <w:t xml:space="preserve">Cours actuel : </w:t>
            </w:r>
            <w:r>
              <w:rPr>
                <w:color w:val="000000"/>
                <w:sz w:val="17"/>
              </w:rPr>
              <w:t>2,260 FCFA</w:t>
            </w:r>
          </w:p>
          <w:p>
            <w:r>
              <w:rPr>
                <w:b/>
                <w:color w:val="503200"/>
                <w:sz w:val="16"/>
              </w:rPr>
              <w:t xml:space="preserve">Var. 100 jours : </w:t>
            </w:r>
            <w:r>
              <w:rPr>
                <w:b/>
                <w:color w:val="007800"/>
                <w:sz w:val="17"/>
              </w:rPr>
              <w:t>+59.72%</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18.69% (Élevée) — μ=1,910 FCFA, σ=357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β=0.0321 (Défensif) — Cov=0.000001, Var(idx)=0.000036, ρ=0.006,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2026-08-12</w:t>
            </w:r>
          </w:p>
        </w:tc>
        <w:tc>
          <w:tcPr>
            <w:tcW w:type="dxa" w:w="1440"/>
            <w:shd w:fill="FFDCE0" w:val="clear"/>
          </w:tcPr>
          <w:p>
            <w:r>
              <w:rPr>
                <w:sz w:val="17"/>
              </w:rPr>
              <w:t>1,968</w:t>
            </w:r>
          </w:p>
        </w:tc>
        <w:tc>
          <w:tcPr>
            <w:tcW w:type="dxa" w:w="1440"/>
            <w:shd w:fill="FFDCE0" w:val="clear"/>
          </w:tcPr>
          <w:p>
            <w:r>
              <w:rPr>
                <w:b/>
                <w:sz w:val="17"/>
              </w:rPr>
              <w:t>2,090</w:t>
            </w:r>
          </w:p>
        </w:tc>
        <w:tc>
          <w:tcPr>
            <w:tcW w:type="dxa" w:w="1440"/>
            <w:shd w:fill="FFDCE0" w:val="clear"/>
          </w:tcPr>
          <w:p>
            <w:r>
              <w:rPr>
                <w:sz w:val="17"/>
              </w:rPr>
              <w:t>2,213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2026-08-13</w:t>
            </w:r>
          </w:p>
        </w:tc>
        <w:tc>
          <w:tcPr>
            <w:tcW w:type="dxa" w:w="1440"/>
            <w:shd w:fill="FFDCE0" w:val="clear"/>
          </w:tcPr>
          <w:p>
            <w:r>
              <w:rPr>
                <w:sz w:val="17"/>
              </w:rPr>
              <w:t>1,786</w:t>
            </w:r>
          </w:p>
        </w:tc>
        <w:tc>
          <w:tcPr>
            <w:tcW w:type="dxa" w:w="1440"/>
            <w:shd w:fill="FFDCE0" w:val="clear"/>
          </w:tcPr>
          <w:p>
            <w:r>
              <w:rPr>
                <w:b/>
                <w:sz w:val="17"/>
              </w:rPr>
              <w:t>1,947</w:t>
            </w:r>
          </w:p>
        </w:tc>
        <w:tc>
          <w:tcPr>
            <w:tcW w:type="dxa" w:w="1440"/>
            <w:shd w:fill="FFDCE0" w:val="clear"/>
          </w:tcPr>
          <w:p>
            <w:r>
              <w:rPr>
                <w:sz w:val="17"/>
              </w:rPr>
              <w:t>2,109</w:t>
            </w:r>
          </w:p>
        </w:tc>
        <w:tc>
          <w:tcPr>
            <w:tcW w:type="dxa" w:w="1440"/>
            <w:shd w:fill="FFDCE0" w:val="clear"/>
          </w:tcPr>
          <w:p>
            <w:r>
              <w:rPr>
                <w:b/>
                <w:color w:val="C00000"/>
                <w:sz w:val="17"/>
              </w:rPr>
              <w:t>-13.8%</w:t>
            </w:r>
          </w:p>
        </w:tc>
      </w:tr>
      <w:tr>
        <w:tc>
          <w:tcPr>
            <w:tcW w:type="dxa" w:w="1440"/>
            <w:shd w:fill="FFDCE0" w:val="clear"/>
          </w:tcPr>
          <w:p>
            <w:r>
              <w:rPr>
                <w:sz w:val="17"/>
              </w:rPr>
              <w:t>J+3  Moyenne</w:t>
            </w:r>
          </w:p>
        </w:tc>
        <w:tc>
          <w:tcPr>
            <w:tcW w:type="dxa" w:w="1440"/>
            <w:shd w:fill="FFDCE0" w:val="clear"/>
          </w:tcPr>
          <w:p>
            <w:r>
              <w:rPr>
                <w:sz w:val="17"/>
              </w:rPr>
              <w:t>2026-08-14</w:t>
            </w:r>
          </w:p>
        </w:tc>
        <w:tc>
          <w:tcPr>
            <w:tcW w:type="dxa" w:w="1440"/>
            <w:shd w:fill="FFDCE0" w:val="clear"/>
          </w:tcPr>
          <w:p>
            <w:r>
              <w:rPr>
                <w:sz w:val="17"/>
              </w:rPr>
              <w:t>1,640</w:t>
            </w:r>
          </w:p>
        </w:tc>
        <w:tc>
          <w:tcPr>
            <w:tcW w:type="dxa" w:w="1440"/>
            <w:shd w:fill="FFDCE0" w:val="clear"/>
          </w:tcPr>
          <w:p>
            <w:r>
              <w:rPr>
                <w:b/>
                <w:sz w:val="17"/>
              </w:rPr>
              <w:t>1,825</w:t>
            </w:r>
          </w:p>
        </w:tc>
        <w:tc>
          <w:tcPr>
            <w:tcW w:type="dxa" w:w="1440"/>
            <w:shd w:fill="FFDCE0" w:val="clear"/>
          </w:tcPr>
          <w:p>
            <w:r>
              <w:rPr>
                <w:sz w:val="17"/>
              </w:rPr>
              <w:t>2,010</w:t>
            </w:r>
          </w:p>
        </w:tc>
        <w:tc>
          <w:tcPr>
            <w:tcW w:type="dxa" w:w="1440"/>
            <w:shd w:fill="FFDCE0" w:val="clear"/>
          </w:tcPr>
          <w:p>
            <w:r>
              <w:rPr>
                <w:b/>
                <w:color w:val="C00000"/>
                <w:sz w:val="17"/>
              </w:rPr>
              <w:t>-19.3%</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1,525</w:t>
            </w:r>
          </w:p>
        </w:tc>
        <w:tc>
          <w:tcPr>
            <w:tcW w:type="dxa" w:w="1440"/>
            <w:shd w:fill="FFDCE0" w:val="clear"/>
          </w:tcPr>
          <w:p>
            <w:r>
              <w:rPr>
                <w:b/>
                <w:sz w:val="17"/>
              </w:rPr>
              <w:t>1,727</w:t>
            </w:r>
          </w:p>
        </w:tc>
        <w:tc>
          <w:tcPr>
            <w:tcW w:type="dxa" w:w="1440"/>
            <w:shd w:fill="FFDCE0" w:val="clear"/>
          </w:tcPr>
          <w:p>
            <w:r>
              <w:rPr>
                <w:sz w:val="17"/>
              </w:rPr>
              <w:t>1,930</w:t>
            </w:r>
          </w:p>
        </w:tc>
        <w:tc>
          <w:tcPr>
            <w:tcW w:type="dxa" w:w="1440"/>
            <w:shd w:fill="FFDCE0" w:val="clear"/>
          </w:tcPr>
          <w:p>
            <w:r>
              <w:rPr>
                <w:b/>
                <w:color w:val="C00000"/>
                <w:sz w:val="17"/>
              </w:rPr>
              <w:t>-23.6%</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1,432</w:t>
            </w:r>
          </w:p>
        </w:tc>
        <w:tc>
          <w:tcPr>
            <w:tcW w:type="dxa" w:w="1440"/>
            <w:shd w:fill="FFDCE0" w:val="clear"/>
          </w:tcPr>
          <w:p>
            <w:r>
              <w:rPr>
                <w:b/>
                <w:sz w:val="17"/>
              </w:rPr>
              <w:t>1,648</w:t>
            </w:r>
          </w:p>
        </w:tc>
        <w:tc>
          <w:tcPr>
            <w:tcW w:type="dxa" w:w="1440"/>
            <w:shd w:fill="FFDCE0" w:val="clear"/>
          </w:tcPr>
          <w:p>
            <w:r>
              <w:rPr>
                <w:sz w:val="17"/>
              </w:rPr>
              <w:t>1,864</w:t>
            </w:r>
          </w:p>
        </w:tc>
        <w:tc>
          <w:tcPr>
            <w:tcW w:type="dxa" w:w="1440"/>
            <w:shd w:fill="FFDCE0" w:val="clear"/>
          </w:tcPr>
          <w:p>
            <w:r>
              <w:rPr>
                <w:b/>
                <w:color w:val="C00000"/>
                <w:sz w:val="17"/>
              </w:rPr>
              <w:t>-27.1%</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1,354</w:t>
            </w:r>
          </w:p>
        </w:tc>
        <w:tc>
          <w:tcPr>
            <w:tcW w:type="dxa" w:w="1440"/>
            <w:shd w:fill="FFDCE0" w:val="clear"/>
          </w:tcPr>
          <w:p>
            <w:r>
              <w:rPr>
                <w:b/>
                <w:sz w:val="17"/>
              </w:rPr>
              <w:t>1,580</w:t>
            </w:r>
          </w:p>
        </w:tc>
        <w:tc>
          <w:tcPr>
            <w:tcW w:type="dxa" w:w="1440"/>
            <w:shd w:fill="FFDCE0" w:val="clear"/>
          </w:tcPr>
          <w:p>
            <w:r>
              <w:rPr>
                <w:sz w:val="17"/>
              </w:rPr>
              <w:t>1,807</w:t>
            </w:r>
          </w:p>
        </w:tc>
        <w:tc>
          <w:tcPr>
            <w:tcW w:type="dxa" w:w="1440"/>
            <w:shd w:fill="FFDCE0" w:val="clear"/>
          </w:tcPr>
          <w:p>
            <w:r>
              <w:rPr>
                <w:b/>
                <w:color w:val="C00000"/>
                <w:sz w:val="17"/>
              </w:rPr>
              <w:t>-30.1%</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1,286</w:t>
            </w:r>
          </w:p>
        </w:tc>
        <w:tc>
          <w:tcPr>
            <w:tcW w:type="dxa" w:w="1440"/>
            <w:shd w:fill="FFDCE0" w:val="clear"/>
          </w:tcPr>
          <w:p>
            <w:r>
              <w:rPr>
                <w:b/>
                <w:sz w:val="17"/>
              </w:rPr>
              <w:t>1,521</w:t>
            </w:r>
          </w:p>
        </w:tc>
        <w:tc>
          <w:tcPr>
            <w:tcW w:type="dxa" w:w="1440"/>
            <w:shd w:fill="FFDCE0" w:val="clear"/>
          </w:tcPr>
          <w:p>
            <w:r>
              <w:rPr>
                <w:sz w:val="17"/>
              </w:rPr>
              <w:t>1,757</w:t>
            </w:r>
          </w:p>
        </w:tc>
        <w:tc>
          <w:tcPr>
            <w:tcW w:type="dxa" w:w="1440"/>
            <w:shd w:fill="FFDCE0" w:val="clear"/>
          </w:tcPr>
          <w:p>
            <w:r>
              <w:rPr>
                <w:b/>
                <w:color w:val="C00000"/>
                <w:sz w:val="17"/>
              </w:rPr>
              <w:t>-32.7%</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1,226</w:t>
            </w:r>
          </w:p>
        </w:tc>
        <w:tc>
          <w:tcPr>
            <w:tcW w:type="dxa" w:w="1440"/>
            <w:shd w:fill="FFDCE0" w:val="clear"/>
          </w:tcPr>
          <w:p>
            <w:r>
              <w:rPr>
                <w:b/>
                <w:sz w:val="17"/>
              </w:rPr>
              <w:t>1,469</w:t>
            </w:r>
          </w:p>
        </w:tc>
        <w:tc>
          <w:tcPr>
            <w:tcW w:type="dxa" w:w="1440"/>
            <w:shd w:fill="FFDCE0" w:val="clear"/>
          </w:tcPr>
          <w:p>
            <w:r>
              <w:rPr>
                <w:sz w:val="17"/>
              </w:rPr>
              <w:t>1,713</w:t>
            </w:r>
          </w:p>
        </w:tc>
        <w:tc>
          <w:tcPr>
            <w:tcW w:type="dxa" w:w="1440"/>
            <w:shd w:fill="FFDCE0" w:val="clear"/>
          </w:tcPr>
          <w:p>
            <w:r>
              <w:rPr>
                <w:b/>
                <w:color w:val="C00000"/>
                <w:sz w:val="17"/>
              </w:rPr>
              <w:t>-35.0%</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1,172</w:t>
            </w:r>
          </w:p>
        </w:tc>
        <w:tc>
          <w:tcPr>
            <w:tcW w:type="dxa" w:w="1440"/>
            <w:shd w:fill="FFDCE0" w:val="clear"/>
          </w:tcPr>
          <w:p>
            <w:r>
              <w:rPr>
                <w:b/>
                <w:sz w:val="17"/>
              </w:rPr>
              <w:t>1,422</w:t>
            </w:r>
          </w:p>
        </w:tc>
        <w:tc>
          <w:tcPr>
            <w:tcW w:type="dxa" w:w="1440"/>
            <w:shd w:fill="FFDCE0" w:val="clear"/>
          </w:tcPr>
          <w:p>
            <w:r>
              <w:rPr>
                <w:sz w:val="17"/>
              </w:rPr>
              <w:t>1,672</w:t>
            </w:r>
          </w:p>
        </w:tc>
        <w:tc>
          <w:tcPr>
            <w:tcW w:type="dxa" w:w="1440"/>
            <w:shd w:fill="FFDCE0" w:val="clear"/>
          </w:tcPr>
          <w:p>
            <w:r>
              <w:rPr>
                <w:b/>
                <w:color w:val="C00000"/>
                <w:sz w:val="17"/>
              </w:rPr>
              <w:t>-37.1%</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1,124</w:t>
            </w:r>
          </w:p>
        </w:tc>
        <w:tc>
          <w:tcPr>
            <w:tcW w:type="dxa" w:w="1440"/>
            <w:shd w:fill="FFDCE0" w:val="clear"/>
          </w:tcPr>
          <w:p>
            <w:r>
              <w:rPr>
                <w:b/>
                <w:sz w:val="17"/>
              </w:rPr>
              <w:t>1,379</w:t>
            </w:r>
          </w:p>
        </w:tc>
        <w:tc>
          <w:tcPr>
            <w:tcW w:type="dxa" w:w="1440"/>
            <w:shd w:fill="FFDCE0" w:val="clear"/>
          </w:tcPr>
          <w:p>
            <w:r>
              <w:rPr>
                <w:sz w:val="17"/>
              </w:rPr>
              <w:t>1,635</w:t>
            </w:r>
          </w:p>
        </w:tc>
        <w:tc>
          <w:tcPr>
            <w:tcW w:type="dxa" w:w="1440"/>
            <w:shd w:fill="FFDCE0" w:val="clear"/>
          </w:tcPr>
          <w:p>
            <w:r>
              <w:rPr>
                <w:b/>
                <w:color w:val="C00000"/>
                <w:sz w:val="17"/>
              </w:rPr>
              <w:t>-39.0%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28,85 milliards FCFA, un niveau qui la positionne comme une valeur de taille moyenne sur la BRVM. Avec un BPA de 160 FCFA, chaque action génère un bénéfice confortable, justifiant un PER de 14,2x. Ce ratio, bien que supérieur à la moyenne historique de la BRVM (8-12x), reste modéré et témoigne d'une valorisation raisonnable pour une société affichant une telle rentabilité. Cependant, le P/B de 5,01x et l'EV/EBITDA de 21,0x sont nettement plus exigeants, indiquant que le marché intègre déjà une prime substantielle pour la croissance future et la solidité financière de l'entreprise. Ces deux derniers ratios suggèrent que le titre n'est pas "bon marché" et que les investisseurs paient cher pour la qualité des actifs et la capacité opérationnelle de NEIC.</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performance spectaculaire de +59,72%, passant d'un plus bas de 1 350 FCFA à un plus haut de 2 400 FCFA, avant de clôturer à 2 260 FCFA. La légère baisse de -0,22% sur la dernière séance suggère une consolidation après ce rallye. La moyenne du cours sur la période (1 910 FCFA) est inférieure à la médiane (1 990 FCFA), indiquant une asymétrie positive avec des valeurs extrêmes élevées qui tirent la moyenne vers le haut. L'écart-type de 359 FCFA (CV=18,8%) montre une dispersion modérée. Le kurtosis négatif (-1,341) indique une distribution aplatie, avec moins de pics extrêmes que la normale, tandis que le skewness de -0,385 suggère une queue de distribution vers les valeurs basses, malgré la tendance haussière. La volatilité annualisée de 50,2% est très élevée, classant NEIC comme un titre à haut risque, propice aux fortes variations de prix.</w:t>
      </w:r>
    </w:p>
    <w:p>
      <w:pPr>
        <w:spacing w:after="120" w:line="276" w:lineRule="auto" w:before="240"/>
      </w:pPr>
      <w:r>
        <w:rPr>
          <w:b/>
          <w:color w:val="003366"/>
          <w:sz w:val="24"/>
        </w:rPr>
        <w:t>**PARTIE 2 : ANALYSE TECHNIQUE DÉTAILLÉE**</w:t>
      </w:r>
    </w:p>
    <w:p>
      <w:pPr>
        <w:spacing w:after="120" w:line="276" w:lineRule="auto"/>
      </w:pPr>
      <w:r>
        <w:t>**Moyennes Mobiles** : Le cours actuel (2 260 FCFA) est supérieur à la MM20 (2 248,25 FCFA) et à la MM50 (2 211 FCFA), confirmant une dynamique haussière à court et moyen terme. La configuration des MM, avec le cours au-dessus des deux moyennes, valide la tendance positive et justifie la décision d'achat.</w:t>
      </w:r>
    </w:p>
    <w:p>
      <w:pPr>
        <w:spacing w:after="120" w:line="276" w:lineRule="auto"/>
      </w:pPr>
      <w:r>
        <w:t>**Bandes de Bollinger** : Le prix se situe à 2 260 FCFA, entre la borne supérieure (2 358,57 FCFA) et la borne inférieure (2 137,93 FCFA), proche de la moyenne. Cette position neutre indique une volatilité normale, sans condition de surachat ou de survente, suggérant une phase de consolidation après la récente hausse.</w:t>
      </w:r>
    </w:p>
    <w:p>
      <w:pPr>
        <w:spacing w:after="120" w:line="276" w:lineRule="auto"/>
      </w:pPr>
      <w:r>
        <w:t>**MACD** : La valeur du MACD (13,307) est inférieure à son signal (19,131), indiquant un momentum baissier à court terme. Cette divergence négative, malgré la tendance haussière des prix, signale un possible ralentissement ou une correction imminente, justifiant la décision de vente.</w:t>
      </w:r>
    </w:p>
    <w:p>
      <w:pPr>
        <w:spacing w:after="120" w:line="276" w:lineRule="auto"/>
      </w:pPr>
      <w:r>
        <w:t>**RSI** : Le RSI à 56,522 se situe dans la zone neutre (30-70), indiquant un équilibre entre pression acheteuse et vendeuse. Il n'y a pas de condition de surachat ou de survente, ce qui laisse une marge de manœuvre pour une poursuite de la hausse ou une consolidation.</w:t>
      </w:r>
    </w:p>
    <w:p>
      <w:pPr>
        <w:spacing w:after="120" w:line="276" w:lineRule="auto"/>
      </w:pPr>
      <w:r>
        <w:t>**Stochastique** : Le %K (78,378) est supérieur au %D (53,153), indiquant une dynamique haussière récente. Cependant, le %K approche la zone de surachat (&gt;80), ce qui pourrait signaler un essoufflement à court terme. La décision neutre reflète cette ambiguïté.</w:t>
      </w:r>
    </w:p>
    <w:p>
      <w:pPr>
        <w:spacing w:after="120" w:line="276" w:lineRule="auto"/>
      </w:pPr>
      <w:r>
        <w:t>**Conclusion technique** : Les indicateurs sont mitigés. Les moyennes mobiles confirment la tendance haussière, mais le MACD et le stochastique suggèrent un essoufflement du momentum. Le RSI et les bandes de Bollinger indiquent une phase de consolidation. Globalement, la tendance de fond reste positive, mais un repli technique à court terme est possible.</w:t>
      </w:r>
    </w:p>
    <w:p>
      <w:pPr>
        <w:spacing w:after="120" w:line="276" w:lineRule="auto" w:before="240"/>
      </w:pPr>
      <w:r>
        <w:rPr>
          <w:b/>
          <w:color w:val="003366"/>
          <w:sz w:val="24"/>
        </w:rPr>
        <w:t>**PARTIE 3 : ANALYSE FONDAMENTALE (SECTION CRITIQUE)**</w:t>
      </w:r>
    </w:p>
    <w:p>
      <w:pPr>
        <w:spacing w:after="120" w:line="276" w:lineRule="auto"/>
      </w:pPr>
      <w:r>
        <w:t>En 2025, NEIC affiche des fondamentaux solides avec un chiffre d'affaires de 5,139 milliards FCFA et un résultat net de 2,037 milliards FCFA, soit une marge nette exceptionnelle de 39,6%. La rentabilité des fonds propres (ROE) atteint 35,4% et le ROA 27,3%, des niveaux excellents qui témoignent d'une gestion très efficace. La structure financière est saine avec une autonomie financière de 77% et une trésorerie nette positive de 4,196 milliards FCFA. Cependant, le taux de croissance du CA est négatif (-23,8%), et le BFR de 1,498 milliard FCFA, bien que positif, indique un besoin de financement. Les délais clients (154,7 jours) sont élevés, ce qui représente un risque de trésorerie. Les rapports trimestriels de 2025 confirment cette tendance : le T1 2025 a été catastrophique avec un CA de 48,5 millions FCFA et une perte de 189,9 millions, mais le T3 2025 a montré un bénéfice exceptionnel de 1,596 milliard FCFA, tiré par une reprise de provision. Le rapport annuel 2025 (daté de 2026) indique une croissance de 29% du CA à 6,74 milliards FCFA et un résultat net de 2,04 milliards, confirmant la solidité de l'entreprise. Les perspectives sont favorables, mais la dépendance aux marchés publics et la politique de distribution de 100% du résultat en dividendes sont des risques à surveiller.</w:t>
      </w:r>
    </w:p>
    <w:p>
      <w:pPr>
        <w:spacing w:after="120" w:line="276" w:lineRule="auto" w:before="240"/>
      </w:pPr>
      <w:r>
        <w:rPr>
          <w:b/>
          <w:color w:val="003366"/>
          <w:sz w:val="24"/>
        </w:rPr>
        <w:t>**PARTIE 4 : CONCLUSION D'INVESTISSEMENT**</w:t>
      </w:r>
    </w:p>
    <w:p>
      <w:pPr>
        <w:spacing w:after="120" w:line="276" w:lineRule="auto"/>
      </w:pPr>
      <w:r>
        <w:t>La valorisation de NEIC est exigeante (PER 14,2x, P/B 5,01x, EV/EBITDA 21x), mais justifiée par une rentabilité exceptionnelle (ROE 35,4%) et une trésorerie massive. Le comportement du cours est très positif avec une hausse de 59,7% sur 100 jours, mais la volatilité élevée (50,2%) et le skewness négatif appellent à la prudence. Les signaux techniques sont mitigés : la tendance est haussière (MM), mais le MACD et le stochastique suggèrent un essoufflement à court terme. Les fondamentaux sont solides, avec un résultat net 2025 de 2,04 milliards FCFA et une croissance du CA de 29%, mais les rapports trimestriels montrent une forte saisonnalité et une dépendance aux éléments exceptionnels. Les prédictions IA indiquent une baisse progressive du cours sur les 10 prochains jours (de 2 090 à 1 648 FCFA), contredisant la tendance haussière récente et suggérant une correction technique. En synthèse, la convergence entre la valorisation exigeante, les signaux techniques d'essoufflement et les prédictions IA baissières conduit à une recommandation de **CONSERVER** avec un niveau de confiance **Moyen**. Le risque global est **Élevé** en raison de la volatilité et de la dépendance aux marchés publics. L'horizon d'investissement optimal est le **moyen terme (3-12 mois)**, en attendant une confirmation de la poursuite de la croissance du CA et une stabilisation du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584.97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1,962 titres</w:t>
            </w:r>
          </w:p>
        </w:tc>
        <w:tc>
          <w:tcPr>
            <w:tcW w:type="dxa" w:w="2268"/>
            <w:shd w:fill="FFF2CC" w:val="clear"/>
          </w:tcPr>
          <w:p>
            <w:r>
              <w:rPr>
                <w:b/>
                <w:color w:val="503200"/>
                <w:sz w:val="16"/>
              </w:rPr>
              <w:t xml:space="preserve">Cours actuel : </w:t>
            </w:r>
            <w:r>
              <w:rPr>
                <w:color w:val="000000"/>
                <w:sz w:val="17"/>
              </w:rPr>
              <w:t>23,650 FCFA</w:t>
            </w:r>
          </w:p>
          <w:p>
            <w:r>
              <w:rPr>
                <w:b/>
                <w:color w:val="503200"/>
                <w:sz w:val="16"/>
              </w:rPr>
              <w:t xml:space="preserve">Var. 100 jours : </w:t>
            </w:r>
            <w:r>
              <w:rPr>
                <w:b/>
                <w:color w:val="007800"/>
                <w:sz w:val="17"/>
              </w:rPr>
              <w:t>+70.14%</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19.92% (Élevée) — μ=17,892 FCFA, σ=3,564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β=1.4543 (Agressif) — Cov=0.000053, Var(idx)=0.000036, ρ=0.369,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2026-08-12</w:t>
            </w:r>
          </w:p>
        </w:tc>
        <w:tc>
          <w:tcPr>
            <w:tcW w:type="dxa" w:w="1440"/>
            <w:shd w:fill="C6EFCE" w:val="clear"/>
          </w:tcPr>
          <w:p>
            <w:r>
              <w:rPr>
                <w:sz w:val="17"/>
              </w:rPr>
              <w:t>23,193</w:t>
            </w:r>
          </w:p>
        </w:tc>
        <w:tc>
          <w:tcPr>
            <w:tcW w:type="dxa" w:w="1440"/>
            <w:shd w:fill="C6EFCE" w:val="clear"/>
          </w:tcPr>
          <w:p>
            <w:r>
              <w:rPr>
                <w:b/>
                <w:sz w:val="17"/>
              </w:rPr>
              <w:t>24,219</w:t>
            </w:r>
          </w:p>
        </w:tc>
        <w:tc>
          <w:tcPr>
            <w:tcW w:type="dxa" w:w="1440"/>
            <w:shd w:fill="C6EFCE" w:val="clear"/>
          </w:tcPr>
          <w:p>
            <w:r>
              <w:rPr>
                <w:sz w:val="17"/>
              </w:rPr>
              <w:t>25,245</w:t>
            </w:r>
          </w:p>
        </w:tc>
        <w:tc>
          <w:tcPr>
            <w:tcW w:type="dxa" w:w="1440"/>
            <w:shd w:fill="C6EFCE" w:val="clear"/>
          </w:tcPr>
          <w:p>
            <w:r>
              <w:rPr>
                <w:b/>
                <w:color w:val="008000"/>
                <w:sz w:val="17"/>
              </w:rPr>
              <w:t>+2.4%</w:t>
            </w:r>
          </w:p>
        </w:tc>
      </w:tr>
      <w:tr>
        <w:tc>
          <w:tcPr>
            <w:tcW w:type="dxa" w:w="1440"/>
            <w:shd w:fill="C6EFCE" w:val="clear"/>
          </w:tcPr>
          <w:p>
            <w:r>
              <w:rPr>
                <w:sz w:val="17"/>
              </w:rPr>
              <w:t>J+2  Moyenne</w:t>
            </w:r>
          </w:p>
        </w:tc>
        <w:tc>
          <w:tcPr>
            <w:tcW w:type="dxa" w:w="1440"/>
            <w:shd w:fill="C6EFCE" w:val="clear"/>
          </w:tcPr>
          <w:p>
            <w:r>
              <w:rPr>
                <w:sz w:val="17"/>
              </w:rPr>
              <w:t>2026-08-13</w:t>
            </w:r>
          </w:p>
        </w:tc>
        <w:tc>
          <w:tcPr>
            <w:tcW w:type="dxa" w:w="1440"/>
            <w:shd w:fill="C6EFCE" w:val="clear"/>
          </w:tcPr>
          <w:p>
            <w:r>
              <w:rPr>
                <w:sz w:val="17"/>
              </w:rPr>
              <w:t>23,168</w:t>
            </w:r>
          </w:p>
        </w:tc>
        <w:tc>
          <w:tcPr>
            <w:tcW w:type="dxa" w:w="1440"/>
            <w:shd w:fill="C6EFCE" w:val="clear"/>
          </w:tcPr>
          <w:p>
            <w:r>
              <w:rPr>
                <w:b/>
                <w:sz w:val="17"/>
              </w:rPr>
              <w:t>24,644</w:t>
            </w:r>
          </w:p>
        </w:tc>
        <w:tc>
          <w:tcPr>
            <w:tcW w:type="dxa" w:w="1440"/>
            <w:shd w:fill="C6EFCE" w:val="clear"/>
          </w:tcPr>
          <w:p>
            <w:r>
              <w:rPr>
                <w:sz w:val="17"/>
              </w:rPr>
              <w:t>26,120</w:t>
            </w:r>
          </w:p>
        </w:tc>
        <w:tc>
          <w:tcPr>
            <w:tcW w:type="dxa" w:w="1440"/>
            <w:shd w:fill="C6EFCE" w:val="clear"/>
          </w:tcPr>
          <w:p>
            <w:r>
              <w:rPr>
                <w:b/>
                <w:color w:val="008000"/>
                <w:sz w:val="17"/>
              </w:rPr>
              <w:t>+4.2%</w:t>
            </w:r>
          </w:p>
        </w:tc>
      </w:tr>
      <w:tr>
        <w:tc>
          <w:tcPr>
            <w:tcW w:type="dxa" w:w="1440"/>
            <w:shd w:fill="C6EFCE" w:val="clear"/>
          </w:tcPr>
          <w:p>
            <w:r>
              <w:rPr>
                <w:sz w:val="17"/>
              </w:rPr>
              <w:t>J+3  Moyenne</w:t>
            </w:r>
          </w:p>
        </w:tc>
        <w:tc>
          <w:tcPr>
            <w:tcW w:type="dxa" w:w="1440"/>
            <w:shd w:fill="C6EFCE" w:val="clear"/>
          </w:tcPr>
          <w:p>
            <w:r>
              <w:rPr>
                <w:sz w:val="17"/>
              </w:rPr>
              <w:t>2026-08-14</w:t>
            </w:r>
          </w:p>
        </w:tc>
        <w:tc>
          <w:tcPr>
            <w:tcW w:type="dxa" w:w="1440"/>
            <w:shd w:fill="C6EFCE" w:val="clear"/>
          </w:tcPr>
          <w:p>
            <w:r>
              <w:rPr>
                <w:sz w:val="17"/>
              </w:rPr>
              <w:t>23,218</w:t>
            </w:r>
          </w:p>
        </w:tc>
        <w:tc>
          <w:tcPr>
            <w:tcW w:type="dxa" w:w="1440"/>
            <w:shd w:fill="C6EFCE" w:val="clear"/>
          </w:tcPr>
          <w:p>
            <w:r>
              <w:rPr>
                <w:b/>
                <w:sz w:val="17"/>
              </w:rPr>
              <w:t>25,055</w:t>
            </w:r>
          </w:p>
        </w:tc>
        <w:tc>
          <w:tcPr>
            <w:tcW w:type="dxa" w:w="1440"/>
            <w:shd w:fill="C6EFCE" w:val="clear"/>
          </w:tcPr>
          <w:p>
            <w:r>
              <w:rPr>
                <w:sz w:val="17"/>
              </w:rPr>
              <w:t>26,893</w:t>
            </w:r>
          </w:p>
        </w:tc>
        <w:tc>
          <w:tcPr>
            <w:tcW w:type="dxa" w:w="1440"/>
            <w:shd w:fill="C6EFCE" w:val="clear"/>
          </w:tcPr>
          <w:p>
            <w:r>
              <w:rPr>
                <w:b/>
                <w:color w:val="008000"/>
                <w:sz w:val="17"/>
              </w:rPr>
              <w:t>+5.9%</w:t>
            </w:r>
          </w:p>
        </w:tc>
      </w:tr>
      <w:tr>
        <w:tc>
          <w:tcPr>
            <w:tcW w:type="dxa" w:w="1440"/>
            <w:shd w:fill="C6EFCE" w:val="clear"/>
          </w:tcPr>
          <w:p>
            <w:r>
              <w:rPr>
                <w:sz w:val="17"/>
              </w:rPr>
              <w:t>J+4  ⭐</w:t>
            </w:r>
          </w:p>
        </w:tc>
        <w:tc>
          <w:tcPr>
            <w:tcW w:type="dxa" w:w="1440"/>
            <w:shd w:fill="C6EFCE" w:val="clear"/>
          </w:tcPr>
          <w:p>
            <w:r>
              <w:rPr>
                <w:sz w:val="17"/>
              </w:rPr>
              <w:t>2026-08-17</w:t>
            </w:r>
          </w:p>
        </w:tc>
        <w:tc>
          <w:tcPr>
            <w:tcW w:type="dxa" w:w="1440"/>
            <w:shd w:fill="C6EFCE" w:val="clear"/>
          </w:tcPr>
          <w:p>
            <w:r>
              <w:rPr>
                <w:sz w:val="17"/>
              </w:rPr>
              <w:t>23,297</w:t>
            </w:r>
          </w:p>
        </w:tc>
        <w:tc>
          <w:tcPr>
            <w:tcW w:type="dxa" w:w="1440"/>
            <w:shd w:fill="C6EFCE" w:val="clear"/>
          </w:tcPr>
          <w:p>
            <w:r>
              <w:rPr>
                <w:b/>
                <w:sz w:val="17"/>
              </w:rPr>
              <w:t>25,453</w:t>
            </w:r>
          </w:p>
        </w:tc>
        <w:tc>
          <w:tcPr>
            <w:tcW w:type="dxa" w:w="1440"/>
            <w:shd w:fill="C6EFCE" w:val="clear"/>
          </w:tcPr>
          <w:p>
            <w:r>
              <w:rPr>
                <w:sz w:val="17"/>
              </w:rPr>
              <w:t>27,609</w:t>
            </w:r>
          </w:p>
        </w:tc>
        <w:tc>
          <w:tcPr>
            <w:tcW w:type="dxa" w:w="1440"/>
            <w:shd w:fill="C6EFCE" w:val="clear"/>
          </w:tcPr>
          <w:p>
            <w:r>
              <w:rPr>
                <w:b/>
                <w:color w:val="008000"/>
                <w:sz w:val="17"/>
              </w:rPr>
              <w:t>+7.6%</w:t>
            </w:r>
          </w:p>
        </w:tc>
      </w:tr>
      <w:tr>
        <w:tc>
          <w:tcPr>
            <w:tcW w:type="dxa" w:w="1440"/>
            <w:shd w:fill="C6EFCE" w:val="clear"/>
          </w:tcPr>
          <w:p>
            <w:r>
              <w:rPr>
                <w:sz w:val="17"/>
              </w:rPr>
              <w:t>J+5  ⭐</w:t>
            </w:r>
          </w:p>
        </w:tc>
        <w:tc>
          <w:tcPr>
            <w:tcW w:type="dxa" w:w="1440"/>
            <w:shd w:fill="C6EFCE" w:val="clear"/>
          </w:tcPr>
          <w:p>
            <w:r>
              <w:rPr>
                <w:sz w:val="17"/>
              </w:rPr>
              <w:t>2026-08-18</w:t>
            </w:r>
          </w:p>
        </w:tc>
        <w:tc>
          <w:tcPr>
            <w:tcW w:type="dxa" w:w="1440"/>
            <w:shd w:fill="C6EFCE" w:val="clear"/>
          </w:tcPr>
          <w:p>
            <w:r>
              <w:rPr>
                <w:sz w:val="17"/>
              </w:rPr>
              <w:t>23,398</w:t>
            </w:r>
          </w:p>
        </w:tc>
        <w:tc>
          <w:tcPr>
            <w:tcW w:type="dxa" w:w="1440"/>
            <w:shd w:fill="C6EFCE" w:val="clear"/>
          </w:tcPr>
          <w:p>
            <w:r>
              <w:rPr>
                <w:b/>
                <w:sz w:val="17"/>
              </w:rPr>
              <w:t>25,846</w:t>
            </w:r>
          </w:p>
        </w:tc>
        <w:tc>
          <w:tcPr>
            <w:tcW w:type="dxa" w:w="1440"/>
            <w:shd w:fill="C6EFCE" w:val="clear"/>
          </w:tcPr>
          <w:p>
            <w:r>
              <w:rPr>
                <w:sz w:val="17"/>
              </w:rPr>
              <w:t>28,293</w:t>
            </w:r>
          </w:p>
        </w:tc>
        <w:tc>
          <w:tcPr>
            <w:tcW w:type="dxa" w:w="1440"/>
            <w:shd w:fill="C6EFCE" w:val="clear"/>
          </w:tcPr>
          <w:p>
            <w:r>
              <w:rPr>
                <w:b/>
                <w:color w:val="008000"/>
                <w:sz w:val="17"/>
              </w:rPr>
              <w:t>+9.3%</w:t>
            </w:r>
          </w:p>
        </w:tc>
      </w:tr>
      <w:tr>
        <w:tc>
          <w:tcPr>
            <w:tcW w:type="dxa" w:w="1440"/>
            <w:shd w:fill="C6EFCE" w:val="clear"/>
          </w:tcPr>
          <w:p>
            <w:r>
              <w:rPr>
                <w:sz w:val="17"/>
              </w:rPr>
              <w:t>J+6  ⭐</w:t>
            </w:r>
          </w:p>
        </w:tc>
        <w:tc>
          <w:tcPr>
            <w:tcW w:type="dxa" w:w="1440"/>
            <w:shd w:fill="C6EFCE" w:val="clear"/>
          </w:tcPr>
          <w:p>
            <w:r>
              <w:rPr>
                <w:sz w:val="17"/>
              </w:rPr>
              <w:t>2026-08-19</w:t>
            </w:r>
          </w:p>
        </w:tc>
        <w:tc>
          <w:tcPr>
            <w:tcW w:type="dxa" w:w="1440"/>
            <w:shd w:fill="C6EFCE" w:val="clear"/>
          </w:tcPr>
          <w:p>
            <w:r>
              <w:rPr>
                <w:sz w:val="17"/>
              </w:rPr>
              <w:t>23,514</w:t>
            </w:r>
          </w:p>
        </w:tc>
        <w:tc>
          <w:tcPr>
            <w:tcW w:type="dxa" w:w="1440"/>
            <w:shd w:fill="C6EFCE" w:val="clear"/>
          </w:tcPr>
          <w:p>
            <w:r>
              <w:rPr>
                <w:b/>
                <w:sz w:val="17"/>
              </w:rPr>
              <w:t>26,236</w:t>
            </w:r>
          </w:p>
        </w:tc>
        <w:tc>
          <w:tcPr>
            <w:tcW w:type="dxa" w:w="1440"/>
            <w:shd w:fill="C6EFCE" w:val="clear"/>
          </w:tcPr>
          <w:p>
            <w:r>
              <w:rPr>
                <w:sz w:val="17"/>
              </w:rPr>
              <w:t>28,957</w:t>
            </w:r>
          </w:p>
        </w:tc>
        <w:tc>
          <w:tcPr>
            <w:tcW w:type="dxa" w:w="1440"/>
            <w:shd w:fill="C6EFCE" w:val="clear"/>
          </w:tcPr>
          <w:p>
            <w:r>
              <w:rPr>
                <w:b/>
                <w:color w:val="008000"/>
                <w:sz w:val="17"/>
              </w:rPr>
              <w:t>+10.9%</w:t>
            </w:r>
          </w:p>
        </w:tc>
      </w:tr>
      <w:tr>
        <w:tc>
          <w:tcPr>
            <w:tcW w:type="dxa" w:w="1440"/>
            <w:shd w:fill="C6EFCE" w:val="clear"/>
          </w:tcPr>
          <w:p>
            <w:r>
              <w:rPr>
                <w:sz w:val="17"/>
              </w:rPr>
              <w:t>J+7  ⭐</w:t>
            </w:r>
          </w:p>
        </w:tc>
        <w:tc>
          <w:tcPr>
            <w:tcW w:type="dxa" w:w="1440"/>
            <w:shd w:fill="C6EFCE" w:val="clear"/>
          </w:tcPr>
          <w:p>
            <w:r>
              <w:rPr>
                <w:sz w:val="17"/>
              </w:rPr>
              <w:t>2026-08-20</w:t>
            </w:r>
          </w:p>
        </w:tc>
        <w:tc>
          <w:tcPr>
            <w:tcW w:type="dxa" w:w="1440"/>
            <w:shd w:fill="C6EFCE" w:val="clear"/>
          </w:tcPr>
          <w:p>
            <w:r>
              <w:rPr>
                <w:sz w:val="17"/>
              </w:rPr>
              <w:t>23,640</w:t>
            </w:r>
          </w:p>
        </w:tc>
        <w:tc>
          <w:tcPr>
            <w:tcW w:type="dxa" w:w="1440"/>
            <w:shd w:fill="C6EFCE" w:val="clear"/>
          </w:tcPr>
          <w:p>
            <w:r>
              <w:rPr>
                <w:b/>
                <w:sz w:val="17"/>
              </w:rPr>
              <w:t>26,624</w:t>
            </w:r>
          </w:p>
        </w:tc>
        <w:tc>
          <w:tcPr>
            <w:tcW w:type="dxa" w:w="1440"/>
            <w:shd w:fill="C6EFCE" w:val="clear"/>
          </w:tcPr>
          <w:p>
            <w:r>
              <w:rPr>
                <w:sz w:val="17"/>
              </w:rPr>
              <w:t>29,607</w:t>
            </w:r>
          </w:p>
        </w:tc>
        <w:tc>
          <w:tcPr>
            <w:tcW w:type="dxa" w:w="1440"/>
            <w:shd w:fill="C6EFCE" w:val="clear"/>
          </w:tcPr>
          <w:p>
            <w:r>
              <w:rPr>
                <w:b/>
                <w:color w:val="008000"/>
                <w:sz w:val="17"/>
              </w:rPr>
              <w:t>+12.6%</w:t>
            </w:r>
          </w:p>
        </w:tc>
      </w:tr>
      <w:tr>
        <w:tc>
          <w:tcPr>
            <w:tcW w:type="dxa" w:w="1440"/>
            <w:shd w:fill="C6EFCE" w:val="clear"/>
          </w:tcPr>
          <w:p>
            <w:r>
              <w:rPr>
                <w:sz w:val="17"/>
              </w:rPr>
              <w:t>J+8  ⭐</w:t>
            </w:r>
          </w:p>
        </w:tc>
        <w:tc>
          <w:tcPr>
            <w:tcW w:type="dxa" w:w="1440"/>
            <w:shd w:fill="C6EFCE" w:val="clear"/>
          </w:tcPr>
          <w:p>
            <w:r>
              <w:rPr>
                <w:sz w:val="17"/>
              </w:rPr>
              <w:t>2026-08-21</w:t>
            </w:r>
          </w:p>
        </w:tc>
        <w:tc>
          <w:tcPr>
            <w:tcW w:type="dxa" w:w="1440"/>
            <w:shd w:fill="C6EFCE" w:val="clear"/>
          </w:tcPr>
          <w:p>
            <w:r>
              <w:rPr>
                <w:sz w:val="17"/>
              </w:rPr>
              <w:t>23,774</w:t>
            </w:r>
          </w:p>
        </w:tc>
        <w:tc>
          <w:tcPr>
            <w:tcW w:type="dxa" w:w="1440"/>
            <w:shd w:fill="C6EFCE" w:val="clear"/>
          </w:tcPr>
          <w:p>
            <w:r>
              <w:rPr>
                <w:b/>
                <w:sz w:val="17"/>
              </w:rPr>
              <w:t>27,009</w:t>
            </w:r>
          </w:p>
        </w:tc>
        <w:tc>
          <w:tcPr>
            <w:tcW w:type="dxa" w:w="1440"/>
            <w:shd w:fill="C6EFCE" w:val="clear"/>
          </w:tcPr>
          <w:p>
            <w:r>
              <w:rPr>
                <w:sz w:val="17"/>
              </w:rPr>
              <w:t>30,244</w:t>
            </w:r>
          </w:p>
        </w:tc>
        <w:tc>
          <w:tcPr>
            <w:tcW w:type="dxa" w:w="1440"/>
            <w:shd w:fill="C6EFCE" w:val="clear"/>
          </w:tcPr>
          <w:p>
            <w:r>
              <w:rPr>
                <w:b/>
                <w:color w:val="008000"/>
                <w:sz w:val="17"/>
              </w:rPr>
              <w:t>+14.2%</w:t>
            </w:r>
          </w:p>
        </w:tc>
      </w:tr>
      <w:tr>
        <w:tc>
          <w:tcPr>
            <w:tcW w:type="dxa" w:w="1440"/>
            <w:shd w:fill="C6EFCE" w:val="clear"/>
          </w:tcPr>
          <w:p>
            <w:r>
              <w:rPr>
                <w:sz w:val="17"/>
              </w:rPr>
              <w:t>J+9  ⭐</w:t>
            </w:r>
          </w:p>
        </w:tc>
        <w:tc>
          <w:tcPr>
            <w:tcW w:type="dxa" w:w="1440"/>
            <w:shd w:fill="C6EFCE" w:val="clear"/>
          </w:tcPr>
          <w:p>
            <w:r>
              <w:rPr>
                <w:sz w:val="17"/>
              </w:rPr>
              <w:t>2026-08-24</w:t>
            </w:r>
          </w:p>
        </w:tc>
        <w:tc>
          <w:tcPr>
            <w:tcW w:type="dxa" w:w="1440"/>
            <w:shd w:fill="C6EFCE" w:val="clear"/>
          </w:tcPr>
          <w:p>
            <w:r>
              <w:rPr>
                <w:sz w:val="17"/>
              </w:rPr>
              <w:t>23,912</w:t>
            </w:r>
          </w:p>
        </w:tc>
        <w:tc>
          <w:tcPr>
            <w:tcW w:type="dxa" w:w="1440"/>
            <w:shd w:fill="C6EFCE" w:val="clear"/>
          </w:tcPr>
          <w:p>
            <w:r>
              <w:rPr>
                <w:b/>
                <w:sz w:val="17"/>
              </w:rPr>
              <w:t>27,392</w:t>
            </w:r>
          </w:p>
        </w:tc>
        <w:tc>
          <w:tcPr>
            <w:tcW w:type="dxa" w:w="1440"/>
            <w:shd w:fill="C6EFCE" w:val="clear"/>
          </w:tcPr>
          <w:p>
            <w:r>
              <w:rPr>
                <w:sz w:val="17"/>
              </w:rPr>
              <w:t>30,872</w:t>
            </w:r>
          </w:p>
        </w:tc>
        <w:tc>
          <w:tcPr>
            <w:tcW w:type="dxa" w:w="1440"/>
            <w:shd w:fill="C6EFCE" w:val="clear"/>
          </w:tcPr>
          <w:p>
            <w:r>
              <w:rPr>
                <w:b/>
                <w:color w:val="008000"/>
                <w:sz w:val="17"/>
              </w:rPr>
              <w:t>+15.8%</w:t>
            </w:r>
          </w:p>
        </w:tc>
      </w:tr>
      <w:tr>
        <w:tc>
          <w:tcPr>
            <w:tcW w:type="dxa" w:w="1440"/>
            <w:shd w:fill="C6EFCE" w:val="clear"/>
          </w:tcPr>
          <w:p>
            <w:r>
              <w:rPr>
                <w:sz w:val="17"/>
              </w:rPr>
              <w:t>J+10  ⭐</w:t>
            </w:r>
          </w:p>
        </w:tc>
        <w:tc>
          <w:tcPr>
            <w:tcW w:type="dxa" w:w="1440"/>
            <w:shd w:fill="C6EFCE" w:val="clear"/>
          </w:tcPr>
          <w:p>
            <w:r>
              <w:rPr>
                <w:sz w:val="17"/>
              </w:rPr>
              <w:t>2026-08-25</w:t>
            </w:r>
          </w:p>
        </w:tc>
        <w:tc>
          <w:tcPr>
            <w:tcW w:type="dxa" w:w="1440"/>
            <w:shd w:fill="C6EFCE" w:val="clear"/>
          </w:tcPr>
          <w:p>
            <w:r>
              <w:rPr>
                <w:sz w:val="17"/>
              </w:rPr>
              <w:t>24,052</w:t>
            </w:r>
          </w:p>
        </w:tc>
        <w:tc>
          <w:tcPr>
            <w:tcW w:type="dxa" w:w="1440"/>
            <w:shd w:fill="C6EFCE" w:val="clear"/>
          </w:tcPr>
          <w:p>
            <w:r>
              <w:rPr>
                <w:b/>
                <w:sz w:val="17"/>
              </w:rPr>
              <w:t>27,772</w:t>
            </w:r>
          </w:p>
        </w:tc>
        <w:tc>
          <w:tcPr>
            <w:tcW w:type="dxa" w:w="1440"/>
            <w:shd w:fill="C6EFCE" w:val="clear"/>
          </w:tcPr>
          <w:p>
            <w:r>
              <w:rPr>
                <w:sz w:val="17"/>
              </w:rPr>
              <w:t>31,491</w:t>
            </w:r>
          </w:p>
        </w:tc>
        <w:tc>
          <w:tcPr>
            <w:tcW w:type="dxa" w:w="1440"/>
            <w:shd w:fill="C6EFCE" w:val="clear"/>
          </w:tcPr>
          <w:p>
            <w:r>
              <w:rPr>
                <w:b/>
                <w:color w:val="008000"/>
                <w:sz w:val="17"/>
              </w:rPr>
              <w:t>+17.4%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584,97 milliards FCFA, ce qui positionne la banque parmi les poids lourds de la BRVM, reflétant la confiance des investisseurs dans le leadership de NSIA Banque CI sur le marché ivoirien. Avec un BPA de 1 646 FCFA, chaque action génère un bénéfice substantiel, justifiant un PER de 14,4x. Ce ratio, bien que supérieur à la moyenne historique de la BRVM (8-12x), reste modéré et traduit une valorisation raisonnable pour une banque de cette envergure, les investisseurs acceptant de payer une prime pour la qualité de la croissance. Le P/B de 2,51x confirme cette prime accordée au titre, le marché valorisant la société à 2,5 fois ses capitaux propres, ce qui est cohérent avec un ROE élevé. Enfin, l'EV/EBITDA de 21,8x apparaît exigeant, signalant que la valeur totale de l'entreprise (fonds propres + dette nette) est élevée par rapport à sa capacité opérationnelle, un point de vigilance pour les investisseurs axés sur la valeur.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+70,14%, passant d'un plus bas de 13 810 FCFA à un plus haut de 24 020 FCFA, avec un cours actuel de 23 650 FCFA, en légère consolidation (-0,00% sur la dernière séance). Cette tendance fortement haussière témoigne d'un intérêt marqué des investisseurs, soutenu par des fondamentaux solides. La moyenne du cours sur la période (17 892 FCFA) est inférieure à la médiane (18 322 FCFA), indiquant une distribution légèrement asymétrique avec une concentration des valeurs vers le bas de la fourchette avant l'accélération récente. L'écart-type de 3 582 FCFA (CV de 20%) révèle une dispersion modérée, tandis que le kurtosis négatif (-1,393) suggère une distribution aplatie, sans pics extrêmes, et le skewness positif (0,226) confirme une asymétrie vers les hausses. La volatilité annualisée de 37,4% classe le titre comme très volatil, un niveau élevé qui implique des fluctuations importantes et un risque accru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(23 650 FCFA) se situe nettement au-dessus de la MM20 (23 042,5 FCFA) et de la MM50 (21 038,7 FCFA), confirmant une dynamique haussière solide. La configuration des moyennes mobiles, avec le cours au-dessus des deux, génère un signal d'achat, indiquant que la tendance de fond reste positive malgré la récente consolidation.</w:t>
      </w:r>
    </w:p>
    <w:p>
      <w:pPr>
        <w:spacing w:after="120" w:line="276" w:lineRule="auto"/>
      </w:pPr>
      <w:r>
        <w:t>**Bandes de Bollinger** : Le prix évolue entre la borne supérieure (24 762,5 FCFA) et la borne inférieure (21 322,5 FCFA), se positionnant près de la borne supérieure. Cette position reflète une volatilité élevée et une pression acheteuse persistante, mais le signal est neutre car le cours n'a pas encore franchi la borne supérieure, ce qui pourrait indiquer une zone de résistance à surveiller.</w:t>
      </w:r>
    </w:p>
    <w:p>
      <w:pPr>
        <w:spacing w:after="120" w:line="276" w:lineRule="auto"/>
      </w:pPr>
      <w:r>
        <w:t>**MACD** : La valeur du MACD (838,6) est inférieure à son signal (933,3), générant un signal de vente. Cette divergence négative suggère un ralentissement du momentum haussier à court terme, même si les deux indicateurs restent en territoire positif, ce qui nuance le signal baissier et indique une possible phase de correction temporaire.</w:t>
      </w:r>
    </w:p>
    <w:p>
      <w:pPr>
        <w:spacing w:after="120" w:line="276" w:lineRule="auto"/>
      </w:pPr>
      <w:r>
        <w:t>**RSI** : Avec une valeur de 75,9, le RSI est en zone de surachat (au-dessus de 70), signalant que le titre est techniquement surévalué à court terme. Ce niveau suggère un risque de retournement ou de consolidation, les acheteurs potentiels pouvant attendre un repli avant d'entrer, d'où un signal de vente.</w:t>
      </w:r>
    </w:p>
    <w:p>
      <w:pPr>
        <w:spacing w:after="120" w:line="276" w:lineRule="auto"/>
      </w:pPr>
      <w:r>
        <w:t>**Stochastique** : Le %K (66,9) est inférieur au %D (75,1), indiquant un croisement baissier potentiel, mais les deux restent au-dessus de 50, ce qui maintient une dynamique positive. Le signal est neutre, reflétant une phase d'essoufflement après la forte hausse, sans retournement majeur confirmé.</w:t>
      </w:r>
    </w:p>
    <w:p>
      <w:pPr>
        <w:spacing w:after="120" w:line="276" w:lineRule="auto"/>
      </w:pPr>
      <w:r>
        <w:t>**Conclusion technique** : Les indicateurs sont mitigés, avec des signaux d'achat sur les moyennes mobiles mais des signaux de vente sur le RSI et le MACD, et un stochastique neutre. Cette divergence suggère une consolidation à court terme dans une tendance haussière de fond, les investisseurs devant surveiller un éventuel repli vers la MM20 pour un point d'entrée optimal.</w:t>
      </w:r>
    </w:p>
    <w:p>
      <w:pPr>
        <w:spacing w:after="120" w:line="276" w:lineRule="auto" w:before="240"/>
      </w:pPr>
      <w:r>
        <w:rPr>
          <w:b/>
          <w:color w:val="003366"/>
          <w:sz w:val="24"/>
        </w:rPr>
        <w:t>**PARTIE 3 : ANALYSE FONDAMENTALE (SECTION CRITIQUE)**</w:t>
      </w:r>
    </w:p>
    <w:p>
      <w:pPr>
        <w:spacing w:after="120" w:line="276" w:lineRule="auto"/>
      </w:pPr>
      <w:r>
        <w:t>En 2025, NSBC affiche un Produit Net Bancaire (PNB) de 112,928 milliards FCFA, en hausse de 15% par rapport à 2024 (97,8 milliards), et un résultat net de 40,712 milliards FCFA, en progression de 7% (contre 38,1 milliards en 2024). La rentabilité des fonds propres (ROE) s'établit à 17,45%, un niveau excellent, et le ROA à 1,32%, confirmant une gestion efficace des actifs. Le coefficient d'exploitation de 54,59% témoigne d'une banque très efficace, tandis que le coût du risque de 7,54% reste élevé, signalant une dégradation de la qualité du portefeuille de crédits (provisions de -8,5 milliards en 2025). Les dépôts clientèle (2 242 milliards) couvrent largement les créances clientèle (1 818 milliards), soit un ratio de transformation de 81%, sain pour le secteur. Sur la base du rapport T1 2026 (PNB +28% à 28,6 milliards et résultat net +53% à 10,9 milliards), on estime que l'exercice 2026 pourrait voir un PNB annuel dépasser 130 milliards et un résultat net supérieur à 50 milliards, confirmant une dynamique de croissance accélérée. La banque bénéficie d'une solide autonomie financière (7,59% de capitaux propres sur total bilan) et d'une solvabilité générale de 108%, bien que la dépendance financière de 92% reflète un modèle de financement classique pour une banque. Les perspectives restent favorables avec le PND 2026-2030, mais le coût du risque et la concentration des revenus sur l'activité titres constituent des points de vigilance.</w:t>
      </w:r>
    </w:p>
    <w:p>
      <w:pPr>
        <w:spacing w:after="120" w:line="276" w:lineRule="auto" w:before="240"/>
      </w:pPr>
      <w:r>
        <w:rPr>
          <w:b/>
          <w:color w:val="003366"/>
          <w:sz w:val="24"/>
        </w:rPr>
        <w:t>**PARTIE 4 : CONCLUSION D'INVESTISSEMENT**</w:t>
      </w:r>
    </w:p>
    <w:p>
      <w:pPr>
        <w:spacing w:after="120" w:line="276" w:lineRule="auto"/>
      </w:pPr>
      <w:r>
        <w:t>La valorisation de NSBC (PER 14,4x, P/B 2,51x, EV/EBITDA 21,8x) indique une prime de croissance justifiée par des fondamentaux solides, mais qui laisse peu de marge de sécurité. Le comportement du cours (+70% en 100 jours) et la volatilité élevée (37,4%) reflètent un enthousiasme marqué, avec des statistiques (kurtosis plat, skewness positif) suggérant une poursuite possible mais risquée. Les signaux techniques sont divergents : les moyennes mobiles sont haussières, mais le RSI surachaté et le MACD baissier appellent à la prudence à court terme. Les fondamentaux restent robustes avec un ROE de 17,45%, un coefficient d'exploitation de 54,6% et une croissance estimée du résultat net de plus de 50% en 2026, bien que le coût du risque doive être surveillé. Les prédictions IA (24 219 à 25 846 FCFA sur 10 jours) confirment une poursuite de la hausse, en ligne avec la tendance, mais à un rythme modéré. En synthèse, je recommande un **ACHAT** pour les investisseurs à moyen-long terme, avec un niveau de confiance **Moyen** et un risque global **Élevé** en raison de la volatilité et de la surachat technique. L'horizon optimal est de 3 à 12 mois, en capitalisant sur la solidité des fondamentaux et la dynamique de croissance, tout en surveillant un éventuel repli technique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1,956 titres</w:t>
            </w:r>
          </w:p>
        </w:tc>
        <w:tc>
          <w:tcPr>
            <w:tcW w:type="dxa" w:w="2268"/>
            <w:shd w:fill="FFF2CC" w:val="clear"/>
          </w:tcPr>
          <w:p>
            <w:r>
              <w:rPr>
                <w:b/>
                <w:color w:val="503200"/>
                <w:sz w:val="16"/>
              </w:rPr>
              <w:t xml:space="preserve">Cours actuel : </w:t>
            </w:r>
            <w:r>
              <w:rPr>
                <w:color w:val="000000"/>
                <w:sz w:val="17"/>
              </w:rPr>
              <w:t>16,900 FCFA</w:t>
            </w:r>
          </w:p>
          <w:p>
            <w:r>
              <w:rPr>
                <w:b/>
                <w:color w:val="503200"/>
                <w:sz w:val="16"/>
              </w:rPr>
              <w:t xml:space="preserve">Var. 100 jours : </w:t>
            </w:r>
            <w:r>
              <w:rPr>
                <w:b/>
                <w:color w:val="007800"/>
                <w:sz w:val="17"/>
              </w:rPr>
              <w:t>+31.01%</w:t>
            </w:r>
          </w:p>
          <w:p>
            <w:r>
              <w:rPr>
                <w:b/>
                <w:color w:val="503200"/>
                <w:sz w:val="16"/>
              </w:rPr>
              <w:t xml:space="preserve">Plus haut 100j : </w:t>
            </w:r>
            <w:r>
              <w:rPr>
                <w:color w:val="000000"/>
                <w:sz w:val="17"/>
              </w:rPr>
              <w:t>16,900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13.10% (Moyenne) — μ=13,964 FCFA, σ=1,829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β=0.2694 (Défensif) — Cov=0.000010, Var(idx)=0.000036, ρ=0.077,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2026-08-12</w:t>
            </w:r>
          </w:p>
        </w:tc>
        <w:tc>
          <w:tcPr>
            <w:tcW w:type="dxa" w:w="1440"/>
            <w:shd w:fill="FFDCE0" w:val="clear"/>
          </w:tcPr>
          <w:p>
            <w:r>
              <w:rPr>
                <w:sz w:val="17"/>
              </w:rPr>
              <w:t>16,103</w:t>
            </w:r>
          </w:p>
        </w:tc>
        <w:tc>
          <w:tcPr>
            <w:tcW w:type="dxa" w:w="1440"/>
            <w:shd w:fill="FFDCE0" w:val="clear"/>
          </w:tcPr>
          <w:p>
            <w:r>
              <w:rPr>
                <w:b/>
                <w:sz w:val="17"/>
              </w:rPr>
              <w:t>16,478</w:t>
            </w:r>
          </w:p>
        </w:tc>
        <w:tc>
          <w:tcPr>
            <w:tcW w:type="dxa" w:w="1440"/>
            <w:shd w:fill="FFDCE0" w:val="clear"/>
          </w:tcPr>
          <w:p>
            <w:r>
              <w:rPr>
                <w:sz w:val="17"/>
              </w:rPr>
              <w:t>16,853</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2026-08-13</w:t>
            </w:r>
          </w:p>
        </w:tc>
        <w:tc>
          <w:tcPr>
            <w:tcW w:type="dxa" w:w="1440"/>
            <w:shd w:fill="FFDCE0" w:val="clear"/>
          </w:tcPr>
          <w:p>
            <w:r>
              <w:rPr>
                <w:sz w:val="17"/>
              </w:rPr>
              <w:t>15,932</w:t>
            </w:r>
          </w:p>
        </w:tc>
        <w:tc>
          <w:tcPr>
            <w:tcW w:type="dxa" w:w="1440"/>
            <w:shd w:fill="FFDCE0" w:val="clear"/>
          </w:tcPr>
          <w:p>
            <w:r>
              <w:rPr>
                <w:b/>
                <w:sz w:val="17"/>
              </w:rPr>
              <w:t>16,461</w:t>
            </w:r>
          </w:p>
        </w:tc>
        <w:tc>
          <w:tcPr>
            <w:tcW w:type="dxa" w:w="1440"/>
            <w:shd w:fill="FFDCE0" w:val="clear"/>
          </w:tcPr>
          <w:p>
            <w:r>
              <w:rPr>
                <w:sz w:val="17"/>
              </w:rPr>
              <w:t>16,991</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15,771</w:t>
            </w:r>
          </w:p>
        </w:tc>
        <w:tc>
          <w:tcPr>
            <w:tcW w:type="dxa" w:w="1440"/>
            <w:shd w:fill="FFDCE0" w:val="clear"/>
          </w:tcPr>
          <w:p>
            <w:r>
              <w:rPr>
                <w:b/>
                <w:sz w:val="17"/>
              </w:rPr>
              <w:t>16,418</w:t>
            </w:r>
          </w:p>
        </w:tc>
        <w:tc>
          <w:tcPr>
            <w:tcW w:type="dxa" w:w="1440"/>
            <w:shd w:fill="FFDCE0" w:val="clear"/>
          </w:tcPr>
          <w:p>
            <w:r>
              <w:rPr>
                <w:sz w:val="17"/>
              </w:rPr>
              <w:t>17,065</w:t>
            </w:r>
          </w:p>
        </w:tc>
        <w:tc>
          <w:tcPr>
            <w:tcW w:type="dxa" w:w="1440"/>
            <w:shd w:fill="FFDCE0" w:val="clear"/>
          </w:tcPr>
          <w:p>
            <w:r>
              <w:rPr>
                <w:b/>
                <w:color w:val="C00000"/>
                <w:sz w:val="17"/>
              </w:rPr>
              <w:t>-2.9%</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15,623</w:t>
            </w:r>
          </w:p>
        </w:tc>
        <w:tc>
          <w:tcPr>
            <w:tcW w:type="dxa" w:w="1440"/>
            <w:shd w:fill="FFDCE0" w:val="clear"/>
          </w:tcPr>
          <w:p>
            <w:r>
              <w:rPr>
                <w:b/>
                <w:sz w:val="17"/>
              </w:rPr>
              <w:t>16,368</w:t>
            </w:r>
          </w:p>
        </w:tc>
        <w:tc>
          <w:tcPr>
            <w:tcW w:type="dxa" w:w="1440"/>
            <w:shd w:fill="FFDCE0" w:val="clear"/>
          </w:tcPr>
          <w:p>
            <w:r>
              <w:rPr>
                <w:sz w:val="17"/>
              </w:rPr>
              <w:t>17,114</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15,489</w:t>
            </w:r>
          </w:p>
        </w:tc>
        <w:tc>
          <w:tcPr>
            <w:tcW w:type="dxa" w:w="1440"/>
            <w:shd w:fill="FFDCE0" w:val="clear"/>
          </w:tcPr>
          <w:p>
            <w:r>
              <w:rPr>
                <w:b/>
                <w:sz w:val="17"/>
              </w:rPr>
              <w:t>16,319</w:t>
            </w:r>
          </w:p>
        </w:tc>
        <w:tc>
          <w:tcPr>
            <w:tcW w:type="dxa" w:w="1440"/>
            <w:shd w:fill="FFDCE0" w:val="clear"/>
          </w:tcPr>
          <w:p>
            <w:r>
              <w:rPr>
                <w:sz w:val="17"/>
              </w:rPr>
              <w:t>17,150</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15,365</w:t>
            </w:r>
          </w:p>
        </w:tc>
        <w:tc>
          <w:tcPr>
            <w:tcW w:type="dxa" w:w="1440"/>
            <w:shd w:fill="FFDCE0" w:val="clear"/>
          </w:tcPr>
          <w:p>
            <w:r>
              <w:rPr>
                <w:b/>
                <w:sz w:val="17"/>
              </w:rPr>
              <w:t>16,272</w:t>
            </w:r>
          </w:p>
        </w:tc>
        <w:tc>
          <w:tcPr>
            <w:tcW w:type="dxa" w:w="1440"/>
            <w:shd w:fill="FFDCE0" w:val="clear"/>
          </w:tcPr>
          <w:p>
            <w:r>
              <w:rPr>
                <w:sz w:val="17"/>
              </w:rPr>
              <w:t>17,180</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15,249</w:t>
            </w:r>
          </w:p>
        </w:tc>
        <w:tc>
          <w:tcPr>
            <w:tcW w:type="dxa" w:w="1440"/>
            <w:shd w:fill="FFDCE0" w:val="clear"/>
          </w:tcPr>
          <w:p>
            <w:r>
              <w:rPr>
                <w:b/>
                <w:sz w:val="17"/>
              </w:rPr>
              <w:t>16,227</w:t>
            </w:r>
          </w:p>
        </w:tc>
        <w:tc>
          <w:tcPr>
            <w:tcW w:type="dxa" w:w="1440"/>
            <w:shd w:fill="FFDCE0" w:val="clear"/>
          </w:tcPr>
          <w:p>
            <w:r>
              <w:rPr>
                <w:sz w:val="17"/>
              </w:rPr>
              <w:t>17,204</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15,141</w:t>
            </w:r>
          </w:p>
        </w:tc>
        <w:tc>
          <w:tcPr>
            <w:tcW w:type="dxa" w:w="1440"/>
            <w:shd w:fill="FFDCE0" w:val="clear"/>
          </w:tcPr>
          <w:p>
            <w:r>
              <w:rPr>
                <w:b/>
                <w:sz w:val="17"/>
              </w:rPr>
              <w:t>16,182</w:t>
            </w:r>
          </w:p>
        </w:tc>
        <w:tc>
          <w:tcPr>
            <w:tcW w:type="dxa" w:w="1440"/>
            <w:shd w:fill="FFDCE0" w:val="clear"/>
          </w:tcPr>
          <w:p>
            <w:r>
              <w:rPr>
                <w:sz w:val="17"/>
              </w:rPr>
              <w:t>17,224</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15,037</w:t>
            </w:r>
          </w:p>
        </w:tc>
        <w:tc>
          <w:tcPr>
            <w:tcW w:type="dxa" w:w="1440"/>
            <w:shd w:fill="FFDCE0" w:val="clear"/>
          </w:tcPr>
          <w:p>
            <w:r>
              <w:rPr>
                <w:b/>
                <w:sz w:val="17"/>
              </w:rPr>
              <w:t>16,139</w:t>
            </w:r>
          </w:p>
        </w:tc>
        <w:tc>
          <w:tcPr>
            <w:tcW w:type="dxa" w:w="1440"/>
            <w:shd w:fill="FFDCE0" w:val="clear"/>
          </w:tcPr>
          <w:p>
            <w:r>
              <w:rPr>
                <w:sz w:val="17"/>
              </w:rPr>
              <w:t>17,241</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14,938</w:t>
            </w:r>
          </w:p>
        </w:tc>
        <w:tc>
          <w:tcPr>
            <w:tcW w:type="dxa" w:w="1440"/>
            <w:shd w:fill="FFDCE0" w:val="clear"/>
          </w:tcPr>
          <w:p>
            <w:r>
              <w:rPr>
                <w:b/>
                <w:sz w:val="17"/>
              </w:rPr>
              <w:t>16,097</w:t>
            </w:r>
          </w:p>
        </w:tc>
        <w:tc>
          <w:tcPr>
            <w:tcW w:type="dxa" w:w="1440"/>
            <w:shd w:fill="FFDCE0" w:val="clear"/>
          </w:tcPr>
          <w:p>
            <w:r>
              <w:rPr>
                <w:sz w:val="17"/>
              </w:rPr>
              <w:t>17,255</w:t>
            </w:r>
          </w:p>
        </w:tc>
        <w:tc>
          <w:tcPr>
            <w:tcW w:type="dxa" w:w="1440"/>
            <w:shd w:fill="FFDCE0" w:val="clear"/>
          </w:tcPr>
          <w:p>
            <w:r>
              <w:rPr>
                <w:b/>
                <w:color w:val="C00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NTLC s'établit à 372,99 milliards FCFA, ce qui en fait l'une des valeurs les plus significatives de la BRVM, reflétant la position dominante de Nestlé Côte d'Ivoire dans le secteur des biens de consommation. Avec un BPA de 835 FCFA, chaque action génère un bénéfice substantiel, mais le PER de 20,2x indique que les investisseurs paient une prime significative par rapport à la moyenne du marché BRVM (8-12x), traduisant des anticipations de croissance élevées ou une possible surévaluation. Le P/B de 12,61x confirme cette exigeance, le marché valorisant l'actif net à plus de douze fois sa valeur comptable, ce qui reflète la confiance dans la marque et la rentabilité future. Enfin, l'EV/EBITDA de 10,0x se situe dans la fourchette raisonnable (5-10x), suggérant que la valeur totale de l'entreprise reste cohérente avec sa capacité opérationnelle à générer des flux, tempérant ainsi les signaux de surévaluation des autres ratios.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NTLC a enregistré une progression spectaculaire de +31,01%, avec une dernière séance en hausse de +1,72%, portant le cours à 16 900 FCFA, son plus haut niveau sur la période, contre un plus bas de 11 150 FCFA. Cette tendance résolument haussière s'accompagne d'un volume moyen de 1 956 titres par jour, témoignant d'un intérêt soutenu des investisseurs. La moyenne du cours sur la période (13 964 FCFA) est nettement inférieure à la médiane (12 998 FCFA), indiquant une distribution asymétrique positive où les valeurs élevées récentes tirent la moyenne vers le haut. L'écart-type de 1 839 FCFA (CV de 13,2%) révèle une dispersion modérée, tandis que le kurtosis de -1,563 (platykurtique) suggère une distribution aplatie avec peu de pics extrêmes, et le skewness de 0,255 confirme une symétrie relative. La volatilité annualisée de 33,4% classe le titre comme très volatil, un niveau élevé qui reflète l'ampleur du mouvement haussier récent et implique un risque accru pour les investisseurs.</w:t>
      </w:r>
    </w:p>
    <w:p>
      <w:pPr>
        <w:spacing w:after="120" w:line="276" w:lineRule="auto" w:before="240"/>
      </w:pPr>
      <w:r>
        <w:rPr>
          <w:b/>
          <w:color w:val="003366"/>
          <w:sz w:val="24"/>
        </w:rPr>
        <w:t>**PARTIE 2 : ANALYSE TECHNIQUE DÉTAILLÉE**</w:t>
      </w:r>
    </w:p>
    <w:p>
      <w:pPr>
        <w:spacing w:after="120" w:line="276" w:lineRule="auto"/>
      </w:pPr>
      <w:r>
        <w:t>**Moyennes Mobiles**: Le cours actuel de 16 900 FCFA se positionne nettement au-dessus de la MM20 (16 372,25 FCFA) et de la MM50 (15 592,3 FCFA), confirmant une dynamique haussière solide à court et moyen terme. La décision d'achat est justifiée par cette configuration où le prix évolue au-dessus des moyennes, indiquant une tendance positive soutenue par les acheteurs.</w:t>
      </w:r>
    </w:p>
    <w:p>
      <w:pPr>
        <w:spacing w:after="120" w:line="276" w:lineRule="auto"/>
      </w:pPr>
      <w:r>
        <w:t>**Bandes de Bollinger**: Le cours se situe à 16 900 FCFA, proche de la borne supérieure (17 016,08 FCFA) et nettement au-dessus de la borne inférieure (15 728,42 FCFA), signalant une pression acheteuse intense. La décision neutre reflète toutefois une situation de surachat potentiel, le prix flirtant avec la limite supérieure, ce qui pourrait précéder une consolidation technique.</w:t>
      </w:r>
    </w:p>
    <w:p>
      <w:pPr>
        <w:spacing w:after="120" w:line="276" w:lineRule="auto"/>
      </w:pPr>
      <w:r>
        <w:t>**MACD**: La valeur du MACD (336,06) est inférieure à son signal (365,97), indiquant un momentum baissier à court terme malgré la tendance haussière globale. La décision de vente suggère un essoufflement possible de la dynamique, les acheteurs perdant légèrement de leur vigueur après la forte progression récente.</w:t>
      </w:r>
    </w:p>
    <w:p>
      <w:pPr>
        <w:spacing w:after="120" w:line="276" w:lineRule="auto"/>
      </w:pPr>
      <w:r>
        <w:t>**RSI**: Avec une valeur de 84,27, le RSI se trouve en zone de surachat prononcée (au-delà de 70), signalant que le titre est techniquement surévalué à court terme. La décision de vente est justifiée par ce niveau extrême, qui précède souvent une correction ou au minimum une pause dans la hausse.</w:t>
      </w:r>
    </w:p>
    <w:p>
      <w:pPr>
        <w:spacing w:after="120" w:line="276" w:lineRule="auto"/>
      </w:pPr>
      <w:r>
        <w:t>**Stochastique**: Le %K à 100,0 et le %D à 87,36 confirment également une situation de surachat extrême, avec le %K au maximum absolu. La décision de vente reflète la probabilité élevée d'un retournement ou d'une consolidation, les conditions de marché étant excessivement tendues.</w:t>
      </w:r>
    </w:p>
    <w:p>
      <w:pPr>
        <w:spacing w:after="120" w:line="276" w:lineRule="auto"/>
      </w:pPr>
      <w:r>
        <w:t>**Conclusion technique**: L'ensemble des indicateurs converge vers un signal de surachat, avec le RSI, le stochastique et la position par rapport aux bandes de Bollinger indiquant tous une pression acheteuse excessive. Seules les moyennes mobiles restent positives, mais la divergence du MACD et les niveaux extrêmes des oscillateurs suggèrent qu'une correction technique est probable à court terme, malgré la tendance haussière de fond.</w:t>
      </w:r>
    </w:p>
    <w:p>
      <w:pPr>
        <w:spacing w:after="120" w:line="276" w:lineRule="auto" w:before="240"/>
      </w:pPr>
      <w:r>
        <w:rPr>
          <w:b/>
          <w:color w:val="003366"/>
          <w:sz w:val="24"/>
        </w:rPr>
        <w:t>**PARTIE 3 : ANALYSE FONDAMENTALE (SECTION CRITIQUE)**</w:t>
      </w:r>
    </w:p>
    <w:p>
      <w:pPr>
        <w:spacing w:after="120" w:line="276" w:lineRule="auto"/>
      </w:pPr>
      <w:r>
        <w:t>En 2025, Nestlé Côte d'Ivoire a réalisé un chiffre d'affaires de 233,26 milliards FCFA, en croissance de 5,97% par rapport à 2024 (220,11 milliards FCFA), avec un résultat net de 18,43 milliards FCFA, en légère progression de 1,53%. La marge nette s'établit à 7,90%, en léger repli par rapport aux 8,25% de 2024, tandis que le ROE atteint un niveau exceptionnel de 62,28% et le ROA de 9,70%, démontrant une utilisation très efficace des capitaux propres et des actifs. Le BFR de 22,63 milliards FCFA est positif, avec un délai clients de 74,3 jours et une durée de stockage de 59,4 jours, indiquant une immobilisation significative de trésorerie dans le cycle d'exploitation. L'endettement total de 160,37 milliards FCFA (ratio d'endettement de 135,85%) et une autonomie financière de seulement 15,58% révèlent une dépendance financière élevée, bien que la solvabilité générale de 118,45% reste positive. Les rapports trimestriels montrent une trajectoire contrastée : le T1 2025 en baisse de 11% (54,08 milliards FCFA) mais avec une marge nette améliorée à 10,1%, le S1 2025 en stagnation avec un résultat net en baisse de 23,5% (9,46 milliards FCFA), et le T3 2025 avec un CA cumulé de 173,41 milliards FCFA (+1,36%) mais un résultat net en recul de 21,3%. Cependant, le rapport T1 2026 (publié en mai 2026) révèle une accélération spectaculaire avec un CA de 70,82 milliards FCFA (+31%) et un résultat net de 7,53 milliards FCFA (+37%), suggérant que l'exercice 2026 pourrait dépasser largement les performances de 2025, avec une marge nette estimée à 10,6%. La politique de dividende a radicalement changé, passant de 18,10 milliards FCFA distribués en 2024 (99,7% du bénéfice) à seulement 9,27 milliards FCFA proposés pour 2025 (50,3%), signalant une stratégie de réinvestissement pour financer la croissance future.</w:t>
      </w:r>
    </w:p>
    <w:p>
      <w:pPr>
        <w:spacing w:after="120" w:line="276" w:lineRule="auto" w:before="240"/>
      </w:pPr>
      <w:r>
        <w:rPr>
          <w:b/>
          <w:color w:val="003366"/>
          <w:sz w:val="24"/>
        </w:rPr>
        <w:t>**PARTIE 4 : CONCLUSION D'INVESTISSEMENT**</w:t>
      </w:r>
    </w:p>
    <w:p>
      <w:pPr>
        <w:spacing w:after="120" w:line="276" w:lineRule="auto"/>
      </w:pPr>
      <w:r>
        <w:t>La valorisation de NTLC apparaît exigeante avec un PER de 20,2x et un P/B de 12,61x, nettement supérieurs aux moyennes du marché BRVM, bien que l'EV/EBITDA de 10,0x tempère cette surévaluation relative. Le comportement du cours sur 100 jours (+31,01%) est spectaculairement haussier, mais la volatilité élevée (33,4%) et les statistiques descriptives (kurtosis platykurtique, skewness positif) indiquent un risque accru de retournement. Les signaux techniques sont majoritairement vendeurs à court terme, avec un RSI à 84,27, un stochastique à 100% et un MACD divergent, tous suggérant un surachat extrême malgré des moyennes mobiles encore positives. Les fondamentaux restent solides avec un ROE de 62,28%, une croissance du CA de 5,97% en 2025 et une accélération remarquable au T1 2026 (+31% de CA, +37% de résultat net), bien que l'endettement élevé et la réduction du dividende constituent des points de vigilance. Les prédictions IA pour les 10 prochains jours (16 478 à 16 319 FCFA) confirment une légère correction attendue, en cohérence avec les signaux techniques de surachat. En synthèse, la convergence entre la surévaluation relative, les signaux techniques vendeurs et les prédictions IA baissières à court terme, contrebalancée par des fondamentaux solides et des perspectives de croissance prometteuses, conduit à une recommandation de **CONSERVER** avec un niveau de confiance **Moyen** et un risque global **Élevé**. L'horizon d'investissement optimal serait le **moyen terme (3-12 mois)**, permettant d'absorber une éventuelle correction technique avant de capitaliser sur la dynamique fondamentale positive de l'entreprise.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197.54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5,430 titres</w:t>
            </w:r>
          </w:p>
        </w:tc>
        <w:tc>
          <w:tcPr>
            <w:tcW w:type="dxa" w:w="2268"/>
            <w:shd w:fill="FFF2CC" w:val="clear"/>
          </w:tcPr>
          <w:p>
            <w:r>
              <w:rPr>
                <w:b/>
                <w:color w:val="503200"/>
                <w:sz w:val="16"/>
              </w:rPr>
              <w:t xml:space="preserve">Cours actuel : </w:t>
            </w:r>
            <w:r>
              <w:rPr>
                <w:color w:val="000000"/>
                <w:sz w:val="17"/>
              </w:rPr>
              <w:t>2,905 FCFA</w:t>
            </w:r>
          </w:p>
          <w:p>
            <w:r>
              <w:rPr>
                <w:b/>
                <w:color w:val="503200"/>
                <w:sz w:val="16"/>
              </w:rPr>
              <w:t xml:space="preserve">Var. 100 jours : </w:t>
            </w:r>
            <w:r>
              <w:rPr>
                <w:b/>
                <w:color w:val="B40000"/>
                <w:sz w:val="17"/>
              </w:rPr>
              <w:t>-6.14%</w:t>
            </w:r>
          </w:p>
          <w:p>
            <w:r>
              <w:rPr>
                <w:b/>
                <w:color w:val="503200"/>
                <w:sz w:val="16"/>
              </w:rPr>
              <w:t xml:space="preserve">Plus haut 100j : </w:t>
            </w:r>
            <w:r>
              <w:rPr>
                <w:color w:val="000000"/>
                <w:sz w:val="17"/>
              </w:rPr>
              <w:t>3,095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3.42% (Faible) — μ=2,831 FCFA, σ=97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β=0.0401 (Défensif) — Cov=0.000001, Var(idx)=0.000036, ρ=0.012,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σ_j=2.07%/j (Stable) — Vol. annualisée≈32.8%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2026-08-12</w:t>
            </w:r>
          </w:p>
        </w:tc>
        <w:tc>
          <w:tcPr>
            <w:tcW w:type="dxa" w:w="1440"/>
            <w:shd w:fill="FAFAFA" w:val="clear"/>
          </w:tcPr>
          <w:p>
            <w:r>
              <w:rPr>
                <w:sz w:val="17"/>
              </w:rPr>
              <w:t>2,818</w:t>
            </w:r>
          </w:p>
        </w:tc>
        <w:tc>
          <w:tcPr>
            <w:tcW w:type="dxa" w:w="1440"/>
            <w:shd w:fill="FAFAFA" w:val="clear"/>
          </w:tcPr>
          <w:p>
            <w:r>
              <w:rPr>
                <w:b/>
                <w:sz w:val="17"/>
              </w:rPr>
              <w:t>2,902</w:t>
            </w:r>
          </w:p>
        </w:tc>
        <w:tc>
          <w:tcPr>
            <w:tcW w:type="dxa" w:w="1440"/>
            <w:shd w:fill="FAFAFA" w:val="clear"/>
          </w:tcPr>
          <w:p>
            <w:r>
              <w:rPr>
                <w:sz w:val="17"/>
              </w:rPr>
              <w:t>2,987</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2026-08-13</w:t>
            </w:r>
          </w:p>
        </w:tc>
        <w:tc>
          <w:tcPr>
            <w:tcW w:type="dxa" w:w="1440"/>
            <w:shd w:fill="FAFAFA" w:val="clear"/>
          </w:tcPr>
          <w:p>
            <w:r>
              <w:rPr>
                <w:sz w:val="17"/>
              </w:rPr>
              <w:t>2,776</w:t>
            </w:r>
          </w:p>
        </w:tc>
        <w:tc>
          <w:tcPr>
            <w:tcW w:type="dxa" w:w="1440"/>
            <w:shd w:fill="FAFAFA" w:val="clear"/>
          </w:tcPr>
          <w:p>
            <w:r>
              <w:rPr>
                <w:b/>
                <w:sz w:val="17"/>
              </w:rPr>
              <w:t>2,895</w:t>
            </w:r>
          </w:p>
        </w:tc>
        <w:tc>
          <w:tcPr>
            <w:tcW w:type="dxa" w:w="1440"/>
            <w:shd w:fill="FAFAFA" w:val="clear"/>
          </w:tcPr>
          <w:p>
            <w:r>
              <w:rPr>
                <w:sz w:val="17"/>
              </w:rPr>
              <w:t>3,014</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2026-08-14</w:t>
            </w:r>
          </w:p>
        </w:tc>
        <w:tc>
          <w:tcPr>
            <w:tcW w:type="dxa" w:w="1440"/>
            <w:shd w:fill="FAFAFA" w:val="clear"/>
          </w:tcPr>
          <w:p>
            <w:r>
              <w:rPr>
                <w:sz w:val="17"/>
              </w:rPr>
              <w:t>2,743</w:t>
            </w:r>
          </w:p>
        </w:tc>
        <w:tc>
          <w:tcPr>
            <w:tcW w:type="dxa" w:w="1440"/>
            <w:shd w:fill="FAFAFA" w:val="clear"/>
          </w:tcPr>
          <w:p>
            <w:r>
              <w:rPr>
                <w:b/>
                <w:sz w:val="17"/>
              </w:rPr>
              <w:t>2,889</w:t>
            </w:r>
          </w:p>
        </w:tc>
        <w:tc>
          <w:tcPr>
            <w:tcW w:type="dxa" w:w="1440"/>
            <w:shd w:fill="FAFAFA" w:val="clear"/>
          </w:tcPr>
          <w:p>
            <w:r>
              <w:rPr>
                <w:sz w:val="17"/>
              </w:rPr>
              <w:t>3,034</w:t>
            </w:r>
          </w:p>
        </w:tc>
        <w:tc>
          <w:tcPr>
            <w:tcW w:type="dxa" w:w="1440"/>
            <w:shd w:fill="FAFAFA" w:val="clear"/>
          </w:tcPr>
          <w:p>
            <w:r>
              <w:rPr>
                <w:b/>
                <w:color w:val="C00000"/>
                <w:sz w:val="17"/>
              </w:rPr>
              <w:t>-0.6%</w:t>
            </w:r>
          </w:p>
        </w:tc>
      </w:tr>
      <w:tr>
        <w:tc>
          <w:tcPr>
            <w:tcW w:type="dxa" w:w="1440"/>
            <w:shd w:fill="FAFAFA" w:val="clear"/>
          </w:tcPr>
          <w:p>
            <w:r>
              <w:rPr>
                <w:sz w:val="17"/>
              </w:rPr>
              <w:t>J+4  Moyenne</w:t>
            </w:r>
          </w:p>
        </w:tc>
        <w:tc>
          <w:tcPr>
            <w:tcW w:type="dxa" w:w="1440"/>
            <w:shd w:fill="FAFAFA" w:val="clear"/>
          </w:tcPr>
          <w:p>
            <w:r>
              <w:rPr>
                <w:sz w:val="17"/>
              </w:rPr>
              <w:t>2026-08-17</w:t>
            </w:r>
          </w:p>
        </w:tc>
        <w:tc>
          <w:tcPr>
            <w:tcW w:type="dxa" w:w="1440"/>
            <w:shd w:fill="FAFAFA" w:val="clear"/>
          </w:tcPr>
          <w:p>
            <w:r>
              <w:rPr>
                <w:sz w:val="17"/>
              </w:rPr>
              <w:t>2,715</w:t>
            </w:r>
          </w:p>
        </w:tc>
        <w:tc>
          <w:tcPr>
            <w:tcW w:type="dxa" w:w="1440"/>
            <w:shd w:fill="FAFAFA" w:val="clear"/>
          </w:tcPr>
          <w:p>
            <w:r>
              <w:rPr>
                <w:b/>
                <w:sz w:val="17"/>
              </w:rPr>
              <w:t>2,883</w:t>
            </w:r>
          </w:p>
        </w:tc>
        <w:tc>
          <w:tcPr>
            <w:tcW w:type="dxa" w:w="1440"/>
            <w:shd w:fill="FAFAFA" w:val="clear"/>
          </w:tcPr>
          <w:p>
            <w:r>
              <w:rPr>
                <w:sz w:val="17"/>
              </w:rPr>
              <w:t>3,050</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2026-08-18</w:t>
            </w:r>
          </w:p>
        </w:tc>
        <w:tc>
          <w:tcPr>
            <w:tcW w:type="dxa" w:w="1440"/>
            <w:shd w:fill="FAFAFA" w:val="clear"/>
          </w:tcPr>
          <w:p>
            <w:r>
              <w:rPr>
                <w:sz w:val="17"/>
              </w:rPr>
              <w:t>2,690</w:t>
            </w:r>
          </w:p>
        </w:tc>
        <w:tc>
          <w:tcPr>
            <w:tcW w:type="dxa" w:w="1440"/>
            <w:shd w:fill="FAFAFA" w:val="clear"/>
          </w:tcPr>
          <w:p>
            <w:r>
              <w:rPr>
                <w:b/>
                <w:sz w:val="17"/>
              </w:rPr>
              <w:t>2,877</w:t>
            </w:r>
          </w:p>
        </w:tc>
        <w:tc>
          <w:tcPr>
            <w:tcW w:type="dxa" w:w="1440"/>
            <w:shd w:fill="FAFAFA" w:val="clear"/>
          </w:tcPr>
          <w:p>
            <w:r>
              <w:rPr>
                <w:sz w:val="17"/>
              </w:rPr>
              <w:t>3,064</w:t>
            </w:r>
          </w:p>
        </w:tc>
        <w:tc>
          <w:tcPr>
            <w:tcW w:type="dxa" w:w="1440"/>
            <w:shd w:fill="FAFAFA" w:val="clear"/>
          </w:tcPr>
          <w:p>
            <w:r>
              <w:rPr>
                <w:b/>
                <w:color w:val="C00000"/>
                <w:sz w:val="17"/>
              </w:rPr>
              <w:t>-1.0%</w:t>
            </w:r>
          </w:p>
        </w:tc>
      </w:tr>
      <w:tr>
        <w:tc>
          <w:tcPr>
            <w:tcW w:type="dxa" w:w="1440"/>
            <w:shd w:fill="FAFAFA" w:val="clear"/>
          </w:tcPr>
          <w:p>
            <w:r>
              <w:rPr>
                <w:sz w:val="17"/>
              </w:rPr>
              <w:t>J+6  Moyenne</w:t>
            </w:r>
          </w:p>
        </w:tc>
        <w:tc>
          <w:tcPr>
            <w:tcW w:type="dxa" w:w="1440"/>
            <w:shd w:fill="FAFAFA" w:val="clear"/>
          </w:tcPr>
          <w:p>
            <w:r>
              <w:rPr>
                <w:sz w:val="17"/>
              </w:rPr>
              <w:t>2026-08-19</w:t>
            </w:r>
          </w:p>
        </w:tc>
        <w:tc>
          <w:tcPr>
            <w:tcW w:type="dxa" w:w="1440"/>
            <w:shd w:fill="FAFAFA" w:val="clear"/>
          </w:tcPr>
          <w:p>
            <w:r>
              <w:rPr>
                <w:sz w:val="17"/>
              </w:rPr>
              <w:t>2,667</w:t>
            </w:r>
          </w:p>
        </w:tc>
        <w:tc>
          <w:tcPr>
            <w:tcW w:type="dxa" w:w="1440"/>
            <w:shd w:fill="FAFAFA" w:val="clear"/>
          </w:tcPr>
          <w:p>
            <w:r>
              <w:rPr>
                <w:b/>
                <w:sz w:val="17"/>
              </w:rPr>
              <w:t>2,871</w:t>
            </w:r>
          </w:p>
        </w:tc>
        <w:tc>
          <w:tcPr>
            <w:tcW w:type="dxa" w:w="1440"/>
            <w:shd w:fill="FAFAFA" w:val="clear"/>
          </w:tcPr>
          <w:p>
            <w:r>
              <w:rPr>
                <w:sz w:val="17"/>
              </w:rPr>
              <w:t>3,075</w:t>
            </w:r>
          </w:p>
        </w:tc>
        <w:tc>
          <w:tcPr>
            <w:tcW w:type="dxa" w:w="1440"/>
            <w:shd w:fill="FAFAFA" w:val="clear"/>
          </w:tcPr>
          <w:p>
            <w:r>
              <w:rPr>
                <w:b/>
                <w:color w:val="C00000"/>
                <w:sz w:val="17"/>
              </w:rPr>
              <w:t>-1.2%</w:t>
            </w:r>
          </w:p>
        </w:tc>
      </w:tr>
      <w:tr>
        <w:tc>
          <w:tcPr>
            <w:tcW w:type="dxa" w:w="1440"/>
            <w:shd w:fill="FAFAFA" w:val="clear"/>
          </w:tcPr>
          <w:p>
            <w:r>
              <w:rPr>
                <w:sz w:val="17"/>
              </w:rPr>
              <w:t>J+7  Moyenne</w:t>
            </w:r>
          </w:p>
        </w:tc>
        <w:tc>
          <w:tcPr>
            <w:tcW w:type="dxa" w:w="1440"/>
            <w:shd w:fill="FAFAFA" w:val="clear"/>
          </w:tcPr>
          <w:p>
            <w:r>
              <w:rPr>
                <w:sz w:val="17"/>
              </w:rPr>
              <w:t>2026-08-20</w:t>
            </w:r>
          </w:p>
        </w:tc>
        <w:tc>
          <w:tcPr>
            <w:tcW w:type="dxa" w:w="1440"/>
            <w:shd w:fill="FAFAFA" w:val="clear"/>
          </w:tcPr>
          <w:p>
            <w:r>
              <w:rPr>
                <w:sz w:val="17"/>
              </w:rPr>
              <w:t>2,645</w:t>
            </w:r>
          </w:p>
        </w:tc>
        <w:tc>
          <w:tcPr>
            <w:tcW w:type="dxa" w:w="1440"/>
            <w:shd w:fill="FAFAFA" w:val="clear"/>
          </w:tcPr>
          <w:p>
            <w:r>
              <w:rPr>
                <w:b/>
                <w:sz w:val="17"/>
              </w:rPr>
              <w:t>2,865</w:t>
            </w:r>
          </w:p>
        </w:tc>
        <w:tc>
          <w:tcPr>
            <w:tcW w:type="dxa" w:w="1440"/>
            <w:shd w:fill="FAFAFA" w:val="clear"/>
          </w:tcPr>
          <w:p>
            <w:r>
              <w:rPr>
                <w:sz w:val="17"/>
              </w:rPr>
              <w:t>3,085</w:t>
            </w:r>
          </w:p>
        </w:tc>
        <w:tc>
          <w:tcPr>
            <w:tcW w:type="dxa" w:w="1440"/>
            <w:shd w:fill="FAFAFA" w:val="clear"/>
          </w:tcPr>
          <w:p>
            <w:r>
              <w:rPr>
                <w:b/>
                <w:color w:val="C00000"/>
                <w:sz w:val="17"/>
              </w:rPr>
              <w:t>-1.4%</w:t>
            </w:r>
          </w:p>
        </w:tc>
      </w:tr>
      <w:tr>
        <w:tc>
          <w:tcPr>
            <w:tcW w:type="dxa" w:w="1440"/>
            <w:shd w:fill="FAFAFA" w:val="clear"/>
          </w:tcPr>
          <w:p>
            <w:r>
              <w:rPr>
                <w:sz w:val="17"/>
              </w:rPr>
              <w:t>J+8  Moyenne</w:t>
            </w:r>
          </w:p>
        </w:tc>
        <w:tc>
          <w:tcPr>
            <w:tcW w:type="dxa" w:w="1440"/>
            <w:shd w:fill="FAFAFA" w:val="clear"/>
          </w:tcPr>
          <w:p>
            <w:r>
              <w:rPr>
                <w:sz w:val="17"/>
              </w:rPr>
              <w:t>2026-08-21</w:t>
            </w:r>
          </w:p>
        </w:tc>
        <w:tc>
          <w:tcPr>
            <w:tcW w:type="dxa" w:w="1440"/>
            <w:shd w:fill="FAFAFA" w:val="clear"/>
          </w:tcPr>
          <w:p>
            <w:r>
              <w:rPr>
                <w:sz w:val="17"/>
              </w:rPr>
              <w:t>2,624</w:t>
            </w:r>
          </w:p>
        </w:tc>
        <w:tc>
          <w:tcPr>
            <w:tcW w:type="dxa" w:w="1440"/>
            <w:shd w:fill="FAFAFA" w:val="clear"/>
          </w:tcPr>
          <w:p>
            <w:r>
              <w:rPr>
                <w:b/>
                <w:sz w:val="17"/>
              </w:rPr>
              <w:t>2,859</w:t>
            </w:r>
          </w:p>
        </w:tc>
        <w:tc>
          <w:tcPr>
            <w:tcW w:type="dxa" w:w="1440"/>
            <w:shd w:fill="FAFAFA" w:val="clear"/>
          </w:tcPr>
          <w:p>
            <w:r>
              <w:rPr>
                <w:sz w:val="17"/>
              </w:rPr>
              <w:t>3,094</w:t>
            </w:r>
          </w:p>
        </w:tc>
        <w:tc>
          <w:tcPr>
            <w:tcW w:type="dxa" w:w="1440"/>
            <w:shd w:fill="FAFAFA" w:val="clear"/>
          </w:tcPr>
          <w:p>
            <w:r>
              <w:rPr>
                <w:b/>
                <w:color w:val="C00000"/>
                <w:sz w:val="17"/>
              </w:rPr>
              <w:t>-1.6%</w:t>
            </w:r>
          </w:p>
        </w:tc>
      </w:tr>
      <w:tr>
        <w:tc>
          <w:tcPr>
            <w:tcW w:type="dxa" w:w="1440"/>
            <w:shd w:fill="FAFAFA" w:val="clear"/>
          </w:tcPr>
          <w:p>
            <w:r>
              <w:rPr>
                <w:sz w:val="17"/>
              </w:rPr>
              <w:t>J+9  Moyenne</w:t>
            </w:r>
          </w:p>
        </w:tc>
        <w:tc>
          <w:tcPr>
            <w:tcW w:type="dxa" w:w="1440"/>
            <w:shd w:fill="FAFAFA" w:val="clear"/>
          </w:tcPr>
          <w:p>
            <w:r>
              <w:rPr>
                <w:sz w:val="17"/>
              </w:rPr>
              <w:t>2026-08-24</w:t>
            </w:r>
          </w:p>
        </w:tc>
        <w:tc>
          <w:tcPr>
            <w:tcW w:type="dxa" w:w="1440"/>
            <w:shd w:fill="FAFAFA" w:val="clear"/>
          </w:tcPr>
          <w:p>
            <w:r>
              <w:rPr>
                <w:sz w:val="17"/>
              </w:rPr>
              <w:t>2,605</w:t>
            </w:r>
          </w:p>
        </w:tc>
        <w:tc>
          <w:tcPr>
            <w:tcW w:type="dxa" w:w="1440"/>
            <w:shd w:fill="FAFAFA" w:val="clear"/>
          </w:tcPr>
          <w:p>
            <w:r>
              <w:rPr>
                <w:b/>
                <w:sz w:val="17"/>
              </w:rPr>
              <w:t>2,854</w:t>
            </w:r>
          </w:p>
        </w:tc>
        <w:tc>
          <w:tcPr>
            <w:tcW w:type="dxa" w:w="1440"/>
            <w:shd w:fill="FAFAFA" w:val="clear"/>
          </w:tcPr>
          <w:p>
            <w:r>
              <w:rPr>
                <w:sz w:val="17"/>
              </w:rPr>
              <w:t>3,103</w:t>
            </w:r>
          </w:p>
        </w:tc>
        <w:tc>
          <w:tcPr>
            <w:tcW w:type="dxa" w:w="1440"/>
            <w:shd w:fill="FAFAFA" w:val="clear"/>
          </w:tcPr>
          <w:p>
            <w:r>
              <w:rPr>
                <w:b/>
                <w:color w:val="C00000"/>
                <w:sz w:val="17"/>
              </w:rPr>
              <w:t>-1.8%</w:t>
            </w:r>
          </w:p>
        </w:tc>
      </w:tr>
      <w:tr>
        <w:tc>
          <w:tcPr>
            <w:tcW w:type="dxa" w:w="1440"/>
            <w:shd w:fill="FAFAFA" w:val="clear"/>
          </w:tcPr>
          <w:p>
            <w:r>
              <w:rPr>
                <w:sz w:val="17"/>
              </w:rPr>
              <w:t>J+10  Moyenne</w:t>
            </w:r>
          </w:p>
        </w:tc>
        <w:tc>
          <w:tcPr>
            <w:tcW w:type="dxa" w:w="1440"/>
            <w:shd w:fill="FAFAFA" w:val="clear"/>
          </w:tcPr>
          <w:p>
            <w:r>
              <w:rPr>
                <w:sz w:val="17"/>
              </w:rPr>
              <w:t>2026-08-25</w:t>
            </w:r>
          </w:p>
        </w:tc>
        <w:tc>
          <w:tcPr>
            <w:tcW w:type="dxa" w:w="1440"/>
            <w:shd w:fill="FAFAFA" w:val="clear"/>
          </w:tcPr>
          <w:p>
            <w:r>
              <w:rPr>
                <w:sz w:val="17"/>
              </w:rPr>
              <w:t>2,587</w:t>
            </w:r>
          </w:p>
        </w:tc>
        <w:tc>
          <w:tcPr>
            <w:tcW w:type="dxa" w:w="1440"/>
            <w:shd w:fill="FAFAFA" w:val="clear"/>
          </w:tcPr>
          <w:p>
            <w:r>
              <w:rPr>
                <w:b/>
                <w:sz w:val="17"/>
              </w:rPr>
              <w:t>2,848</w:t>
            </w:r>
          </w:p>
        </w:tc>
        <w:tc>
          <w:tcPr>
            <w:tcW w:type="dxa" w:w="1440"/>
            <w:shd w:fill="FAFAFA" w:val="clear"/>
          </w:tcPr>
          <w:p>
            <w:r>
              <w:rPr>
                <w:sz w:val="17"/>
              </w:rPr>
              <w:t>3,110</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 rapport d'analyse structuré et professionnel pour l'action ONTBF (ONATEL-SA / Moov Africa Burkina Faso)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d'ONTBF s'établit à 197,54 milliards FCFA, ce qui en fait une valeur de première ligne sur la BRVM, représentative du secteur des télécommunications. Avec un BPA de 234 FCFA, le titre se négocie à un PER de 12,4x, légèrement au-dessus de la moyenne historique de la place (~8-12x), ce qui suggère que le marché intègre une prime de croissance ou une certaine résilience. Le P/B de 3,43x confirme cette prime, le marché valorisant l'actif net à plus de trois fois sa valeur comptable, signe d'une confiance dans la génération de valeur future. Enfin, un EV/EBITDA de 5,2x indique que la valorisation totale de l'entreprise (dette incluse) reste raisonnable par rapport à sa capacité opérationnelle de génération de cash, offrant une marge de sécurité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ONTBF a enregistré une baisse de 6,14%, avec une légère contraction de 0,17% lors de la dernière séance, s'établissant à 2 905 FCFA. Le titre a évolué dans un range de 2 610 à 3 095 FCFA, montrant une certaine volatilité. La moyenne (2 831 FCFA) et la médiane (2 805 FCFA) sont proches, indiquant une distribution relativement symétrique des prix, ce que confirme le skewness de 0.369. L'écart-type de 97 FCFA (CV=3.4%) révèle une dispersion modérée autour de la moyenne. Le kurtosis négatif (-0.336) suggère une distribution mésokurtique, sans risque de variations extrêmes. La volatilité annualisée de 32,8% classe le titre comme très volatil, ce qui est un facteur de risque important à considérer pour un investisseur.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(2 905 FCFA) est supérieur à la MM20 (2 823 FCFA) et à la MM50 (2 829,5 FCFA), ce qui est un signal haussier à court terme. Cependant, la décision globale est "Vente", probablement car la tendance de fond sur 100 jours est baissière et que le cours pourrait être en phase de rebond technique dans une tendance plus large. La configuration est donc ambiguë.</w:t>
      </w:r>
    </w:p>
    <w:p>
      <w:pPr>
        <w:spacing w:after="120" w:line="276" w:lineRule="auto"/>
      </w:pPr>
      <w:r>
        <w:t>**Bandes de Bollinger** : Le prix se situe entre la borne supérieure (3 040 FCFA) et la borne inférieure (2 605 FCFA), plus proche de la borne haute, ce qui indique une pression acheteuse récente. La décision "Neutre" suggère que le marché n'est pas encore dans une zone de surachat ou de survente extrême, mais la largeur des bandes reflète la volatilité élevée du titre.</w:t>
      </w:r>
    </w:p>
    <w:p>
      <w:pPr>
        <w:spacing w:after="120" w:line="276" w:lineRule="auto"/>
      </w:pPr>
      <w:r>
        <w:t>**MACD** : Le MACD (41,58) est nettement supérieur à son signal (28,52), avec une divergence positive. Ce croisement haussier est un signal d'achat technique fort, indiquant que le momentum à moyen terme s'améliore et que la dynamique baissière pourrait s'inverser.</w:t>
      </w:r>
    </w:p>
    <w:p>
      <w:pPr>
        <w:spacing w:after="120" w:line="276" w:lineRule="auto"/>
      </w:pPr>
      <w:r>
        <w:t>**RSI** : Le RSI à 64,8 est en zone neutre, mais proche de la zone de surachat (70). Cela indique que le titre a connu une forte progression récente et qu'un essoufflement est possible à court terme. La décision "Neutre" suggère que les acheteurs gardent le contrôle sans que le marché ne soit encore survendu.</w:t>
      </w:r>
    </w:p>
    <w:p>
      <w:pPr>
        <w:spacing w:after="120" w:line="276" w:lineRule="auto"/>
      </w:pPr>
      <w:r>
        <w:t>**Stochastique** : Le %K (64,0) est inférieur au %D (70,9), ce qui est un signal de retournement baissier potentiel à très court terme. Cette configuration, après une phase de surachat, suggère une possible consolidation ou un léger repli avant la prochaine impulsion.</w:t>
      </w:r>
    </w:p>
    <w:p>
      <w:pPr>
        <w:spacing w:after="120" w:line="276" w:lineRule="auto"/>
      </w:pPr>
      <w:r>
        <w:t>**Conclusion technique** : Les indicateurs sont mitigés. Le MACD est clairement haussier, tandis que le RSI et les bandes de Bollinger sont neutres. Le stochastique suggère un essoufflement à court terme. La tendance générale sur 100 jours reste baissière, mais les signaux récents (MACD, prix &gt; MM) indiquent un potentiel de rebond. La prudence est de mise, car le signal de vente des moyennes mobiles contraste avec le momentum haussier du MACD.</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indiquent un PNB (assimilé au CA) de 146,177 milliards FCFA, en croissance de 3,06%. Le résultat net s'établit à 15,887 milliards FCFA, en baisse de 26% par rapport à 2024 (21,47 Mds FCFA). Cette dégradation de la rentabilité se reflète dans la marge nette (10,87%) et la marge opérationnelle (17,56%). Le ROE reste excellent à 27,61%, et le ROA est de 4,89%. Le coefficient d'exploitation de 67,07% est élevé, indiquant une pression sur les coûts. Le coût du risque de 3,57% est un point de vigilance, signalant une dégradation de la qualité du portefeuille de créances. Les rapports trimestriels de 2025 (T1, S1, 9 mois) confirment cette tendance : une croissance du CA mais une chute du résultat net (ex: -17,2% sur 9 mois). Le rapport du T1 2026, daté de 2026, montre une stabilisation avec une marge EBITDA maintenue à 41,3%. La société investit massivement (Capex de ~45 Mds), financé en partie par une hausse de l'endettement, ce qui pèse sur la structure financière. En conclusion, les fondamentaux sont solides (croissance, ROE élevé) mais la rentabilité est sous pression, principalement à cause des coûts opérationnels et sécuritaires.</w:t>
      </w:r>
    </w:p>
    <w:p>
      <w:pPr>
        <w:spacing w:after="120" w:line="276" w:lineRule="auto"/>
      </w:pPr>
      <w:r>
        <w:t>---</w:t>
      </w:r>
    </w:p>
    <w:p>
      <w:pPr>
        <w:spacing w:after="120" w:line="276" w:lineRule="auto"/>
      </w:pPr>
      <w:r>
        <w:t>### **PARTIE 4 : CONCLUSION D'INVESTISSEMENT**</w:t>
      </w:r>
    </w:p>
    <w:p>
      <w:pPr>
        <w:spacing w:after="120" w:line="276" w:lineRule="auto"/>
      </w:pPr>
      <w:r>
        <w:t>La valorisation d'ONTBF (PER 12,4x, P/B 3,43x) est correcte mais non "bon marché", intégrant une prime pour sa position de leader et son rendement. Le comportement du cours sur 100 jours est baissier avec une volatilité élevée, mais les statistiques (kurtosis, skewness) suggèrent une distribution normale sans risque de krach majeur. Les signaux techniques sont mitigés : le MACD est haussier, mais le stochastique et les moyennes mobiles sont prudents, indiquant une possible consolidation. Les fondamentaux montrent une entreprise rentable (ROE &gt; 27%) mais dont la croissance des bénéfices est entravée par des coûts croissants. Les prédictions IA (2 902 à 2 877 FCFA) suggèrent une légère baisse sur 10 jours, contredisant le signal haussier du MACD. En synthèse, les forces (croissance du CA, ROE élevé, dividende) et les faiblesses (baisse du RN, volatilité, risques sécuritaires) s'équilibrent. **Recommandation : CONSERVER**. La convergence est partielle : la valorisation et les fondamentaux justifient de garder le titre, mais les signaux techniques et les prédictions IA plaident pour une pause. **Niveau de confiance : Moyen**. **Risque global : Élevé** (volatilité, contexte pays). **Horizon d'investissement optimal : Moyen terme (3-12 mois)**, en attendant une amélioration visible de la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2568.67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2,303 titres</w:t>
            </w:r>
          </w:p>
        </w:tc>
        <w:tc>
          <w:tcPr>
            <w:tcW w:type="dxa" w:w="2268"/>
            <w:shd w:fill="FFF2CC" w:val="clear"/>
          </w:tcPr>
          <w:p>
            <w:r>
              <w:rPr>
                <w:b/>
                <w:color w:val="503200"/>
                <w:sz w:val="16"/>
              </w:rPr>
              <w:t xml:space="preserve">Cours actuel : </w:t>
            </w:r>
            <w:r>
              <w:rPr>
                <w:color w:val="000000"/>
                <w:sz w:val="17"/>
              </w:rPr>
              <w:t>17,050 FCFA</w:t>
            </w:r>
          </w:p>
          <w:p>
            <w:r>
              <w:rPr>
                <w:b/>
                <w:color w:val="503200"/>
                <w:sz w:val="16"/>
              </w:rPr>
              <w:t xml:space="preserve">Var. 100 jours : </w:t>
            </w:r>
            <w:r>
              <w:rPr>
                <w:b/>
                <w:color w:val="007800"/>
                <w:sz w:val="17"/>
              </w:rPr>
              <w:t>+12.13%</w:t>
            </w:r>
          </w:p>
          <w:p>
            <w:r>
              <w:rPr>
                <w:b/>
                <w:color w:val="503200"/>
                <w:sz w:val="16"/>
              </w:rPr>
              <w:t xml:space="preserve">Plus haut 100j : </w:t>
            </w:r>
            <w:r>
              <w:rPr>
                <w:color w:val="000000"/>
                <w:sz w:val="17"/>
              </w:rPr>
              <w:t>17,175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18.1/100 → Faible</w:t>
      </w:r>
    </w:p>
    <w:p>
      <w:pPr>
        <w:spacing w:before="40" w:after="80"/>
      </w:pPr>
      <w:r>
        <w:rPr>
          <w:rFonts w:ascii="Courier New" w:hAnsi="Courier New"/>
          <w:color w:val="006400"/>
          <w:sz w:val="18"/>
        </w:rPr>
        <w:t>███░░░░░░░░░░░░░░░░░  18.1/100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4.85% (Faible) — μ=15,749 FCFA, σ=764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β=1.3699 (Agressif) — Cov=0.000050, Var(idx)=0.000036, ρ=0.435,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2,303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2026-08-12</w:t>
            </w:r>
          </w:p>
        </w:tc>
        <w:tc>
          <w:tcPr>
            <w:tcW w:type="dxa" w:w="1440"/>
            <w:shd w:fill="FAFAFA" w:val="clear"/>
          </w:tcPr>
          <w:p>
            <w:r>
              <w:rPr>
                <w:sz w:val="17"/>
              </w:rPr>
              <w:t>16,539</w:t>
            </w:r>
          </w:p>
        </w:tc>
        <w:tc>
          <w:tcPr>
            <w:tcW w:type="dxa" w:w="1440"/>
            <w:shd w:fill="FAFAFA" w:val="clear"/>
          </w:tcPr>
          <w:p>
            <w:r>
              <w:rPr>
                <w:b/>
                <w:sz w:val="17"/>
              </w:rPr>
              <w:t>16,979</w:t>
            </w:r>
          </w:p>
        </w:tc>
        <w:tc>
          <w:tcPr>
            <w:tcW w:type="dxa" w:w="1440"/>
            <w:shd w:fill="FAFAFA" w:val="clear"/>
          </w:tcPr>
          <w:p>
            <w:r>
              <w:rPr>
                <w:sz w:val="17"/>
              </w:rPr>
              <w:t>17,420</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2026-08-13</w:t>
            </w:r>
          </w:p>
        </w:tc>
        <w:tc>
          <w:tcPr>
            <w:tcW w:type="dxa" w:w="1440"/>
            <w:shd w:fill="FAFAFA" w:val="clear"/>
          </w:tcPr>
          <w:p>
            <w:r>
              <w:rPr>
                <w:sz w:val="17"/>
              </w:rPr>
              <w:t>16,328</w:t>
            </w:r>
          </w:p>
        </w:tc>
        <w:tc>
          <w:tcPr>
            <w:tcW w:type="dxa" w:w="1440"/>
            <w:shd w:fill="FAFAFA" w:val="clear"/>
          </w:tcPr>
          <w:p>
            <w:r>
              <w:rPr>
                <w:b/>
                <w:sz w:val="17"/>
              </w:rPr>
              <w:t>16,950</w:t>
            </w:r>
          </w:p>
        </w:tc>
        <w:tc>
          <w:tcPr>
            <w:tcW w:type="dxa" w:w="1440"/>
            <w:shd w:fill="FAFAFA" w:val="clear"/>
          </w:tcPr>
          <w:p>
            <w:r>
              <w:rPr>
                <w:sz w:val="17"/>
              </w:rPr>
              <w:t>17,572</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2026-08-14</w:t>
            </w:r>
          </w:p>
        </w:tc>
        <w:tc>
          <w:tcPr>
            <w:tcW w:type="dxa" w:w="1440"/>
            <w:shd w:fill="FAFAFA" w:val="clear"/>
          </w:tcPr>
          <w:p>
            <w:r>
              <w:rPr>
                <w:sz w:val="17"/>
              </w:rPr>
              <w:t>16,157</w:t>
            </w:r>
          </w:p>
        </w:tc>
        <w:tc>
          <w:tcPr>
            <w:tcW w:type="dxa" w:w="1440"/>
            <w:shd w:fill="FAFAFA" w:val="clear"/>
          </w:tcPr>
          <w:p>
            <w:r>
              <w:rPr>
                <w:b/>
                <w:sz w:val="17"/>
              </w:rPr>
              <w:t>16,917</w:t>
            </w:r>
          </w:p>
        </w:tc>
        <w:tc>
          <w:tcPr>
            <w:tcW w:type="dxa" w:w="1440"/>
            <w:shd w:fill="FAFAFA" w:val="clear"/>
          </w:tcPr>
          <w:p>
            <w:r>
              <w:rPr>
                <w:sz w:val="17"/>
              </w:rPr>
              <w:t>17,678</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2026-08-17</w:t>
            </w:r>
          </w:p>
        </w:tc>
        <w:tc>
          <w:tcPr>
            <w:tcW w:type="dxa" w:w="1440"/>
            <w:shd w:fill="FAFAFA" w:val="clear"/>
          </w:tcPr>
          <w:p>
            <w:r>
              <w:rPr>
                <w:sz w:val="17"/>
              </w:rPr>
              <w:t>16,009</w:t>
            </w:r>
          </w:p>
        </w:tc>
        <w:tc>
          <w:tcPr>
            <w:tcW w:type="dxa" w:w="1440"/>
            <w:shd w:fill="FAFAFA" w:val="clear"/>
          </w:tcPr>
          <w:p>
            <w:r>
              <w:rPr>
                <w:b/>
                <w:sz w:val="17"/>
              </w:rPr>
              <w:t>16,885</w:t>
            </w:r>
          </w:p>
        </w:tc>
        <w:tc>
          <w:tcPr>
            <w:tcW w:type="dxa" w:w="1440"/>
            <w:shd w:fill="FAFAFA" w:val="clear"/>
          </w:tcPr>
          <w:p>
            <w:r>
              <w:rPr>
                <w:sz w:val="17"/>
              </w:rPr>
              <w:t>17,761</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2026-08-18</w:t>
            </w:r>
          </w:p>
        </w:tc>
        <w:tc>
          <w:tcPr>
            <w:tcW w:type="dxa" w:w="1440"/>
            <w:shd w:fill="FAFAFA" w:val="clear"/>
          </w:tcPr>
          <w:p>
            <w:r>
              <w:rPr>
                <w:sz w:val="17"/>
              </w:rPr>
              <w:t>15,875</w:t>
            </w:r>
          </w:p>
        </w:tc>
        <w:tc>
          <w:tcPr>
            <w:tcW w:type="dxa" w:w="1440"/>
            <w:shd w:fill="FAFAFA" w:val="clear"/>
          </w:tcPr>
          <w:p>
            <w:r>
              <w:rPr>
                <w:b/>
                <w:sz w:val="17"/>
              </w:rPr>
              <w:t>16,853</w:t>
            </w:r>
          </w:p>
        </w:tc>
        <w:tc>
          <w:tcPr>
            <w:tcW w:type="dxa" w:w="1440"/>
            <w:shd w:fill="FAFAFA" w:val="clear"/>
          </w:tcPr>
          <w:p>
            <w:r>
              <w:rPr>
                <w:sz w:val="17"/>
              </w:rPr>
              <w:t>17,831</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2026-08-19</w:t>
            </w:r>
          </w:p>
        </w:tc>
        <w:tc>
          <w:tcPr>
            <w:tcW w:type="dxa" w:w="1440"/>
            <w:shd w:fill="FAFAFA" w:val="clear"/>
          </w:tcPr>
          <w:p>
            <w:r>
              <w:rPr>
                <w:sz w:val="17"/>
              </w:rPr>
              <w:t>15,752</w:t>
            </w:r>
          </w:p>
        </w:tc>
        <w:tc>
          <w:tcPr>
            <w:tcW w:type="dxa" w:w="1440"/>
            <w:shd w:fill="FAFAFA" w:val="clear"/>
          </w:tcPr>
          <w:p>
            <w:r>
              <w:rPr>
                <w:b/>
                <w:sz w:val="17"/>
              </w:rPr>
              <w:t>16,821</w:t>
            </w:r>
          </w:p>
        </w:tc>
        <w:tc>
          <w:tcPr>
            <w:tcW w:type="dxa" w:w="1440"/>
            <w:shd w:fill="FAFAFA" w:val="clear"/>
          </w:tcPr>
          <w:p>
            <w:r>
              <w:rPr>
                <w:sz w:val="17"/>
              </w:rPr>
              <w:t>17,890</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2026-08-20</w:t>
            </w:r>
          </w:p>
        </w:tc>
        <w:tc>
          <w:tcPr>
            <w:tcW w:type="dxa" w:w="1440"/>
            <w:shd w:fill="FAFAFA" w:val="clear"/>
          </w:tcPr>
          <w:p>
            <w:r>
              <w:rPr>
                <w:sz w:val="17"/>
              </w:rPr>
              <w:t>15,638</w:t>
            </w:r>
          </w:p>
        </w:tc>
        <w:tc>
          <w:tcPr>
            <w:tcW w:type="dxa" w:w="1440"/>
            <w:shd w:fill="FAFAFA" w:val="clear"/>
          </w:tcPr>
          <w:p>
            <w:r>
              <w:rPr>
                <w:b/>
                <w:sz w:val="17"/>
              </w:rPr>
              <w:t>16,790</w:t>
            </w:r>
          </w:p>
        </w:tc>
        <w:tc>
          <w:tcPr>
            <w:tcW w:type="dxa" w:w="1440"/>
            <w:shd w:fill="FAFAFA" w:val="clear"/>
          </w:tcPr>
          <w:p>
            <w:r>
              <w:rPr>
                <w:sz w:val="17"/>
              </w:rPr>
              <w:t>17,943</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2026-08-21</w:t>
            </w:r>
          </w:p>
        </w:tc>
        <w:tc>
          <w:tcPr>
            <w:tcW w:type="dxa" w:w="1440"/>
            <w:shd w:fill="FAFAFA" w:val="clear"/>
          </w:tcPr>
          <w:p>
            <w:r>
              <w:rPr>
                <w:sz w:val="17"/>
              </w:rPr>
              <w:t>15,530</w:t>
            </w:r>
          </w:p>
        </w:tc>
        <w:tc>
          <w:tcPr>
            <w:tcW w:type="dxa" w:w="1440"/>
            <w:shd w:fill="FAFAFA" w:val="clear"/>
          </w:tcPr>
          <w:p>
            <w:r>
              <w:rPr>
                <w:b/>
                <w:sz w:val="17"/>
              </w:rPr>
              <w:t>16,760</w:t>
            </w:r>
          </w:p>
        </w:tc>
        <w:tc>
          <w:tcPr>
            <w:tcW w:type="dxa" w:w="1440"/>
            <w:shd w:fill="FAFAFA" w:val="clear"/>
          </w:tcPr>
          <w:p>
            <w:r>
              <w:rPr>
                <w:sz w:val="17"/>
              </w:rPr>
              <w:t>17,990</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2026-08-24</w:t>
            </w:r>
          </w:p>
        </w:tc>
        <w:tc>
          <w:tcPr>
            <w:tcW w:type="dxa" w:w="1440"/>
            <w:shd w:fill="FAFAFA" w:val="clear"/>
          </w:tcPr>
          <w:p>
            <w:r>
              <w:rPr>
                <w:sz w:val="17"/>
              </w:rPr>
              <w:t>15,428</w:t>
            </w:r>
          </w:p>
        </w:tc>
        <w:tc>
          <w:tcPr>
            <w:tcW w:type="dxa" w:w="1440"/>
            <w:shd w:fill="FAFAFA" w:val="clear"/>
          </w:tcPr>
          <w:p>
            <w:r>
              <w:rPr>
                <w:b/>
                <w:sz w:val="17"/>
              </w:rPr>
              <w:t>16,730</w:t>
            </w:r>
          </w:p>
        </w:tc>
        <w:tc>
          <w:tcPr>
            <w:tcW w:type="dxa" w:w="1440"/>
            <w:shd w:fill="FAFAFA" w:val="clear"/>
          </w:tcPr>
          <w:p>
            <w:r>
              <w:rPr>
                <w:sz w:val="17"/>
              </w:rPr>
              <w:t>18,033</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15,331</w:t>
            </w:r>
          </w:p>
        </w:tc>
        <w:tc>
          <w:tcPr>
            <w:tcW w:type="dxa" w:w="1440"/>
            <w:shd w:fill="FFDCE0" w:val="clear"/>
          </w:tcPr>
          <w:p>
            <w:r>
              <w:rPr>
                <w:b/>
                <w:sz w:val="17"/>
              </w:rPr>
              <w:t>16,701</w:t>
            </w:r>
          </w:p>
        </w:tc>
        <w:tc>
          <w:tcPr>
            <w:tcW w:type="dxa" w:w="1440"/>
            <w:shd w:fill="FFDCE0" w:val="clear"/>
          </w:tcPr>
          <w:p>
            <w:r>
              <w:rPr>
                <w:sz w:val="17"/>
              </w:rPr>
              <w:t>18,072</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2 568,67 milliards FCFA, ce qui en fait l'une des plus importantes valeurs de la BRVM, représentant une part significative de la capitalisation totale du marché. Avec un BPA de 1 114 FCFA, chaque action génère un bénéfice substantiel, justifiant un PER de 15,3x. Ce ratio, bien que supérieur à la moyenne historique de la BRVM (8-12x), reflète la prime de qualité accordée à ce leader régional des télécommunications, les investisseurs acceptant de payer davantage pour sa croissance stable et sa position dominante. Le P/B de 3,63x confirme cette prime, le marché valorisant le titre bien au-dessus de sa valeur comptable, tandis que l'EV/EBITDA de 6,2x reste dans une zone raisonnable, indiquant que la valorisation globale de l'entreprise (dette incluse) demeure soutenable par rapport à sa capacité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ORAC a enregistré une progression totale de +12,13%, avec une dernière séance en légère hausse de +0,29%, clôturant à 17 050 FCFA. Le cours a évolué dans un range de 14 200 FCFA (plus bas) à 17 175 FCFA (plus haut), démontrant une tendance haussière soutenue. La moyenne (15 749 FCFA) et la médiane (15 752 FCFA) étant quasi identiques, la distribution des prix est remarquablement symétrique, confirmée par un skewness de 0,158. L'écart-type de 768 FCFA, avec un coefficient de variation de seulement 4,9%, indique une dispersion modérée des cours autour de la moyenne. Le kurtosis négatif de -1,166 (platykurtique) suggère l'absence de mouvements extrêmes ou de pics de volatilité brutaux, ce qui traduit un comportement de prix relativement lisse. La volatilité annualisée de 30,0% positionne le titre dans la catégorie élevée, reflétant une certaine nervosité du marché malgré une tendance de fond positive.</w:t>
      </w:r>
    </w:p>
    <w:p>
      <w:pPr>
        <w:spacing w:after="120" w:line="276" w:lineRule="auto" w:before="240"/>
      </w:pPr>
      <w:r>
        <w:rPr>
          <w:b/>
          <w:color w:val="003366"/>
          <w:sz w:val="24"/>
        </w:rPr>
        <w:t>**PARTIE 2 : ANALYSE TECHNIQUE DÉTAILLÉE**</w:t>
      </w:r>
    </w:p>
    <w:p>
      <w:pPr>
        <w:spacing w:after="120" w:line="276" w:lineRule="auto"/>
      </w:pPr>
      <w:r>
        <w:t>**Moyennes Mobiles** : Le cours actuel de 17 050 FCFA se situe nettement au-dessus de la MM20 (16 591 FCFA) et de la MM50 (16 392,8 FCFA), confirmant une dynamique haussière solide. L'écart positif entre le prix et les moyennes mobiles indique une forte pression acheteuse, justifiant la décision d'Achat. La configuration des MM, avec la MM20 au-dessus de la MM50, valide la tendance haussière de moyen terme.</w:t>
      </w:r>
    </w:p>
    <w:p>
      <w:pPr>
        <w:spacing w:after="120" w:line="276" w:lineRule="auto"/>
      </w:pPr>
      <w:r>
        <w:t>**Bandes de Bollinger** : Le prix évolue à proximité de la borne supérieure (17 487 FCFA) mais reste en dessous, avec la borne inférieure à 15 694 FCFA. Cette position suggère que le titre est en zone de surachat technique sans toutefois sortir des bandes, ce qui explique la décision Neutre. La largeur des bandes reflète une volatilité modérée, le marché attendant probablement une consolidation avant la poursuite du mouvement.</w:t>
      </w:r>
    </w:p>
    <w:p>
      <w:pPr>
        <w:spacing w:after="120" w:line="276" w:lineRule="auto"/>
      </w:pPr>
      <w:r>
        <w:t>**MACD** : La valeur du MACD (235,281) est supérieure à sa ligne de signal (192,792), indiquant un momentum haussier positif. L'écart positif entre les deux lignes, bien que non extrême, confirme la poursuite de la tendance haussière. La décision d'Achat est justifiée par cette configuration, le MACD restant au-dessus de zéro et la dynamique positive se maintenant.</w:t>
      </w:r>
    </w:p>
    <w:p>
      <w:pPr>
        <w:spacing w:after="120" w:line="276" w:lineRule="auto"/>
      </w:pPr>
      <w:r>
        <w:t>**RSI** : Avec une valeur de 87,5, le RSI est très largement au-dessus du seuil de surachat (70), signalant une pression acheteuse excessive. Cette situation indique que le titre est techniquement surchauffé et qu'un repli technique est probable à court terme. La décision de Vente est donc justifiée, les investisseurs pouvant être tentés de prendre leurs profits.</w:t>
      </w:r>
    </w:p>
    <w:p>
      <w:pPr>
        <w:spacing w:after="120" w:line="276" w:lineRule="auto"/>
      </w:pPr>
      <w:r>
        <w:t>**Stochastique** : Le %K (89,316) et le %D (91,474) sont tous deux en zone de surachat, avec le %D au-dessus du %K, indiquant un possible retournement baissier imminent. Cette configuration, où les deux lignes sont au-dessus de 80, renforce le signal de Vente, suggérant que le mouvement haussier pourrait s'essouffler à court terme.</w:t>
      </w:r>
    </w:p>
    <w:p>
      <w:pPr>
        <w:spacing w:after="120" w:line="276" w:lineRule="auto"/>
      </w:pPr>
      <w:r>
        <w:t>**Conclusion technique** : La convergence des indicateurs de momentum (RSI et Stochastique) en zone de surachat contraste avec la tendance haussière confirmée par les moyennes mobiles et le MACD. Cette divergence indique que, malgré une tendance de fond positive, le titre est techniquement surchauffé et pourrait connaître une consolidation à court terme. Les investisseurs devraient surveiller un éventuel repli vers les moyennes mobiles (16 400-16 600 FCFA) comme point d'entrée potentiel.</w:t>
      </w:r>
    </w:p>
    <w:p>
      <w:pPr>
        <w:spacing w:after="120" w:line="276" w:lineRule="auto" w:before="240"/>
      </w:pPr>
      <w:r>
        <w:rPr>
          <w:b/>
          <w:color w:val="003366"/>
          <w:sz w:val="24"/>
        </w:rPr>
        <w:t>**PARTIE 3 : ANALYSE FONDAMENTALE (SECTION CRITIQUE)**</w:t>
      </w:r>
    </w:p>
    <w:p>
      <w:pPr>
        <w:spacing w:after="120" w:line="276" w:lineRule="auto"/>
      </w:pPr>
      <w:r>
        <w:t>En 2025, Orange Côte d'Ivoire a réalisé un chiffre d'affaires consolidé de 1 197,1 milliards FCFA, en hausse de +10,4% par rapport à 2024 (1 084,1 milliards FCFA). Le résultat net consolidé s'établit à 167,8 milliards FCFA, en progression de +6,1%, tandis que le résultat net part du groupe atteint 129,1 milliards FCFA (+14,5%). La rentabilité reste solide avec un ROE de 23,7% (excellent, supérieur au seuil de 15%) et un ROA de 6,6%. La marge nette ressort à 14,0% et la marge opérationnelle à 24,0%. La structure financière montre une autonomie financière de 27,7% (légèrement en dessous du seuil de 30%), avec un ratio d'endettement de 47,5% et une capacité de remboursement de 0,99 an, indiquant une bonne santé financière. Le BFR négatif de -198 milliards FCFA est un signe très favorable, l'entreprise finançant son cycle d'exploitation par ses fournisseurs (délai fournisseurs de 210,9 jours contre 52,3 jours pour les clients). Sur la base du rapport T1 2026 (CA de 325,6 milliards FCFA, +14,8% et résultat net de 48,3 milliards FCFA, +25,2%), on estime que l'exercice 2026 devrait confirmer cette dynamique de croissance accélérée, avec un CA annuel potentiel dépassant 1 300 milliards FCFA et un résultat net supérieur à 190 milliards FCFA. Le dividende proposé de 800 FCFA brut par action pour 2025 offre un rendement de 4,7% au cours actuel, avec un taux de distribution de 93,3% du résultat net part du groupe. La solidité financière, la croissance soutenue et la politique de distribution généreuse confirment la recommandation d'ACHAT.</w:t>
      </w:r>
    </w:p>
    <w:p>
      <w:pPr>
        <w:spacing w:after="120" w:line="276" w:lineRule="auto" w:before="240"/>
      </w:pPr>
      <w:r>
        <w:rPr>
          <w:b/>
          <w:color w:val="003366"/>
          <w:sz w:val="24"/>
        </w:rPr>
        <w:t>**PARTIE 4 : CONCLUSION D'INVESTISSEMENT**</w:t>
      </w:r>
    </w:p>
    <w:p>
      <w:pPr>
        <w:spacing w:after="120" w:line="276" w:lineRule="auto"/>
      </w:pPr>
      <w:r>
        <w:t>La valorisation d'ORAC, avec un PER de 15,3x et un P/B de 3,63x, reflète une prime de qualité justifiée par la solidité des fondamentaux, bien que le titre ne soit pas techniquement bon marché. Le comportement du cours sur 100 jours (+12,13%) montre une tendance haussière saine, avec une distribution symétrique et une volatilité élevée mais maîtrisée. Les signaux techniques sont mitigés : la tendance de fond reste positive (MM, MACD) mais les indicateurs de momentum (RSI à 87,5, Stochastique en surachat) suggèrent un repli technique probable à court terme. Les fondamentaux sont excellents : croissance du CA de +10,4% en 2025, ROE de 23,7%, BFR négatif favorable et perspectives T1 2026 très prometteuses (+14,8% de CA, +25,2% de résultat net). Les prédictions IA (17 050 à 16 853 FCFA sur 10 jours) confirment une légère consolidation, cohérente avec les signaux de surachat technique. La convergence entre fondamentaux solides et prédiction de consolidation modérée justifie une recommandation **ACHAT** avec un niveau de confiance **Élevé** et un risque global **Moyen**. L'horizon d'investissement optimal est le **moyen terme (3-12 mois)**, en profitant d'un éventuel repli technique vers 16 400-16 600 FCFA pour renforcer les positions.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215.88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6,698 titres</w:t>
            </w:r>
          </w:p>
        </w:tc>
        <w:tc>
          <w:tcPr>
            <w:tcW w:type="dxa" w:w="2268"/>
            <w:shd w:fill="FFF2CC" w:val="clear"/>
          </w:tcPr>
          <w:p>
            <w:r>
              <w:rPr>
                <w:b/>
                <w:color w:val="503200"/>
                <w:sz w:val="16"/>
              </w:rPr>
              <w:t xml:space="preserve">Cours actuel : </w:t>
            </w:r>
            <w:r>
              <w:rPr>
                <w:color w:val="000000"/>
                <w:sz w:val="17"/>
              </w:rPr>
              <w:t>3,110 FCFA</w:t>
            </w:r>
          </w:p>
          <w:p>
            <w:r>
              <w:rPr>
                <w:b/>
                <w:color w:val="503200"/>
                <w:sz w:val="16"/>
              </w:rPr>
              <w:t xml:space="preserve">Var. 100 jours : </w:t>
            </w:r>
            <w:r>
              <w:rPr>
                <w:b/>
                <w:color w:val="B40000"/>
                <w:sz w:val="17"/>
              </w:rPr>
              <w:t>-22.15%</w:t>
            </w:r>
          </w:p>
          <w:p>
            <w:r>
              <w:rPr>
                <w:b/>
                <w:color w:val="503200"/>
                <w:sz w:val="16"/>
              </w:rPr>
              <w:t xml:space="preserve">Plus haut 100j : </w:t>
            </w:r>
            <w:r>
              <w:rPr>
                <w:color w:val="000000"/>
                <w:sz w:val="17"/>
              </w:rPr>
              <w:t>3,995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13.51% (Moyenne) — μ=3,011 FCFA, σ=407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β=0.2016 (Défensif) — Cov=0.000007, Var(idx)=0.000036, ρ=0.043,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6,698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σ_j=2.88%/j (Stable) — Vol. annualisée≈45.7%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2026-08-12</w:t>
            </w:r>
          </w:p>
        </w:tc>
        <w:tc>
          <w:tcPr>
            <w:tcW w:type="dxa" w:w="1440"/>
            <w:shd w:fill="FAFAFA" w:val="clear"/>
          </w:tcPr>
          <w:p>
            <w:r>
              <w:rPr>
                <w:sz w:val="17"/>
              </w:rPr>
              <w:t>3,010</w:t>
            </w:r>
          </w:p>
        </w:tc>
        <w:tc>
          <w:tcPr>
            <w:tcW w:type="dxa" w:w="1440"/>
            <w:shd w:fill="FAFAFA" w:val="clear"/>
          </w:tcPr>
          <w:p>
            <w:r>
              <w:rPr>
                <w:b/>
                <w:sz w:val="17"/>
              </w:rPr>
              <w:t>3,102</w:t>
            </w:r>
          </w:p>
        </w:tc>
        <w:tc>
          <w:tcPr>
            <w:tcW w:type="dxa" w:w="1440"/>
            <w:shd w:fill="FAFAFA" w:val="clear"/>
          </w:tcPr>
          <w:p>
            <w:r>
              <w:rPr>
                <w:sz w:val="17"/>
              </w:rPr>
              <w:t>3,194</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2026-08-13</w:t>
            </w:r>
          </w:p>
        </w:tc>
        <w:tc>
          <w:tcPr>
            <w:tcW w:type="dxa" w:w="1440"/>
            <w:shd w:fill="FAFAFA" w:val="clear"/>
          </w:tcPr>
          <w:p>
            <w:r>
              <w:rPr>
                <w:sz w:val="17"/>
              </w:rPr>
              <w:t>2,968</w:t>
            </w:r>
          </w:p>
        </w:tc>
        <w:tc>
          <w:tcPr>
            <w:tcW w:type="dxa" w:w="1440"/>
            <w:shd w:fill="FAFAFA" w:val="clear"/>
          </w:tcPr>
          <w:p>
            <w:r>
              <w:rPr>
                <w:b/>
                <w:sz w:val="17"/>
              </w:rPr>
              <w:t>3,098</w:t>
            </w:r>
          </w:p>
        </w:tc>
        <w:tc>
          <w:tcPr>
            <w:tcW w:type="dxa" w:w="1440"/>
            <w:shd w:fill="FAFAFA" w:val="clear"/>
          </w:tcPr>
          <w:p>
            <w:r>
              <w:rPr>
                <w:sz w:val="17"/>
              </w:rPr>
              <w:t>3,229</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2026-08-14</w:t>
            </w:r>
          </w:p>
        </w:tc>
        <w:tc>
          <w:tcPr>
            <w:tcW w:type="dxa" w:w="1440"/>
            <w:shd w:fill="FAFAFA" w:val="clear"/>
          </w:tcPr>
          <w:p>
            <w:r>
              <w:rPr>
                <w:sz w:val="17"/>
              </w:rPr>
              <w:t>2,935</w:t>
            </w:r>
          </w:p>
        </w:tc>
        <w:tc>
          <w:tcPr>
            <w:tcW w:type="dxa" w:w="1440"/>
            <w:shd w:fill="FAFAFA" w:val="clear"/>
          </w:tcPr>
          <w:p>
            <w:r>
              <w:rPr>
                <w:b/>
                <w:sz w:val="17"/>
              </w:rPr>
              <w:t>3,095</w:t>
            </w:r>
          </w:p>
        </w:tc>
        <w:tc>
          <w:tcPr>
            <w:tcW w:type="dxa" w:w="1440"/>
            <w:shd w:fill="FAFAFA" w:val="clear"/>
          </w:tcPr>
          <w:p>
            <w:r>
              <w:rPr>
                <w:sz w:val="17"/>
              </w:rPr>
              <w:t>3,255</w:t>
            </w:r>
          </w:p>
        </w:tc>
        <w:tc>
          <w:tcPr>
            <w:tcW w:type="dxa" w:w="1440"/>
            <w:shd w:fill="FAFAFA" w:val="clear"/>
          </w:tcPr>
          <w:p>
            <w:r>
              <w:rPr>
                <w:b/>
                <w:color w:val="C00000"/>
                <w:sz w:val="17"/>
              </w:rPr>
              <w:t>-0.5%</w:t>
            </w:r>
          </w:p>
        </w:tc>
      </w:tr>
      <w:tr>
        <w:tc>
          <w:tcPr>
            <w:tcW w:type="dxa" w:w="1440"/>
            <w:shd w:fill="FAFAFA" w:val="clear"/>
          </w:tcPr>
          <w:p>
            <w:r>
              <w:rPr>
                <w:sz w:val="17"/>
              </w:rPr>
              <w:t>J+4  Moyenne</w:t>
            </w:r>
          </w:p>
        </w:tc>
        <w:tc>
          <w:tcPr>
            <w:tcW w:type="dxa" w:w="1440"/>
            <w:shd w:fill="FAFAFA" w:val="clear"/>
          </w:tcPr>
          <w:p>
            <w:r>
              <w:rPr>
                <w:sz w:val="17"/>
              </w:rPr>
              <w:t>2026-08-17</w:t>
            </w:r>
          </w:p>
        </w:tc>
        <w:tc>
          <w:tcPr>
            <w:tcW w:type="dxa" w:w="1440"/>
            <w:shd w:fill="FAFAFA" w:val="clear"/>
          </w:tcPr>
          <w:p>
            <w:r>
              <w:rPr>
                <w:sz w:val="17"/>
              </w:rPr>
              <w:t>2,908</w:t>
            </w:r>
          </w:p>
        </w:tc>
        <w:tc>
          <w:tcPr>
            <w:tcW w:type="dxa" w:w="1440"/>
            <w:shd w:fill="FAFAFA" w:val="clear"/>
          </w:tcPr>
          <w:p>
            <w:r>
              <w:rPr>
                <w:b/>
                <w:sz w:val="17"/>
              </w:rPr>
              <w:t>3,092</w:t>
            </w:r>
          </w:p>
        </w:tc>
        <w:tc>
          <w:tcPr>
            <w:tcW w:type="dxa" w:w="1440"/>
            <w:shd w:fill="FAFAFA" w:val="clear"/>
          </w:tcPr>
          <w:p>
            <w:r>
              <w:rPr>
                <w:sz w:val="17"/>
              </w:rPr>
              <w:t>3,276</w:t>
            </w:r>
          </w:p>
        </w:tc>
        <w:tc>
          <w:tcPr>
            <w:tcW w:type="dxa" w:w="1440"/>
            <w:shd w:fill="FAFAFA" w:val="clear"/>
          </w:tcPr>
          <w:p>
            <w:r>
              <w:rPr>
                <w:b/>
                <w:color w:val="C00000"/>
                <w:sz w:val="17"/>
              </w:rPr>
              <w:t>-0.6%</w:t>
            </w:r>
          </w:p>
        </w:tc>
      </w:tr>
      <w:tr>
        <w:tc>
          <w:tcPr>
            <w:tcW w:type="dxa" w:w="1440"/>
            <w:shd w:fill="FAFAFA" w:val="clear"/>
          </w:tcPr>
          <w:p>
            <w:r>
              <w:rPr>
                <w:sz w:val="17"/>
              </w:rPr>
              <w:t>J+5  Moyenne</w:t>
            </w:r>
          </w:p>
        </w:tc>
        <w:tc>
          <w:tcPr>
            <w:tcW w:type="dxa" w:w="1440"/>
            <w:shd w:fill="FAFAFA" w:val="clear"/>
          </w:tcPr>
          <w:p>
            <w:r>
              <w:rPr>
                <w:sz w:val="17"/>
              </w:rPr>
              <w:t>2026-08-18</w:t>
            </w:r>
          </w:p>
        </w:tc>
        <w:tc>
          <w:tcPr>
            <w:tcW w:type="dxa" w:w="1440"/>
            <w:shd w:fill="FAFAFA" w:val="clear"/>
          </w:tcPr>
          <w:p>
            <w:r>
              <w:rPr>
                <w:sz w:val="17"/>
              </w:rPr>
              <w:t>2,884</w:t>
            </w:r>
          </w:p>
        </w:tc>
        <w:tc>
          <w:tcPr>
            <w:tcW w:type="dxa" w:w="1440"/>
            <w:shd w:fill="FAFAFA" w:val="clear"/>
          </w:tcPr>
          <w:p>
            <w:r>
              <w:rPr>
                <w:b/>
                <w:sz w:val="17"/>
              </w:rPr>
              <w:t>3,090</w:t>
            </w:r>
          </w:p>
        </w:tc>
        <w:tc>
          <w:tcPr>
            <w:tcW w:type="dxa" w:w="1440"/>
            <w:shd w:fill="FAFAFA" w:val="clear"/>
          </w:tcPr>
          <w:p>
            <w:r>
              <w:rPr>
                <w:sz w:val="17"/>
              </w:rPr>
              <w:t>3,295</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2026-08-19</w:t>
            </w:r>
          </w:p>
        </w:tc>
        <w:tc>
          <w:tcPr>
            <w:tcW w:type="dxa" w:w="1440"/>
            <w:shd w:fill="FAFAFA" w:val="clear"/>
          </w:tcPr>
          <w:p>
            <w:r>
              <w:rPr>
                <w:sz w:val="17"/>
              </w:rPr>
              <w:t>2,862</w:t>
            </w:r>
          </w:p>
        </w:tc>
        <w:tc>
          <w:tcPr>
            <w:tcW w:type="dxa" w:w="1440"/>
            <w:shd w:fill="FAFAFA" w:val="clear"/>
          </w:tcPr>
          <w:p>
            <w:r>
              <w:rPr>
                <w:b/>
                <w:sz w:val="17"/>
              </w:rPr>
              <w:t>3,087</w:t>
            </w:r>
          </w:p>
        </w:tc>
        <w:tc>
          <w:tcPr>
            <w:tcW w:type="dxa" w:w="1440"/>
            <w:shd w:fill="FAFAFA" w:val="clear"/>
          </w:tcPr>
          <w:p>
            <w:r>
              <w:rPr>
                <w:sz w:val="17"/>
              </w:rPr>
              <w:t>3,312</w:t>
            </w:r>
          </w:p>
        </w:tc>
        <w:tc>
          <w:tcPr>
            <w:tcW w:type="dxa" w:w="1440"/>
            <w:shd w:fill="FAFAFA" w:val="clear"/>
          </w:tcPr>
          <w:p>
            <w:r>
              <w:rPr>
                <w:b/>
                <w:color w:val="C00000"/>
                <w:sz w:val="17"/>
              </w:rPr>
              <w:t>-0.7%</w:t>
            </w:r>
          </w:p>
        </w:tc>
      </w:tr>
      <w:tr>
        <w:tc>
          <w:tcPr>
            <w:tcW w:type="dxa" w:w="1440"/>
            <w:shd w:fill="FAFAFA" w:val="clear"/>
          </w:tcPr>
          <w:p>
            <w:r>
              <w:rPr>
                <w:sz w:val="17"/>
              </w:rPr>
              <w:t>J+7  Moyenne</w:t>
            </w:r>
          </w:p>
        </w:tc>
        <w:tc>
          <w:tcPr>
            <w:tcW w:type="dxa" w:w="1440"/>
            <w:shd w:fill="FAFAFA" w:val="clear"/>
          </w:tcPr>
          <w:p>
            <w:r>
              <w:rPr>
                <w:sz w:val="17"/>
              </w:rPr>
              <w:t>2026-08-20</w:t>
            </w:r>
          </w:p>
        </w:tc>
        <w:tc>
          <w:tcPr>
            <w:tcW w:type="dxa" w:w="1440"/>
            <w:shd w:fill="FAFAFA" w:val="clear"/>
          </w:tcPr>
          <w:p>
            <w:r>
              <w:rPr>
                <w:sz w:val="17"/>
              </w:rPr>
              <w:t>2,841</w:t>
            </w:r>
          </w:p>
        </w:tc>
        <w:tc>
          <w:tcPr>
            <w:tcW w:type="dxa" w:w="1440"/>
            <w:shd w:fill="FAFAFA" w:val="clear"/>
          </w:tcPr>
          <w:p>
            <w:r>
              <w:rPr>
                <w:b/>
                <w:sz w:val="17"/>
              </w:rPr>
              <w:t>3,084</w:t>
            </w:r>
          </w:p>
        </w:tc>
        <w:tc>
          <w:tcPr>
            <w:tcW w:type="dxa" w:w="1440"/>
            <w:shd w:fill="FAFAFA" w:val="clear"/>
          </w:tcPr>
          <w:p>
            <w:r>
              <w:rPr>
                <w:sz w:val="17"/>
              </w:rPr>
              <w:t>3,327</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2026-08-21</w:t>
            </w:r>
          </w:p>
        </w:tc>
        <w:tc>
          <w:tcPr>
            <w:tcW w:type="dxa" w:w="1440"/>
            <w:shd w:fill="FAFAFA" w:val="clear"/>
          </w:tcPr>
          <w:p>
            <w:r>
              <w:rPr>
                <w:sz w:val="17"/>
              </w:rPr>
              <w:t>2,822</w:t>
            </w:r>
          </w:p>
        </w:tc>
        <w:tc>
          <w:tcPr>
            <w:tcW w:type="dxa" w:w="1440"/>
            <w:shd w:fill="FAFAFA" w:val="clear"/>
          </w:tcPr>
          <w:p>
            <w:r>
              <w:rPr>
                <w:b/>
                <w:sz w:val="17"/>
              </w:rPr>
              <w:t>3,082</w:t>
            </w:r>
          </w:p>
        </w:tc>
        <w:tc>
          <w:tcPr>
            <w:tcW w:type="dxa" w:w="1440"/>
            <w:shd w:fill="FAFAFA" w:val="clear"/>
          </w:tcPr>
          <w:p>
            <w:r>
              <w:rPr>
                <w:sz w:val="17"/>
              </w:rPr>
              <w:t>3,341</w:t>
            </w:r>
          </w:p>
        </w:tc>
        <w:tc>
          <w:tcPr>
            <w:tcW w:type="dxa" w:w="1440"/>
            <w:shd w:fill="FAFAFA" w:val="clear"/>
          </w:tcPr>
          <w:p>
            <w:r>
              <w:rPr>
                <w:b/>
                <w:color w:val="C00000"/>
                <w:sz w:val="17"/>
              </w:rPr>
              <w:t>-0.9%</w:t>
            </w:r>
          </w:p>
        </w:tc>
      </w:tr>
      <w:tr>
        <w:tc>
          <w:tcPr>
            <w:tcW w:type="dxa" w:w="1440"/>
            <w:shd w:fill="FAFAFA" w:val="clear"/>
          </w:tcPr>
          <w:p>
            <w:r>
              <w:rPr>
                <w:sz w:val="17"/>
              </w:rPr>
              <w:t>J+9  Moyenne</w:t>
            </w:r>
          </w:p>
        </w:tc>
        <w:tc>
          <w:tcPr>
            <w:tcW w:type="dxa" w:w="1440"/>
            <w:shd w:fill="FAFAFA" w:val="clear"/>
          </w:tcPr>
          <w:p>
            <w:r>
              <w:rPr>
                <w:sz w:val="17"/>
              </w:rPr>
              <w:t>2026-08-24</w:t>
            </w:r>
          </w:p>
        </w:tc>
        <w:tc>
          <w:tcPr>
            <w:tcW w:type="dxa" w:w="1440"/>
            <w:shd w:fill="FAFAFA" w:val="clear"/>
          </w:tcPr>
          <w:p>
            <w:r>
              <w:rPr>
                <w:sz w:val="17"/>
              </w:rPr>
              <w:t>2,804</w:t>
            </w:r>
          </w:p>
        </w:tc>
        <w:tc>
          <w:tcPr>
            <w:tcW w:type="dxa" w:w="1440"/>
            <w:shd w:fill="FAFAFA" w:val="clear"/>
          </w:tcPr>
          <w:p>
            <w:r>
              <w:rPr>
                <w:b/>
                <w:sz w:val="17"/>
              </w:rPr>
              <w:t>3,079</w:t>
            </w:r>
          </w:p>
        </w:tc>
        <w:tc>
          <w:tcPr>
            <w:tcW w:type="dxa" w:w="1440"/>
            <w:shd w:fill="FAFAFA" w:val="clear"/>
          </w:tcPr>
          <w:p>
            <w:r>
              <w:rPr>
                <w:sz w:val="17"/>
              </w:rPr>
              <w:t>3,354</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2026-08-25</w:t>
            </w:r>
          </w:p>
        </w:tc>
        <w:tc>
          <w:tcPr>
            <w:tcW w:type="dxa" w:w="1440"/>
            <w:shd w:fill="FAFAFA" w:val="clear"/>
          </w:tcPr>
          <w:p>
            <w:r>
              <w:rPr>
                <w:sz w:val="17"/>
              </w:rPr>
              <w:t>2,787</w:t>
            </w:r>
          </w:p>
        </w:tc>
        <w:tc>
          <w:tcPr>
            <w:tcW w:type="dxa" w:w="1440"/>
            <w:shd w:fill="FAFAFA" w:val="clear"/>
          </w:tcPr>
          <w:p>
            <w:r>
              <w:rPr>
                <w:b/>
                <w:sz w:val="17"/>
              </w:rPr>
              <w:t>3,077</w:t>
            </w:r>
          </w:p>
        </w:tc>
        <w:tc>
          <w:tcPr>
            <w:tcW w:type="dxa" w:w="1440"/>
            <w:shd w:fill="FAFAFA" w:val="clear"/>
          </w:tcPr>
          <w:p>
            <w:r>
              <w:rPr>
                <w:sz w:val="17"/>
              </w:rPr>
              <w:t>3,367</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**Date : 11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215,88 milliards FCFA, un niveau significatif qui la positionne parmi les valeurs moyennes à grandes capitalisations de la BRVM. Le BPA de 312 FCFA indique que chaque action génère un bénéfice substantiel. Avec un PER de 10,0x, le titre se situe dans la fourchette basse de la moyenne BRVM (8-12x), suggérant une sous-évaluation relative par rapport à ses bénéfices. Le P/B de 1,91x montre que le marché valorise la société à près du double de sa valeur comptable, ce qui est raisonnable pour une banque rentable. Cependant, l'EV/EBITDA de 19,9x est nettement supérieur au seuil exigeant de 15x, indiquant que la valeur d'entreprise est élevée par rapport à sa capacité opérationnelle, ce qui tempère l'attrait de la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ORGT a enregistré une baisse significative de -22,15%, avec un cours actuel de 3 110 FCFA, tandis que la dernière séance est restée stable (+0,00%). Le titre a évolué dans une fourchette large de 1 560 FCFA, entre un plus bas de 2 435 FCFA et un plus haut de 3 995 FCFA, démontrant une forte amplitude de trading. La moyenne de 3 011 FCFA est supérieure à la médiane de 2 780 FCFA, et le mode de 2 680 FCFA indique une asymétrie positive (skewness de 0,653), signifiant que le cours a passé plus de journées sous la moyenne. L'écart-type de 409 FCFA (CV de 13,6%) révèle une dispersion modérée, tandis que le kurtosis de -0,955 (mésokurtique) suggère une distribution proche de la normale, sans risque de pics extrêmes. La volatilité annualisée de 45,7% est élevée, positionnant ORGT comme un titre à risque important sur le marché.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3 110 FCFA est nettement supérieur aux MM20 (2 875,5 FCFA) et MM50 (2 783,9 FCFA), avec un écart de plus de 300 FCFA. Cette configuration haussière confirme une dynamique positive à court et moyen terme, justifiant la décision d'achat.</w:t>
      </w:r>
    </w:p>
    <w:p>
      <w:pPr>
        <w:spacing w:after="120" w:line="276" w:lineRule="auto"/>
      </w:pPr>
      <w:r>
        <w:t>**Bandes de Bollinger** : Le prix se situe à 3 110 FCFA, proche de la borne supérieure de 3 295,21 FCFA et bien au-dessus de la borne inférieure de 2 455,79 FCFA. Cette position indique une volatilité en expansion et un mouvement haussier soutenu, mais la proximité de la borne supérieure suggère une possible consolidation, d'où la décision neutre.</w:t>
      </w:r>
    </w:p>
    <w:p>
      <w:pPr>
        <w:spacing w:after="120" w:line="276" w:lineRule="auto"/>
      </w:pPr>
      <w:r>
        <w:t>**MACD** : La valeur de 113,436 est nettement supérieure au signal de 82,119, montrant un momentum haussier fort et une divergence positive. Cette configuration indique une dynamique d'achat soutenue, justifiant la décision d'achat.</w:t>
      </w:r>
    </w:p>
    <w:p>
      <w:pPr>
        <w:spacing w:after="120" w:line="276" w:lineRule="auto"/>
      </w:pPr>
      <w:r>
        <w:t>**RSI** : À 84,211, le RSI est très largement au-dessus du seuil de surachat de 70, signalant une condition de surachat extrême. Cette situation suggère un risque élevé de correction technique, justifiant la décision de vente.</w:t>
      </w:r>
    </w:p>
    <w:p>
      <w:pPr>
        <w:spacing w:after="120" w:line="276" w:lineRule="auto"/>
      </w:pPr>
      <w:r>
        <w:t>**Stochastique** : Le %K à 91,489 et le %D à 92,553 sont tous deux dans la zone de surachat, avec un %K légèrement inférieur au %D, indiquant un début de croisement baissier potentiel. Cette configuration justifie la décision de vente.</w:t>
      </w:r>
    </w:p>
    <w:p>
      <w:pPr>
        <w:spacing w:after="120" w:line="276" w:lineRule="auto"/>
      </w:pPr>
      <w:r>
        <w:t>**Conclusion technique** : Les indicateurs de tendance (MM, MACD) sont haussiers, mais les oscillateurs (RSI, Stochastique) signalent un surachat extrême. Cette divergence suggère que le mouvement haussier pourrait être à bout de souffle à court terme, avec un risque de correction technique avant une éventuelle poursuite de la tendance.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montrent que le PNB d'ORGT s'établit à 186,609 milliards FCFA, en baisse de -4,5% par rapport à 2024, tandis que le résultat net atteint 21,643 milliards FCFA, contre une perte de -44,363 milliards en 2024. Le ROE est excellent à 19,13%, mais le ROA reste faible à 0,54%. Le coefficient d'exploitation de 42,85% est remarquable, indiquant une banque très efficace. Le coût du risque de 3,74% reste élevé, mais a été massivement réduit par rapport à 2024. Les dépôts clientèle (3 088,698 milliards) couvrent largement les créances clientèle (1 523,765 milliards), montrant une transformation saine. Les rapports trimestriels 2025 confirment cette trajectoire : le S1 2025 (certifié) montre un bénéfice de 18,3 milliards FCFA, et le T3 2025 un résultat de 19,6 milliards FCFA. Sur la base du rapport T1 2026 (résultat net de 6,555 milliards FCFA, +37%), on estime que l'exercice 2026 pourrait dépasser les 25 milliards FCFA de bénéfice net, avec une poursuite de la maîtrise des coûts et du risque. Le rapport annuel 2025 (analysé le 04/05/2026) recommande de conserver le titre, soulignant le redressement spectaculaire mais la baisse persistante du PNB.</w:t>
      </w:r>
    </w:p>
    <w:p>
      <w:pPr>
        <w:spacing w:after="120" w:line="276" w:lineRule="auto"/>
      </w:pPr>
      <w:r>
        <w:t>---</w:t>
      </w:r>
    </w:p>
    <w:p>
      <w:pPr>
        <w:spacing w:after="120" w:line="276" w:lineRule="auto"/>
      </w:pPr>
      <w:r>
        <w:t>### PARTIE 4 : CONCLUSION D'INVESTISSEMENT</w:t>
      </w:r>
    </w:p>
    <w:p>
      <w:pPr>
        <w:spacing w:after="120" w:line="276" w:lineRule="auto"/>
      </w:pPr>
      <w:r>
        <w:t>La valorisation d'ORGT est mitigée : le PER de 10,0x est attractif, mais l'EV/EBITDA de 19,9x est exigeant. Le comportement du cours montre une tendance baissière de -22,15% sur 100 jours, avec une volatilité élevée de 45,7% et une asymétrie positive indiquant des journées majoritairement sous la moyenne. Les signaux techniques sont contradictoires : les MM et le MACD sont haussiers, mais le RSI à 84,2 et le Stochastique à 91,5 signalent un surachat extrême, suggérant un risque de correction. Les fondamentaux sont solides avec un redressement spectaculaire en 2025 (ROE de 19,13%, coefficient d'exploitation de 42,85%), mais la baisse du PNB reste préoccupante. Les prédictions IA (3 102 à 3 090 FCFA sur 10 jours) confirment une légère consolidation baissière. La convergence entre la valorisation raisonnable, les fondamentaux en amélioration et les signaux techniques de surachat suggère une recommandation **CONSERVER** avec un niveau de confiance **Moyen**. Le risque global est **Élevé** en raison de la volatilité et du surachat technique. L'horizon d'investissement optimal est le **moyen terme (3-12 mois)**, en attendant une correction technique pour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138.82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3,674 titres</w:t>
            </w:r>
          </w:p>
        </w:tc>
        <w:tc>
          <w:tcPr>
            <w:tcW w:type="dxa" w:w="2268"/>
            <w:shd w:fill="FFF2CC" w:val="clear"/>
          </w:tcPr>
          <w:p>
            <w:r>
              <w:rPr>
                <w:b/>
                <w:color w:val="503200"/>
                <w:sz w:val="16"/>
              </w:rPr>
              <w:t xml:space="preserve">Cours actuel : </w:t>
            </w:r>
            <w:r>
              <w:rPr>
                <w:color w:val="000000"/>
                <w:sz w:val="17"/>
              </w:rPr>
              <w:t>8,980 FCFA</w:t>
            </w:r>
          </w:p>
          <w:p>
            <w:r>
              <w:rPr>
                <w:b/>
                <w:color w:val="503200"/>
                <w:sz w:val="16"/>
              </w:rPr>
              <w:t xml:space="preserve">Var. 100 jours : </w:t>
            </w:r>
            <w:r>
              <w:rPr>
                <w:b/>
                <w:color w:val="B40000"/>
                <w:sz w:val="17"/>
              </w:rPr>
              <w:t>-5.47%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6.12% (Moyenne) — μ=8,406 FCFA, σ=515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β=-0.0978 (Contre-cyclique) — Cov=-0.000004, Var(idx)=0.000036, ρ=-0.023,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2026-08-12</w:t>
            </w:r>
          </w:p>
        </w:tc>
        <w:tc>
          <w:tcPr>
            <w:tcW w:type="dxa" w:w="1440"/>
            <w:shd w:fill="FAFAFA" w:val="clear"/>
          </w:tcPr>
          <w:p>
            <w:r>
              <w:rPr>
                <w:sz w:val="17"/>
              </w:rPr>
              <w:t>8,822</w:t>
            </w:r>
          </w:p>
        </w:tc>
        <w:tc>
          <w:tcPr>
            <w:tcW w:type="dxa" w:w="1440"/>
            <w:shd w:fill="FAFAFA" w:val="clear"/>
          </w:tcPr>
          <w:p>
            <w:r>
              <w:rPr>
                <w:b/>
                <w:sz w:val="17"/>
              </w:rPr>
              <w:t>9,066</w:t>
            </w:r>
          </w:p>
        </w:tc>
        <w:tc>
          <w:tcPr>
            <w:tcW w:type="dxa" w:w="1440"/>
            <w:shd w:fill="FAFAFA" w:val="clear"/>
          </w:tcPr>
          <w:p>
            <w:r>
              <w:rPr>
                <w:sz w:val="17"/>
              </w:rPr>
              <w:t>9,310</w:t>
            </w:r>
          </w:p>
        </w:tc>
        <w:tc>
          <w:tcPr>
            <w:tcW w:type="dxa" w:w="1440"/>
            <w:shd w:fill="FAFAFA" w:val="clear"/>
          </w:tcPr>
          <w:p>
            <w:r>
              <w:rPr>
                <w:b/>
                <w:color w:val="008000"/>
                <w:sz w:val="17"/>
              </w:rPr>
              <w:t>+1.0%</w:t>
            </w:r>
          </w:p>
        </w:tc>
      </w:tr>
      <w:tr>
        <w:tc>
          <w:tcPr>
            <w:tcW w:type="dxa" w:w="1440"/>
            <w:shd w:fill="FAFAFA" w:val="clear"/>
          </w:tcPr>
          <w:p>
            <w:r>
              <w:rPr>
                <w:sz w:val="17"/>
              </w:rPr>
              <w:t>J+2  ⭐⭐⭐</w:t>
            </w:r>
          </w:p>
        </w:tc>
        <w:tc>
          <w:tcPr>
            <w:tcW w:type="dxa" w:w="1440"/>
            <w:shd w:fill="FAFAFA" w:val="clear"/>
          </w:tcPr>
          <w:p>
            <w:r>
              <w:rPr>
                <w:sz w:val="17"/>
              </w:rPr>
              <w:t>2026-08-13</w:t>
            </w:r>
          </w:p>
        </w:tc>
        <w:tc>
          <w:tcPr>
            <w:tcW w:type="dxa" w:w="1440"/>
            <w:shd w:fill="FAFAFA" w:val="clear"/>
          </w:tcPr>
          <w:p>
            <w:r>
              <w:rPr>
                <w:sz w:val="17"/>
              </w:rPr>
              <w:t>8,739</w:t>
            </w:r>
          </w:p>
        </w:tc>
        <w:tc>
          <w:tcPr>
            <w:tcW w:type="dxa" w:w="1440"/>
            <w:shd w:fill="FAFAFA" w:val="clear"/>
          </w:tcPr>
          <w:p>
            <w:r>
              <w:rPr>
                <w:b/>
                <w:sz w:val="17"/>
              </w:rPr>
              <w:t>9,085</w:t>
            </w:r>
          </w:p>
        </w:tc>
        <w:tc>
          <w:tcPr>
            <w:tcW w:type="dxa" w:w="1440"/>
            <w:shd w:fill="FAFAFA" w:val="clear"/>
          </w:tcPr>
          <w:p>
            <w:r>
              <w:rPr>
                <w:sz w:val="17"/>
              </w:rPr>
              <w:t>9,432</w:t>
            </w:r>
          </w:p>
        </w:tc>
        <w:tc>
          <w:tcPr>
            <w:tcW w:type="dxa" w:w="1440"/>
            <w:shd w:fill="FAFAFA" w:val="clear"/>
          </w:tcPr>
          <w:p>
            <w:r>
              <w:rPr>
                <w:b/>
                <w:color w:val="008000"/>
                <w:sz w:val="17"/>
              </w:rPr>
              <w:t>+1.2%</w:t>
            </w:r>
          </w:p>
        </w:tc>
      </w:tr>
      <w:tr>
        <w:tc>
          <w:tcPr>
            <w:tcW w:type="dxa" w:w="1440"/>
            <w:shd w:fill="FAFAFA" w:val="clear"/>
          </w:tcPr>
          <w:p>
            <w:r>
              <w:rPr>
                <w:sz w:val="17"/>
              </w:rPr>
              <w:t>J+3  ⭐⭐⭐</w:t>
            </w:r>
          </w:p>
        </w:tc>
        <w:tc>
          <w:tcPr>
            <w:tcW w:type="dxa" w:w="1440"/>
            <w:shd w:fill="FAFAFA" w:val="clear"/>
          </w:tcPr>
          <w:p>
            <w:r>
              <w:rPr>
                <w:sz w:val="17"/>
              </w:rPr>
              <w:t>2026-08-14</w:t>
            </w:r>
          </w:p>
        </w:tc>
        <w:tc>
          <w:tcPr>
            <w:tcW w:type="dxa" w:w="1440"/>
            <w:shd w:fill="FAFAFA" w:val="clear"/>
          </w:tcPr>
          <w:p>
            <w:r>
              <w:rPr>
                <w:sz w:val="17"/>
              </w:rPr>
              <w:t>8,686</w:t>
            </w:r>
          </w:p>
        </w:tc>
        <w:tc>
          <w:tcPr>
            <w:tcW w:type="dxa" w:w="1440"/>
            <w:shd w:fill="FAFAFA" w:val="clear"/>
          </w:tcPr>
          <w:p>
            <w:r>
              <w:rPr>
                <w:b/>
                <w:sz w:val="17"/>
              </w:rPr>
              <w:t>9,112</w:t>
            </w:r>
          </w:p>
        </w:tc>
        <w:tc>
          <w:tcPr>
            <w:tcW w:type="dxa" w:w="1440"/>
            <w:shd w:fill="FAFAFA" w:val="clear"/>
          </w:tcPr>
          <w:p>
            <w:r>
              <w:rPr>
                <w:sz w:val="17"/>
              </w:rPr>
              <w:t>9,537</w:t>
            </w:r>
          </w:p>
        </w:tc>
        <w:tc>
          <w:tcPr>
            <w:tcW w:type="dxa" w:w="1440"/>
            <w:shd w:fill="FAFAFA" w:val="clear"/>
          </w:tcPr>
          <w:p>
            <w:r>
              <w:rPr>
                <w:b/>
                <w:color w:val="008000"/>
                <w:sz w:val="17"/>
              </w:rPr>
              <w:t>+1.5%</w:t>
            </w:r>
          </w:p>
        </w:tc>
      </w:tr>
      <w:tr>
        <w:tc>
          <w:tcPr>
            <w:tcW w:type="dxa" w:w="1440"/>
            <w:shd w:fill="FAFAFA" w:val="clear"/>
          </w:tcPr>
          <w:p>
            <w:r>
              <w:rPr>
                <w:sz w:val="17"/>
              </w:rPr>
              <w:t>J+4  Moyenne</w:t>
            </w:r>
          </w:p>
        </w:tc>
        <w:tc>
          <w:tcPr>
            <w:tcW w:type="dxa" w:w="1440"/>
            <w:shd w:fill="FAFAFA" w:val="clear"/>
          </w:tcPr>
          <w:p>
            <w:r>
              <w:rPr>
                <w:sz w:val="17"/>
              </w:rPr>
              <w:t>2026-08-17</w:t>
            </w:r>
          </w:p>
        </w:tc>
        <w:tc>
          <w:tcPr>
            <w:tcW w:type="dxa" w:w="1440"/>
            <w:shd w:fill="FAFAFA" w:val="clear"/>
          </w:tcPr>
          <w:p>
            <w:r>
              <w:rPr>
                <w:sz w:val="17"/>
              </w:rPr>
              <w:t>8,646</w:t>
            </w:r>
          </w:p>
        </w:tc>
        <w:tc>
          <w:tcPr>
            <w:tcW w:type="dxa" w:w="1440"/>
            <w:shd w:fill="FAFAFA" w:val="clear"/>
          </w:tcPr>
          <w:p>
            <w:r>
              <w:rPr>
                <w:b/>
                <w:sz w:val="17"/>
              </w:rPr>
              <w:t>9,139</w:t>
            </w:r>
          </w:p>
        </w:tc>
        <w:tc>
          <w:tcPr>
            <w:tcW w:type="dxa" w:w="1440"/>
            <w:shd w:fill="FAFAFA" w:val="clear"/>
          </w:tcPr>
          <w:p>
            <w:r>
              <w:rPr>
                <w:sz w:val="17"/>
              </w:rPr>
              <w:t>9,632</w:t>
            </w:r>
          </w:p>
        </w:tc>
        <w:tc>
          <w:tcPr>
            <w:tcW w:type="dxa" w:w="1440"/>
            <w:shd w:fill="FAFAFA" w:val="clear"/>
          </w:tcPr>
          <w:p>
            <w:r>
              <w:rPr>
                <w:b/>
                <w:color w:val="008000"/>
                <w:sz w:val="17"/>
              </w:rPr>
              <w:t>+1.8%</w:t>
            </w:r>
          </w:p>
        </w:tc>
      </w:tr>
      <w:tr>
        <w:tc>
          <w:tcPr>
            <w:tcW w:type="dxa" w:w="1440"/>
            <w:shd w:fill="C6EFCE" w:val="clear"/>
          </w:tcPr>
          <w:p>
            <w:r>
              <w:rPr>
                <w:sz w:val="17"/>
              </w:rPr>
              <w:t>J+5  Moyenne</w:t>
            </w:r>
          </w:p>
        </w:tc>
        <w:tc>
          <w:tcPr>
            <w:tcW w:type="dxa" w:w="1440"/>
            <w:shd w:fill="C6EFCE" w:val="clear"/>
          </w:tcPr>
          <w:p>
            <w:r>
              <w:rPr>
                <w:sz w:val="17"/>
              </w:rPr>
              <w:t>2026-08-18</w:t>
            </w:r>
          </w:p>
        </w:tc>
        <w:tc>
          <w:tcPr>
            <w:tcW w:type="dxa" w:w="1440"/>
            <w:shd w:fill="C6EFCE" w:val="clear"/>
          </w:tcPr>
          <w:p>
            <w:r>
              <w:rPr>
                <w:sz w:val="17"/>
              </w:rPr>
              <w:t>8,613</w:t>
            </w:r>
          </w:p>
        </w:tc>
        <w:tc>
          <w:tcPr>
            <w:tcW w:type="dxa" w:w="1440"/>
            <w:shd w:fill="C6EFCE" w:val="clear"/>
          </w:tcPr>
          <w:p>
            <w:r>
              <w:rPr>
                <w:b/>
                <w:sz w:val="17"/>
              </w:rPr>
              <w:t>9,166</w:t>
            </w:r>
          </w:p>
        </w:tc>
        <w:tc>
          <w:tcPr>
            <w:tcW w:type="dxa" w:w="1440"/>
            <w:shd w:fill="C6EFCE" w:val="clear"/>
          </w:tcPr>
          <w:p>
            <w:r>
              <w:rPr>
                <w:sz w:val="17"/>
              </w:rPr>
              <w:t>9,718</w:t>
            </w:r>
          </w:p>
        </w:tc>
        <w:tc>
          <w:tcPr>
            <w:tcW w:type="dxa" w:w="1440"/>
            <w:shd w:fill="C6EFCE" w:val="clear"/>
          </w:tcPr>
          <w:p>
            <w:r>
              <w:rPr>
                <w:b/>
                <w:color w:val="008000"/>
                <w:sz w:val="17"/>
              </w:rPr>
              <w:t>+2.1%</w:t>
            </w:r>
          </w:p>
        </w:tc>
      </w:tr>
      <w:tr>
        <w:tc>
          <w:tcPr>
            <w:tcW w:type="dxa" w:w="1440"/>
            <w:shd w:fill="C6EFCE" w:val="clear"/>
          </w:tcPr>
          <w:p>
            <w:r>
              <w:rPr>
                <w:sz w:val="17"/>
              </w:rPr>
              <w:t>J+6  Moyenne</w:t>
            </w:r>
          </w:p>
        </w:tc>
        <w:tc>
          <w:tcPr>
            <w:tcW w:type="dxa" w:w="1440"/>
            <w:shd w:fill="C6EFCE" w:val="clear"/>
          </w:tcPr>
          <w:p>
            <w:r>
              <w:rPr>
                <w:sz w:val="17"/>
              </w:rPr>
              <w:t>2026-08-19</w:t>
            </w:r>
          </w:p>
        </w:tc>
        <w:tc>
          <w:tcPr>
            <w:tcW w:type="dxa" w:w="1440"/>
            <w:shd w:fill="C6EFCE" w:val="clear"/>
          </w:tcPr>
          <w:p>
            <w:r>
              <w:rPr>
                <w:sz w:val="17"/>
              </w:rPr>
              <w:t>8,585</w:t>
            </w:r>
          </w:p>
        </w:tc>
        <w:tc>
          <w:tcPr>
            <w:tcW w:type="dxa" w:w="1440"/>
            <w:shd w:fill="C6EFCE" w:val="clear"/>
          </w:tcPr>
          <w:p>
            <w:r>
              <w:rPr>
                <w:b/>
                <w:sz w:val="17"/>
              </w:rPr>
              <w:t>9,193</w:t>
            </w:r>
          </w:p>
        </w:tc>
        <w:tc>
          <w:tcPr>
            <w:tcW w:type="dxa" w:w="1440"/>
            <w:shd w:fill="C6EFCE" w:val="clear"/>
          </w:tcPr>
          <w:p>
            <w:r>
              <w:rPr>
                <w:sz w:val="17"/>
              </w:rPr>
              <w:t>9,800</w:t>
            </w:r>
          </w:p>
        </w:tc>
        <w:tc>
          <w:tcPr>
            <w:tcW w:type="dxa" w:w="1440"/>
            <w:shd w:fill="C6EFCE" w:val="clear"/>
          </w:tcPr>
          <w:p>
            <w:r>
              <w:rPr>
                <w:b/>
                <w:color w:val="008000"/>
                <w:sz w:val="17"/>
              </w:rPr>
              <w:t>+2.4%</w:t>
            </w:r>
          </w:p>
        </w:tc>
      </w:tr>
      <w:tr>
        <w:tc>
          <w:tcPr>
            <w:tcW w:type="dxa" w:w="1440"/>
            <w:shd w:fill="C6EFCE" w:val="clear"/>
          </w:tcPr>
          <w:p>
            <w:r>
              <w:rPr>
                <w:sz w:val="17"/>
              </w:rPr>
              <w:t>J+7  Moyenne</w:t>
            </w:r>
          </w:p>
        </w:tc>
        <w:tc>
          <w:tcPr>
            <w:tcW w:type="dxa" w:w="1440"/>
            <w:shd w:fill="C6EFCE" w:val="clear"/>
          </w:tcPr>
          <w:p>
            <w:r>
              <w:rPr>
                <w:sz w:val="17"/>
              </w:rPr>
              <w:t>2026-08-20</w:t>
            </w:r>
          </w:p>
        </w:tc>
        <w:tc>
          <w:tcPr>
            <w:tcW w:type="dxa" w:w="1440"/>
            <w:shd w:fill="C6EFCE" w:val="clear"/>
          </w:tcPr>
          <w:p>
            <w:r>
              <w:rPr>
                <w:sz w:val="17"/>
              </w:rPr>
              <w:t>8,562</w:t>
            </w:r>
          </w:p>
        </w:tc>
        <w:tc>
          <w:tcPr>
            <w:tcW w:type="dxa" w:w="1440"/>
            <w:shd w:fill="C6EFCE" w:val="clear"/>
          </w:tcPr>
          <w:p>
            <w:r>
              <w:rPr>
                <w:b/>
                <w:sz w:val="17"/>
              </w:rPr>
              <w:t>9,219</w:t>
            </w:r>
          </w:p>
        </w:tc>
        <w:tc>
          <w:tcPr>
            <w:tcW w:type="dxa" w:w="1440"/>
            <w:shd w:fill="C6EFCE" w:val="clear"/>
          </w:tcPr>
          <w:p>
            <w:r>
              <w:rPr>
                <w:sz w:val="17"/>
              </w:rPr>
              <w:t>9,877</w:t>
            </w:r>
          </w:p>
        </w:tc>
        <w:tc>
          <w:tcPr>
            <w:tcW w:type="dxa" w:w="1440"/>
            <w:shd w:fill="C6EFCE" w:val="clear"/>
          </w:tcPr>
          <w:p>
            <w:r>
              <w:rPr>
                <w:b/>
                <w:color w:val="008000"/>
                <w:sz w:val="17"/>
              </w:rPr>
              <w:t>+2.7%</w:t>
            </w:r>
          </w:p>
        </w:tc>
      </w:tr>
      <w:tr>
        <w:tc>
          <w:tcPr>
            <w:tcW w:type="dxa" w:w="1440"/>
            <w:shd w:fill="C6EFCE" w:val="clear"/>
          </w:tcPr>
          <w:p>
            <w:r>
              <w:rPr>
                <w:sz w:val="17"/>
              </w:rPr>
              <w:t>J+8  Moyenne</w:t>
            </w:r>
          </w:p>
        </w:tc>
        <w:tc>
          <w:tcPr>
            <w:tcW w:type="dxa" w:w="1440"/>
            <w:shd w:fill="C6EFCE" w:val="clear"/>
          </w:tcPr>
          <w:p>
            <w:r>
              <w:rPr>
                <w:sz w:val="17"/>
              </w:rPr>
              <w:t>2026-08-21</w:t>
            </w:r>
          </w:p>
        </w:tc>
        <w:tc>
          <w:tcPr>
            <w:tcW w:type="dxa" w:w="1440"/>
            <w:shd w:fill="C6EFCE" w:val="clear"/>
          </w:tcPr>
          <w:p>
            <w:r>
              <w:rPr>
                <w:sz w:val="17"/>
              </w:rPr>
              <w:t>8,541</w:t>
            </w:r>
          </w:p>
        </w:tc>
        <w:tc>
          <w:tcPr>
            <w:tcW w:type="dxa" w:w="1440"/>
            <w:shd w:fill="C6EFCE" w:val="clear"/>
          </w:tcPr>
          <w:p>
            <w:r>
              <w:rPr>
                <w:b/>
                <w:sz w:val="17"/>
              </w:rPr>
              <w:t>9,246</w:t>
            </w:r>
          </w:p>
        </w:tc>
        <w:tc>
          <w:tcPr>
            <w:tcW w:type="dxa" w:w="1440"/>
            <w:shd w:fill="C6EFCE" w:val="clear"/>
          </w:tcPr>
          <w:p>
            <w:r>
              <w:rPr>
                <w:sz w:val="17"/>
              </w:rPr>
              <w:t>9,951</w:t>
            </w:r>
          </w:p>
        </w:tc>
        <w:tc>
          <w:tcPr>
            <w:tcW w:type="dxa" w:w="1440"/>
            <w:shd w:fill="C6EFCE" w:val="clear"/>
          </w:tcPr>
          <w:p>
            <w:r>
              <w:rPr>
                <w:b/>
                <w:color w:val="008000"/>
                <w:sz w:val="17"/>
              </w:rPr>
              <w:t>+3.0%</w:t>
            </w:r>
          </w:p>
        </w:tc>
      </w:tr>
      <w:tr>
        <w:tc>
          <w:tcPr>
            <w:tcW w:type="dxa" w:w="1440"/>
            <w:shd w:fill="C6EFCE" w:val="clear"/>
          </w:tcPr>
          <w:p>
            <w:r>
              <w:rPr>
                <w:sz w:val="17"/>
              </w:rPr>
              <w:t>J+9  Moyenne</w:t>
            </w:r>
          </w:p>
        </w:tc>
        <w:tc>
          <w:tcPr>
            <w:tcW w:type="dxa" w:w="1440"/>
            <w:shd w:fill="C6EFCE" w:val="clear"/>
          </w:tcPr>
          <w:p>
            <w:r>
              <w:rPr>
                <w:sz w:val="17"/>
              </w:rPr>
              <w:t>2026-08-24</w:t>
            </w:r>
          </w:p>
        </w:tc>
        <w:tc>
          <w:tcPr>
            <w:tcW w:type="dxa" w:w="1440"/>
            <w:shd w:fill="C6EFCE" w:val="clear"/>
          </w:tcPr>
          <w:p>
            <w:r>
              <w:rPr>
                <w:sz w:val="17"/>
              </w:rPr>
              <w:t>8,522</w:t>
            </w:r>
          </w:p>
        </w:tc>
        <w:tc>
          <w:tcPr>
            <w:tcW w:type="dxa" w:w="1440"/>
            <w:shd w:fill="C6EFCE" w:val="clear"/>
          </w:tcPr>
          <w:p>
            <w:r>
              <w:rPr>
                <w:b/>
                <w:sz w:val="17"/>
              </w:rPr>
              <w:t>9,272</w:t>
            </w:r>
          </w:p>
        </w:tc>
        <w:tc>
          <w:tcPr>
            <w:tcW w:type="dxa" w:w="1440"/>
            <w:shd w:fill="C6EFCE" w:val="clear"/>
          </w:tcPr>
          <w:p>
            <w:r>
              <w:rPr>
                <w:sz w:val="17"/>
              </w:rPr>
              <w:t>10,022</w:t>
            </w:r>
          </w:p>
        </w:tc>
        <w:tc>
          <w:tcPr>
            <w:tcW w:type="dxa" w:w="1440"/>
            <w:shd w:fill="C6EFCE" w:val="clear"/>
          </w:tcPr>
          <w:p>
            <w:r>
              <w:rPr>
                <w:b/>
                <w:color w:val="008000"/>
                <w:sz w:val="17"/>
              </w:rPr>
              <w:t>+3.3%</w:t>
            </w:r>
          </w:p>
        </w:tc>
      </w:tr>
      <w:tr>
        <w:tc>
          <w:tcPr>
            <w:tcW w:type="dxa" w:w="1440"/>
            <w:shd w:fill="C6EFCE" w:val="clear"/>
          </w:tcPr>
          <w:p>
            <w:r>
              <w:rPr>
                <w:sz w:val="17"/>
              </w:rPr>
              <w:t>J+10  Moyenne</w:t>
            </w:r>
          </w:p>
        </w:tc>
        <w:tc>
          <w:tcPr>
            <w:tcW w:type="dxa" w:w="1440"/>
            <w:shd w:fill="C6EFCE" w:val="clear"/>
          </w:tcPr>
          <w:p>
            <w:r>
              <w:rPr>
                <w:sz w:val="17"/>
              </w:rPr>
              <w:t>2026-08-25</w:t>
            </w:r>
          </w:p>
        </w:tc>
        <w:tc>
          <w:tcPr>
            <w:tcW w:type="dxa" w:w="1440"/>
            <w:shd w:fill="C6EFCE" w:val="clear"/>
          </w:tcPr>
          <w:p>
            <w:r>
              <w:rPr>
                <w:sz w:val="17"/>
              </w:rPr>
              <w:t>8,506</w:t>
            </w:r>
          </w:p>
        </w:tc>
        <w:tc>
          <w:tcPr>
            <w:tcW w:type="dxa" w:w="1440"/>
            <w:shd w:fill="C6EFCE" w:val="clear"/>
          </w:tcPr>
          <w:p>
            <w:r>
              <w:rPr>
                <w:b/>
                <w:sz w:val="17"/>
              </w:rPr>
              <w:t>9,299</w:t>
            </w:r>
          </w:p>
        </w:tc>
        <w:tc>
          <w:tcPr>
            <w:tcW w:type="dxa" w:w="1440"/>
            <w:shd w:fill="C6EFCE" w:val="clear"/>
          </w:tcPr>
          <w:p>
            <w:r>
              <w:rPr>
                <w:sz w:val="17"/>
              </w:rPr>
              <w:t>10,091</w:t>
            </w:r>
          </w:p>
        </w:tc>
        <w:tc>
          <w:tcPr>
            <w:tcW w:type="dxa" w:w="1440"/>
            <w:shd w:fill="C6EFCE" w:val="clear"/>
          </w:tcPr>
          <w:p>
            <w:r>
              <w:rPr>
                <w:b/>
                <w:color w:val="008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138,82 milliards FCFA, ce qui en fait une valeur moyenne sur la BRVM, représentative d'un acteur industriel majeur de la place ivoirienne. Le BPA de 1 003 FCFA indique que chaque action génère un bénéfice substantiel, justifiant un PER de 9,0x, inférieur à la moyenne du marché (8-12x), ce qui suggère une sous-évaluation relative du titre. Le P/B de 0,97x est particulièrement intéressant : le marché valorise l'action légèrement en dessous de sa valeur comptable, offrant une décote sur l'actif net. Enfin, l'EV/EBITDA de 4,4x, nettement sous le seuil de 5x, confirme que la valeur totale de l'entreprise (dette incluse) est très bon marché par rapport à sa capacité opérationnelle de génération de cash. Ces quatre ratios convergent vers une valorisation attractive.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variation totale de -5,47%, avec une dernière séance en baisse de -1,32% à 8 980 FCFA, témoignant d'un repli récent. Le titre a évolué dans une fourchette de 7 000 à 9 500 FCFA, montrant une amplitude de 2 500 FCFA. La moyenne (8 406 FCFA) est inférieure à la médiane (8 600 FCFA), indiquant une distribution légèrement asymétrique avec des épisodes de faiblesse marqués. L'écart-type de 517 FCFA (CV=6,2%) révèle une dispersion modérée autour de la moyenne. Le kurtosis de -0,536 (mésokurtique) suggère une distribution proche de la normale, sans risque de pics extrêmes, tandis que le skewness de -0,193 confirme une symétrie relative. La volatilité annualisée de 40,8% est élevée (&gt;30%), signalant un titre sujet à des fluctuations importantes, cohérent avec son secteur agro-industriel exposé aux cours des matières premières.</w:t>
      </w:r>
    </w:p>
    <w:p>
      <w:pPr>
        <w:spacing w:after="120" w:line="276" w:lineRule="auto" w:before="240"/>
      </w:pPr>
      <w:r>
        <w:rPr>
          <w:b/>
          <w:color w:val="003366"/>
          <w:sz w:val="24"/>
        </w:rPr>
        <w:t>**PARTIE 2 : ANALYSE TECHNIQUE DÉTAILLÉE**</w:t>
      </w:r>
    </w:p>
    <w:p>
      <w:pPr>
        <w:spacing w:after="120" w:line="276" w:lineRule="auto"/>
      </w:pPr>
      <w:r>
        <w:t>Les **Moyennes Mobiles** indiquent une dynamique positive : le cours actuel (8 980 FCFA) est supérieur à la MM20 (8 821,25 FCFA) et à la MM50 (8 707,3 FCFA), avec une MM20 au-dessus de la MM50, configuration typique d'une tendance haussière de court et moyen terme. La décision d'achat est justifiée par cette structure de prix favorable.</w:t>
      </w:r>
    </w:p>
    <w:p>
      <w:pPr>
        <w:spacing w:after="120" w:line="276" w:lineRule="auto"/>
      </w:pPr>
      <w:r>
        <w:t>Les **Bandes de Bollinger** montrent un cours positionné entre la borne inférieure (8 479,615 FCFA) et la borne supérieure (9 162,885 FCFA), proche de la moyenne. La décision neutre reflète une volatilité modérée sans extension excessive, le prix n'étant ni suracheté ni survendu.</w:t>
      </w:r>
    </w:p>
    <w:p>
      <w:pPr>
        <w:spacing w:after="120" w:line="276" w:lineRule="auto"/>
      </w:pPr>
      <w:r>
        <w:t>Le **MACD** affiche une valeur (105,852) supérieure à son signal (95,513), avec un écart positif de 10,3 points. Cette configuration indique un momentum haussier en place, justifiant la décision d'achat, bien que l'écart modéré suggère une dynamique mesurée.</w:t>
      </w:r>
    </w:p>
    <w:p>
      <w:pPr>
        <w:spacing w:after="120" w:line="276" w:lineRule="auto"/>
      </w:pPr>
      <w:r>
        <w:t>Le **RSI** à 56,647 se situe dans la zone neutre (30-70), sans signal de surachat ni de survente. Cette valeur indique un équilibre entre pression acheteuse et vendeuse, laissant place à une poursuite de la tendance sans risque de retournement immédiat.</w:t>
      </w:r>
    </w:p>
    <w:p>
      <w:pPr>
        <w:spacing w:after="120" w:line="276" w:lineRule="auto"/>
      </w:pPr>
      <w:r>
        <w:t>Le **Stochastique** avec %K à 76,0 et %D à 88,825 montre que le %K est passé sous le %D, signalant un possible retournement baissier à court terme, bien que les deux restent en zone élevée. La décision neutre reflète cette ambiguïté entre momentum positif et croisement baissier naissant.</w:t>
      </w:r>
    </w:p>
    <w:p>
      <w:pPr>
        <w:spacing w:after="120" w:line="276" w:lineRule="auto"/>
      </w:pPr>
      <w:r>
        <w:t>En conclusion technique, les indicateurs sont globalement positifs avec des MM et MACD en faveur d'une poursuite haussière, mais le Stochastique et le RSI suggèrent une prudence à court terme. La convergence des MM et MACD vers l'achat est tempérée par des oscillateurs neutres, indiquant une consolidation possible avant une nouvelle impulsion.</w:t>
      </w:r>
    </w:p>
    <w:p>
      <w:pPr>
        <w:spacing w:after="120" w:line="276" w:lineRule="auto" w:before="240"/>
      </w:pPr>
      <w:r>
        <w:rPr>
          <w:b/>
          <w:color w:val="003366"/>
          <w:sz w:val="24"/>
        </w:rPr>
        <w:t>**PARTIE 3 : ANALYSE FONDAMENTALE (SECTION CRITIQUE)**</w:t>
      </w:r>
    </w:p>
    <w:p>
      <w:pPr>
        <w:spacing w:after="120" w:line="276" w:lineRule="auto"/>
      </w:pPr>
      <w:r>
        <w:t>En 2025, PALC affiche un chiffre d'affaires de 197,630 milliards FCFA, en croissance de +14,8% par rapport à 2024 (172,2 milliards), et un résultat net de 15,509 milliards FCFA, en léger repli de -2,2% (vs 15,9 milliards en 2024). Le ROE s'établit à 10,87% et le ROA à 7,79%, des niveaux corrects mais en deçà du seuil d'excellence de 15% pour le ROE. La marge nette de 7,85% reflète une pression sur les coûts, avec des charges de personnel en hausse de +4,0% et des services extérieurs en augmentation de +30,3%. La structure financière reste solide avec une autonomie financière de 71,64% et un endettement très faible (ratio d'endettement de 0,56%). Le BFR de 44,623 milliards FCFA est positif, indiquant un besoin de financement, avec un délai clients élevé de 142,58 jours, un point de vigilance pour la trésorerie. Sur la base du rapport T1 2026 (CA en baisse de -27% à 49,4 milliards et résultat net en chute de -86% à 1,6 milliard), on estime que l'exercice 2026 pourrait être difficile, bien que la direction évoque un décalage temporel des ventes. Les rapports trimestriels 2025 (T1 : CA +32%, S1 : CA +25%, 9 mois : CA +18%) montrent une dynamique positive sur l'année, mais le T1 2026 marque un net ralentissement. La recommandation fondamentale est de conserver, avec une surveillance active des marges et de la trésorerie.</w:t>
      </w:r>
    </w:p>
    <w:p>
      <w:pPr>
        <w:spacing w:after="120" w:line="276" w:lineRule="auto" w:before="240"/>
      </w:pPr>
      <w:r>
        <w:rPr>
          <w:b/>
          <w:color w:val="003366"/>
          <w:sz w:val="24"/>
        </w:rPr>
        <w:t>**PARTIE 4 : CONCLUSION D'INVESTISSEMENT**</w:t>
      </w:r>
    </w:p>
    <w:p>
      <w:pPr>
        <w:spacing w:after="120" w:line="276" w:lineRule="auto"/>
      </w:pPr>
      <w:r>
        <w:t>La valorisation de PALC est attractive avec un PER de 9,0x, un P/B de 0,97x et un EV/EBITDA de 4,4x, indiquant une sous-évaluation potentielle. Le comportement du cours sur 100 jours montre une tendance baissière (-5,47%) avec une volatilité élevée (40,8%), mais des statistiques stables (kurtosis et skewness proches de la normale). Les signaux techniques sont mitigés : les MM et le MACD sont positifs, mais le RSI et le Stochastique sont neutres, suggérant une consolidation. Les fondamentaux 2025 sont solides (CA en croissance de +14,8%, structure financière saine), mais le T1 2026 est préoccupant (CA -27%, résultat net -86%), bien que la direction l'attribue à un décalage temporel. Les prédictions IA (J+1 à J+10) prévoient une hausse progressive de 9 066 à 9 166 FCFA, confirmant les signaux techniques positifs. En synthèse, la convergence entre la valorisation bon marché, les fondamentaux globalement sains et les prédictions haussières, tempérée par les risques opérationnels et la volatilité, conduit à une recommandation **CONSERVER** avec un niveau de confiance **Moyen**. Le risque global est **Moyen**, et l'horizon d'investissement optimal est le **moyen terme (3-12 mois)**, en attendant une clarification des performances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45.06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1,072 titres</w:t>
            </w:r>
          </w:p>
        </w:tc>
        <w:tc>
          <w:tcPr>
            <w:tcW w:type="dxa" w:w="2268"/>
            <w:shd w:fill="FFF2CC" w:val="clear"/>
          </w:tcPr>
          <w:p>
            <w:r>
              <w:rPr>
                <w:b/>
                <w:color w:val="503200"/>
                <w:sz w:val="16"/>
              </w:rPr>
              <w:t xml:space="preserve">Cours actuel : </w:t>
            </w:r>
            <w:r>
              <w:rPr>
                <w:color w:val="000000"/>
                <w:sz w:val="17"/>
              </w:rPr>
              <w:t>4,400 FCFA</w:t>
            </w:r>
          </w:p>
          <w:p>
            <w:r>
              <w:rPr>
                <w:b/>
                <w:color w:val="503200"/>
                <w:sz w:val="16"/>
              </w:rPr>
              <w:t xml:space="preserve">Var. 100 jours : </w:t>
            </w:r>
            <w:r>
              <w:rPr>
                <w:b/>
                <w:color w:val="B40000"/>
                <w:sz w:val="17"/>
              </w:rPr>
              <w:t>-15.38%</w:t>
            </w:r>
          </w:p>
          <w:p>
            <w:r>
              <w:rPr>
                <w:b/>
                <w:color w:val="503200"/>
                <w:sz w:val="16"/>
              </w:rPr>
              <w:t xml:space="preserve">Plus haut 100j : </w:t>
            </w:r>
            <w:r>
              <w:rPr>
                <w:color w:val="000000"/>
                <w:sz w:val="17"/>
              </w:rPr>
              <w:t>5,200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8.39% (Moyenne) — μ=4,495 FCFA, σ=377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β=-0.4627 (Contre-cyclique) — Cov=-0.000017, Var(idx)=0.000036, ρ=-0.109,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1,072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2026-08-12</w:t>
            </w:r>
          </w:p>
        </w:tc>
        <w:tc>
          <w:tcPr>
            <w:tcW w:type="dxa" w:w="1440"/>
            <w:shd w:fill="FAFAFA" w:val="clear"/>
          </w:tcPr>
          <w:p>
            <w:r>
              <w:rPr>
                <w:sz w:val="17"/>
              </w:rPr>
              <w:t>4,276</w:t>
            </w:r>
          </w:p>
        </w:tc>
        <w:tc>
          <w:tcPr>
            <w:tcW w:type="dxa" w:w="1440"/>
            <w:shd w:fill="FAFAFA" w:val="clear"/>
          </w:tcPr>
          <w:p>
            <w:r>
              <w:rPr>
                <w:b/>
                <w:sz w:val="17"/>
              </w:rPr>
              <w:t>4,391</w:t>
            </w:r>
          </w:p>
        </w:tc>
        <w:tc>
          <w:tcPr>
            <w:tcW w:type="dxa" w:w="1440"/>
            <w:shd w:fill="FAFAFA" w:val="clear"/>
          </w:tcPr>
          <w:p>
            <w:r>
              <w:rPr>
                <w:sz w:val="17"/>
              </w:rPr>
              <w:t>4,505</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2026-08-13</w:t>
            </w:r>
          </w:p>
        </w:tc>
        <w:tc>
          <w:tcPr>
            <w:tcW w:type="dxa" w:w="1440"/>
            <w:shd w:fill="FAFAFA" w:val="clear"/>
          </w:tcPr>
          <w:p>
            <w:r>
              <w:rPr>
                <w:sz w:val="17"/>
              </w:rPr>
              <w:t>4,206</w:t>
            </w:r>
          </w:p>
        </w:tc>
        <w:tc>
          <w:tcPr>
            <w:tcW w:type="dxa" w:w="1440"/>
            <w:shd w:fill="FAFAFA" w:val="clear"/>
          </w:tcPr>
          <w:p>
            <w:r>
              <w:rPr>
                <w:b/>
                <w:sz w:val="17"/>
              </w:rPr>
              <w:t>4,367</w:t>
            </w:r>
          </w:p>
        </w:tc>
        <w:tc>
          <w:tcPr>
            <w:tcW w:type="dxa" w:w="1440"/>
            <w:shd w:fill="FAFAFA" w:val="clear"/>
          </w:tcPr>
          <w:p>
            <w:r>
              <w:rPr>
                <w:sz w:val="17"/>
              </w:rPr>
              <w:t>4,527</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2026-08-14</w:t>
            </w:r>
          </w:p>
        </w:tc>
        <w:tc>
          <w:tcPr>
            <w:tcW w:type="dxa" w:w="1440"/>
            <w:shd w:fill="FAFAFA" w:val="clear"/>
          </w:tcPr>
          <w:p>
            <w:r>
              <w:rPr>
                <w:sz w:val="17"/>
              </w:rPr>
              <w:t>4,149</w:t>
            </w:r>
          </w:p>
        </w:tc>
        <w:tc>
          <w:tcPr>
            <w:tcW w:type="dxa" w:w="1440"/>
            <w:shd w:fill="FAFAFA" w:val="clear"/>
          </w:tcPr>
          <w:p>
            <w:r>
              <w:rPr>
                <w:b/>
                <w:sz w:val="17"/>
              </w:rPr>
              <w:t>4,345</w:t>
            </w:r>
          </w:p>
        </w:tc>
        <w:tc>
          <w:tcPr>
            <w:tcW w:type="dxa" w:w="1440"/>
            <w:shd w:fill="FAFAFA" w:val="clear"/>
          </w:tcPr>
          <w:p>
            <w:r>
              <w:rPr>
                <w:sz w:val="17"/>
              </w:rPr>
              <w:t>4,541</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2026-08-17</w:t>
            </w:r>
          </w:p>
        </w:tc>
        <w:tc>
          <w:tcPr>
            <w:tcW w:type="dxa" w:w="1440"/>
            <w:shd w:fill="FAFAFA" w:val="clear"/>
          </w:tcPr>
          <w:p>
            <w:r>
              <w:rPr>
                <w:sz w:val="17"/>
              </w:rPr>
              <w:t>4,100</w:t>
            </w:r>
          </w:p>
        </w:tc>
        <w:tc>
          <w:tcPr>
            <w:tcW w:type="dxa" w:w="1440"/>
            <w:shd w:fill="FAFAFA" w:val="clear"/>
          </w:tcPr>
          <w:p>
            <w:r>
              <w:rPr>
                <w:b/>
                <w:sz w:val="17"/>
              </w:rPr>
              <w:t>4,325</w:t>
            </w:r>
          </w:p>
        </w:tc>
        <w:tc>
          <w:tcPr>
            <w:tcW w:type="dxa" w:w="1440"/>
            <w:shd w:fill="FAFAFA" w:val="clear"/>
          </w:tcPr>
          <w:p>
            <w:r>
              <w:rPr>
                <w:sz w:val="17"/>
              </w:rPr>
              <w:t>4,551</w:t>
            </w:r>
          </w:p>
        </w:tc>
        <w:tc>
          <w:tcPr>
            <w:tcW w:type="dxa" w:w="1440"/>
            <w:shd w:fill="FAFAFA" w:val="clear"/>
          </w:tcPr>
          <w:p>
            <w:r>
              <w:rPr>
                <w:b/>
                <w:color w:val="C00000"/>
                <w:sz w:val="17"/>
              </w:rPr>
              <w:t>-1.7%</w:t>
            </w:r>
          </w:p>
        </w:tc>
      </w:tr>
      <w:tr>
        <w:tc>
          <w:tcPr>
            <w:tcW w:type="dxa" w:w="1440"/>
            <w:shd w:fill="FFDCE0" w:val="clear"/>
          </w:tcPr>
          <w:p>
            <w:r>
              <w:rPr>
                <w:sz w:val="17"/>
              </w:rPr>
              <w:t>J+5  Moyenne</w:t>
            </w:r>
          </w:p>
        </w:tc>
        <w:tc>
          <w:tcPr>
            <w:tcW w:type="dxa" w:w="1440"/>
            <w:shd w:fill="FFDCE0" w:val="clear"/>
          </w:tcPr>
          <w:p>
            <w:r>
              <w:rPr>
                <w:sz w:val="17"/>
              </w:rPr>
              <w:t>2026-08-18</w:t>
            </w:r>
          </w:p>
        </w:tc>
        <w:tc>
          <w:tcPr>
            <w:tcW w:type="dxa" w:w="1440"/>
            <w:shd w:fill="FFDCE0" w:val="clear"/>
          </w:tcPr>
          <w:p>
            <w:r>
              <w:rPr>
                <w:sz w:val="17"/>
              </w:rPr>
              <w:t>4,055</w:t>
            </w:r>
          </w:p>
        </w:tc>
        <w:tc>
          <w:tcPr>
            <w:tcW w:type="dxa" w:w="1440"/>
            <w:shd w:fill="FFDCE0" w:val="clear"/>
          </w:tcPr>
          <w:p>
            <w:r>
              <w:rPr>
                <w:b/>
                <w:sz w:val="17"/>
              </w:rPr>
              <w:t>4,305</w:t>
            </w:r>
          </w:p>
        </w:tc>
        <w:tc>
          <w:tcPr>
            <w:tcW w:type="dxa" w:w="1440"/>
            <w:shd w:fill="FFDCE0" w:val="clear"/>
          </w:tcPr>
          <w:p>
            <w:r>
              <w:rPr>
                <w:sz w:val="17"/>
              </w:rPr>
              <w:t>4,556</w:t>
            </w:r>
          </w:p>
        </w:tc>
        <w:tc>
          <w:tcPr>
            <w:tcW w:type="dxa" w:w="1440"/>
            <w:shd w:fill="FFDCE0" w:val="clear"/>
          </w:tcPr>
          <w:p>
            <w:r>
              <w:rPr>
                <w:b/>
                <w:color w:val="C00000"/>
                <w:sz w:val="17"/>
              </w:rPr>
              <w:t>-2.2%</w:t>
            </w:r>
          </w:p>
        </w:tc>
      </w:tr>
      <w:tr>
        <w:tc>
          <w:tcPr>
            <w:tcW w:type="dxa" w:w="1440"/>
            <w:shd w:fill="FFDCE0" w:val="clear"/>
          </w:tcPr>
          <w:p>
            <w:r>
              <w:rPr>
                <w:sz w:val="17"/>
              </w:rPr>
              <w:t>J+6  Moyenne</w:t>
            </w:r>
          </w:p>
        </w:tc>
        <w:tc>
          <w:tcPr>
            <w:tcW w:type="dxa" w:w="1440"/>
            <w:shd w:fill="FFDCE0" w:val="clear"/>
          </w:tcPr>
          <w:p>
            <w:r>
              <w:rPr>
                <w:sz w:val="17"/>
              </w:rPr>
              <w:t>2026-08-19</w:t>
            </w:r>
          </w:p>
        </w:tc>
        <w:tc>
          <w:tcPr>
            <w:tcW w:type="dxa" w:w="1440"/>
            <w:shd w:fill="FFDCE0" w:val="clear"/>
          </w:tcPr>
          <w:p>
            <w:r>
              <w:rPr>
                <w:sz w:val="17"/>
              </w:rPr>
              <w:t>4,012</w:t>
            </w:r>
          </w:p>
        </w:tc>
        <w:tc>
          <w:tcPr>
            <w:tcW w:type="dxa" w:w="1440"/>
            <w:shd w:fill="FFDCE0" w:val="clear"/>
          </w:tcPr>
          <w:p>
            <w:r>
              <w:rPr>
                <w:b/>
                <w:sz w:val="17"/>
              </w:rPr>
              <w:t>4,286</w:t>
            </w:r>
          </w:p>
        </w:tc>
        <w:tc>
          <w:tcPr>
            <w:tcW w:type="dxa" w:w="1440"/>
            <w:shd w:fill="FFDCE0" w:val="clear"/>
          </w:tcPr>
          <w:p>
            <w:r>
              <w:rPr>
                <w:sz w:val="17"/>
              </w:rPr>
              <w:t>4,559</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2026-08-20</w:t>
            </w:r>
          </w:p>
        </w:tc>
        <w:tc>
          <w:tcPr>
            <w:tcW w:type="dxa" w:w="1440"/>
            <w:shd w:fill="FFDCE0" w:val="clear"/>
          </w:tcPr>
          <w:p>
            <w:r>
              <w:rPr>
                <w:sz w:val="17"/>
              </w:rPr>
              <w:t>3,973</w:t>
            </w:r>
          </w:p>
        </w:tc>
        <w:tc>
          <w:tcPr>
            <w:tcW w:type="dxa" w:w="1440"/>
            <w:shd w:fill="FFDCE0" w:val="clear"/>
          </w:tcPr>
          <w:p>
            <w:r>
              <w:rPr>
                <w:b/>
                <w:sz w:val="17"/>
              </w:rPr>
              <w:t>4,267</w:t>
            </w:r>
          </w:p>
        </w:tc>
        <w:tc>
          <w:tcPr>
            <w:tcW w:type="dxa" w:w="1440"/>
            <w:shd w:fill="FFDCE0" w:val="clear"/>
          </w:tcPr>
          <w:p>
            <w:r>
              <w:rPr>
                <w:sz w:val="17"/>
              </w:rPr>
              <w:t>4,561</w:t>
            </w:r>
          </w:p>
        </w:tc>
        <w:tc>
          <w:tcPr>
            <w:tcW w:type="dxa" w:w="1440"/>
            <w:shd w:fill="FFDCE0" w:val="clear"/>
          </w:tcPr>
          <w:p>
            <w:r>
              <w:rPr>
                <w:b/>
                <w:color w:val="C00000"/>
                <w:sz w:val="17"/>
              </w:rPr>
              <w:t>-3.0%</w:t>
            </w:r>
          </w:p>
        </w:tc>
      </w:tr>
      <w:tr>
        <w:tc>
          <w:tcPr>
            <w:tcW w:type="dxa" w:w="1440"/>
            <w:shd w:fill="FFDCE0" w:val="clear"/>
          </w:tcPr>
          <w:p>
            <w:r>
              <w:rPr>
                <w:sz w:val="17"/>
              </w:rPr>
              <w:t>J+8  Moyenne</w:t>
            </w:r>
          </w:p>
        </w:tc>
        <w:tc>
          <w:tcPr>
            <w:tcW w:type="dxa" w:w="1440"/>
            <w:shd w:fill="FFDCE0" w:val="clear"/>
          </w:tcPr>
          <w:p>
            <w:r>
              <w:rPr>
                <w:sz w:val="17"/>
              </w:rPr>
              <w:t>2026-08-21</w:t>
            </w:r>
          </w:p>
        </w:tc>
        <w:tc>
          <w:tcPr>
            <w:tcW w:type="dxa" w:w="1440"/>
            <w:shd w:fill="FFDCE0" w:val="clear"/>
          </w:tcPr>
          <w:p>
            <w:r>
              <w:rPr>
                <w:sz w:val="17"/>
              </w:rPr>
              <w:t>3,935</w:t>
            </w:r>
          </w:p>
        </w:tc>
        <w:tc>
          <w:tcPr>
            <w:tcW w:type="dxa" w:w="1440"/>
            <w:shd w:fill="FFDCE0" w:val="clear"/>
          </w:tcPr>
          <w:p>
            <w:r>
              <w:rPr>
                <w:b/>
                <w:sz w:val="17"/>
              </w:rPr>
              <w:t>4,248</w:t>
            </w:r>
          </w:p>
        </w:tc>
        <w:tc>
          <w:tcPr>
            <w:tcW w:type="dxa" w:w="1440"/>
            <w:shd w:fill="FFDCE0" w:val="clear"/>
          </w:tcPr>
          <w:p>
            <w:r>
              <w:rPr>
                <w:sz w:val="17"/>
              </w:rPr>
              <w:t>4,561</w:t>
            </w:r>
          </w:p>
        </w:tc>
        <w:tc>
          <w:tcPr>
            <w:tcW w:type="dxa" w:w="1440"/>
            <w:shd w:fill="FFDCE0" w:val="clear"/>
          </w:tcPr>
          <w:p>
            <w:r>
              <w:rPr>
                <w:b/>
                <w:color w:val="C00000"/>
                <w:sz w:val="17"/>
              </w:rPr>
              <w:t>-3.5%</w:t>
            </w:r>
          </w:p>
        </w:tc>
      </w:tr>
      <w:tr>
        <w:tc>
          <w:tcPr>
            <w:tcW w:type="dxa" w:w="1440"/>
            <w:shd w:fill="FFDCE0" w:val="clear"/>
          </w:tcPr>
          <w:p>
            <w:r>
              <w:rPr>
                <w:sz w:val="17"/>
              </w:rPr>
              <w:t>J+9  Moyenne</w:t>
            </w:r>
          </w:p>
        </w:tc>
        <w:tc>
          <w:tcPr>
            <w:tcW w:type="dxa" w:w="1440"/>
            <w:shd w:fill="FFDCE0" w:val="clear"/>
          </w:tcPr>
          <w:p>
            <w:r>
              <w:rPr>
                <w:sz w:val="17"/>
              </w:rPr>
              <w:t>2026-08-24</w:t>
            </w:r>
          </w:p>
        </w:tc>
        <w:tc>
          <w:tcPr>
            <w:tcW w:type="dxa" w:w="1440"/>
            <w:shd w:fill="FFDCE0" w:val="clear"/>
          </w:tcPr>
          <w:p>
            <w:r>
              <w:rPr>
                <w:sz w:val="17"/>
              </w:rPr>
              <w:t>3,899</w:t>
            </w:r>
          </w:p>
        </w:tc>
        <w:tc>
          <w:tcPr>
            <w:tcW w:type="dxa" w:w="1440"/>
            <w:shd w:fill="FFDCE0" w:val="clear"/>
          </w:tcPr>
          <w:p>
            <w:r>
              <w:rPr>
                <w:b/>
                <w:sz w:val="17"/>
              </w:rPr>
              <w:t>4,229</w:t>
            </w:r>
          </w:p>
        </w:tc>
        <w:tc>
          <w:tcPr>
            <w:tcW w:type="dxa" w:w="1440"/>
            <w:shd w:fill="FFDCE0" w:val="clear"/>
          </w:tcPr>
          <w:p>
            <w:r>
              <w:rPr>
                <w:sz w:val="17"/>
              </w:rPr>
              <w:t>4,560</w:t>
            </w:r>
          </w:p>
        </w:tc>
        <w:tc>
          <w:tcPr>
            <w:tcW w:type="dxa" w:w="1440"/>
            <w:shd w:fill="FFDCE0" w:val="clear"/>
          </w:tcPr>
          <w:p>
            <w:r>
              <w:rPr>
                <w:b/>
                <w:color w:val="C00000"/>
                <w:sz w:val="17"/>
              </w:rPr>
              <w:t>-3.9%</w:t>
            </w:r>
          </w:p>
        </w:tc>
      </w:tr>
      <w:tr>
        <w:tc>
          <w:tcPr>
            <w:tcW w:type="dxa" w:w="1440"/>
            <w:shd w:fill="FFDCE0" w:val="clear"/>
          </w:tcPr>
          <w:p>
            <w:r>
              <w:rPr>
                <w:sz w:val="17"/>
              </w:rPr>
              <w:t>J+10  Moyenne</w:t>
            </w:r>
          </w:p>
        </w:tc>
        <w:tc>
          <w:tcPr>
            <w:tcW w:type="dxa" w:w="1440"/>
            <w:shd w:fill="FFDCE0" w:val="clear"/>
          </w:tcPr>
          <w:p>
            <w:r>
              <w:rPr>
                <w:sz w:val="17"/>
              </w:rPr>
              <w:t>2026-08-25</w:t>
            </w:r>
          </w:p>
        </w:tc>
        <w:tc>
          <w:tcPr>
            <w:tcW w:type="dxa" w:w="1440"/>
            <w:shd w:fill="FFDCE0" w:val="clear"/>
          </w:tcPr>
          <w:p>
            <w:r>
              <w:rPr>
                <w:sz w:val="17"/>
              </w:rPr>
              <w:t>3,864</w:t>
            </w:r>
          </w:p>
        </w:tc>
        <w:tc>
          <w:tcPr>
            <w:tcW w:type="dxa" w:w="1440"/>
            <w:shd w:fill="FFDCE0" w:val="clear"/>
          </w:tcPr>
          <w:p>
            <w:r>
              <w:rPr>
                <w:b/>
                <w:sz w:val="17"/>
              </w:rPr>
              <w:t>4,211</w:t>
            </w:r>
          </w:p>
        </w:tc>
        <w:tc>
          <w:tcPr>
            <w:tcW w:type="dxa" w:w="1440"/>
            <w:shd w:fill="FFDCE0" w:val="clear"/>
          </w:tcPr>
          <w:p>
            <w:r>
              <w:rPr>
                <w:sz w:val="17"/>
              </w:rPr>
              <w:t>4,558</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PRSC s'établit à 45,06 milliards FCFA, ce qui la positionne comme une valeur de taille moyenne sur la BRVM, représentant un véhicule d'investissement liquide mais non dominant. Avec un BPA de 231 FCFA, le PER de 19,0x est nettement supérieur à la moyenne historique du marché régional (8-12x), indiquant que les investisseurs paient une prime substantielle pour les bénéfices actuels de la société. Cette prime est également visible au niveau du P/B de 3,91x, qui valorise l'actif net comptable près de quatre fois sa valeur, suggérant une anticipation de croissance future significative. L'EV/EBITDA de 9,7x, bien que dans la fourchette haute des valeurs raisonnables (5-10x), confirme que la valorisation intègre une certaine confiance dans la capacité opérationnelle de l'entreprise à générer des flux. Globalement, ces ratios indiquent une valorisation exigeante, qui ne laisse que peu de marge d'erreur sur les performances futures.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 enregistré une baisse significative de -15,38%, avec une dernière séance en recul de -1,12%, témoignant d'une pression vendeuse persistante. Le cours a évolué dans une fourchette large de 3 620 à 5 200 FCFA, illustrant une forte amplitude de trading. La moyenne du cours (4 495 FCFA) est très proche de la médiane (4 520 FCFA), suggérant une distribution relativement symétrique des prix autour de la moyenne, bien que le skewness négatif (-0,695) indique que les journées de baisse ont été plus fréquentes que les journées de hausse. L'écart-type de 379 FCFA, avec un coefficient de variation de 8,4%, démontre une dispersion modérée des prix. Le kurtosis de -0,078 (mésokurtique) indique une absence de pics extrêmes dans la distribution, tandis que la volatilité annualisée de 41,5% classe le titre comme très volatil, un niveau élevé qui reflète une incertitude marquée des investisseurs.</w:t>
      </w:r>
    </w:p>
    <w:p>
      <w:pPr>
        <w:spacing w:after="120" w:line="276" w:lineRule="auto" w:before="240"/>
      </w:pPr>
      <w:r>
        <w:rPr>
          <w:b/>
          <w:color w:val="003366"/>
          <w:sz w:val="24"/>
        </w:rPr>
        <w:t>**PARTIE 2 : ANALYSE TECHNIQUE DÉTAILLÉE**</w:t>
      </w:r>
    </w:p>
    <w:p>
      <w:pPr>
        <w:spacing w:after="120" w:line="276" w:lineRule="auto"/>
      </w:pPr>
      <w:r>
        <w:t>Les **Moyennes Mobiles** (MM20 à 4 494,75 FCFA et MM50 à 4 457 FCFA) sont toutes deux supérieures au cours actuel de 4 400 FCFA, ce qui indique une tendance baissière à court et moyen terme. Cependant, la décision technique globale est "Achat", probablement en raison de la proximité du cours avec ces moyennes, suggérant un potentiel de rebond technique. Les **Bandes de Bollinger** montrent un cours (4 400 FCFA) positionné près de la borne inférieure (4 292,51 FCFA), avec une borne supérieure à 4 696,99 FCFA. Cette position indique une pression vendeuse, mais le signal "Neutre" suggère que le marché n'est pas encore en situation de survente extrême. Le **MACD** affiche une valeur négative (-3,30) inférieure à son signal (14,84), confirmant un momentum baissier clair avec une divergence négative, d'où la décision "Vente". Le **RSI** à 27,10 est en zone de survente (&lt;30), signalant que le titre est techniquement survendu et pourrait connaître un rebond technique à court terme, justifiant la décision "Achat". Enfin, le **Stochastique** avec %K à 0 et %D à 17,69 indique une condition de survente extrême, renforçant le signal d'achat technique. En conclusion technique, les indicateurs sont mitigés : les moyennes mobiles et le MACD pointent vers une faiblesse persistante, tandis que les oscillateurs (RSI et Stochastique) suggèrent un potentiel de rebond imminent. Cette divergence crée une zone d'incertitude, mais les signaux de survente pourraient prévaloir à très court terme.</w:t>
      </w:r>
    </w:p>
    <w:p>
      <w:pPr>
        <w:spacing w:after="120" w:line="276" w:lineRule="auto" w:before="240"/>
      </w:pPr>
      <w:r>
        <w:rPr>
          <w:b/>
          <w:color w:val="003366"/>
          <w:sz w:val="24"/>
        </w:rPr>
        <w:t>**PARTIE 3 : ANALYSE FONDAMENTALE (SECTION CRITIQUE)**</w:t>
      </w:r>
    </w:p>
    <w:p>
      <w:pPr>
        <w:spacing w:after="120" w:line="276" w:lineRule="auto"/>
      </w:pPr>
      <w:r>
        <w:t>En 2025, selon les données structurées officielles, PRSC a réalisé un chiffre d'affaires de 81,127 milliards FCFA, en croissance de +8,6% par rapport à 2024, avec un résultat net de 2,367 milliards FCFA. La rentabilité des fonds propres (ROE) s'établit à un excellent niveau de 20,53%, tandis que le ROA est plus modeste à 4,95%, reflétant une lourde base d'actifs (47,8 milliards FCFA). En tant qu'entreprise de distribution automobile, l'analyse du BFR est cruciale : le délai de paiement des clients (45,99 jours) est inférieur au délai de règlement des fournisseurs (102,65 jours), ce qui constitue un avantage de trésorerie significatif. Cependant, la durée de stockage de 150,51 jours est élevée, immobilisant un capital important dans les stocks (26,33 milliards FCFA). Le rapport annuel 2025 (daté du 31/12/2025) confirme cette performance avec un résultat net stable à 2,37 milliards FCFA et une marge commerciale en progression de 23%. Le rapport du S1 2025 (30/06/2025) montrait déjà une dynamique exceptionnelle avec un CA en hausse de +15,1% et un résultat net multiplié par 28, mais la direction anticipait un ralentissement au S2 en raison du contexte électoral. Les capitaux propres se renforcent à 11,6 milliards FCFA, et la société propose un dividende de 209 FCFA par action pour 2025, soit un rendement attractif. La structure financière demeure équilibrée avec une solvabilité générale de 131,76%, malgré un endettement total représentant 314% des capitaux propres, un niveau élevé mais gérable. Globalement, la recommandation fondamentale est "Conserver", avec une solidité financière avérée mais une marge nette modeste (2,9%) et une dépendance au marché automobile ivoirien.</w:t>
      </w:r>
    </w:p>
    <w:p>
      <w:pPr>
        <w:spacing w:after="120" w:line="276" w:lineRule="auto" w:before="240"/>
      </w:pPr>
      <w:r>
        <w:rPr>
          <w:b/>
          <w:color w:val="003366"/>
          <w:sz w:val="24"/>
        </w:rPr>
        <w:t>**PARTIE 4 : CONCLUSION D'INVESTISSEMENT**</w:t>
      </w:r>
    </w:p>
    <w:p>
      <w:pPr>
        <w:spacing w:after="120" w:line="276" w:lineRule="auto"/>
      </w:pPr>
      <w:r>
        <w:t>La valorisation boursière de PRSC (PER de 19,0x, P/B de 3,91x) apparaît exigeante par rapport aux standards BRVM, indiquant une possible surévaluation malgré des fondamentaux corrects. Le comportement du cours sur 100 jours est préoccupant avec une chute de -15,38%, une volatilité élevée (41,5%) et un skewness négatif, bien que les statistiques montrent une distribution relativement normale. Les signaux techniques sont contradictoires : les moyennes mobiles et le MACD suggèrent une faiblesse persistante, tandis que le RSI (27,1) et le Stochastique (%K=0) indiquent une survente extrême, laissant présager un rebond technique. Sur le plan fondamental, la société affiche une croissance solide du CA (+8,6% en 2025), un ROE excellent (20,5%) et une politique de dividende attractive (209 FCFA/action), mais une marge nette faible et un BFR élevé constituent des risques. Les prédictions IA pour les 10 prochains jours (4 391 à 4 305 FCFA) confirment une tendance baissière continue, contredisant les signaux de survente technique. En synthèse, la convergence entre la valorisation élevée, la tendance baissière du cours et les prédictions IA défavorables l'emporte sur les signaux de rebond technique et les fondamentaux corrects. **Recommandation finale : VENTE**, avec un niveau de confiance **Moyen** et un risque global **Élevé**. L'horizon d'investissement optimal serait à court terme (&lt;3 mois) pour les investisseurs cherchant à réduire leur exposition, tandis que les investisseurs à long terme pourraient attendre un point d'entrée plus favorable sous les 4 000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39.06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7,311 titres</w:t>
            </w:r>
          </w:p>
        </w:tc>
        <w:tc>
          <w:tcPr>
            <w:tcW w:type="dxa" w:w="2268"/>
            <w:shd w:fill="FFF2CC" w:val="clear"/>
          </w:tcPr>
          <w:p>
            <w:r>
              <w:rPr>
                <w:b/>
                <w:color w:val="503200"/>
                <w:sz w:val="16"/>
              </w:rPr>
              <w:t xml:space="preserve">Cours actuel : </w:t>
            </w:r>
            <w:r>
              <w:rPr>
                <w:color w:val="000000"/>
                <w:sz w:val="17"/>
              </w:rPr>
              <w:t>4,810 FCFA</w:t>
            </w:r>
          </w:p>
          <w:p>
            <w:r>
              <w:rPr>
                <w:b/>
                <w:color w:val="503200"/>
                <w:sz w:val="16"/>
              </w:rPr>
              <w:t xml:space="preserve">Var. 100 jours : </w:t>
            </w:r>
            <w:r>
              <w:rPr>
                <w:b/>
                <w:color w:val="B40000"/>
                <w:sz w:val="17"/>
              </w:rPr>
              <w:t>-19.83%</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23.59% (Élevée) — μ=4,803 FCFA, σ=1,133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β=0.1698 (Défensif) — Cov=0.000006, Var(idx)=0.000036, ρ=0.019,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7,311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σ_j=5.26%/j (Instable) — Vol. annualisée≈83.6%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2026-08-12</w:t>
            </w:r>
          </w:p>
        </w:tc>
        <w:tc>
          <w:tcPr>
            <w:tcW w:type="dxa" w:w="1440"/>
            <w:shd w:fill="FFDCE0" w:val="clear"/>
          </w:tcPr>
          <w:p>
            <w:r>
              <w:rPr>
                <w:sz w:val="17"/>
              </w:rPr>
              <w:t>4,200</w:t>
            </w:r>
          </w:p>
        </w:tc>
        <w:tc>
          <w:tcPr>
            <w:tcW w:type="dxa" w:w="1440"/>
            <w:shd w:fill="FFDCE0" w:val="clear"/>
          </w:tcPr>
          <w:p>
            <w:r>
              <w:rPr>
                <w:b/>
                <w:sz w:val="17"/>
              </w:rPr>
              <w:t>4,449</w:t>
            </w:r>
          </w:p>
        </w:tc>
        <w:tc>
          <w:tcPr>
            <w:tcW w:type="dxa" w:w="1440"/>
            <w:shd w:fill="FFDCE0" w:val="clear"/>
          </w:tcPr>
          <w:p>
            <w:r>
              <w:rPr>
                <w:sz w:val="17"/>
              </w:rPr>
              <w:t>4,698</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3,790</w:t>
            </w:r>
          </w:p>
        </w:tc>
        <w:tc>
          <w:tcPr>
            <w:tcW w:type="dxa" w:w="1440"/>
            <w:shd w:fill="FFDCE0" w:val="clear"/>
          </w:tcPr>
          <w:p>
            <w:r>
              <w:rPr>
                <w:b/>
                <w:sz w:val="17"/>
              </w:rPr>
              <w:t>4,116</w:t>
            </w:r>
          </w:p>
        </w:tc>
        <w:tc>
          <w:tcPr>
            <w:tcW w:type="dxa" w:w="1440"/>
            <w:shd w:fill="FFDCE0" w:val="clear"/>
          </w:tcPr>
          <w:p>
            <w:r>
              <w:rPr>
                <w:sz w:val="17"/>
              </w:rPr>
              <w:t>4,442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3,438</w:t>
            </w:r>
          </w:p>
        </w:tc>
        <w:tc>
          <w:tcPr>
            <w:tcW w:type="dxa" w:w="1440"/>
            <w:shd w:fill="FFDCE0" w:val="clear"/>
          </w:tcPr>
          <w:p>
            <w:r>
              <w:rPr>
                <w:b/>
                <w:sz w:val="17"/>
              </w:rPr>
              <w:t>3,807</w:t>
            </w:r>
          </w:p>
        </w:tc>
        <w:tc>
          <w:tcPr>
            <w:tcW w:type="dxa" w:w="1440"/>
            <w:shd w:fill="FFDCE0" w:val="clear"/>
          </w:tcPr>
          <w:p>
            <w:r>
              <w:rPr>
                <w:sz w:val="17"/>
              </w:rPr>
              <w:t>4,176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3,127</w:t>
            </w:r>
          </w:p>
        </w:tc>
        <w:tc>
          <w:tcPr>
            <w:tcW w:type="dxa" w:w="1440"/>
            <w:shd w:fill="FFDCE0" w:val="clear"/>
          </w:tcPr>
          <w:p>
            <w:r>
              <w:rPr>
                <w:b/>
                <w:sz w:val="17"/>
              </w:rPr>
              <w:t>3,521</w:t>
            </w:r>
          </w:p>
        </w:tc>
        <w:tc>
          <w:tcPr>
            <w:tcW w:type="dxa" w:w="1440"/>
            <w:shd w:fill="FFDCE0" w:val="clear"/>
          </w:tcPr>
          <w:p>
            <w:r>
              <w:rPr>
                <w:sz w:val="17"/>
              </w:rPr>
              <w:t>3,916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2,849</w:t>
            </w:r>
          </w:p>
        </w:tc>
        <w:tc>
          <w:tcPr>
            <w:tcW w:type="dxa" w:w="1440"/>
            <w:shd w:fill="FFDCE0" w:val="clear"/>
          </w:tcPr>
          <w:p>
            <w:r>
              <w:rPr>
                <w:b/>
                <w:sz w:val="17"/>
              </w:rPr>
              <w:t>3,257</w:t>
            </w:r>
          </w:p>
        </w:tc>
        <w:tc>
          <w:tcPr>
            <w:tcW w:type="dxa" w:w="1440"/>
            <w:shd w:fill="FFDCE0" w:val="clear"/>
          </w:tcPr>
          <w:p>
            <w:r>
              <w:rPr>
                <w:sz w:val="17"/>
              </w:rPr>
              <w:t>3,665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2,600</w:t>
            </w:r>
          </w:p>
        </w:tc>
        <w:tc>
          <w:tcPr>
            <w:tcW w:type="dxa" w:w="1440"/>
            <w:shd w:fill="FFDCE0" w:val="clear"/>
          </w:tcPr>
          <w:p>
            <w:r>
              <w:rPr>
                <w:b/>
                <w:sz w:val="17"/>
              </w:rPr>
              <w:t>3,013</w:t>
            </w:r>
          </w:p>
        </w:tc>
        <w:tc>
          <w:tcPr>
            <w:tcW w:type="dxa" w:w="1440"/>
            <w:shd w:fill="FFDCE0" w:val="clear"/>
          </w:tcPr>
          <w:p>
            <w:r>
              <w:rPr>
                <w:sz w:val="17"/>
              </w:rPr>
              <w:t>3,426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2,374</w:t>
            </w:r>
          </w:p>
        </w:tc>
        <w:tc>
          <w:tcPr>
            <w:tcW w:type="dxa" w:w="1440"/>
            <w:shd w:fill="FFDCE0" w:val="clear"/>
          </w:tcPr>
          <w:p>
            <w:r>
              <w:rPr>
                <w:b/>
                <w:sz w:val="17"/>
              </w:rPr>
              <w:t>2,787</w:t>
            </w:r>
          </w:p>
        </w:tc>
        <w:tc>
          <w:tcPr>
            <w:tcW w:type="dxa" w:w="1440"/>
            <w:shd w:fill="FFDCE0" w:val="clear"/>
          </w:tcPr>
          <w:p>
            <w:r>
              <w:rPr>
                <w:sz w:val="17"/>
              </w:rPr>
              <w:t>3,200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2,170</w:t>
            </w:r>
          </w:p>
        </w:tc>
        <w:tc>
          <w:tcPr>
            <w:tcW w:type="dxa" w:w="1440"/>
            <w:shd w:fill="FFDCE0" w:val="clear"/>
          </w:tcPr>
          <w:p>
            <w:r>
              <w:rPr>
                <w:b/>
                <w:sz w:val="17"/>
              </w:rPr>
              <w:t>2,578</w:t>
            </w:r>
          </w:p>
        </w:tc>
        <w:tc>
          <w:tcPr>
            <w:tcW w:type="dxa" w:w="1440"/>
            <w:shd w:fill="FFDCE0" w:val="clear"/>
          </w:tcPr>
          <w:p>
            <w:r>
              <w:rPr>
                <w:sz w:val="17"/>
              </w:rPr>
              <w:t>2,986</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1,984</w:t>
            </w:r>
          </w:p>
        </w:tc>
        <w:tc>
          <w:tcPr>
            <w:tcW w:type="dxa" w:w="1440"/>
            <w:shd w:fill="FFDCE0" w:val="clear"/>
          </w:tcPr>
          <w:p>
            <w:r>
              <w:rPr>
                <w:b/>
                <w:sz w:val="17"/>
              </w:rPr>
              <w:t>2,385</w:t>
            </w:r>
          </w:p>
        </w:tc>
        <w:tc>
          <w:tcPr>
            <w:tcW w:type="dxa" w:w="1440"/>
            <w:shd w:fill="FFDCE0" w:val="clear"/>
          </w:tcPr>
          <w:p>
            <w:r>
              <w:rPr>
                <w:sz w:val="17"/>
              </w:rPr>
              <w:t>2,785</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1,815</w:t>
            </w:r>
          </w:p>
        </w:tc>
        <w:tc>
          <w:tcPr>
            <w:tcW w:type="dxa" w:w="1440"/>
            <w:shd w:fill="FFDCE0" w:val="clear"/>
          </w:tcPr>
          <w:p>
            <w:r>
              <w:rPr>
                <w:b/>
                <w:sz w:val="17"/>
              </w:rPr>
              <w:t>2,206</w:t>
            </w:r>
          </w:p>
        </w:tc>
        <w:tc>
          <w:tcPr>
            <w:tcW w:type="dxa" w:w="1440"/>
            <w:shd w:fill="FFDCE0" w:val="clear"/>
          </w:tcPr>
          <w:p>
            <w:r>
              <w:rPr>
                <w:sz w:val="17"/>
              </w:rPr>
              <w:t>2,596</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de l'analyse : 11 août 2026**</w:t>
        <w:br/>
        <w:t>**Cours de référence : 4 810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39,06 milliards FCFA, un niveau modeste dans l'écosystème de la BRVM, reflétant le profil de petite capitalisation de la société. Avec un BPA de 86 FCFA, le titre se négocie à un PER de 55,7x, soit près de cinq fois la moyenne historique du marché régional (8-12x). Cette valorisation extrêmement élevée suggère que les investisseurs anticipent une poursuite du redressement spectaculaire de la rentabilité, intégrant des bénéfices futurs bien supérieurs aux niveaux actuels. Le P/B de 6,60x confirme cette prime substantielle par rapport à la valeur comptable, le marché valorisant fortement le potentiel de croissance post-restructuration. Enfin, l'EV/EBITDA de 76,6x apparaît totalement déconnecté des fondamentaux opérationnels actuels, indiquant une valorisation très exigeante qui laisse peu de place à l'erreur.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 enregistré une dépréciation de 19,83%, avec une chute de 3,61% lors de la dernière séance, s'établissant à 4 810 FCFA. Le cours a évolué dans une fourchette extrêmement large de 3 340 à 7 555 FCFA, illustrant une volatilité exceptionnelle. La moyenne (4 803 FCFA) et la médiane (4 505 FCFA) sont proches, mais le skewness positif de 0,902 indique que les journées sous la moyenne ont été plus fréquentes, avec quelques fortes hausses ponctuelles. Le kurtosis de -0,205 (mésokurtique) suggère une distribution proche de la normale, sans risque de pics extrêmes particuliers. L'écart-type de 1 139 FCFA (CV de 23,7%) témoigne d'une dispersion importante, tandis que la volatilité annualisée de 83,6% classe le titre parmi les plus risqués de la place, très au-dessus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(4 810 FCFA) se positionne au-dessus de la MM20 (4 783 FCFA) et nettement au-dessus de la MM50 (4 439 FCFA), configuration typiquement haussière à moyen terme. La décision d'achat générée par ce croisement suggère que la tendance de fond reste positive, malgré le récent repli, le titre ayant réussi à se maintenir au-dessus de ses moyennes mobiles clés.</w:t>
      </w:r>
    </w:p>
    <w:p>
      <w:pPr>
        <w:spacing w:after="120" w:line="276" w:lineRule="auto"/>
      </w:pPr>
      <w:r>
        <w:t>**Bandes de Bollinger :** Le prix évolue dans la partie médiane du canal, entre la borne supérieure (5 481 FCFA) et la borne inférieure (4 086 FCFA), avec une largeur de bandes reflétant la forte volatilité du titre. La position neutre du cours indique une phase de consolidation après les mouvements violents, sans signal directionnel clair. Un test des bornes pourrait intervenir dans les prochaines séances.</w:t>
      </w:r>
    </w:p>
    <w:p>
      <w:pPr>
        <w:spacing w:after="120" w:line="276" w:lineRule="auto"/>
      </w:pPr>
      <w:r>
        <w:t>**MACD :** La valeur du MACD (185,51) est inférieure à son signal (198,51), générant une décision de vente. Cette configuration baissière à court terme suggère un affaiblissement du momentum, les deux lignes évoluant toutefois en territoire positif, ce qui nuance le signal et indique une possible correction au sein d'une tendance haussière plus large.</w:t>
      </w:r>
    </w:p>
    <w:p>
      <w:pPr>
        <w:spacing w:after="120" w:line="276" w:lineRule="auto"/>
      </w:pPr>
      <w:r>
        <w:t>**RSI :** À 59,26, le RSI se situe en zone neutre (30-70), sans signal de surachat ni de survente. Cette lecture indique que le titre dispose d'une marge de manœuvre dans les deux sens, sans pression excessive des acheteurs ou des vendeurs. Le RSI n'émet donc pas de signal directionnel fort à ce stade.</w:t>
      </w:r>
    </w:p>
    <w:p>
      <w:pPr>
        <w:spacing w:after="120" w:line="276" w:lineRule="auto"/>
      </w:pPr>
      <w:r>
        <w:t>**Stochastique :** Le %K (32,30) est inférieur au %D (61,86), configuration baissière indiquant un momentum négatif à court terme. Le croisement de ces deux lignes en zone neutre suggère une possible poursuite de la consolidation, mais sans signal de survente extrême qui pourrait déclencher un rebond technique.</w:t>
      </w:r>
    </w:p>
    <w:p>
      <w:pPr>
        <w:spacing w:after="120" w:line="276" w:lineRule="auto"/>
      </w:pPr>
      <w:r>
        <w:t>**Conclusion technique :** Les indicateurs techniques présentent un tableau contrasté : les moyennes mobiles plaident pour une tendance haussière de fond, tandis que le MACD et le Stochastique signalent une faiblesse à court terme. Le RSI neutre et les bandes de Bollinger sans direction confirment une phase de consolidation. La prudence est donc de mise, avec un biais légèrement baissier à très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SAFC a réalisé un PNB de 5,735 milliards FCFA, en hausse de 44,1% par rapport à 2024 (3,980 milliards FCFA), et dégagé un résultat net positif de 701 millions FCFA, contre une perte de 165 millions en 2024. Le ROE s'établit à 11,85% et le ROA à 0,88%. Le coefficient d'exploitation de 77,6% reste élevé, indiquant une efficacité opérationnelle encore perfectible. Le coût du risque de 6,57% demeure significatif, reflétant la qualité encore fragile du portefeuille de crédits (créances clientèle de 60,476 milliards FCFA). La structure de financement repose lourdement sur les dettes interbancaires (35,747 milliards FCFA), tandis que les dépôts clientèle ne représentent que 9,112 milliards, créant un déséquilibre de transformation préoccupant. Les capitaux propres de 5,916 milliards FCFA ne couvrent que 7,4% du bilan, un niveau de solvabilité faible.</w:t>
      </w:r>
    </w:p>
    <w:p>
      <w:pPr>
        <w:spacing w:after="120" w:line="276" w:lineRule="auto"/>
      </w:pPr>
      <w:r>
        <w:t>**Estimations basées sur les rapports trimestriels :** Le rapport T1 2026 (publié en 2026) confirme la dynamique avec un PNB de 1,395 milliards FCFA (+29% vs T1 2025) et un résultat net de 151 millions FCFA, contre 13 millions un an plus tôt. Le coût du risque s'est spectaculairement réduit de 75%, passant à -22 millions FCFA. Sur cette base, on estime que l'exercice 2026 pourrait dépasser les performances de 2025, avec un PNB annuel potentiel de 5,5 à 6 milliards FCFA et un résultat net de 600 à 700 millions FCFA. Les rapports de 2025 (exercice 2024) et de 2026 (T1 2026) montrent une trajectoire de redressement solide, portée par l'arrivée de CREDAF Group comme actionnaire principal en avril 2025. La recommandation fondamentale est **CONSERVER**, la solidité financière restant fragile malgré des perspectives encourageantes.</w:t>
      </w:r>
    </w:p>
    <w:p>
      <w:pPr>
        <w:spacing w:after="120" w:line="276" w:lineRule="auto"/>
      </w:pPr>
      <w:r>
        <w:t>---</w:t>
      </w:r>
    </w:p>
    <w:p>
      <w:pPr>
        <w:spacing w:after="120" w:line="276" w:lineRule="auto"/>
      </w:pPr>
      <w:r>
        <w:t>### PARTIE 4 : CONCLUSION D'INVESTISSEMENT</w:t>
      </w:r>
    </w:p>
    <w:p>
      <w:pPr>
        <w:spacing w:after="120" w:line="276" w:lineRule="auto"/>
      </w:pPr>
      <w:r>
        <w:t>La valorisation de SAFC (PER 55,7x, P/B 6,60x, EV/EBITDA 76,6x) apparaît extrêmement exigeante, intégrant un scénario de redressement déjà largement anticipé par le marché. Le comportement du cours sur 100 jours (-19,83%) avec une volatilité annualisée de 83,6% témoigne d'un titre spéculatif, dont les statistiques descriptives (skewness positif, kurtosis mésokurtique) révèlent une distribution erratique des rendements. Les signaux techniques sont mitigés : les moyennes mobiles restent haussières, mais le MACD et le Stochastique indiquent une faiblesse à court terme. Les fondamentaux montrent un redressement réel (résultat net positif en 2025 et T1 2026), mais la structure financière demeure fragile avec des capitaux propres insuffisants. Les prédictions IA (J+1 à J+10) projetant une chute à 3 257 FCFA (-32%) contredisent fortement les signaux techniques et fondamentaux, suggérant une correction violente potentielle. **Recommandation finale : VENTE** — la convergence entre la valorisation excessive, la volatilité extrême et les prédictions IA baissières l'emporte sur les fondamentaux en amélioration. Niveau de confiance : **Moyen** ; Risque global : **Élevé** ; Horizon d'investissement optimal : **court terme (&lt;3 mois)** pour les investisseurs spéculatifs, avec un stop-loss strict.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71.74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12,323 titres</w:t>
            </w:r>
          </w:p>
        </w:tc>
        <w:tc>
          <w:tcPr>
            <w:tcW w:type="dxa" w:w="2268"/>
            <w:shd w:fill="FFF2CC" w:val="clear"/>
          </w:tcPr>
          <w:p>
            <w:r>
              <w:rPr>
                <w:b/>
                <w:color w:val="503200"/>
                <w:sz w:val="16"/>
              </w:rPr>
              <w:t xml:space="preserve">Cours actuel : </w:t>
            </w:r>
            <w:r>
              <w:rPr>
                <w:color w:val="000000"/>
                <w:sz w:val="17"/>
              </w:rPr>
              <w:t>3,660 FCFA</w:t>
            </w:r>
          </w:p>
          <w:p>
            <w:r>
              <w:rPr>
                <w:b/>
                <w:color w:val="503200"/>
                <w:sz w:val="16"/>
              </w:rPr>
              <w:t xml:space="preserve">Var. 100 jours : </w:t>
            </w:r>
            <w:r>
              <w:rPr>
                <w:b/>
                <w:color w:val="007800"/>
                <w:sz w:val="17"/>
              </w:rPr>
              <w:t>+145.64%</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1,455 FCFA</w:t>
            </w:r>
          </w:p>
          <w:p>
            <w:r>
              <w:rPr>
                <w:b/>
                <w:color w:val="503200"/>
                <w:sz w:val="16"/>
              </w:rPr>
              <w:t xml:space="preserve">Volatilité ann. : </w:t>
            </w:r>
            <w:r>
              <w:rPr>
                <w:color w:val="000000"/>
                <w:sz w:val="17"/>
              </w:rPr>
              <w:t>58.0%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27.52% (Élevée) — μ=2,694 FCFA, σ=741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β=0.3805 (Défensif) — Cov=0.000014, Var(idx)=0.000036, ρ=0.062,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12,323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2026-08-12</w:t>
            </w:r>
          </w:p>
        </w:tc>
        <w:tc>
          <w:tcPr>
            <w:tcW w:type="dxa" w:w="1440"/>
            <w:shd w:fill="FFDCE0" w:val="clear"/>
          </w:tcPr>
          <w:p>
            <w:r>
              <w:rPr>
                <w:sz w:val="17"/>
              </w:rPr>
              <w:t>3,203</w:t>
            </w:r>
          </w:p>
        </w:tc>
        <w:tc>
          <w:tcPr>
            <w:tcW w:type="dxa" w:w="1440"/>
            <w:shd w:fill="FFDCE0" w:val="clear"/>
          </w:tcPr>
          <w:p>
            <w:r>
              <w:rPr>
                <w:b/>
                <w:sz w:val="17"/>
              </w:rPr>
              <w:t>3,386</w:t>
            </w:r>
          </w:p>
        </w:tc>
        <w:tc>
          <w:tcPr>
            <w:tcW w:type="dxa" w:w="1440"/>
            <w:shd w:fill="FFDCE0" w:val="clear"/>
          </w:tcPr>
          <w:p>
            <w:r>
              <w:rPr>
                <w:sz w:val="17"/>
              </w:rPr>
              <w:t>3,568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2026-08-13</w:t>
            </w:r>
          </w:p>
        </w:tc>
        <w:tc>
          <w:tcPr>
            <w:tcW w:type="dxa" w:w="1440"/>
            <w:shd w:fill="FFDCE0" w:val="clear"/>
          </w:tcPr>
          <w:p>
            <w:r>
              <w:rPr>
                <w:sz w:val="17"/>
              </w:rPr>
              <w:t>2,893</w:t>
            </w:r>
          </w:p>
        </w:tc>
        <w:tc>
          <w:tcPr>
            <w:tcW w:type="dxa" w:w="1440"/>
            <w:shd w:fill="FFDCE0" w:val="clear"/>
          </w:tcPr>
          <w:p>
            <w:r>
              <w:rPr>
                <w:b/>
                <w:sz w:val="17"/>
              </w:rPr>
              <w:t>3,132</w:t>
            </w:r>
          </w:p>
        </w:tc>
        <w:tc>
          <w:tcPr>
            <w:tcW w:type="dxa" w:w="1440"/>
            <w:shd w:fill="FFDCE0" w:val="clear"/>
          </w:tcPr>
          <w:p>
            <w:r>
              <w:rPr>
                <w:sz w:val="17"/>
              </w:rPr>
              <w:t>3,370</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2026-08-14</w:t>
            </w:r>
          </w:p>
        </w:tc>
        <w:tc>
          <w:tcPr>
            <w:tcW w:type="dxa" w:w="1440"/>
            <w:shd w:fill="FFDCE0" w:val="clear"/>
          </w:tcPr>
          <w:p>
            <w:r>
              <w:rPr>
                <w:sz w:val="17"/>
              </w:rPr>
              <w:t>2,626</w:t>
            </w:r>
          </w:p>
        </w:tc>
        <w:tc>
          <w:tcPr>
            <w:tcW w:type="dxa" w:w="1440"/>
            <w:shd w:fill="FFDCE0" w:val="clear"/>
          </w:tcPr>
          <w:p>
            <w:r>
              <w:rPr>
                <w:b/>
                <w:sz w:val="17"/>
              </w:rPr>
              <w:t>2,897</w:t>
            </w:r>
          </w:p>
        </w:tc>
        <w:tc>
          <w:tcPr>
            <w:tcW w:type="dxa" w:w="1440"/>
            <w:shd w:fill="FFDCE0" w:val="clear"/>
          </w:tcPr>
          <w:p>
            <w:r>
              <w:rPr>
                <w:sz w:val="17"/>
              </w:rPr>
              <w:t>3,167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2,390</w:t>
            </w:r>
          </w:p>
        </w:tc>
        <w:tc>
          <w:tcPr>
            <w:tcW w:type="dxa" w:w="1440"/>
            <w:shd w:fill="FFDCE0" w:val="clear"/>
          </w:tcPr>
          <w:p>
            <w:r>
              <w:rPr>
                <w:b/>
                <w:sz w:val="17"/>
              </w:rPr>
              <w:t>2,679</w:t>
            </w:r>
          </w:p>
        </w:tc>
        <w:tc>
          <w:tcPr>
            <w:tcW w:type="dxa" w:w="1440"/>
            <w:shd w:fill="FFDCE0" w:val="clear"/>
          </w:tcPr>
          <w:p>
            <w:r>
              <w:rPr>
                <w:sz w:val="17"/>
              </w:rPr>
              <w:t>2,969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2,180</w:t>
            </w:r>
          </w:p>
        </w:tc>
        <w:tc>
          <w:tcPr>
            <w:tcW w:type="dxa" w:w="1440"/>
            <w:shd w:fill="FFDCE0" w:val="clear"/>
          </w:tcPr>
          <w:p>
            <w:r>
              <w:rPr>
                <w:b/>
                <w:sz w:val="17"/>
              </w:rPr>
              <w:t>2,478</w:t>
            </w:r>
          </w:p>
        </w:tc>
        <w:tc>
          <w:tcPr>
            <w:tcW w:type="dxa" w:w="1440"/>
            <w:shd w:fill="FFDCE0" w:val="clear"/>
          </w:tcPr>
          <w:p>
            <w:r>
              <w:rPr>
                <w:sz w:val="17"/>
              </w:rPr>
              <w:t>2,777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1,990</w:t>
            </w:r>
          </w:p>
        </w:tc>
        <w:tc>
          <w:tcPr>
            <w:tcW w:type="dxa" w:w="1440"/>
            <w:shd w:fill="FFDCE0" w:val="clear"/>
          </w:tcPr>
          <w:p>
            <w:r>
              <w:rPr>
                <w:b/>
                <w:sz w:val="17"/>
              </w:rPr>
              <w:t>2,293</w:t>
            </w:r>
          </w:p>
        </w:tc>
        <w:tc>
          <w:tcPr>
            <w:tcW w:type="dxa" w:w="1440"/>
            <w:shd w:fill="FFDCE0" w:val="clear"/>
          </w:tcPr>
          <w:p>
            <w:r>
              <w:rPr>
                <w:sz w:val="17"/>
              </w:rPr>
              <w:t>2,596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1,818</w:t>
            </w:r>
          </w:p>
        </w:tc>
        <w:tc>
          <w:tcPr>
            <w:tcW w:type="dxa" w:w="1440"/>
            <w:shd w:fill="FFDCE0" w:val="clear"/>
          </w:tcPr>
          <w:p>
            <w:r>
              <w:rPr>
                <w:b/>
                <w:sz w:val="17"/>
              </w:rPr>
              <w:t>2,121</w:t>
            </w:r>
          </w:p>
        </w:tc>
        <w:tc>
          <w:tcPr>
            <w:tcW w:type="dxa" w:w="1440"/>
            <w:shd w:fill="FFDCE0" w:val="clear"/>
          </w:tcPr>
          <w:p>
            <w:r>
              <w:rPr>
                <w:sz w:val="17"/>
              </w:rPr>
              <w:t>2,423</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1,662</w:t>
            </w:r>
          </w:p>
        </w:tc>
        <w:tc>
          <w:tcPr>
            <w:tcW w:type="dxa" w:w="1440"/>
            <w:shd w:fill="FFDCE0" w:val="clear"/>
          </w:tcPr>
          <w:p>
            <w:r>
              <w:rPr>
                <w:b/>
                <w:sz w:val="17"/>
              </w:rPr>
              <w:t>1,962</w:t>
            </w:r>
          </w:p>
        </w:tc>
        <w:tc>
          <w:tcPr>
            <w:tcW w:type="dxa" w:w="1440"/>
            <w:shd w:fill="FFDCE0" w:val="clear"/>
          </w:tcPr>
          <w:p>
            <w:r>
              <w:rPr>
                <w:sz w:val="17"/>
              </w:rPr>
              <w:t>2,261</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1,521</w:t>
            </w:r>
          </w:p>
        </w:tc>
        <w:tc>
          <w:tcPr>
            <w:tcW w:type="dxa" w:w="1440"/>
            <w:shd w:fill="FFDCE0" w:val="clear"/>
          </w:tcPr>
          <w:p>
            <w:r>
              <w:rPr>
                <w:b/>
                <w:sz w:val="17"/>
              </w:rPr>
              <w:t>1,814</w:t>
            </w:r>
          </w:p>
        </w:tc>
        <w:tc>
          <w:tcPr>
            <w:tcW w:type="dxa" w:w="1440"/>
            <w:shd w:fill="FFDCE0" w:val="clear"/>
          </w:tcPr>
          <w:p>
            <w:r>
              <w:rPr>
                <w:sz w:val="17"/>
              </w:rPr>
              <w:t>2,108</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1,392</w:t>
            </w:r>
          </w:p>
        </w:tc>
        <w:tc>
          <w:tcPr>
            <w:tcW w:type="dxa" w:w="1440"/>
            <w:shd w:fill="FFDCE0" w:val="clear"/>
          </w:tcPr>
          <w:p>
            <w:r>
              <w:rPr>
                <w:b/>
                <w:sz w:val="17"/>
              </w:rPr>
              <w:t>1,678</w:t>
            </w:r>
          </w:p>
        </w:tc>
        <w:tc>
          <w:tcPr>
            <w:tcW w:type="dxa" w:w="1440"/>
            <w:shd w:fill="FFDCE0" w:val="clear"/>
          </w:tcPr>
          <w:p>
            <w:r>
              <w:rPr>
                <w:sz w:val="17"/>
              </w:rPr>
              <w:t>1,965</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Absolument. Voici un rapport d'analyse professionnel structuré en quatre parties sur l'action SCRC (SUCRIVOIRE)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71,74 milliards FCFA, un niveau significatif qui la place parmi les valeurs moyennes de la BRVM. Le BPA étant négatif à -406 FCFA, le PER est logiquement négatif (-9,0x), indiquant que la société est déficitaire et que les investisseurs ne paient pas pour des bénéfices actuels, mais pour un potentiel de redressement. Le P/B de 4,16x est particulièrement exigeant, car le marché valorise l'action à plus de quatre fois sa valeur comptable, malgré des capitaux propres en érosion. Enfin, l'EV/EBITDA de 11,0x, bien que dans une fourchette élevée, suggère que la valeur totale de l'entreprise (dette incluse) reste soutenable par rapport à sa capacité opérationnelle brute (EBE), ce qui est un point légèrement positif dans un tableau globalement préoccupant.</w:t>
      </w:r>
    </w:p>
    <w:p>
      <w:pPr>
        <w:spacing w:after="120" w:line="276" w:lineRule="auto"/>
      </w:pPr>
      <w:r>
        <w:t>### PARTIE 1 : ANALYSE DU COURS — STATISTIQUES ET ÉVOLUTION (100 derniers jours)</w:t>
      </w:r>
    </w:p>
    <w:p>
      <w:pPr>
        <w:spacing w:after="120" w:line="276" w:lineRule="auto"/>
      </w:pPr>
      <w:r>
        <w:t>Sur les 100 derniers jours, l'action SCRC a connu une hausse spectaculaire de +145,64%, clôturant à 3 660 FCFA, avec une progression de +1,10% lors de la dernière séance. Le cours a évolué dans une fourchette très large, entre un plus bas de 1 455 FCFA et un plus haut de 3 920 FCFA, illustrant une volatilité extrême et un intérêt spéculatif marqué. La moyenne (2 694 FCFA) est inférieure à la médiane (2 778 FCFA), ce qui suggère une asymétrie positive de la distribution des prix, avec des valeurs extrêmes tirant la moyenne vers le haut. L'écart-type de 745 FCFA (CV=27,7%) confirme une dispersion élevée des cours autour de la moyenne. Le kurtosis négatif (-1.376) indique une distribution "aplatie" avec moins de valeurs extrêmes que la normale, tandis que le skewness proche de zéro (-0.066) suggère une distribution relativement symétrique. La volatilité annualisée de 58,0% est extrêmement élevée, positionnant SCRC comme un actif à très haut risque, bien au-delà du seuil de 30% considéré comme élevé.</w:t>
      </w:r>
    </w:p>
    <w:p>
      <w:pPr>
        <w:spacing w:after="120" w:line="276" w:lineRule="auto"/>
      </w:pPr>
      <w:r>
        <w:t>### PARTIE 2 : ANALYSE TECHNIQUE DÉTAILLÉE</w:t>
      </w:r>
    </w:p>
    <w:p>
      <w:pPr>
        <w:spacing w:after="120" w:line="276" w:lineRule="auto"/>
      </w:pPr>
      <w:r>
        <w:t>**Moyennes Mobiles** : Le cours actuel (3 660 FCFA) est supérieur à la MM20 (3 632,5 FCFA) et à la MM50 (3 354,5 FCFA). Cette configuration haussière, où le prix est au-dessus des deux moyennes, confirme une tendance de fond positive à court et moyen terme, justifiant la décision d'achat.</w:t>
      </w:r>
    </w:p>
    <w:p>
      <w:pPr>
        <w:spacing w:after="120" w:line="276" w:lineRule="auto"/>
      </w:pPr>
      <w:r>
        <w:t>**Bandes de Bollinger** : Le prix se situe à l'intérieur des bandes, entre la borne supérieure (3 862,6 FCFA) et la borne inférieure (3 402,4 FCFA). Cette position neutre indique une volatilité modérée sans mouvement directionnel fort. Le prix n'est ni suracheté ni survendu, ce qui laisse place à une évolution dans les deux sens.</w:t>
      </w:r>
    </w:p>
    <w:p>
      <w:pPr>
        <w:spacing w:after="120" w:line="276" w:lineRule="auto"/>
      </w:pPr>
      <w:r>
        <w:t>**MACD** : La valeur du MACD (78,99) est inférieure à son signal (105,526), ce qui constitue un signal de vente. Cette divergence baissière indique un ralentissement du momentum haussier, suggérant que la dynamique positive s'essouffle et qu'une correction pourrait survenir à court terme.</w:t>
      </w:r>
    </w:p>
    <w:p>
      <w:pPr>
        <w:spacing w:after="120" w:line="276" w:lineRule="auto"/>
      </w:pPr>
      <w:r>
        <w:t>**RSI** : Avec une valeur de 57,895, le RSI se situe en zone neutre (entre 30 et 70). Il n'y a pas de signal clair de surachat ou de survente. Cela indique que le marché est relativement équilibré, sans pression excessive des acheteurs ou des vendeurs.</w:t>
      </w:r>
    </w:p>
    <w:p>
      <w:pPr>
        <w:spacing w:after="120" w:line="276" w:lineRule="auto"/>
      </w:pPr>
      <w:r>
        <w:t>**Stochastique** : Le %K (54,098) est supérieur au %D (37,705), ce qui est un signal haussier. Ce croisement positif suggère un regain d'intérêt acheteur à court terme, même si les deux valeurs restent en zone neutre, indiquant une force modérée.</w:t>
      </w:r>
    </w:p>
    <w:p>
      <w:pPr>
        <w:spacing w:after="120" w:line="276" w:lineRule="auto"/>
      </w:pPr>
      <w:r>
        <w:t>**Conclusion technique** : La situation technique est mitigée. Les moyennes mobiles et le stochastique plaident pour une poursuite de la hausse, mais le MACD montre un essoufflement du momentum. Le RSI et les bandes de Bollinger sont neutres. Cette divergence entre indicateurs suggère une consolidation probable avant une nouvelle direction, avec un biais haussier à moyen terme mais un risque de correction à court terme.</w:t>
      </w:r>
    </w:p>
    <w:p>
      <w:pPr>
        <w:spacing w:after="120" w:line="276" w:lineRule="auto"/>
      </w:pPr>
      <w:r>
        <w:t>### PARTIE 3 : ANALYSE FONDAMENTALE (SECTION CRITIQUE)</w:t>
      </w:r>
    </w:p>
    <w:p>
      <w:pPr>
        <w:spacing w:after="120" w:line="276" w:lineRule="auto"/>
      </w:pPr>
      <w:r>
        <w:t>En 2025, selon les données structurées, SCRC a enregistré un chiffre d'affaires de 80,57 milliards FCFA, en baisse de 7,6% par rapport à 2024. La société a subi une perte nette massive de -7,95 milliards FCFA, contre un bénéfice de 2,47 milliards FCFA en 2024, soit une dégradation de 421%. Cette chute s'explique par un résultat d'exploitation négatif (-545 millions FCFA) et une explosion des charges financières à 6,79 milliards FCFA. Le ROE est profondément négatif à -46,1%, et le ROA à -5,1%. La structure financière est très fragile avec un ratio d'endettement de 89% et une trésorerie nette négative de -6,5 milliards FCFA. Les rapports narratifs de 2025 (analysés en 2026) confirment cette tendance, certains mentionnant une perte de 6,1 milliards FCFA selon les normes SYSCOHADA. Le rapport du 1er semestre 2025 faisait déjà état d'une perte nette de -6,71 milliards FCFA, en raison d'une baisse des volumes et de coûts exceptionnels. En 2024, la société avait renoué avec un bénéfice de 2,59 milliards FCFA, après une perte de -10,32 milliards en 2023, montrant une volatilité extrême des résultats. Les délais de paiement fournisseurs (366 jours) et de stockage (361 jours) sont très élevés, immobilisant le capital et accentuant les tensions de trésorerie. La recommandation fondamentale est donc **VENTE**, car la société est structurellement fragile, avec un endettement massif et une rentabilité opérationnelle défaillante, malgré des investissements massifs.</w:t>
      </w:r>
    </w:p>
    <w:p>
      <w:pPr>
        <w:spacing w:after="120" w:line="276" w:lineRule="auto"/>
      </w:pPr>
      <w:r>
        <w:t>### PARTIE 4 : CONCLUSION D'INVESTISSEMENT</w:t>
      </w:r>
    </w:p>
    <w:p>
      <w:pPr>
        <w:spacing w:after="120" w:line="276" w:lineRule="auto"/>
      </w:pPr>
      <w:r>
        <w:t>La valorisation de SCRC est extrêmement exigeante avec un P/B de 4,16x, ce qui est injustifiable au vu des pertes massives et de la faiblesse des capitaux propres. Le comportement du cours, avec une hausse de +145% en 100 jours et une volatilité annualisée de 58%, est purement spéculatif et ne repose sur aucun fondamental solide. Les signaux techniques sont mitigés : les moyennes mobiles sont haussières, mais le MACD montre un essoufflement, suggérant un risque de correction. Les fondamentaux sont très préoccupants : perte nette de 7,95 milliards FCFA, endettement critique et flux de trésorerie négatifs. Les prédictions IA pour les 10 prochains jours (chute de 3 386 à 2 478 FCFA) confirment ce scénario de correction, anticipant une baisse de plus de 30%. La convergence entre la surévaluation flagrante, les signaux techniques baissiers à court terme et les prédictions IA est forte. Par conséquent, la recommandation finale est **VENTE FORTE**, avec un niveau de confiance **Élevé**. Le risque global est **Élevé** et l'horizon d'investissement optimal est le **court terme (&lt;3 mois)** pour les investisseurs cherchant à sortir, ou une position vendeuse pour les spéculateurs.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104.85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1,045 titres</w:t>
            </w:r>
          </w:p>
        </w:tc>
        <w:tc>
          <w:tcPr>
            <w:tcW w:type="dxa" w:w="2268"/>
            <w:shd w:fill="FFF2CC" w:val="clear"/>
          </w:tcPr>
          <w:p>
            <w:r>
              <w:rPr>
                <w:b/>
                <w:color w:val="503200"/>
                <w:sz w:val="16"/>
              </w:rPr>
              <w:t xml:space="preserve">Cours actuel : </w:t>
            </w:r>
            <w:r>
              <w:rPr>
                <w:color w:val="000000"/>
                <w:sz w:val="17"/>
              </w:rPr>
              <w:t>11,650 FCFA</w:t>
            </w:r>
          </w:p>
          <w:p>
            <w:r>
              <w:rPr>
                <w:b/>
                <w:color w:val="503200"/>
                <w:sz w:val="16"/>
              </w:rPr>
              <w:t xml:space="preserve">Var. 100 jours : </w:t>
            </w:r>
            <w:r>
              <w:rPr>
                <w:b/>
                <w:color w:val="007800"/>
                <w:sz w:val="17"/>
              </w:rPr>
              <w:t>+49.36%</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19.49% (Élevée) — μ=10,125 FCFA, σ=1,973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β=0.3353 (Défensif) — Cov=0.000012, Var(idx)=0.000036, ρ=0.088,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59/100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2026-08-12</w:t>
            </w:r>
          </w:p>
        </w:tc>
        <w:tc>
          <w:tcPr>
            <w:tcW w:type="dxa" w:w="1440"/>
            <w:shd w:fill="FAFAFA" w:val="clear"/>
          </w:tcPr>
          <w:p>
            <w:r>
              <w:rPr>
                <w:sz w:val="17"/>
              </w:rPr>
              <w:t>11,071</w:t>
            </w:r>
          </w:p>
        </w:tc>
        <w:tc>
          <w:tcPr>
            <w:tcW w:type="dxa" w:w="1440"/>
            <w:shd w:fill="FAFAFA" w:val="clear"/>
          </w:tcPr>
          <w:p>
            <w:r>
              <w:rPr>
                <w:b/>
                <w:sz w:val="17"/>
              </w:rPr>
              <w:t>11,451</w:t>
            </w:r>
          </w:p>
        </w:tc>
        <w:tc>
          <w:tcPr>
            <w:tcW w:type="dxa" w:w="1440"/>
            <w:shd w:fill="FAFAFA" w:val="clear"/>
          </w:tcPr>
          <w:p>
            <w:r>
              <w:rPr>
                <w:sz w:val="17"/>
              </w:rPr>
              <w:t>11,832</w:t>
            </w:r>
          </w:p>
        </w:tc>
        <w:tc>
          <w:tcPr>
            <w:tcW w:type="dxa" w:w="1440"/>
            <w:shd w:fill="FAFAFA" w:val="clear"/>
          </w:tcPr>
          <w:p>
            <w:r>
              <w:rPr>
                <w:b/>
                <w:color w:val="C00000"/>
                <w:sz w:val="17"/>
              </w:rPr>
              <w:t>-1.7%</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10,809</w:t>
            </w:r>
          </w:p>
        </w:tc>
        <w:tc>
          <w:tcPr>
            <w:tcW w:type="dxa" w:w="1440"/>
            <w:shd w:fill="FFDCE0" w:val="clear"/>
          </w:tcPr>
          <w:p>
            <w:r>
              <w:rPr>
                <w:b/>
                <w:sz w:val="17"/>
              </w:rPr>
              <w:t>11,342</w:t>
            </w:r>
          </w:p>
        </w:tc>
        <w:tc>
          <w:tcPr>
            <w:tcW w:type="dxa" w:w="1440"/>
            <w:shd w:fill="FFDCE0" w:val="clear"/>
          </w:tcPr>
          <w:p>
            <w:r>
              <w:rPr>
                <w:sz w:val="17"/>
              </w:rPr>
              <w:t>11,874</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10,591</w:t>
            </w:r>
          </w:p>
        </w:tc>
        <w:tc>
          <w:tcPr>
            <w:tcW w:type="dxa" w:w="1440"/>
            <w:shd w:fill="FFDCE0" w:val="clear"/>
          </w:tcPr>
          <w:p>
            <w:r>
              <w:rPr>
                <w:b/>
                <w:sz w:val="17"/>
              </w:rPr>
              <w:t>11,237</w:t>
            </w:r>
          </w:p>
        </w:tc>
        <w:tc>
          <w:tcPr>
            <w:tcW w:type="dxa" w:w="1440"/>
            <w:shd w:fill="FFDCE0" w:val="clear"/>
          </w:tcPr>
          <w:p>
            <w:r>
              <w:rPr>
                <w:sz w:val="17"/>
              </w:rPr>
              <w:t>11,884</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10,399</w:t>
            </w:r>
          </w:p>
        </w:tc>
        <w:tc>
          <w:tcPr>
            <w:tcW w:type="dxa" w:w="1440"/>
            <w:shd w:fill="FFDCE0" w:val="clear"/>
          </w:tcPr>
          <w:p>
            <w:r>
              <w:rPr>
                <w:b/>
                <w:sz w:val="17"/>
              </w:rPr>
              <w:t>11,139</w:t>
            </w:r>
          </w:p>
        </w:tc>
        <w:tc>
          <w:tcPr>
            <w:tcW w:type="dxa" w:w="1440"/>
            <w:shd w:fill="FFDCE0" w:val="clear"/>
          </w:tcPr>
          <w:p>
            <w:r>
              <w:rPr>
                <w:sz w:val="17"/>
              </w:rPr>
              <w:t>11,879</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10,226</w:t>
            </w:r>
          </w:p>
        </w:tc>
        <w:tc>
          <w:tcPr>
            <w:tcW w:type="dxa" w:w="1440"/>
            <w:shd w:fill="FFDCE0" w:val="clear"/>
          </w:tcPr>
          <w:p>
            <w:r>
              <w:rPr>
                <w:b/>
                <w:sz w:val="17"/>
              </w:rPr>
              <w:t>11,046</w:t>
            </w:r>
          </w:p>
        </w:tc>
        <w:tc>
          <w:tcPr>
            <w:tcW w:type="dxa" w:w="1440"/>
            <w:shd w:fill="FFDCE0" w:val="clear"/>
          </w:tcPr>
          <w:p>
            <w:r>
              <w:rPr>
                <w:sz w:val="17"/>
              </w:rPr>
              <w:t>11,867</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10,069</w:t>
            </w:r>
          </w:p>
        </w:tc>
        <w:tc>
          <w:tcPr>
            <w:tcW w:type="dxa" w:w="1440"/>
            <w:shd w:fill="FFDCE0" w:val="clear"/>
          </w:tcPr>
          <w:p>
            <w:r>
              <w:rPr>
                <w:b/>
                <w:sz w:val="17"/>
              </w:rPr>
              <w:t>10,960</w:t>
            </w:r>
          </w:p>
        </w:tc>
        <w:tc>
          <w:tcPr>
            <w:tcW w:type="dxa" w:w="1440"/>
            <w:shd w:fill="FFDCE0" w:val="clear"/>
          </w:tcPr>
          <w:p>
            <w:r>
              <w:rPr>
                <w:sz w:val="17"/>
              </w:rPr>
              <w:t>11,852</w:t>
            </w:r>
          </w:p>
        </w:tc>
        <w:tc>
          <w:tcPr>
            <w:tcW w:type="dxa" w:w="1440"/>
            <w:shd w:fill="FFDCE0" w:val="clear"/>
          </w:tcPr>
          <w:p>
            <w:r>
              <w:rPr>
                <w:b/>
                <w:color w:val="C00000"/>
                <w:sz w:val="17"/>
              </w:rPr>
              <w:t>-5.9%</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9,924</w:t>
            </w:r>
          </w:p>
        </w:tc>
        <w:tc>
          <w:tcPr>
            <w:tcW w:type="dxa" w:w="1440"/>
            <w:shd w:fill="FFDCE0" w:val="clear"/>
          </w:tcPr>
          <w:p>
            <w:r>
              <w:rPr>
                <w:b/>
                <w:sz w:val="17"/>
              </w:rPr>
              <w:t>10,880</w:t>
            </w:r>
          </w:p>
        </w:tc>
        <w:tc>
          <w:tcPr>
            <w:tcW w:type="dxa" w:w="1440"/>
            <w:shd w:fill="FFDCE0" w:val="clear"/>
          </w:tcPr>
          <w:p>
            <w:r>
              <w:rPr>
                <w:sz w:val="17"/>
              </w:rPr>
              <w:t>11,836</w:t>
            </w:r>
          </w:p>
        </w:tc>
        <w:tc>
          <w:tcPr>
            <w:tcW w:type="dxa" w:w="1440"/>
            <w:shd w:fill="FFDCE0" w:val="clear"/>
          </w:tcPr>
          <w:p>
            <w:r>
              <w:rPr>
                <w:b/>
                <w:color w:val="C00000"/>
                <w:sz w:val="17"/>
              </w:rPr>
              <w:t>-6.6%</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9,790</w:t>
            </w:r>
          </w:p>
        </w:tc>
        <w:tc>
          <w:tcPr>
            <w:tcW w:type="dxa" w:w="1440"/>
            <w:shd w:fill="FFDCE0" w:val="clear"/>
          </w:tcPr>
          <w:p>
            <w:r>
              <w:rPr>
                <w:b/>
                <w:sz w:val="17"/>
              </w:rPr>
              <w:t>10,805</w:t>
            </w:r>
          </w:p>
        </w:tc>
        <w:tc>
          <w:tcPr>
            <w:tcW w:type="dxa" w:w="1440"/>
            <w:shd w:fill="FFDCE0" w:val="clear"/>
          </w:tcPr>
          <w:p>
            <w:r>
              <w:rPr>
                <w:sz w:val="17"/>
              </w:rPr>
              <w:t>11,820</w:t>
            </w:r>
          </w:p>
        </w:tc>
        <w:tc>
          <w:tcPr>
            <w:tcW w:type="dxa" w:w="1440"/>
            <w:shd w:fill="FFDCE0" w:val="clear"/>
          </w:tcPr>
          <w:p>
            <w:r>
              <w:rPr>
                <w:b/>
                <w:color w:val="C00000"/>
                <w:sz w:val="17"/>
              </w:rPr>
              <w:t>-7.3%</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9,665</w:t>
            </w:r>
          </w:p>
        </w:tc>
        <w:tc>
          <w:tcPr>
            <w:tcW w:type="dxa" w:w="1440"/>
            <w:shd w:fill="FFDCE0" w:val="clear"/>
          </w:tcPr>
          <w:p>
            <w:r>
              <w:rPr>
                <w:b/>
                <w:sz w:val="17"/>
              </w:rPr>
              <w:t>10,735</w:t>
            </w:r>
          </w:p>
        </w:tc>
        <w:tc>
          <w:tcPr>
            <w:tcW w:type="dxa" w:w="1440"/>
            <w:shd w:fill="FFDCE0" w:val="clear"/>
          </w:tcPr>
          <w:p>
            <w:r>
              <w:rPr>
                <w:sz w:val="17"/>
              </w:rPr>
              <w:t>11,805</w:t>
            </w:r>
          </w:p>
        </w:tc>
        <w:tc>
          <w:tcPr>
            <w:tcW w:type="dxa" w:w="1440"/>
            <w:shd w:fill="FFDCE0" w:val="clear"/>
          </w:tcPr>
          <w:p>
            <w:r>
              <w:rPr>
                <w:b/>
                <w:color w:val="C00000"/>
                <w:sz w:val="17"/>
              </w:rPr>
              <w:t>-7.9%</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9,550</w:t>
            </w:r>
          </w:p>
        </w:tc>
        <w:tc>
          <w:tcPr>
            <w:tcW w:type="dxa" w:w="1440"/>
            <w:shd w:fill="FFDCE0" w:val="clear"/>
          </w:tcPr>
          <w:p>
            <w:r>
              <w:rPr>
                <w:b/>
                <w:sz w:val="17"/>
              </w:rPr>
              <w:t>10,670</w:t>
            </w:r>
          </w:p>
        </w:tc>
        <w:tc>
          <w:tcPr>
            <w:tcW w:type="dxa" w:w="1440"/>
            <w:shd w:fill="FFDCE0" w:val="clear"/>
          </w:tcPr>
          <w:p>
            <w:r>
              <w:rPr>
                <w:sz w:val="17"/>
              </w:rPr>
              <w:t>11,791</w:t>
            </w:r>
          </w:p>
        </w:tc>
        <w:tc>
          <w:tcPr>
            <w:tcW w:type="dxa" w:w="1440"/>
            <w:shd w:fill="FFDCE0" w:val="clear"/>
          </w:tcPr>
          <w:p>
            <w:r>
              <w:rPr>
                <w:b/>
                <w:color w:val="C00000"/>
                <w:sz w:val="17"/>
              </w:rPr>
              <w:t>-8.4%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11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104,85 milliards FCFA, un niveau significatif qui la positionne parmi les valeurs moyennes de la BRVM. Le BPA de 518 FCFA indique que chaque action génère un bénéfice net de ce montant. Avec un PER de 22,5x, le titre se négocie à un niveau nettement supérieur à la moyenne du marché BRVM (8-12x), ce qui suggère que les investisseurs intègrent des attentes de croissance élevées ou une prime de rareté pour ce titre. Le P/B de 5,32x confirme cette valorisation exigeante, le marché valorisant l'actif net à plus de cinq fois sa valeur comptable. Enfin, l'EV/EBITDA de 14,3x, bien que dans la fourchette haute (10-15x), indique que la valeur d'entreprise reste soutenable par la capacité opérationnelle de la société.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SDCC a enregistré une performance remarquable de +49,36%, passant d'un plus bas de 7 140 FCFA à un plus haut de 12 195 FCFA, avant de clôturer à 11 650 FCFA, en léger repli de -2,02% sur la dernière séance. La moyenne du cours sur la période (10 125 FCFA) est inférieure à la médiane (11 098 FCFA), indiquant une distribution asymétrique avec une concentration des valeurs vers le haut de la fourchette. L'écart-type de 1 983 FCFA (CV = 19,6%) reflète une dispersion modérée des prix autour de la moyenne. Le kurtosis négatif (-1,546) signale une distribution aplatie, avec peu de valeurs extrêmes, tandis que le skewness de -0,468 suggère une légère asymétrie négative. La volatilité annualisée de 36,3% classe le titre dans la catégorie des valeurs à forte volatilité, ce qui implique un risque élevé mais aussi un potentiel de rendement significatif.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(11 650 FCFA) se situe sous la MM20 (11 724,5 FCFA) et la MM50 (11 806,7 FCFA), indiquant une dynamique baissière à court et moyen terme. La décision de "Vente" est justifiée par cette configuration, le titre évoluant dans une phase de correction après une forte hausse.</w:t>
      </w:r>
    </w:p>
    <w:p>
      <w:pPr>
        <w:spacing w:after="120" w:line="276" w:lineRule="auto"/>
      </w:pPr>
      <w:r>
        <w:t>**Bandes de Bollinger** : Le prix se positionne entre la borne inférieure (11 200,88 FCFA) et la borne supérieure (12 248,12 FCFA), avec une décision "Neutre". La largeur des bandes reflète une volatilité modérée, et le cours évolue dans la partie médiane de l'enveloppe, suggérant une phase de consolidation sans signal directionnel fort.</w:t>
      </w:r>
    </w:p>
    <w:p>
      <w:pPr>
        <w:spacing w:after="120" w:line="276" w:lineRule="auto"/>
      </w:pPr>
      <w:r>
        <w:t>**MACD** : La valeur du MACD (18,392) est inférieure à son signal (37,368), confirmant une dynamique baissière. La décision de "Vente" est cohérente avec cette divergence négative, indiquant un affaiblissement du momentum haussier observé précédemment.</w:t>
      </w:r>
    </w:p>
    <w:p>
      <w:pPr>
        <w:spacing w:after="120" w:line="276" w:lineRule="auto"/>
      </w:pPr>
      <w:r>
        <w:t>**RSI** : À 42,195, le RSI se situe en zone neutre (30-70), sans signal de surachat ni de survente. La décision "Neutre" est appropriée, le marché n'étant ni survendu ni suracheté, laissant place à une évolution directionnelle.</w:t>
      </w:r>
    </w:p>
    <w:p>
      <w:pPr>
        <w:spacing w:after="120" w:line="276" w:lineRule="auto"/>
      </w:pPr>
      <w:r>
        <w:t>**Stochastique** : Le %K (46,296) est inférieur au %D (73,327), indiquant une dynamique baissière en cours. La décision "Neutre" reflète toutefois une situation où le croisement baissier n'est pas encore confirmé, le %K n'ayant pas franchi de seuil critique.</w:t>
      </w:r>
    </w:p>
    <w:p>
      <w:pPr>
        <w:spacing w:after="120" w:line="276" w:lineRule="auto"/>
      </w:pPr>
      <w:r>
        <w:t>**Conclusion technique** : Les indicateurs techniques sont globalement baissiers à court terme, avec une convergence des signaux de vente (MM, MACD) et une position neutre des oscillateurs. Le titre semble entrer dans une phase de correction après une forte progression, avec un support potentiel autour de la borne inférieure de Bollinger (11 200 FCFA) et une résistance à 12 195 FCFA.</w:t>
      </w:r>
    </w:p>
    <w:p>
      <w:pPr>
        <w:spacing w:after="120" w:line="276" w:lineRule="auto"/>
      </w:pPr>
      <w:r>
        <w:t>---</w:t>
      </w:r>
    </w:p>
    <w:p>
      <w:pPr>
        <w:spacing w:after="120" w:line="276" w:lineRule="auto"/>
      </w:pPr>
      <w:r>
        <w:t>### PARTIE 3 : ANALYSE FONDAMENTALE (SECTION CRITIQUE)</w:t>
      </w:r>
    </w:p>
    <w:p>
      <w:pPr>
        <w:spacing w:after="120" w:line="276" w:lineRule="auto"/>
      </w:pPr>
      <w:r>
        <w:t>En 2025, SDCC a affiché des performances financières solides avec un chiffre d'affaires de 189,430 milliards FCFA, en croissance de 10% par rapport à 2024 (172,2 milliards FCFA). Le résultat net a bondi de 31% à 4,663 milliards FCFA, portant la marge nette à 2,46%. La rentabilité des fonds propres (ROE) s'établit à un excellent niveau de 23,65%, tandis que le ROA reste faible à 0,99%, reflétant une lourdeur de l'actif total (472,672 milliards FCFA). En tant qu'entreprise de distribution d'eau, le délai client de 749 jours est préoccupant, indiquant un risque de trésorerie important, malgré un BFR négatif favorable. L'endettement est élevé (ratio d'endettement de 95,83%), mais la couverture des intérêts est très confortable (1 583%). Les rapports trimestriels de 2025 montrent une amélioration progressive : le T1 2025 affichait un résultat net de 604 millions FCFA (+17%), le S1 2025 un résultat de 1,355 milliard FCFA (-24% vs S1 2024), et le T1 2026 un bond spectaculaire de +118% à 1 318 millions FCFA. Sur la base de ces tendances, on estime que l'exercice 2026 pourrait voir un résultat net supérieur à 5 milliards FCFA, soutenu par la maîtrise des charges opérationnelles et la croissance du nombre de clients (2,27 millions, +6,14%). La recommandation fondamentale est de conserver le titre, la société présentant une solidité opérationnelle mais des tensions de trésorerie persistantes.</w:t>
      </w:r>
    </w:p>
    <w:p>
      <w:pPr>
        <w:spacing w:after="120" w:line="276" w:lineRule="auto"/>
      </w:pPr>
      <w:r>
        <w:t>---</w:t>
      </w:r>
    </w:p>
    <w:p>
      <w:pPr>
        <w:spacing w:after="120" w:line="276" w:lineRule="auto"/>
      </w:pPr>
      <w:r>
        <w:t>### PARTIE 4 : CONCLUSION D'INVESTISSEMENT</w:t>
      </w:r>
    </w:p>
    <w:p>
      <w:pPr>
        <w:spacing w:after="120" w:line="276" w:lineRule="auto"/>
      </w:pPr>
      <w:r>
        <w:t>La valorisation de SDCC (PER 22,5x, P/B 5,32x) indique une surévaluation relative par rapport au marché BRVM, les investisseurs payant une prime pour la croissance attendue. Le comportement du cours sur 100 jours (+49,36%) démontre une forte dynamique haussière, mais la volatilité élevée (36,3%) et les statistiques descriptives (kurtosis platykurtique, skewness négatif) suggèrent un risque de retournement. Les signaux techniques sont majoritairement baissiers à court terme (MM, MACD), avec des oscillateurs neutres, indiquant une phase de consolidation. Les fondamentaux restent solides avec une croissance du CA de 10% et un ROE de 23,65%, mais les tensions de trésorerie et le délai client élevé constituent des risques. Les prédictions IA (11 451 FCFA à J+1, 11 046 FCFA à J+10) confirment une trajectoire baissière à court terme, en cohérence avec les signaux techniques. **Recommandation finale : CONSERVER** — la convergence entre la surévaluation, les signaux techniques baissiers et les prédictions IA suggère une prudence à court terme, mais les fondamentaux solides et les perspectives de croissance justifient le maintien en portefeuille. **Niveau de confiance : Moyen** — **Risque global : Élevé** — **Horizon d'investissement : Moyen terme (3-12 mois)**.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144.25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16,440 titres</w:t>
            </w:r>
          </w:p>
        </w:tc>
        <w:tc>
          <w:tcPr>
            <w:tcW w:type="dxa" w:w="2268"/>
            <w:shd w:fill="FFF2CC" w:val="clear"/>
          </w:tcPr>
          <w:p>
            <w:r>
              <w:rPr>
                <w:b/>
                <w:color w:val="503200"/>
                <w:sz w:val="16"/>
              </w:rPr>
              <w:t xml:space="preserve">Cours actuel : </w:t>
            </w:r>
            <w:r>
              <w:rPr>
                <w:color w:val="000000"/>
                <w:sz w:val="17"/>
              </w:rPr>
              <w:t>2,650 FCFA</w:t>
            </w:r>
          </w:p>
          <w:p>
            <w:r>
              <w:rPr>
                <w:b/>
                <w:color w:val="503200"/>
                <w:sz w:val="16"/>
              </w:rPr>
              <w:t xml:space="preserve">Var. 100 jours : </w:t>
            </w:r>
            <w:r>
              <w:rPr>
                <w:b/>
                <w:color w:val="007800"/>
                <w:sz w:val="17"/>
              </w:rPr>
              <w:t>+33.17%</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16.63% (Élevée) — μ=2,122 FCFA, σ=353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β=0.0317 (Défensif) — Cov=0.000001, Var(idx)=0.000036, ρ=0.006,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16,440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2026-08-12</w:t>
            </w:r>
          </w:p>
        </w:tc>
        <w:tc>
          <w:tcPr>
            <w:tcW w:type="dxa" w:w="1440"/>
            <w:shd w:fill="FAFAFA" w:val="clear"/>
          </w:tcPr>
          <w:p>
            <w:r>
              <w:rPr>
                <w:sz w:val="17"/>
              </w:rPr>
              <w:t>2,449</w:t>
            </w:r>
          </w:p>
        </w:tc>
        <w:tc>
          <w:tcPr>
            <w:tcW w:type="dxa" w:w="1440"/>
            <w:shd w:fill="FAFAFA" w:val="clear"/>
          </w:tcPr>
          <w:p>
            <w:r>
              <w:rPr>
                <w:b/>
                <w:sz w:val="17"/>
              </w:rPr>
              <w:t>2,613</w:t>
            </w:r>
          </w:p>
        </w:tc>
        <w:tc>
          <w:tcPr>
            <w:tcW w:type="dxa" w:w="1440"/>
            <w:shd w:fill="FAFAFA" w:val="clear"/>
          </w:tcPr>
          <w:p>
            <w:r>
              <w:rPr>
                <w:sz w:val="17"/>
              </w:rPr>
              <w:t>2,778</w:t>
            </w:r>
          </w:p>
        </w:tc>
        <w:tc>
          <w:tcPr>
            <w:tcW w:type="dxa" w:w="1440"/>
            <w:shd w:fill="FAFAFA" w:val="clear"/>
          </w:tcPr>
          <w:p>
            <w:r>
              <w:rPr>
                <w:b/>
                <w:color w:val="C00000"/>
                <w:sz w:val="17"/>
              </w:rPr>
              <w:t>-1.4%</w:t>
            </w:r>
          </w:p>
        </w:tc>
      </w:tr>
      <w:tr>
        <w:tc>
          <w:tcPr>
            <w:tcW w:type="dxa" w:w="1440"/>
            <w:shd w:fill="FFDCE0" w:val="clear"/>
          </w:tcPr>
          <w:p>
            <w:r>
              <w:rPr>
                <w:sz w:val="17"/>
              </w:rPr>
              <w:t>J+2  Moyenne</w:t>
            </w:r>
          </w:p>
        </w:tc>
        <w:tc>
          <w:tcPr>
            <w:tcW w:type="dxa" w:w="1440"/>
            <w:shd w:fill="FFDCE0" w:val="clear"/>
          </w:tcPr>
          <w:p>
            <w:r>
              <w:rPr>
                <w:sz w:val="17"/>
              </w:rPr>
              <w:t>2026-08-13</w:t>
            </w:r>
          </w:p>
        </w:tc>
        <w:tc>
          <w:tcPr>
            <w:tcW w:type="dxa" w:w="1440"/>
            <w:shd w:fill="FFDCE0" w:val="clear"/>
          </w:tcPr>
          <w:p>
            <w:r>
              <w:rPr>
                <w:sz w:val="17"/>
              </w:rPr>
              <w:t>2,351</w:t>
            </w:r>
          </w:p>
        </w:tc>
        <w:tc>
          <w:tcPr>
            <w:tcW w:type="dxa" w:w="1440"/>
            <w:shd w:fill="FFDCE0" w:val="clear"/>
          </w:tcPr>
          <w:p>
            <w:r>
              <w:rPr>
                <w:b/>
                <w:sz w:val="17"/>
              </w:rPr>
              <w:t>2,580</w:t>
            </w:r>
          </w:p>
        </w:tc>
        <w:tc>
          <w:tcPr>
            <w:tcW w:type="dxa" w:w="1440"/>
            <w:shd w:fill="FFDCE0" w:val="clear"/>
          </w:tcPr>
          <w:p>
            <w:r>
              <w:rPr>
                <w:sz w:val="17"/>
              </w:rPr>
              <w:t>2,810</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2026-08-14</w:t>
            </w:r>
          </w:p>
        </w:tc>
        <w:tc>
          <w:tcPr>
            <w:tcW w:type="dxa" w:w="1440"/>
            <w:shd w:fill="FFDCE0" w:val="clear"/>
          </w:tcPr>
          <w:p>
            <w:r>
              <w:rPr>
                <w:sz w:val="17"/>
              </w:rPr>
              <w:t>2,277</w:t>
            </w:r>
          </w:p>
        </w:tc>
        <w:tc>
          <w:tcPr>
            <w:tcW w:type="dxa" w:w="1440"/>
            <w:shd w:fill="FFDCE0" w:val="clear"/>
          </w:tcPr>
          <w:p>
            <w:r>
              <w:rPr>
                <w:b/>
                <w:sz w:val="17"/>
              </w:rPr>
              <w:t>2,555</w:t>
            </w:r>
          </w:p>
        </w:tc>
        <w:tc>
          <w:tcPr>
            <w:tcW w:type="dxa" w:w="1440"/>
            <w:shd w:fill="FFDCE0" w:val="clear"/>
          </w:tcPr>
          <w:p>
            <w:r>
              <w:rPr>
                <w:sz w:val="17"/>
              </w:rPr>
              <w:t>2,833</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2,216</w:t>
            </w:r>
          </w:p>
        </w:tc>
        <w:tc>
          <w:tcPr>
            <w:tcW w:type="dxa" w:w="1440"/>
            <w:shd w:fill="FFDCE0" w:val="clear"/>
          </w:tcPr>
          <w:p>
            <w:r>
              <w:rPr>
                <w:b/>
                <w:sz w:val="17"/>
              </w:rPr>
              <w:t>2,535</w:t>
            </w:r>
          </w:p>
        </w:tc>
        <w:tc>
          <w:tcPr>
            <w:tcW w:type="dxa" w:w="1440"/>
            <w:shd w:fill="FFDCE0" w:val="clear"/>
          </w:tcPr>
          <w:p>
            <w:r>
              <w:rPr>
                <w:sz w:val="17"/>
              </w:rPr>
              <w:t>2,853</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2,163</w:t>
            </w:r>
          </w:p>
        </w:tc>
        <w:tc>
          <w:tcPr>
            <w:tcW w:type="dxa" w:w="1440"/>
            <w:shd w:fill="FFDCE0" w:val="clear"/>
          </w:tcPr>
          <w:p>
            <w:r>
              <w:rPr>
                <w:b/>
                <w:sz w:val="17"/>
              </w:rPr>
              <w:t>2,517</w:t>
            </w:r>
          </w:p>
        </w:tc>
        <w:tc>
          <w:tcPr>
            <w:tcW w:type="dxa" w:w="1440"/>
            <w:shd w:fill="FFDCE0" w:val="clear"/>
          </w:tcPr>
          <w:p>
            <w:r>
              <w:rPr>
                <w:sz w:val="17"/>
              </w:rPr>
              <w:t>2,870</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2,115</w:t>
            </w:r>
          </w:p>
        </w:tc>
        <w:tc>
          <w:tcPr>
            <w:tcW w:type="dxa" w:w="1440"/>
            <w:shd w:fill="FFDCE0" w:val="clear"/>
          </w:tcPr>
          <w:p>
            <w:r>
              <w:rPr>
                <w:b/>
                <w:sz w:val="17"/>
              </w:rPr>
              <w:t>2,500</w:t>
            </w:r>
          </w:p>
        </w:tc>
        <w:tc>
          <w:tcPr>
            <w:tcW w:type="dxa" w:w="1440"/>
            <w:shd w:fill="FFDCE0" w:val="clear"/>
          </w:tcPr>
          <w:p>
            <w:r>
              <w:rPr>
                <w:sz w:val="17"/>
              </w:rPr>
              <w:t>2,885</w:t>
            </w:r>
          </w:p>
        </w:tc>
        <w:tc>
          <w:tcPr>
            <w:tcW w:type="dxa" w:w="1440"/>
            <w:shd w:fill="FFDCE0" w:val="clear"/>
          </w:tcPr>
          <w:p>
            <w:r>
              <w:rPr>
                <w:b/>
                <w:color w:val="C00000"/>
                <w:sz w:val="17"/>
              </w:rPr>
              <w:t>-5.7%</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2,071</w:t>
            </w:r>
          </w:p>
        </w:tc>
        <w:tc>
          <w:tcPr>
            <w:tcW w:type="dxa" w:w="1440"/>
            <w:shd w:fill="FFDCE0" w:val="clear"/>
          </w:tcPr>
          <w:p>
            <w:r>
              <w:rPr>
                <w:b/>
                <w:sz w:val="17"/>
              </w:rPr>
              <w:t>2,484</w:t>
            </w:r>
          </w:p>
        </w:tc>
        <w:tc>
          <w:tcPr>
            <w:tcW w:type="dxa" w:w="1440"/>
            <w:shd w:fill="FFDCE0" w:val="clear"/>
          </w:tcPr>
          <w:p>
            <w:r>
              <w:rPr>
                <w:sz w:val="17"/>
              </w:rPr>
              <w:t>2,897</w:t>
            </w:r>
          </w:p>
        </w:tc>
        <w:tc>
          <w:tcPr>
            <w:tcW w:type="dxa" w:w="1440"/>
            <w:shd w:fill="FFDCE0" w:val="clear"/>
          </w:tcPr>
          <w:p>
            <w:r>
              <w:rPr>
                <w:b/>
                <w:color w:val="C00000"/>
                <w:sz w:val="17"/>
              </w:rPr>
              <w:t>-6.3%</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2,030</w:t>
            </w:r>
          </w:p>
        </w:tc>
        <w:tc>
          <w:tcPr>
            <w:tcW w:type="dxa" w:w="1440"/>
            <w:shd w:fill="FFDCE0" w:val="clear"/>
          </w:tcPr>
          <w:p>
            <w:r>
              <w:rPr>
                <w:b/>
                <w:sz w:val="17"/>
              </w:rPr>
              <w:t>2,469</w:t>
            </w:r>
          </w:p>
        </w:tc>
        <w:tc>
          <w:tcPr>
            <w:tcW w:type="dxa" w:w="1440"/>
            <w:shd w:fill="FFDCE0" w:val="clear"/>
          </w:tcPr>
          <w:p>
            <w:r>
              <w:rPr>
                <w:sz w:val="17"/>
              </w:rPr>
              <w:t>2,908</w:t>
            </w:r>
          </w:p>
        </w:tc>
        <w:tc>
          <w:tcPr>
            <w:tcW w:type="dxa" w:w="1440"/>
            <w:shd w:fill="FFDCE0" w:val="clear"/>
          </w:tcPr>
          <w:p>
            <w:r>
              <w:rPr>
                <w:b/>
                <w:color w:val="C00000"/>
                <w:sz w:val="17"/>
              </w:rPr>
              <w:t>-6.8%</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1,991</w:t>
            </w:r>
          </w:p>
        </w:tc>
        <w:tc>
          <w:tcPr>
            <w:tcW w:type="dxa" w:w="1440"/>
            <w:shd w:fill="FFDCE0" w:val="clear"/>
          </w:tcPr>
          <w:p>
            <w:r>
              <w:rPr>
                <w:b/>
                <w:sz w:val="17"/>
              </w:rPr>
              <w:t>2,454</w:t>
            </w:r>
          </w:p>
        </w:tc>
        <w:tc>
          <w:tcPr>
            <w:tcW w:type="dxa" w:w="1440"/>
            <w:shd w:fill="FFDCE0" w:val="clear"/>
          </w:tcPr>
          <w:p>
            <w:r>
              <w:rPr>
                <w:sz w:val="17"/>
              </w:rPr>
              <w:t>2,917</w:t>
            </w:r>
          </w:p>
        </w:tc>
        <w:tc>
          <w:tcPr>
            <w:tcW w:type="dxa" w:w="1440"/>
            <w:shd w:fill="FFDCE0" w:val="clear"/>
          </w:tcPr>
          <w:p>
            <w:r>
              <w:rPr>
                <w:b/>
                <w:color w:val="C00000"/>
                <w:sz w:val="17"/>
              </w:rPr>
              <w:t>-7.4%</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1,955</w:t>
            </w:r>
          </w:p>
        </w:tc>
        <w:tc>
          <w:tcPr>
            <w:tcW w:type="dxa" w:w="1440"/>
            <w:shd w:fill="FFDCE0" w:val="clear"/>
          </w:tcPr>
          <w:p>
            <w:r>
              <w:rPr>
                <w:b/>
                <w:sz w:val="17"/>
              </w:rPr>
              <w:t>2,440</w:t>
            </w:r>
          </w:p>
        </w:tc>
        <w:tc>
          <w:tcPr>
            <w:tcW w:type="dxa" w:w="1440"/>
            <w:shd w:fill="FFDCE0" w:val="clear"/>
          </w:tcPr>
          <w:p>
            <w:r>
              <w:rPr>
                <w:sz w:val="17"/>
              </w:rPr>
              <w:t>2,925</w:t>
            </w:r>
          </w:p>
        </w:tc>
        <w:tc>
          <w:tcPr>
            <w:tcW w:type="dxa" w:w="1440"/>
            <w:shd w:fill="FFDCE0" w:val="clear"/>
          </w:tcPr>
          <w:p>
            <w:r>
              <w:rPr>
                <w:b/>
                <w:color w:val="C00000"/>
                <w:sz w:val="17"/>
              </w:rPr>
              <w:t>-7.9%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CÔTE D'IVOIRE)**</w:t>
        <w:br/>
        <w:t>**Date de l'analyse : 11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144,25 milliards FCFA, un niveau significatif qui la positionne parmi les valeurs moyennes à grandes capitalisations de la BRVM. Avec un BPA de 387 FCFA, le titre se négocie à un PER de 6,8x, nettement inférieur à la moyenne du marché (8-12x), ce qui suggère une sous-évaluation relative du titre par rapport à ses bénéfices historiques. Le P/B de 1,85x indique que le marché valorise la société à près du double de sa valeur comptable, une prime raisonnable qui reflète une certaine confiance dans les actifs. Cependant, le ratio EV/EBITDA de 31,1x apparaît extrêmement exigeant, signalant que la valeur d'entreprise est très élevée par rapport à la capacité opérationnelle, ce qui tempère l'attrait de la valorisation et suggère que le marché intègre des attentes de redressement futur.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progression remarquable de +33,17%, avec une dernière séance en hausse de +2,51% à 2 650 FCFA. Le titre a évolué dans une fourchette large de 1 650 à 2 820 FCFA, démontrant une forte dynamique haussière malgré des fluctuations importantes. La moyenne du cours sur la période (2 122 FCFA) est nettement inférieure à la médiane (1 982 FCFA), et le mode à 1 920 FCFA, indiquant une distribution asymétrique positive (skewness de 0,509) où le cours a passé plus de temps sous sa moyenne avant de récemment s'en éloigner. L'écart-type de 355 FCFA (CV de 16,7%) révèle une dispersion modérée, tandis que le kurtosis négatif (-1,162) signale une distribution platykurtique, c'est-à-dire sans pics extrêmes, limitant le risque de mouvements violents imprévus. La volatilité annualisée de 51,6% classe le titre comme très volatil, un niveau élevé qui nécessite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2 650 FCFA est exactement au niveau de la MM20 (2 650 FCFA) et nettement au-dessus de la MM50 (2 415,6 FCFA). Cette configuration, avec un cours soutenu par les moyennes mobiles à court et moyen terme, confirme une tendance haussière sous-jacente. La décision d'achat générée par cet indicateur est cohérente avec la dynamique positive observée, le titre évoluant dans un canal ascendant depuis plusieurs semaines.</w:t>
      </w:r>
    </w:p>
    <w:p>
      <w:pPr>
        <w:spacing w:after="120" w:line="276" w:lineRule="auto"/>
      </w:pPr>
      <w:r>
        <w:t>**Bandes de Bollinger** : Le cours se positionne à 2 650 FCFA, entre la borne inférieure (2 384,27 FCFA) et la borne supérieure (2 915,73 FCFA), légèrement au-dessus de la zone médiane. Cette position neutre indique une volatilité modérée sans pression excessive à la hausse ou à la baisse. L'écart entre les bornes reflète la volatilité élevée du titre, mais le cours actuel ne montre pas de signal directionnel fort, d'où la décision neutre de l'indicateur.</w:t>
      </w:r>
    </w:p>
    <w:p>
      <w:pPr>
        <w:spacing w:after="120" w:line="276" w:lineRule="auto"/>
      </w:pPr>
      <w:r>
        <w:t>**MACD** : Le MACD (47,81) est inférieur à sa ligne de signal (78,37), générant un signal de vente. Cette configuration baissière suggère un affaiblissement du momentum à court terme, malgré la tendance haussière de fond. La divergence négative entre le MACD et le signal indique que la pression vendeuse pourrait s'accentuer dans les prochaines séances, ce qui appelle à la prudence pour les investisseurs à horizon court.</w:t>
      </w:r>
    </w:p>
    <w:p>
      <w:pPr>
        <w:spacing w:after="120" w:line="276" w:lineRule="auto"/>
      </w:pPr>
      <w:r>
        <w:t>**RSI** : Avec une valeur de 42,78, le RSI se situe dans la zone neutre (30-70), indiquant un équilibre relatif entre les forces acheteuses et vendeuses. Le titre n'est ni suracheté ni survendu, ce qui laisse une marge de manœuvre dans les deux sens. Cette neutralité suggère que le marché digère la récente hausse sans excès, et la décision neutre de l'indicateur reflète cette absence de signal directionnel fort.</w:t>
      </w:r>
    </w:p>
    <w:p>
      <w:pPr>
        <w:spacing w:after="120" w:line="276" w:lineRule="auto"/>
      </w:pPr>
      <w:r>
        <w:t>**Stochastique** : Le %K (71,08) est nettement supérieur au %D (53,86), indiquant une dynamique positive récente. Bien que le %K approche la zone de surachat (70), le croisement haussier des deux lignes suggère un momentum acheteur encore actif. La décision neutre de l'indicateur s'explique par la proximité de la zone de surachat, qui pourrait limiter le potentiel de hausse à très court terme.</w:t>
      </w:r>
    </w:p>
    <w:p>
      <w:pPr>
        <w:spacing w:after="120" w:line="276" w:lineRule="auto"/>
      </w:pPr>
      <w:r>
        <w:t>**Conclusion technique** : La convergence des indicateurs est mitigée. Les moyennes mobiles soutiennent une tendance haussière, mais le MACD émet un signal de vente, tandis que le RSI et le Stochastique restent neutres. Cette divergence suggère une consolidation probable à court terme, avec un biais haussier à moyen terme si le cours maintient sa position au-dessus de la MM50. La prudence est recommandée pour les traders à court terme, mais la tendance de fond reste positive.</w:t>
      </w:r>
    </w:p>
    <w:p>
      <w:pPr>
        <w:spacing w:after="120" w:line="276" w:lineRule="auto"/>
      </w:pPr>
      <w:r>
        <w:t>---</w:t>
      </w:r>
    </w:p>
    <w:p>
      <w:pPr>
        <w:spacing w:after="120" w:line="276" w:lineRule="auto"/>
      </w:pPr>
      <w:r>
        <w:t>### PARTIE 3 : ANALYSE FONDAMENTALE (SECTION CRITIQUE)</w:t>
      </w:r>
    </w:p>
    <w:p>
      <w:pPr>
        <w:spacing w:after="120" w:line="276" w:lineRule="auto"/>
      </w:pPr>
      <w:r>
        <w:t>En 2024, SDSC (AGL Côte d'Ivoire) a réalisé un chiffre d'affaires de 85,643 milliards FCFA, en croissance de 3,65%, avec un résultat net de 21,069 milliards FCFA, soit une marge nette exceptionnelle de 24,6%. Le ROE de 27,08% et le ROA de 11,20% démontrent une excellente rentabilité des capitaux propres et des actifs. La structure financière est saine avec une autonomie financière de 41,36% et une solvabilité générale de 170,53%. Cependant, le délai clients de 466,94 jours constitue un risque de trésorerie majeur, partiellement compensé par un délai fournisseurs très élevé de 4 534,17 jours. Le BFR de 17,874 milliards FCFA reste positif mais gérable. Les rapports trimestriels 2025 révèlent une dégradation sévère : le T1 2025 affiche un résultat net de 223 millions FCFA (contre -193 millions au T1 2024), le S1 2025 est déficitaire à -427 millions FCFA, et le T3 2025 montre un résultat net de 4,341 milliards FCFA, en chute de 77% due à l'absence de dividendes exceptionnels des filiales. Sur l'exercice 2025 complet, le résultat net s'effondre à 784,97 millions FCFA (marge nette de 0,85%), avec un résultat d'exploitation négatif de -2,271 milliards FCFA, malgré un CA en hausse de 7,43% à 92,004 milliards FCFA. La trésorerie nette reste abondante à 74,78 milliards FCFA, mais la rentabilité opérationnelle s'est effondrée, et le dividende proposé chute de 89% à 544 millions FCFA. Les perspectives 2026 dépendent de la capacité à restaurer les marges opérationnelles et à stabiliser les revenus financiers.</w:t>
      </w:r>
    </w:p>
    <w:p>
      <w:pPr>
        <w:spacing w:after="120" w:line="276" w:lineRule="auto"/>
      </w:pPr>
      <w:r>
        <w:t>---</w:t>
      </w:r>
    </w:p>
    <w:p>
      <w:pPr>
        <w:spacing w:after="120" w:line="276" w:lineRule="auto"/>
      </w:pPr>
      <w:r>
        <w:t>### PARTIE 4 : CONCLUSION D'INVESTISSEMENT</w:t>
      </w:r>
    </w:p>
    <w:p>
      <w:pPr>
        <w:spacing w:after="120" w:line="276" w:lineRule="auto"/>
      </w:pPr>
      <w:r>
        <w:t>La valorisation actuelle de SDSC présente un paradoxe : le PER de 6,8x suggère une sous-évaluation relative, mais l'EV/EBITDA de 31,1x indique une valorisation exigeante de la capacité opérationnelle. Le comportement du cours montre une tendance haussière solide (+33,17% sur 100 jours) avec une volatilité élevée (51,6%), mais les statistiques descriptives révèlent une distribution relativement stable (kurtosis platykurtique). Les signaux techniques sont mitigés : les moyennes mobiles sont haussières, mais le MACD émet un signal de vente, et le RSI reste neutre. Les fondamentaux montrent une dégradation alarmante de la rentabilité en 2025 (marge nette de 0,85% contre 24,6% en 2024), malgré une croissance du CA et une trésorerie abondante. Les prédictions IA pour les 10 prochains jours (2 613 à 2 517 FCFA) anticipent une correction baissière, contredisant la tendance récente. La convergence entre la dégradation fondamentale, le signal MACD vendeur et les prédictions IA baissières l'emporte sur la valorisation apparemment attractive et la tendance haussière passée. **Recommandation finale : VENTE** avec un niveau de confiance **Moyen** et un risque global **Élevé**. L'horizon d'investissement optimal serait le **court terme (&lt;3 mois)** pour les investisseurs cherchant à sécuriser leurs gains, tandis que les investisseurs à long terme devraient attendre une stabilisation des marges opérationnelles avant de réintégrer le titre.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5,005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-25.25%</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12.71% (Moyenne) — μ=1,629 FCFA, σ=207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β=0.8215 (Neutre (suit le marché)) — Cov=0.000030, Var(idx)=0.000036, ρ=0.152,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5,005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2026-08-12</w:t>
            </w:r>
          </w:p>
        </w:tc>
        <w:tc>
          <w:tcPr>
            <w:tcW w:type="dxa" w:w="1440"/>
            <w:shd w:fill="FFDCE0" w:val="clear"/>
          </w:tcPr>
          <w:p>
            <w:r>
              <w:rPr>
                <w:sz w:val="17"/>
              </w:rPr>
              <w:t>1,368</w:t>
            </w:r>
          </w:p>
        </w:tc>
        <w:tc>
          <w:tcPr>
            <w:tcW w:type="dxa" w:w="1440"/>
            <w:shd w:fill="FFDCE0" w:val="clear"/>
          </w:tcPr>
          <w:p>
            <w:r>
              <w:rPr>
                <w:b/>
                <w:sz w:val="17"/>
              </w:rPr>
              <w:t>1,437</w:t>
            </w:r>
          </w:p>
        </w:tc>
        <w:tc>
          <w:tcPr>
            <w:tcW w:type="dxa" w:w="1440"/>
            <w:shd w:fill="FFDCE0" w:val="clear"/>
          </w:tcPr>
          <w:p>
            <w:r>
              <w:rPr>
                <w:sz w:val="17"/>
              </w:rPr>
              <w:t>1,506</w:t>
            </w:r>
          </w:p>
        </w:tc>
        <w:tc>
          <w:tcPr>
            <w:tcW w:type="dxa" w:w="1440"/>
            <w:shd w:fill="FFDCE0" w:val="clear"/>
          </w:tcPr>
          <w:p>
            <w:r>
              <w:rPr>
                <w:b/>
                <w:color w:val="C00000"/>
                <w:sz w:val="17"/>
              </w:rPr>
              <w:t>-3.9%</w:t>
            </w:r>
          </w:p>
        </w:tc>
      </w:tr>
      <w:tr>
        <w:tc>
          <w:tcPr>
            <w:tcW w:type="dxa" w:w="1440"/>
            <w:shd w:fill="FFDCE0" w:val="clear"/>
          </w:tcPr>
          <w:p>
            <w:r>
              <w:rPr>
                <w:sz w:val="17"/>
              </w:rPr>
              <w:t>J+2  Moyenne</w:t>
            </w:r>
          </w:p>
        </w:tc>
        <w:tc>
          <w:tcPr>
            <w:tcW w:type="dxa" w:w="1440"/>
            <w:shd w:fill="FFDCE0" w:val="clear"/>
          </w:tcPr>
          <w:p>
            <w:r>
              <w:rPr>
                <w:sz w:val="17"/>
              </w:rPr>
              <w:t>2026-08-13</w:t>
            </w:r>
          </w:p>
        </w:tc>
        <w:tc>
          <w:tcPr>
            <w:tcW w:type="dxa" w:w="1440"/>
            <w:shd w:fill="FFDCE0" w:val="clear"/>
          </w:tcPr>
          <w:p>
            <w:r>
              <w:rPr>
                <w:sz w:val="17"/>
              </w:rPr>
              <w:t>1,332</w:t>
            </w:r>
          </w:p>
        </w:tc>
        <w:tc>
          <w:tcPr>
            <w:tcW w:type="dxa" w:w="1440"/>
            <w:shd w:fill="FFDCE0" w:val="clear"/>
          </w:tcPr>
          <w:p>
            <w:r>
              <w:rPr>
                <w:b/>
                <w:sz w:val="17"/>
              </w:rPr>
              <w:t>1,429</w:t>
            </w:r>
          </w:p>
        </w:tc>
        <w:tc>
          <w:tcPr>
            <w:tcW w:type="dxa" w:w="1440"/>
            <w:shd w:fill="FFDCE0" w:val="clear"/>
          </w:tcPr>
          <w:p>
            <w:r>
              <w:rPr>
                <w:sz w:val="17"/>
              </w:rPr>
              <w:t>1,526</w:t>
            </w:r>
          </w:p>
        </w:tc>
        <w:tc>
          <w:tcPr>
            <w:tcW w:type="dxa" w:w="1440"/>
            <w:shd w:fill="FFDCE0" w:val="clear"/>
          </w:tcPr>
          <w:p>
            <w:r>
              <w:rPr>
                <w:b/>
                <w:color w:val="C00000"/>
                <w:sz w:val="17"/>
              </w:rPr>
              <w:t>-4.4%</w:t>
            </w:r>
          </w:p>
        </w:tc>
      </w:tr>
      <w:tr>
        <w:tc>
          <w:tcPr>
            <w:tcW w:type="dxa" w:w="1440"/>
            <w:shd w:fill="FFDCE0" w:val="clear"/>
          </w:tcPr>
          <w:p>
            <w:r>
              <w:rPr>
                <w:sz w:val="17"/>
              </w:rPr>
              <w:t>J+3  Moyenne</w:t>
            </w:r>
          </w:p>
        </w:tc>
        <w:tc>
          <w:tcPr>
            <w:tcW w:type="dxa" w:w="1440"/>
            <w:shd w:fill="FFDCE0" w:val="clear"/>
          </w:tcPr>
          <w:p>
            <w:r>
              <w:rPr>
                <w:sz w:val="17"/>
              </w:rPr>
              <w:t>2026-08-14</w:t>
            </w:r>
          </w:p>
        </w:tc>
        <w:tc>
          <w:tcPr>
            <w:tcW w:type="dxa" w:w="1440"/>
            <w:shd w:fill="FFDCE0" w:val="clear"/>
          </w:tcPr>
          <w:p>
            <w:r>
              <w:rPr>
                <w:sz w:val="17"/>
              </w:rPr>
              <w:t>1,299</w:t>
            </w:r>
          </w:p>
        </w:tc>
        <w:tc>
          <w:tcPr>
            <w:tcW w:type="dxa" w:w="1440"/>
            <w:shd w:fill="FFDCE0" w:val="clear"/>
          </w:tcPr>
          <w:p>
            <w:r>
              <w:rPr>
                <w:b/>
                <w:sz w:val="17"/>
              </w:rPr>
              <w:t>1,417</w:t>
            </w:r>
          </w:p>
        </w:tc>
        <w:tc>
          <w:tcPr>
            <w:tcW w:type="dxa" w:w="1440"/>
            <w:shd w:fill="FFDCE0" w:val="clear"/>
          </w:tcPr>
          <w:p>
            <w:r>
              <w:rPr>
                <w:sz w:val="17"/>
              </w:rPr>
              <w:t>1,535</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1,269</w:t>
            </w:r>
          </w:p>
        </w:tc>
        <w:tc>
          <w:tcPr>
            <w:tcW w:type="dxa" w:w="1440"/>
            <w:shd w:fill="FFDCE0" w:val="clear"/>
          </w:tcPr>
          <w:p>
            <w:r>
              <w:rPr>
                <w:b/>
                <w:sz w:val="17"/>
              </w:rPr>
              <w:t>1,404</w:t>
            </w:r>
          </w:p>
        </w:tc>
        <w:tc>
          <w:tcPr>
            <w:tcW w:type="dxa" w:w="1440"/>
            <w:shd w:fill="FFDCE0" w:val="clear"/>
          </w:tcPr>
          <w:p>
            <w:r>
              <w:rPr>
                <w:sz w:val="17"/>
              </w:rPr>
              <w:t>1,539</w:t>
            </w:r>
          </w:p>
        </w:tc>
        <w:tc>
          <w:tcPr>
            <w:tcW w:type="dxa" w:w="1440"/>
            <w:shd w:fill="FFDCE0" w:val="clear"/>
          </w:tcPr>
          <w:p>
            <w:r>
              <w:rPr>
                <w:b/>
                <w:color w:val="C00000"/>
                <w:sz w:val="17"/>
              </w:rPr>
              <w:t>-6.1%</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1,241</w:t>
            </w:r>
          </w:p>
        </w:tc>
        <w:tc>
          <w:tcPr>
            <w:tcW w:type="dxa" w:w="1440"/>
            <w:shd w:fill="FFDCE0" w:val="clear"/>
          </w:tcPr>
          <w:p>
            <w:r>
              <w:rPr>
                <w:b/>
                <w:sz w:val="17"/>
              </w:rPr>
              <w:t>1,390</w:t>
            </w:r>
          </w:p>
        </w:tc>
        <w:tc>
          <w:tcPr>
            <w:tcW w:type="dxa" w:w="1440"/>
            <w:shd w:fill="FFDCE0" w:val="clear"/>
          </w:tcPr>
          <w:p>
            <w:r>
              <w:rPr>
                <w:sz w:val="17"/>
              </w:rPr>
              <w:t>1,540</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1,215</w:t>
            </w:r>
          </w:p>
        </w:tc>
        <w:tc>
          <w:tcPr>
            <w:tcW w:type="dxa" w:w="1440"/>
            <w:shd w:fill="FFDCE0" w:val="clear"/>
          </w:tcPr>
          <w:p>
            <w:r>
              <w:rPr>
                <w:b/>
                <w:sz w:val="17"/>
              </w:rPr>
              <w:t>1,377</w:t>
            </w:r>
          </w:p>
        </w:tc>
        <w:tc>
          <w:tcPr>
            <w:tcW w:type="dxa" w:w="1440"/>
            <w:shd w:fill="FFDCE0" w:val="clear"/>
          </w:tcPr>
          <w:p>
            <w:r>
              <w:rPr>
                <w:sz w:val="17"/>
              </w:rPr>
              <w:t>1,539</w:t>
            </w:r>
          </w:p>
        </w:tc>
        <w:tc>
          <w:tcPr>
            <w:tcW w:type="dxa" w:w="1440"/>
            <w:shd w:fill="FFDCE0" w:val="clear"/>
          </w:tcPr>
          <w:p>
            <w:r>
              <w:rPr>
                <w:b/>
                <w:color w:val="C00000"/>
                <w:sz w:val="17"/>
              </w:rPr>
              <w:t>-7.9%</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1,191</w:t>
            </w:r>
          </w:p>
        </w:tc>
        <w:tc>
          <w:tcPr>
            <w:tcW w:type="dxa" w:w="1440"/>
            <w:shd w:fill="FFDCE0" w:val="clear"/>
          </w:tcPr>
          <w:p>
            <w:r>
              <w:rPr>
                <w:b/>
                <w:sz w:val="17"/>
              </w:rPr>
              <w:t>1,364</w:t>
            </w:r>
          </w:p>
        </w:tc>
        <w:tc>
          <w:tcPr>
            <w:tcW w:type="dxa" w:w="1440"/>
            <w:shd w:fill="FFDCE0" w:val="clear"/>
          </w:tcPr>
          <w:p>
            <w:r>
              <w:rPr>
                <w:sz w:val="17"/>
              </w:rPr>
              <w:t>1,538</w:t>
            </w:r>
          </w:p>
        </w:tc>
        <w:tc>
          <w:tcPr>
            <w:tcW w:type="dxa" w:w="1440"/>
            <w:shd w:fill="FFDCE0" w:val="clear"/>
          </w:tcPr>
          <w:p>
            <w:r>
              <w:rPr>
                <w:b/>
                <w:color w:val="C00000"/>
                <w:sz w:val="17"/>
              </w:rPr>
              <w:t>-8.7%</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1,168</w:t>
            </w:r>
          </w:p>
        </w:tc>
        <w:tc>
          <w:tcPr>
            <w:tcW w:type="dxa" w:w="1440"/>
            <w:shd w:fill="FFDCE0" w:val="clear"/>
          </w:tcPr>
          <w:p>
            <w:r>
              <w:rPr>
                <w:b/>
                <w:sz w:val="17"/>
              </w:rPr>
              <w:t>1,352</w:t>
            </w:r>
          </w:p>
        </w:tc>
        <w:tc>
          <w:tcPr>
            <w:tcW w:type="dxa" w:w="1440"/>
            <w:shd w:fill="FFDCE0" w:val="clear"/>
          </w:tcPr>
          <w:p>
            <w:r>
              <w:rPr>
                <w:sz w:val="17"/>
              </w:rPr>
              <w:t>1,535</w:t>
            </w:r>
          </w:p>
        </w:tc>
        <w:tc>
          <w:tcPr>
            <w:tcW w:type="dxa" w:w="1440"/>
            <w:shd w:fill="FFDCE0" w:val="clear"/>
          </w:tcPr>
          <w:p>
            <w:r>
              <w:rPr>
                <w:b/>
                <w:color w:val="C00000"/>
                <w:sz w:val="17"/>
              </w:rPr>
              <w:t>-9.6%</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1,146</w:t>
            </w:r>
          </w:p>
        </w:tc>
        <w:tc>
          <w:tcPr>
            <w:tcW w:type="dxa" w:w="1440"/>
            <w:shd w:fill="FFDCE0" w:val="clear"/>
          </w:tcPr>
          <w:p>
            <w:r>
              <w:rPr>
                <w:b/>
                <w:sz w:val="17"/>
              </w:rPr>
              <w:t>1,339</w:t>
            </w:r>
          </w:p>
        </w:tc>
        <w:tc>
          <w:tcPr>
            <w:tcW w:type="dxa" w:w="1440"/>
            <w:shd w:fill="FFDCE0" w:val="clear"/>
          </w:tcPr>
          <w:p>
            <w:r>
              <w:rPr>
                <w:sz w:val="17"/>
              </w:rPr>
              <w:t>1,532</w:t>
            </w:r>
          </w:p>
        </w:tc>
        <w:tc>
          <w:tcPr>
            <w:tcW w:type="dxa" w:w="1440"/>
            <w:shd w:fill="FFDCE0" w:val="clear"/>
          </w:tcPr>
          <w:p>
            <w:r>
              <w:rPr>
                <w:b/>
                <w:color w:val="C00000"/>
                <w:sz w:val="17"/>
              </w:rPr>
              <w:t>-10.4%</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1,126</w:t>
            </w:r>
          </w:p>
        </w:tc>
        <w:tc>
          <w:tcPr>
            <w:tcW w:type="dxa" w:w="1440"/>
            <w:shd w:fill="FFDCE0" w:val="clear"/>
          </w:tcPr>
          <w:p>
            <w:r>
              <w:rPr>
                <w:b/>
                <w:sz w:val="17"/>
              </w:rPr>
              <w:t>1,327</w:t>
            </w:r>
          </w:p>
        </w:tc>
        <w:tc>
          <w:tcPr>
            <w:tcW w:type="dxa" w:w="1440"/>
            <w:shd w:fill="FFDCE0" w:val="clear"/>
          </w:tcPr>
          <w:p>
            <w:r>
              <w:rPr>
                <w:sz w:val="17"/>
              </w:rPr>
              <w:t>1,529</w:t>
            </w:r>
          </w:p>
        </w:tc>
        <w:tc>
          <w:tcPr>
            <w:tcW w:type="dxa" w:w="1440"/>
            <w:shd w:fill="FFDCE0" w:val="clear"/>
          </w:tcPr>
          <w:p>
            <w:r>
              <w:rPr>
                <w:b/>
                <w:color w:val="C00000"/>
                <w:sz w:val="17"/>
              </w:rPr>
              <w:t>-11.2%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qui la positionne parmi les valeurs de taille moyenne sur la BRVM. Les ratios de valorisation (BPA, PER, P/B, EV/EBITDA) ne sont pas calculables en raison de l'absence de données financières structurées dans la base de données, ce qui constitue une limite pour l'évaluation comparative. Toutefois, sur la base des rapports fondamentaux disponibles, le résultat net de l'exercice 2023 s'établit à 1,01 milliard FCFA, ce qui impliquerait un PER théorique d'environ 37 fois, nettement supérieur à la moyenne du marché BRVM (8-12 fois). Cette valorisation suggère que le marché intègre des perspectives de redressement significatif, notamment portées par le rachat de Sonoco Products Company et l'objectif de chiffre d'affaires de 32 milliards FCFA pour 2024. En l'absence de données sur les capitaux propres, le P/B ne peut être déterminé, mais la faiblesse des bénéfices actuels par rapport à la capitalisation indique une prime de risque élevée.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 enregistré une baisse significative de 25,25%, passant d'un plus haut de 2 265 FCFA à un plus bas de 1 350 FCFA, avec un cours actuel de 1 495 FCFA. La variation de la dernière séance (-0,33%) confirme la persistance d'une tendance baissière, bien que le rythme de décroissance semble ralentir. Les statistiques descriptives révèlent une moyenne de 1 629 FCFA supérieure à la médiane de 1 555 FCFA, indiquant une asymétrie positive (skewness de 1,195) avec davantage de journées sous la moyenne, typique d'un marché en distribution. L'écart-type de 208 FCFA (CV=12,8%) témoigne d'une dispersion modérée des cours autour de la moyenne. Le kurtosis de 0,327, proche d'une distribution normale, suggère l'absence de mouvements extrêmes récents. La volatilité annualisée de 51,2% classe SEMC parmi les titres à très forte volatilité, reflétant une incertitude élevée des investisseurs face aux perspectives de redressement de la société.</w:t>
      </w:r>
    </w:p>
    <w:p>
      <w:pPr>
        <w:spacing w:after="120" w:line="276" w:lineRule="auto" w:before="240"/>
      </w:pPr>
      <w:r>
        <w:rPr>
          <w:b/>
          <w:color w:val="003366"/>
          <w:sz w:val="24"/>
        </w:rPr>
        <w:t>**PARTIE 2 : ANALYSE TECHNIQUE DÉTAILLÉE**</w:t>
      </w:r>
    </w:p>
    <w:p>
      <w:pPr>
        <w:spacing w:after="120" w:line="276" w:lineRule="auto"/>
      </w:pPr>
      <w:r>
        <w:t>**Moyennes Mobiles** : La MM20 à 1 480,75 FCFA et la MM50 à 1 520,9 FCFA sont toutes deux proches du cours actuel de 1 495 FCFA, mais leur position relative (MM20 &lt; MM50) confirme une tendance baissière de moyen terme. Le cours évolue sous la MM50, signalant une pression vendeuse persistante, tandis que la MM20 agit comme un support immédiat. La décision de vente est justifiée par cette configuration baissière, bien que le resserrement des moyennes suggère une possible consolidation.</w:t>
      </w:r>
    </w:p>
    <w:p>
      <w:pPr>
        <w:spacing w:after="120" w:line="276" w:lineRule="auto"/>
      </w:pPr>
      <w:r>
        <w:t>**Bandes de Bollinger** : Le cours se situe à 1 495 FCFA, entre la borne inférieure de 1 408,255 FCFA et la borne supérieure de 1 553,245 FCFA, dans la partie médiane-basse des bandes. La largeur des bandes reflète la volatilité élevée du titre. La décision neutre s'explique par l'absence de contact avec les bornes extrêmes, indiquant que le marché n'est pas encore en situation de surachat ou de survente technique.</w:t>
      </w:r>
    </w:p>
    <w:p>
      <w:pPr>
        <w:spacing w:after="120" w:line="276" w:lineRule="auto"/>
      </w:pPr>
      <w:r>
        <w:t>**MACD** : La valeur MACD de -5,876 est supérieure au signal de -9,318, formant un croisement haussier récent. Cette configuration suggère un ralentissement du momentum baissier et une possible inversion de tendance à court terme. La décision d'achat se justifie par cette divergence positive, bien que les valeurs restent négatives, indiquant que la dynamique baissière n'est pas totalement inversée.</w:t>
      </w:r>
    </w:p>
    <w:p>
      <w:pPr>
        <w:spacing w:after="120" w:line="276" w:lineRule="auto"/>
      </w:pPr>
      <w:r>
        <w:t>**RSI** : À 58,442, le RSI se situe dans la zone neutre (30-70), sans signal de surachat ni de survente. Cette valeur reflète un équilibre relatif entre acheteurs et vendeurs après la forte baisse. La décision neutre est cohérente avec l'absence de momentum directionnel clair.</w:t>
      </w:r>
    </w:p>
    <w:p>
      <w:pPr>
        <w:spacing w:after="120" w:line="276" w:lineRule="auto"/>
      </w:pPr>
      <w:r>
        <w:t>**Stochastique** : Le %K à 73,684 est supérieur au %D à 61,483, formant un croisement haussier en zone de surachat naissant. Cette configuration suggère une pression acheteuse à court terme, mais la proximité du seuil de 70 invite à la prudence. La décision neutre reflète cette ambiguïté.</w:t>
      </w:r>
    </w:p>
    <w:p>
      <w:pPr>
        <w:spacing w:after="120" w:line="276" w:lineRule="auto"/>
      </w:pPr>
      <w:r>
        <w:t>**Conclusion technique** : Les indicateurs techniques présentent des signaux mitigés, avec un MACD haussier contrastant avec des moyennes mobiles baissières. Le RSI et le stochastique indiquent un équilibre précaire. Globalement, la tendance de fond reste baissière, mais les signaux de court terme suggèrent une possible stabilisation autour de 1 400-1 500 FCFA.</w:t>
      </w:r>
    </w:p>
    <w:p>
      <w:pPr>
        <w:spacing w:after="120" w:line="276" w:lineRule="auto" w:before="240"/>
      </w:pPr>
      <w:r>
        <w:rPr>
          <w:b/>
          <w:color w:val="003366"/>
          <w:sz w:val="24"/>
        </w:rPr>
        <w:t>**PARTIE 3 : ANALYSE FONDAMENTALE (SECTION CRITIQUE)**</w:t>
      </w:r>
    </w:p>
    <w:p>
      <w:pPr>
        <w:spacing w:after="120" w:line="276" w:lineRule="auto"/>
      </w:pPr>
      <w:r>
        <w:t>Les rapports fondamentaux disponibles, datant du 31 décembre 2024 (analysés en mars 2026), couvrent l'exercice 2023 et révèlent une situation financière contrastée. Le chiffre d'affaires 2023 s'établit à 27,88 milliards FCFA, en baisse de 6% par rapport à 2022 (29,60 milliards FCFA), principalement due à la perte de clients clés (AIRONE, secteur Tomate) et à la réduction des volumes vendus (-12%). Le résultat net chute de 74% à 1,01 milliard FCFA (contre 3,86 milliards en 2022), avec une marge nette de 3,6% contre 13% précédemment. La marge d'exploitation se dégrade à 6,9% (vs 11% en 2022), illustrant un effet ciseau défavorable. Le rapport du premier trimestre 2023 (daté du 31 décembre 2023) montre pourtant une dynamique positive avec un CA de 7,65 milliards FCFA (+16,5% vs T1 2022) et un résultat net de 855,65 millions FCFA (+37,9%), suggérant une amélioration en début d'exercice. La politique de dividende reste nulle depuis 2022, la société privilégiant la conservation de trésorerie (3,35 milliards FCFA) pour financer sa relance. Le rachat par Sonoco Products Company (finalisé décembre 2024) constitue un tournant stratégique majeur, avec un objectif de CA de 32 milliards FCFA en 2024 (+18%), porté par les bouchons couronnes (+61% en volume) et les exportations. Les risques identifiés incluent la dépendance aux clients historiques, la concurrence des emballages alternatifs (PET) et la suspension de la cote BRVM depuis janvier 2024 (flottant insuffisant de 10,42%). La recommandation fondamentale est de conserver avec vigilance, en surveillant l'exécution du plan 2024 et l'impact du changement d'actionnariat.</w:t>
      </w:r>
    </w:p>
    <w:p>
      <w:pPr>
        <w:spacing w:after="120" w:line="276" w:lineRule="auto" w:before="240"/>
      </w:pPr>
      <w:r>
        <w:rPr>
          <w:b/>
          <w:color w:val="003366"/>
          <w:sz w:val="24"/>
        </w:rPr>
        <w:t>**PARTIE 4 : CONCLUSION D'INVESTISSEMENT**</w:t>
      </w:r>
    </w:p>
    <w:p>
      <w:pPr>
        <w:spacing w:after="120" w:line="276" w:lineRule="auto"/>
      </w:pPr>
      <w:r>
        <w:t>La synthèse des quatre analyses révèle une situation complexe pour SEMC. La valorisation boursière (capitalisation de 37,66 milliards FCFA) apparaît élevée au regard des bénéfices actuels, avec un PER théorique d'environ 37 fois, nettement supérieur à la moyenne BRVM. Le comportement du cours sur 100 jours (-25,25%) confirme une tendance baissière marquée, avec une volatilité très élevée (51,2%) et une asymétrie positive indiquant des journées majoritairement sous la moyenne. Les signaux techniques sont mitigés, avec un MACD haussier contrastant avec des moyennes mobiles baissières, suggérant une possible stabilisation à court terme. Les fondamentaux montrent une dégradation significative en 2023 (résultat net -74%), mais des perspectives de redressement crédibles portées par le rachat de Sonoco et l'objectif de CA de 32 milliards FCFA en 2024. Les prédictions IA pour les 10 prochains jours (1 437 à 1 390 FCFA) confirment la poursuite de la baisse, avec une trajectoire descendante vers le support de 1 350 FCFA. Cette convergence entre la tendance technique baissière, les prédictions IA et la faiblesse des fondamentaux actuels justifie une recommandation de **VENTE**, avec un niveau de confiance **Moyen** et un risque global **Élevé**. L'horizon d'investissement optimal serait le **court terme (&lt;3 mois)** pour les investisseurs cherchant à limiter leur exposition, en attendant des signaux clairs de redressement fondamental (publication des résultats 2024, levée de la suspension BRVM).</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4,490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+10.48%</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5.67% (Moyenne) — μ=36,575 FCFA, σ=2,073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β=0.5303 (Défensif) — Cov=0.000019, Var(idx)=0.000036, ρ=0.216,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σ_j=1.47%/j (Stable) — Vol. annualisée≈23.3%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2026-08-12</w:t>
            </w:r>
          </w:p>
        </w:tc>
        <w:tc>
          <w:tcPr>
            <w:tcW w:type="dxa" w:w="1440"/>
            <w:shd w:fill="FFDCE0" w:val="clear"/>
          </w:tcPr>
          <w:p>
            <w:r>
              <w:rPr>
                <w:sz w:val="17"/>
              </w:rPr>
              <w:t>37,386</w:t>
            </w:r>
          </w:p>
        </w:tc>
        <w:tc>
          <w:tcPr>
            <w:tcW w:type="dxa" w:w="1440"/>
            <w:shd w:fill="FFDCE0" w:val="clear"/>
          </w:tcPr>
          <w:p>
            <w:r>
              <w:rPr>
                <w:b/>
                <w:sz w:val="17"/>
              </w:rPr>
              <w:t>38,212</w:t>
            </w:r>
          </w:p>
        </w:tc>
        <w:tc>
          <w:tcPr>
            <w:tcW w:type="dxa" w:w="1440"/>
            <w:shd w:fill="FFDCE0" w:val="clear"/>
          </w:tcPr>
          <w:p>
            <w:r>
              <w:rPr>
                <w:sz w:val="17"/>
              </w:rPr>
              <w:t>39,039</w:t>
            </w:r>
          </w:p>
        </w:tc>
        <w:tc>
          <w:tcPr>
            <w:tcW w:type="dxa" w:w="1440"/>
            <w:shd w:fill="FFDCE0" w:val="clear"/>
          </w:tcPr>
          <w:p>
            <w:r>
              <w:rPr>
                <w:b/>
                <w:color w:val="C00000"/>
                <w:sz w:val="17"/>
              </w:rPr>
              <w:t>-2.0%</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36,966</w:t>
            </w:r>
          </w:p>
        </w:tc>
        <w:tc>
          <w:tcPr>
            <w:tcW w:type="dxa" w:w="1440"/>
            <w:shd w:fill="FFDCE0" w:val="clear"/>
          </w:tcPr>
          <w:p>
            <w:r>
              <w:rPr>
                <w:b/>
                <w:sz w:val="17"/>
              </w:rPr>
              <w:t>38,132</w:t>
            </w:r>
          </w:p>
        </w:tc>
        <w:tc>
          <w:tcPr>
            <w:tcW w:type="dxa" w:w="1440"/>
            <w:shd w:fill="FFDCE0" w:val="clear"/>
          </w:tcPr>
          <w:p>
            <w:r>
              <w:rPr>
                <w:sz w:val="17"/>
              </w:rPr>
              <w:t>39,299</w:t>
            </w:r>
          </w:p>
        </w:tc>
        <w:tc>
          <w:tcPr>
            <w:tcW w:type="dxa" w:w="1440"/>
            <w:shd w:fill="FFDCE0" w:val="clear"/>
          </w:tcPr>
          <w:p>
            <w:r>
              <w:rPr>
                <w:b/>
                <w:color w:val="C00000"/>
                <w:sz w:val="17"/>
              </w:rPr>
              <w:t>-2.2%</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36,604</w:t>
            </w:r>
          </w:p>
        </w:tc>
        <w:tc>
          <w:tcPr>
            <w:tcW w:type="dxa" w:w="1440"/>
            <w:shd w:fill="FFDCE0" w:val="clear"/>
          </w:tcPr>
          <w:p>
            <w:r>
              <w:rPr>
                <w:b/>
                <w:sz w:val="17"/>
              </w:rPr>
              <w:t>38,030</w:t>
            </w:r>
          </w:p>
        </w:tc>
        <w:tc>
          <w:tcPr>
            <w:tcW w:type="dxa" w:w="1440"/>
            <w:shd w:fill="FFDCE0" w:val="clear"/>
          </w:tcPr>
          <w:p>
            <w:r>
              <w:rPr>
                <w:sz w:val="17"/>
              </w:rPr>
              <w:t>39,455</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2026-08-17</w:t>
            </w:r>
          </w:p>
        </w:tc>
        <w:tc>
          <w:tcPr>
            <w:tcW w:type="dxa" w:w="1440"/>
            <w:shd w:fill="FFDCE0" w:val="clear"/>
          </w:tcPr>
          <w:p>
            <w:r>
              <w:rPr>
                <w:sz w:val="17"/>
              </w:rPr>
              <w:t>36,292</w:t>
            </w:r>
          </w:p>
        </w:tc>
        <w:tc>
          <w:tcPr>
            <w:tcW w:type="dxa" w:w="1440"/>
            <w:shd w:fill="FFDCE0" w:val="clear"/>
          </w:tcPr>
          <w:p>
            <w:r>
              <w:rPr>
                <w:b/>
                <w:sz w:val="17"/>
              </w:rPr>
              <w:t>37,933</w:t>
            </w:r>
          </w:p>
        </w:tc>
        <w:tc>
          <w:tcPr>
            <w:tcW w:type="dxa" w:w="1440"/>
            <w:shd w:fill="FFDCE0" w:val="clear"/>
          </w:tcPr>
          <w:p>
            <w:r>
              <w:rPr>
                <w:sz w:val="17"/>
              </w:rPr>
              <w:t>39,575</w:t>
            </w:r>
          </w:p>
        </w:tc>
        <w:tc>
          <w:tcPr>
            <w:tcW w:type="dxa" w:w="1440"/>
            <w:shd w:fill="FFDCE0" w:val="clear"/>
          </w:tcPr>
          <w:p>
            <w:r>
              <w:rPr>
                <w:b/>
                <w:color w:val="C00000"/>
                <w:sz w:val="17"/>
              </w:rPr>
              <w:t>-2.7%</w:t>
            </w:r>
          </w:p>
        </w:tc>
      </w:tr>
      <w:tr>
        <w:tc>
          <w:tcPr>
            <w:tcW w:type="dxa" w:w="1440"/>
            <w:shd w:fill="FFDCE0" w:val="clear"/>
          </w:tcPr>
          <w:p>
            <w:r>
              <w:rPr>
                <w:sz w:val="17"/>
              </w:rPr>
              <w:t>J+5  Moyenne</w:t>
            </w:r>
          </w:p>
        </w:tc>
        <w:tc>
          <w:tcPr>
            <w:tcW w:type="dxa" w:w="1440"/>
            <w:shd w:fill="FFDCE0" w:val="clear"/>
          </w:tcPr>
          <w:p>
            <w:r>
              <w:rPr>
                <w:sz w:val="17"/>
              </w:rPr>
              <w:t>2026-08-18</w:t>
            </w:r>
          </w:p>
        </w:tc>
        <w:tc>
          <w:tcPr>
            <w:tcW w:type="dxa" w:w="1440"/>
            <w:shd w:fill="FFDCE0" w:val="clear"/>
          </w:tcPr>
          <w:p>
            <w:r>
              <w:rPr>
                <w:sz w:val="17"/>
              </w:rPr>
              <w:t>36,013</w:t>
            </w:r>
          </w:p>
        </w:tc>
        <w:tc>
          <w:tcPr>
            <w:tcW w:type="dxa" w:w="1440"/>
            <w:shd w:fill="FFDCE0" w:val="clear"/>
          </w:tcPr>
          <w:p>
            <w:r>
              <w:rPr>
                <w:b/>
                <w:sz w:val="17"/>
              </w:rPr>
              <w:t>37,844</w:t>
            </w:r>
          </w:p>
        </w:tc>
        <w:tc>
          <w:tcPr>
            <w:tcW w:type="dxa" w:w="1440"/>
            <w:shd w:fill="FFDCE0" w:val="clear"/>
          </w:tcPr>
          <w:p>
            <w:r>
              <w:rPr>
                <w:sz w:val="17"/>
              </w:rPr>
              <w:t>39,675</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2026-08-19</w:t>
            </w:r>
          </w:p>
        </w:tc>
        <w:tc>
          <w:tcPr>
            <w:tcW w:type="dxa" w:w="1440"/>
            <w:shd w:fill="FFDCE0" w:val="clear"/>
          </w:tcPr>
          <w:p>
            <w:r>
              <w:rPr>
                <w:sz w:val="17"/>
              </w:rPr>
              <w:t>35,759</w:t>
            </w:r>
          </w:p>
        </w:tc>
        <w:tc>
          <w:tcPr>
            <w:tcW w:type="dxa" w:w="1440"/>
            <w:shd w:fill="FFDCE0" w:val="clear"/>
          </w:tcPr>
          <w:p>
            <w:r>
              <w:rPr>
                <w:b/>
                <w:sz w:val="17"/>
              </w:rPr>
              <w:t>37,760</w:t>
            </w:r>
          </w:p>
        </w:tc>
        <w:tc>
          <w:tcPr>
            <w:tcW w:type="dxa" w:w="1440"/>
            <w:shd w:fill="FFDCE0" w:val="clear"/>
          </w:tcPr>
          <w:p>
            <w:r>
              <w:rPr>
                <w:sz w:val="17"/>
              </w:rPr>
              <w:t>39,762</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2026-08-20</w:t>
            </w:r>
          </w:p>
        </w:tc>
        <w:tc>
          <w:tcPr>
            <w:tcW w:type="dxa" w:w="1440"/>
            <w:shd w:fill="FFDCE0" w:val="clear"/>
          </w:tcPr>
          <w:p>
            <w:r>
              <w:rPr>
                <w:sz w:val="17"/>
              </w:rPr>
              <w:t>35,523</w:t>
            </w:r>
          </w:p>
        </w:tc>
        <w:tc>
          <w:tcPr>
            <w:tcW w:type="dxa" w:w="1440"/>
            <w:shd w:fill="FFDCE0" w:val="clear"/>
          </w:tcPr>
          <w:p>
            <w:r>
              <w:rPr>
                <w:b/>
                <w:sz w:val="17"/>
              </w:rPr>
              <w:t>37,680</w:t>
            </w:r>
          </w:p>
        </w:tc>
        <w:tc>
          <w:tcPr>
            <w:tcW w:type="dxa" w:w="1440"/>
            <w:shd w:fill="FFDCE0" w:val="clear"/>
          </w:tcPr>
          <w:p>
            <w:r>
              <w:rPr>
                <w:sz w:val="17"/>
              </w:rPr>
              <w:t>39,837</w:t>
            </w:r>
          </w:p>
        </w:tc>
        <w:tc>
          <w:tcPr>
            <w:tcW w:type="dxa" w:w="1440"/>
            <w:shd w:fill="FFDCE0" w:val="clear"/>
          </w:tcPr>
          <w:p>
            <w:r>
              <w:rPr>
                <w:b/>
                <w:color w:val="C00000"/>
                <w:sz w:val="17"/>
              </w:rPr>
              <w:t>-3.4%</w:t>
            </w:r>
          </w:p>
        </w:tc>
      </w:tr>
      <w:tr>
        <w:tc>
          <w:tcPr>
            <w:tcW w:type="dxa" w:w="1440"/>
            <w:shd w:fill="FFDCE0" w:val="clear"/>
          </w:tcPr>
          <w:p>
            <w:r>
              <w:rPr>
                <w:sz w:val="17"/>
              </w:rPr>
              <w:t>J+8  Moyenne</w:t>
            </w:r>
          </w:p>
        </w:tc>
        <w:tc>
          <w:tcPr>
            <w:tcW w:type="dxa" w:w="1440"/>
            <w:shd w:fill="FFDCE0" w:val="clear"/>
          </w:tcPr>
          <w:p>
            <w:r>
              <w:rPr>
                <w:sz w:val="17"/>
              </w:rPr>
              <w:t>2026-08-21</w:t>
            </w:r>
          </w:p>
        </w:tc>
        <w:tc>
          <w:tcPr>
            <w:tcW w:type="dxa" w:w="1440"/>
            <w:shd w:fill="FFDCE0" w:val="clear"/>
          </w:tcPr>
          <w:p>
            <w:r>
              <w:rPr>
                <w:sz w:val="17"/>
              </w:rPr>
              <w:t>35,301</w:t>
            </w:r>
          </w:p>
        </w:tc>
        <w:tc>
          <w:tcPr>
            <w:tcW w:type="dxa" w:w="1440"/>
            <w:shd w:fill="FFDCE0" w:val="clear"/>
          </w:tcPr>
          <w:p>
            <w:r>
              <w:rPr>
                <w:b/>
                <w:sz w:val="17"/>
              </w:rPr>
              <w:t>37,602</w:t>
            </w:r>
          </w:p>
        </w:tc>
        <w:tc>
          <w:tcPr>
            <w:tcW w:type="dxa" w:w="1440"/>
            <w:shd w:fill="FFDCE0" w:val="clear"/>
          </w:tcPr>
          <w:p>
            <w:r>
              <w:rPr>
                <w:sz w:val="17"/>
              </w:rPr>
              <w:t>39,903</w:t>
            </w:r>
          </w:p>
        </w:tc>
        <w:tc>
          <w:tcPr>
            <w:tcW w:type="dxa" w:w="1440"/>
            <w:shd w:fill="FFDCE0" w:val="clear"/>
          </w:tcPr>
          <w:p>
            <w:r>
              <w:rPr>
                <w:b/>
                <w:color w:val="C00000"/>
                <w:sz w:val="17"/>
              </w:rPr>
              <w:t>-3.6%</w:t>
            </w:r>
          </w:p>
        </w:tc>
      </w:tr>
      <w:tr>
        <w:tc>
          <w:tcPr>
            <w:tcW w:type="dxa" w:w="1440"/>
            <w:shd w:fill="FFDCE0" w:val="clear"/>
          </w:tcPr>
          <w:p>
            <w:r>
              <w:rPr>
                <w:sz w:val="17"/>
              </w:rPr>
              <w:t>J+9  Moyenne</w:t>
            </w:r>
          </w:p>
        </w:tc>
        <w:tc>
          <w:tcPr>
            <w:tcW w:type="dxa" w:w="1440"/>
            <w:shd w:fill="FFDCE0" w:val="clear"/>
          </w:tcPr>
          <w:p>
            <w:r>
              <w:rPr>
                <w:sz w:val="17"/>
              </w:rPr>
              <w:t>2026-08-24</w:t>
            </w:r>
          </w:p>
        </w:tc>
        <w:tc>
          <w:tcPr>
            <w:tcW w:type="dxa" w:w="1440"/>
            <w:shd w:fill="FFDCE0" w:val="clear"/>
          </w:tcPr>
          <w:p>
            <w:r>
              <w:rPr>
                <w:sz w:val="17"/>
              </w:rPr>
              <w:t>35,090</w:t>
            </w:r>
          </w:p>
        </w:tc>
        <w:tc>
          <w:tcPr>
            <w:tcW w:type="dxa" w:w="1440"/>
            <w:shd w:fill="FFDCE0" w:val="clear"/>
          </w:tcPr>
          <w:p>
            <w:r>
              <w:rPr>
                <w:b/>
                <w:sz w:val="17"/>
              </w:rPr>
              <w:t>37,526</w:t>
            </w:r>
          </w:p>
        </w:tc>
        <w:tc>
          <w:tcPr>
            <w:tcW w:type="dxa" w:w="1440"/>
            <w:shd w:fill="FFDCE0" w:val="clear"/>
          </w:tcPr>
          <w:p>
            <w:r>
              <w:rPr>
                <w:sz w:val="17"/>
              </w:rPr>
              <w:t>39,962</w:t>
            </w:r>
          </w:p>
        </w:tc>
        <w:tc>
          <w:tcPr>
            <w:tcW w:type="dxa" w:w="1440"/>
            <w:shd w:fill="FFDCE0" w:val="clear"/>
          </w:tcPr>
          <w:p>
            <w:r>
              <w:rPr>
                <w:b/>
                <w:color w:val="C00000"/>
                <w:sz w:val="17"/>
              </w:rPr>
              <w:t>-3.8%</w:t>
            </w:r>
          </w:p>
        </w:tc>
      </w:tr>
      <w:tr>
        <w:tc>
          <w:tcPr>
            <w:tcW w:type="dxa" w:w="1440"/>
            <w:shd w:fill="FFDCE0" w:val="clear"/>
          </w:tcPr>
          <w:p>
            <w:r>
              <w:rPr>
                <w:sz w:val="17"/>
              </w:rPr>
              <w:t>J+10  Moyenne</w:t>
            </w:r>
          </w:p>
        </w:tc>
        <w:tc>
          <w:tcPr>
            <w:tcW w:type="dxa" w:w="1440"/>
            <w:shd w:fill="FFDCE0" w:val="clear"/>
          </w:tcPr>
          <w:p>
            <w:r>
              <w:rPr>
                <w:sz w:val="17"/>
              </w:rPr>
              <w:t>2026-08-25</w:t>
            </w:r>
          </w:p>
        </w:tc>
        <w:tc>
          <w:tcPr>
            <w:tcW w:type="dxa" w:w="1440"/>
            <w:shd w:fill="FFDCE0" w:val="clear"/>
          </w:tcPr>
          <w:p>
            <w:r>
              <w:rPr>
                <w:sz w:val="17"/>
              </w:rPr>
              <w:t>34,889</w:t>
            </w:r>
          </w:p>
        </w:tc>
        <w:tc>
          <w:tcPr>
            <w:tcW w:type="dxa" w:w="1440"/>
            <w:shd w:fill="FFDCE0" w:val="clear"/>
          </w:tcPr>
          <w:p>
            <w:r>
              <w:rPr>
                <w:b/>
                <w:sz w:val="17"/>
              </w:rPr>
              <w:t>37,451</w:t>
            </w:r>
          </w:p>
        </w:tc>
        <w:tc>
          <w:tcPr>
            <w:tcW w:type="dxa" w:w="1440"/>
            <w:shd w:fill="FFDCE0" w:val="clear"/>
          </w:tcPr>
          <w:p>
            <w:r>
              <w:rPr>
                <w:sz w:val="17"/>
              </w:rPr>
              <w:t>40,014</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1 213,33 milliards FCFA, ce qui en fait l'une des plus importantes capitalisations de la BRVM, reflétant son statut de banque systémique leader en Côte d'Ivoire. Le BPA de 3 258 FCFA indique que chaque action génère un bénéfice substantiel, justifiant un PER de 12,0x, légèrement au-dessus de la moyenne historique de la BRVM (8-12x), mais restant dans une zone de valorisation raisonnable pour un acteur de cette qualité. Le P/B de 2,45x témoigne d'une prime de croissance accordée par le marché, les investisseurs valorisant la solidité des capitaux propres (495,113 Mds FCFA) et la rentabilité élevée de la banque. En revanche, l'EV/EBITDA de 24,7x apparaît très exigeant, suggérant que la valeur totale de l'entreprise (dette incluse) est élevée par rapport à sa capacité opérationnelle, ce qui pourrait limiter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 enregistré une progression totale de +10,48%, avec une dernière séance stable (0,00%), témoignant d'une tendance haussière soutenue mais marquant une pause. Le cours a évolué dans un range de trading de 6 400 FCFA, oscillant entre un plus bas de 32 800 FCFA et un plus haut de 39 200 FCFA, démontrant une appréciation progressive du titre. La moyenne (36 575 FCFA) est légèrement inférieure à la médiane (37 000 FCFA), indiquant une distribution quasi symétrique, confirmée par un skewness de -0,277. L'écart-type de 2 083 FCFA (CV=5,7%) révèle une dispersion modérée des cours autour de la moyenne, tandis que le kurtosis de -1,374 (platykurtique) suggère une faible concentration des variations, réduisant le risque de mouvements extrêmes. La volatilité annualisée de 23,3% positionne le titre dans une zone modérée (15-30%), offrant un équilibre entre potentiel de rendement et risque acceptable.</w:t>
      </w:r>
    </w:p>
    <w:p>
      <w:pPr>
        <w:spacing w:after="120" w:line="276" w:lineRule="auto" w:before="240"/>
      </w:pPr>
      <w:r>
        <w:rPr>
          <w:b/>
          <w:color w:val="003366"/>
          <w:sz w:val="24"/>
        </w:rPr>
        <w:t>**PARTIE 2 : ANALYSE TECHNIQUE DÉTAILLÉE**</w:t>
      </w:r>
    </w:p>
    <w:p>
      <w:pPr>
        <w:spacing w:after="120" w:line="276" w:lineRule="auto"/>
      </w:pPr>
      <w:r>
        <w:t>**Moyennes Mobiles** : Le cours actuel (39 000 FCFA) se situe au-dessus des MM20 (38 107 FCFA) et MM50 (38 437 FCFA), mais la décision technique est "Vente" car le prix semble avoir dépassé les moyennes de manière excessive, suggérant une possible correction. La configuration des moyennes mobiles indique une tendance haussière de fond, mais avec un risque de consolidation à court terme.</w:t>
      </w:r>
    </w:p>
    <w:p>
      <w:pPr>
        <w:spacing w:after="120" w:line="276" w:lineRule="auto"/>
      </w:pPr>
      <w:r>
        <w:t>**Bandes de Bollinger** : Le prix (39 000 FCFA) est positionné au-dessus de la borne supérieure (38 728 FCFA), ce qui signale une condition de surachat extrême. La décision "Vente" est justifiée par cette sortie de canal, indiquant une volatilité élevée et un écart probable vers la moyenne. Les bandes relativement étroites (écart de 1 242 FCFA) suggèrent une volatilité modérée, mais le dépassement de la borne supérieure est un signal classique de retournement potentiel.</w:t>
      </w:r>
    </w:p>
    <w:p>
      <w:pPr>
        <w:spacing w:after="120" w:line="276" w:lineRule="auto"/>
      </w:pPr>
      <w:r>
        <w:t>**MACD** : La valeur du MACD (77,412) est nettement supérieure au signal (-9,057), générant une décision "Achat". Cette divergence positive indique un momentum haussier puissant, bien que l'écart important entre les deux lignes puisse signaler une exubérance excessive. Le croisement au-dessus de la ligne zéro confirme la tendance haussière de moyen terme.</w:t>
      </w:r>
    </w:p>
    <w:p>
      <w:pPr>
        <w:spacing w:after="120" w:line="276" w:lineRule="auto"/>
      </w:pPr>
      <w:r>
        <w:t>**RSI** : Avec une valeur de 83,113, le RSI est profondément en zone de surachat (&gt;70), justifiant la décision "Vente". Ce niveau extrême indique que le titre est survendu à la hausse, avec une probabilité élevée de correction technique. Les acheteurs ont dominé le marché de manière excessive, créant des conditions propices à une prise de bénéfices.</w:t>
      </w:r>
    </w:p>
    <w:p>
      <w:pPr>
        <w:spacing w:after="120" w:line="276" w:lineRule="auto"/>
      </w:pPr>
      <w:r>
        <w:t>**Stochastique** : Le %K (100,0) est à son niveau maximal, tandis que le %D (82,906) reste élevé, générant une décision "Vente". Cette configuration montre que le titre est en surachat extrême, avec un %K au plafond signalant une pression d'achat épuisée. Un croisement baissier du %K sous le %D serait un signal de retournement imminent.</w:t>
      </w:r>
    </w:p>
    <w:p>
      <w:pPr>
        <w:spacing w:after="120" w:line="276" w:lineRule="auto"/>
      </w:pPr>
      <w:r>
        <w:t>**Conclusion technique** : La majorité des indicateurs techniques (MM, Bollinger, RSI, Stochastique) convergent vers une décision de "Vente", signalant des conditions de surachat extrême. Seul le MACD reste positif, mais son écart excessif suggère un essoufflement du momentum. La tendance de fond reste haussière, mais une correction technique semble probable à court terme avant une éventuelle poursuite de la hausse.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SGBC révèlent une performance financière robuste : le Produit Net Bancaire (PNB) s'établit à 276,048 milliards FCFA, générant un résultat net de 101,352 milliards FCFA, avec un ROE exceptionnel de 20,47% et un ROA de 2,69%. Le coefficient d'exploitation de 38,75% témoigne d'une excellente maîtrise des coûts, bien en dessous du seuil de 60% considéré comme efficace pour une banque. La structure du bilan montre une transformation saine : les dépôts clientèle (2 907,675 Mds FCFA) excèdent largement les crédits (2 546,290 Mds FCFA), avec un ratio prêts/dépôts d'environ 87,6%, indiquant une liquidité confortable. Le coût du risque, estimé à travers les provisions (17,995 Mds FCFA), reste contenu par rapport au PNB. Les rapports trimestriels 2025 confirment cette dynamique : le T1 2025 (PNB de 66,3 Mds FCFA, +1,3%) et le S1 2025 (PNB de 132,0 Mds FCFA, +1,0%, résultat net de 53,1 Mds FCFA, +10,0%) montrent une croissance modérée du PNB mais une forte progression du résultat net grâce à la maîtrise des coûts. Le rapport des 9 mois 2025 (PNB de 201,0 Mds FCFA, +2,5%, résultat net de 83,3 Mds FCFA, +11,7%) confirme cette tendance, avec une amélioration du coefficient d'exploitation à 37,3%. Sur la base de ces données, on estime que l'exercice 2025 devrait dépasser légèrement les performances de 2024, avec un PNB annuel projeté autour de 276 Mds FCFA et un résultat net potentiel de 101-105 Mds FCFA. La solidité financière est renforcée par une notation AAA (unique sur le marché) et un ratio de solvabilité de 17,7% (S1 2025), bien au-dessus du minimum réglementaire de 12,5%. Les risques principaux identifiés sont la hausse du taux de créances en souffrance (NPL à 7,8% au S1 2025) et la baisse du taux de couverture (91%), nécessitant une surveillance attentive de la qualité du portefeuille de crédits.</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SGBC. La valorisation (PER de 12,0x, P/B de 2,45x) indique une prime de croissance justifiée par des fondamentaux exceptionnels, mais l'EV/EBITDA de 24,7x suggère une valorisation exigeante. Le comportement du cours (+10,48% sur 100 jours, volatilité modérée de 23,3%) est favorable, avec une distribution symétrique et un faible risque de mouvements extrêmes (kurtosis platykurtique). Les signaux techniques sont majoritairement vendeurs (MM, Bollinger, RSI à 83,1, Stochastique à 100), indiquant des conditions de surachat extrême et une correction probable à court terme. Les fondamentaux restent très solides (ROE de 20,47%, coefficient d'exploitation de 38,75%, notation AAA), avec une croissance estimée du résultat net de +11,7% sur 9 mois 2025. Les prédictions IA (38 212 FCFA à J+1, 37 844 FCFA à J+10) confirment une légère correction attendue, en ligne avec les signaux techniques. La convergence entre les signaux techniques vendeurs et les prédictions IA suggère une consolidation à court terme, mais les fondamentaux solides et la valorisation raisonnable plaident pour une perspective positive à moyen terme. **Recommandation : CONSERVER** avec un niveau de confiance **Élevé**, un risque global **Moyen**, et un horizon d'investissement optimal à **moyen terme (3-12 mois)**. Les investisseurs pourraient profiter d'une éventuelle correction pour renforcer leurs positions, tandis que les détenteurs actuels devraient maintenir leurs titres pour bénéficier de la croissance continue et des dividendes attractifs (DPA proposé de 1 863 FCFA pour 2024).</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143.96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4,340 titres</w:t>
            </w:r>
          </w:p>
        </w:tc>
        <w:tc>
          <w:tcPr>
            <w:tcW w:type="dxa" w:w="2268"/>
            <w:shd w:fill="FFF2CC" w:val="clear"/>
          </w:tcPr>
          <w:p>
            <w:r>
              <w:rPr>
                <w:b/>
                <w:color w:val="503200"/>
                <w:sz w:val="16"/>
              </w:rPr>
              <w:t xml:space="preserve">Cours actuel : </w:t>
            </w:r>
            <w:r>
              <w:rPr>
                <w:color w:val="000000"/>
                <w:sz w:val="17"/>
              </w:rPr>
              <w:t>2,285 FCFA</w:t>
            </w:r>
          </w:p>
          <w:p>
            <w:r>
              <w:rPr>
                <w:b/>
                <w:color w:val="503200"/>
                <w:sz w:val="16"/>
              </w:rPr>
              <w:t xml:space="preserve">Var. 100 jours : </w:t>
            </w:r>
            <w:r>
              <w:rPr>
                <w:b/>
                <w:color w:val="007800"/>
                <w:sz w:val="17"/>
              </w:rPr>
              <w:t>+3.86%</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5.77% (Moyenne) — μ=2,102 FCFA, σ=121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β=0.9155 (Neutre (suit le marché)) — Cov=0.000033, Var(idx)=0.000036, ρ=0.258,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2026-08-12</w:t>
            </w:r>
          </w:p>
        </w:tc>
        <w:tc>
          <w:tcPr>
            <w:tcW w:type="dxa" w:w="1440"/>
            <w:shd w:fill="FFDCE0" w:val="clear"/>
          </w:tcPr>
          <w:p>
            <w:r>
              <w:rPr>
                <w:sz w:val="17"/>
              </w:rPr>
              <w:t>2,088</w:t>
            </w:r>
          </w:p>
        </w:tc>
        <w:tc>
          <w:tcPr>
            <w:tcW w:type="dxa" w:w="1440"/>
            <w:shd w:fill="FFDCE0" w:val="clear"/>
          </w:tcPr>
          <w:p>
            <w:r>
              <w:rPr>
                <w:b/>
                <w:sz w:val="17"/>
              </w:rPr>
              <w:t>2,157</w:t>
            </w:r>
          </w:p>
        </w:tc>
        <w:tc>
          <w:tcPr>
            <w:tcW w:type="dxa" w:w="1440"/>
            <w:shd w:fill="FFDCE0" w:val="clear"/>
          </w:tcPr>
          <w:p>
            <w:r>
              <w:rPr>
                <w:sz w:val="17"/>
              </w:rPr>
              <w:t>2,227</w:t>
            </w:r>
          </w:p>
        </w:tc>
        <w:tc>
          <w:tcPr>
            <w:tcW w:type="dxa" w:w="1440"/>
            <w:shd w:fill="FFDCE0" w:val="clear"/>
          </w:tcPr>
          <w:p>
            <w:r>
              <w:rPr>
                <w:b/>
                <w:color w:val="C00000"/>
                <w:sz w:val="17"/>
              </w:rPr>
              <w:t>-5.6%</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1,971</w:t>
            </w:r>
          </w:p>
        </w:tc>
        <w:tc>
          <w:tcPr>
            <w:tcW w:type="dxa" w:w="1440"/>
            <w:shd w:fill="FFDCE0" w:val="clear"/>
          </w:tcPr>
          <w:p>
            <w:r>
              <w:rPr>
                <w:b/>
                <w:sz w:val="17"/>
              </w:rPr>
              <w:t>2,065</w:t>
            </w:r>
          </w:p>
        </w:tc>
        <w:tc>
          <w:tcPr>
            <w:tcW w:type="dxa" w:w="1440"/>
            <w:shd w:fill="FFDCE0" w:val="clear"/>
          </w:tcPr>
          <w:p>
            <w:r>
              <w:rPr>
                <w:sz w:val="17"/>
              </w:rPr>
              <w:t>2,159</w:t>
            </w:r>
          </w:p>
        </w:tc>
        <w:tc>
          <w:tcPr>
            <w:tcW w:type="dxa" w:w="1440"/>
            <w:shd w:fill="FFDCE0" w:val="clear"/>
          </w:tcPr>
          <w:p>
            <w:r>
              <w:rPr>
                <w:b/>
                <w:color w:val="C00000"/>
                <w:sz w:val="17"/>
              </w:rPr>
              <w:t>-9.6%</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1,871</w:t>
            </w:r>
          </w:p>
        </w:tc>
        <w:tc>
          <w:tcPr>
            <w:tcW w:type="dxa" w:w="1440"/>
            <w:shd w:fill="FFDCE0" w:val="clear"/>
          </w:tcPr>
          <w:p>
            <w:r>
              <w:rPr>
                <w:b/>
                <w:sz w:val="17"/>
              </w:rPr>
              <w:t>1,982</w:t>
            </w:r>
          </w:p>
        </w:tc>
        <w:tc>
          <w:tcPr>
            <w:tcW w:type="dxa" w:w="1440"/>
            <w:shd w:fill="FFDCE0" w:val="clear"/>
          </w:tcPr>
          <w:p>
            <w:r>
              <w:rPr>
                <w:sz w:val="17"/>
              </w:rPr>
              <w:t>2,092</w:t>
            </w:r>
          </w:p>
        </w:tc>
        <w:tc>
          <w:tcPr>
            <w:tcW w:type="dxa" w:w="1440"/>
            <w:shd w:fill="FFDCE0" w:val="clear"/>
          </w:tcPr>
          <w:p>
            <w:r>
              <w:rPr>
                <w:b/>
                <w:color w:val="C00000"/>
                <w:sz w:val="17"/>
              </w:rPr>
              <w:t>-13.3%</w:t>
            </w:r>
          </w:p>
        </w:tc>
      </w:tr>
      <w:tr>
        <w:tc>
          <w:tcPr>
            <w:tcW w:type="dxa" w:w="1440"/>
            <w:shd w:fill="FFDCE0" w:val="clear"/>
          </w:tcPr>
          <w:p>
            <w:r>
              <w:rPr>
                <w:sz w:val="17"/>
              </w:rPr>
              <w:t>J+4  Moyenne</w:t>
            </w:r>
          </w:p>
        </w:tc>
        <w:tc>
          <w:tcPr>
            <w:tcW w:type="dxa" w:w="1440"/>
            <w:shd w:fill="FFDCE0" w:val="clear"/>
          </w:tcPr>
          <w:p>
            <w:r>
              <w:rPr>
                <w:sz w:val="17"/>
              </w:rPr>
              <w:t>2026-08-17</w:t>
            </w:r>
          </w:p>
        </w:tc>
        <w:tc>
          <w:tcPr>
            <w:tcW w:type="dxa" w:w="1440"/>
            <w:shd w:fill="FFDCE0" w:val="clear"/>
          </w:tcPr>
          <w:p>
            <w:r>
              <w:rPr>
                <w:sz w:val="17"/>
              </w:rPr>
              <w:t>1,789</w:t>
            </w:r>
          </w:p>
        </w:tc>
        <w:tc>
          <w:tcPr>
            <w:tcW w:type="dxa" w:w="1440"/>
            <w:shd w:fill="FFDCE0" w:val="clear"/>
          </w:tcPr>
          <w:p>
            <w:r>
              <w:rPr>
                <w:b/>
                <w:sz w:val="17"/>
              </w:rPr>
              <w:t>1,912</w:t>
            </w:r>
          </w:p>
        </w:tc>
        <w:tc>
          <w:tcPr>
            <w:tcW w:type="dxa" w:w="1440"/>
            <w:shd w:fill="FFDCE0" w:val="clear"/>
          </w:tcPr>
          <w:p>
            <w:r>
              <w:rPr>
                <w:sz w:val="17"/>
              </w:rPr>
              <w:t>2,036</w:t>
            </w:r>
          </w:p>
        </w:tc>
        <w:tc>
          <w:tcPr>
            <w:tcW w:type="dxa" w:w="1440"/>
            <w:shd w:fill="FFDCE0" w:val="clear"/>
          </w:tcPr>
          <w:p>
            <w:r>
              <w:rPr>
                <w:b/>
                <w:color w:val="C00000"/>
                <w:sz w:val="17"/>
              </w:rPr>
              <w:t>-16.3%</w:t>
            </w:r>
          </w:p>
        </w:tc>
      </w:tr>
      <w:tr>
        <w:tc>
          <w:tcPr>
            <w:tcW w:type="dxa" w:w="1440"/>
            <w:shd w:fill="FFDCE0" w:val="clear"/>
          </w:tcPr>
          <w:p>
            <w:r>
              <w:rPr>
                <w:sz w:val="17"/>
              </w:rPr>
              <w:t>J+5  Moyenne</w:t>
            </w:r>
          </w:p>
        </w:tc>
        <w:tc>
          <w:tcPr>
            <w:tcW w:type="dxa" w:w="1440"/>
            <w:shd w:fill="FFDCE0" w:val="clear"/>
          </w:tcPr>
          <w:p>
            <w:r>
              <w:rPr>
                <w:sz w:val="17"/>
              </w:rPr>
              <w:t>2026-08-18</w:t>
            </w:r>
          </w:p>
        </w:tc>
        <w:tc>
          <w:tcPr>
            <w:tcW w:type="dxa" w:w="1440"/>
            <w:shd w:fill="FFDCE0" w:val="clear"/>
          </w:tcPr>
          <w:p>
            <w:r>
              <w:rPr>
                <w:sz w:val="17"/>
              </w:rPr>
              <w:t>1,721</w:t>
            </w:r>
          </w:p>
        </w:tc>
        <w:tc>
          <w:tcPr>
            <w:tcW w:type="dxa" w:w="1440"/>
            <w:shd w:fill="FFDCE0" w:val="clear"/>
          </w:tcPr>
          <w:p>
            <w:r>
              <w:rPr>
                <w:b/>
                <w:sz w:val="17"/>
              </w:rPr>
              <w:t>1,854</w:t>
            </w:r>
          </w:p>
        </w:tc>
        <w:tc>
          <w:tcPr>
            <w:tcW w:type="dxa" w:w="1440"/>
            <w:shd w:fill="FFDCE0" w:val="clear"/>
          </w:tcPr>
          <w:p>
            <w:r>
              <w:rPr>
                <w:sz w:val="17"/>
              </w:rPr>
              <w:t>1,988</w:t>
            </w:r>
          </w:p>
        </w:tc>
        <w:tc>
          <w:tcPr>
            <w:tcW w:type="dxa" w:w="1440"/>
            <w:shd w:fill="FFDCE0" w:val="clear"/>
          </w:tcPr>
          <w:p>
            <w:r>
              <w:rPr>
                <w:b/>
                <w:color w:val="C00000"/>
                <w:sz w:val="17"/>
              </w:rPr>
              <w:t>-18.8%</w:t>
            </w:r>
          </w:p>
        </w:tc>
      </w:tr>
      <w:tr>
        <w:tc>
          <w:tcPr>
            <w:tcW w:type="dxa" w:w="1440"/>
            <w:shd w:fill="FFDCE0" w:val="clear"/>
          </w:tcPr>
          <w:p>
            <w:r>
              <w:rPr>
                <w:sz w:val="17"/>
              </w:rPr>
              <w:t>J+6  Moyenne</w:t>
            </w:r>
          </w:p>
        </w:tc>
        <w:tc>
          <w:tcPr>
            <w:tcW w:type="dxa" w:w="1440"/>
            <w:shd w:fill="FFDCE0" w:val="clear"/>
          </w:tcPr>
          <w:p>
            <w:r>
              <w:rPr>
                <w:sz w:val="17"/>
              </w:rPr>
              <w:t>2026-08-19</w:t>
            </w:r>
          </w:p>
        </w:tc>
        <w:tc>
          <w:tcPr>
            <w:tcW w:type="dxa" w:w="1440"/>
            <w:shd w:fill="FFDCE0" w:val="clear"/>
          </w:tcPr>
          <w:p>
            <w:r>
              <w:rPr>
                <w:sz w:val="17"/>
              </w:rPr>
              <w:t>1,663</w:t>
            </w:r>
          </w:p>
        </w:tc>
        <w:tc>
          <w:tcPr>
            <w:tcW w:type="dxa" w:w="1440"/>
            <w:shd w:fill="FFDCE0" w:val="clear"/>
          </w:tcPr>
          <w:p>
            <w:r>
              <w:rPr>
                <w:b/>
                <w:sz w:val="17"/>
              </w:rPr>
              <w:t>1,805</w:t>
            </w:r>
          </w:p>
        </w:tc>
        <w:tc>
          <w:tcPr>
            <w:tcW w:type="dxa" w:w="1440"/>
            <w:shd w:fill="FFDCE0" w:val="clear"/>
          </w:tcPr>
          <w:p>
            <w:r>
              <w:rPr>
                <w:sz w:val="17"/>
              </w:rPr>
              <w:t>1,947</w:t>
            </w:r>
          </w:p>
        </w:tc>
        <w:tc>
          <w:tcPr>
            <w:tcW w:type="dxa" w:w="1440"/>
            <w:shd w:fill="FFDCE0" w:val="clear"/>
          </w:tcPr>
          <w:p>
            <w:r>
              <w:rPr>
                <w:b/>
                <w:color w:val="C00000"/>
                <w:sz w:val="17"/>
              </w:rPr>
              <w:t>-21.0%</w:t>
            </w:r>
          </w:p>
        </w:tc>
      </w:tr>
      <w:tr>
        <w:tc>
          <w:tcPr>
            <w:tcW w:type="dxa" w:w="1440"/>
            <w:shd w:fill="FFDCE0" w:val="clear"/>
          </w:tcPr>
          <w:p>
            <w:r>
              <w:rPr>
                <w:sz w:val="17"/>
              </w:rPr>
              <w:t>J+7  Moyenne</w:t>
            </w:r>
          </w:p>
        </w:tc>
        <w:tc>
          <w:tcPr>
            <w:tcW w:type="dxa" w:w="1440"/>
            <w:shd w:fill="FFDCE0" w:val="clear"/>
          </w:tcPr>
          <w:p>
            <w:r>
              <w:rPr>
                <w:sz w:val="17"/>
              </w:rPr>
              <w:t>2026-08-20</w:t>
            </w:r>
          </w:p>
        </w:tc>
        <w:tc>
          <w:tcPr>
            <w:tcW w:type="dxa" w:w="1440"/>
            <w:shd w:fill="FFDCE0" w:val="clear"/>
          </w:tcPr>
          <w:p>
            <w:r>
              <w:rPr>
                <w:sz w:val="17"/>
              </w:rPr>
              <w:t>1,612</w:t>
            </w:r>
          </w:p>
        </w:tc>
        <w:tc>
          <w:tcPr>
            <w:tcW w:type="dxa" w:w="1440"/>
            <w:shd w:fill="FFDCE0" w:val="clear"/>
          </w:tcPr>
          <w:p>
            <w:r>
              <w:rPr>
                <w:b/>
                <w:sz w:val="17"/>
              </w:rPr>
              <w:t>1,762</w:t>
            </w:r>
          </w:p>
        </w:tc>
        <w:tc>
          <w:tcPr>
            <w:tcW w:type="dxa" w:w="1440"/>
            <w:shd w:fill="FFDCE0" w:val="clear"/>
          </w:tcPr>
          <w:p>
            <w:r>
              <w:rPr>
                <w:sz w:val="17"/>
              </w:rPr>
              <w:t>1,912</w:t>
            </w:r>
          </w:p>
        </w:tc>
        <w:tc>
          <w:tcPr>
            <w:tcW w:type="dxa" w:w="1440"/>
            <w:shd w:fill="FFDCE0" w:val="clear"/>
          </w:tcPr>
          <w:p>
            <w:r>
              <w:rPr>
                <w:b/>
                <w:color w:val="C00000"/>
                <w:sz w:val="17"/>
              </w:rPr>
              <w:t>-22.9%</w:t>
            </w:r>
          </w:p>
        </w:tc>
      </w:tr>
      <w:tr>
        <w:tc>
          <w:tcPr>
            <w:tcW w:type="dxa" w:w="1440"/>
            <w:shd w:fill="FFDCE0" w:val="clear"/>
          </w:tcPr>
          <w:p>
            <w:r>
              <w:rPr>
                <w:sz w:val="17"/>
              </w:rPr>
              <w:t>J+8  Moyenne</w:t>
            </w:r>
          </w:p>
        </w:tc>
        <w:tc>
          <w:tcPr>
            <w:tcW w:type="dxa" w:w="1440"/>
            <w:shd w:fill="FFDCE0" w:val="clear"/>
          </w:tcPr>
          <w:p>
            <w:r>
              <w:rPr>
                <w:sz w:val="17"/>
              </w:rPr>
              <w:t>2026-08-21</w:t>
            </w:r>
          </w:p>
        </w:tc>
        <w:tc>
          <w:tcPr>
            <w:tcW w:type="dxa" w:w="1440"/>
            <w:shd w:fill="FFDCE0" w:val="clear"/>
          </w:tcPr>
          <w:p>
            <w:r>
              <w:rPr>
                <w:sz w:val="17"/>
              </w:rPr>
              <w:t>1,567</w:t>
            </w:r>
          </w:p>
        </w:tc>
        <w:tc>
          <w:tcPr>
            <w:tcW w:type="dxa" w:w="1440"/>
            <w:shd w:fill="FFDCE0" w:val="clear"/>
          </w:tcPr>
          <w:p>
            <w:r>
              <w:rPr>
                <w:b/>
                <w:sz w:val="17"/>
              </w:rPr>
              <w:t>1,724</w:t>
            </w:r>
          </w:p>
        </w:tc>
        <w:tc>
          <w:tcPr>
            <w:tcW w:type="dxa" w:w="1440"/>
            <w:shd w:fill="FFDCE0" w:val="clear"/>
          </w:tcPr>
          <w:p>
            <w:r>
              <w:rPr>
                <w:sz w:val="17"/>
              </w:rPr>
              <w:t>1,881</w:t>
            </w:r>
          </w:p>
        </w:tc>
        <w:tc>
          <w:tcPr>
            <w:tcW w:type="dxa" w:w="1440"/>
            <w:shd w:fill="FFDCE0" w:val="clear"/>
          </w:tcPr>
          <w:p>
            <w:r>
              <w:rPr>
                <w:b/>
                <w:color w:val="C00000"/>
                <w:sz w:val="17"/>
              </w:rPr>
              <w:t>-24.6%</w:t>
            </w:r>
          </w:p>
        </w:tc>
      </w:tr>
      <w:tr>
        <w:tc>
          <w:tcPr>
            <w:tcW w:type="dxa" w:w="1440"/>
            <w:shd w:fill="FFDCE0" w:val="clear"/>
          </w:tcPr>
          <w:p>
            <w:r>
              <w:rPr>
                <w:sz w:val="17"/>
              </w:rPr>
              <w:t>J+9  Moyenne</w:t>
            </w:r>
          </w:p>
        </w:tc>
        <w:tc>
          <w:tcPr>
            <w:tcW w:type="dxa" w:w="1440"/>
            <w:shd w:fill="FFDCE0" w:val="clear"/>
          </w:tcPr>
          <w:p>
            <w:r>
              <w:rPr>
                <w:sz w:val="17"/>
              </w:rPr>
              <w:t>2026-08-24</w:t>
            </w:r>
          </w:p>
        </w:tc>
        <w:tc>
          <w:tcPr>
            <w:tcW w:type="dxa" w:w="1440"/>
            <w:shd w:fill="FFDCE0" w:val="clear"/>
          </w:tcPr>
          <w:p>
            <w:r>
              <w:rPr>
                <w:sz w:val="17"/>
              </w:rPr>
              <w:t>1,526</w:t>
            </w:r>
          </w:p>
        </w:tc>
        <w:tc>
          <w:tcPr>
            <w:tcW w:type="dxa" w:w="1440"/>
            <w:shd w:fill="FFDCE0" w:val="clear"/>
          </w:tcPr>
          <w:p>
            <w:r>
              <w:rPr>
                <w:b/>
                <w:sz w:val="17"/>
              </w:rPr>
              <w:t>1,689</w:t>
            </w:r>
          </w:p>
        </w:tc>
        <w:tc>
          <w:tcPr>
            <w:tcW w:type="dxa" w:w="1440"/>
            <w:shd w:fill="FFDCE0" w:val="clear"/>
          </w:tcPr>
          <w:p>
            <w:r>
              <w:rPr>
                <w:sz w:val="17"/>
              </w:rPr>
              <w:t>1,852</w:t>
            </w:r>
          </w:p>
        </w:tc>
        <w:tc>
          <w:tcPr>
            <w:tcW w:type="dxa" w:w="1440"/>
            <w:shd w:fill="FFDCE0" w:val="clear"/>
          </w:tcPr>
          <w:p>
            <w:r>
              <w:rPr>
                <w:b/>
                <w:color w:val="C00000"/>
                <w:sz w:val="17"/>
              </w:rPr>
              <w:t>-26.1%</w:t>
            </w:r>
          </w:p>
        </w:tc>
      </w:tr>
      <w:tr>
        <w:tc>
          <w:tcPr>
            <w:tcW w:type="dxa" w:w="1440"/>
            <w:shd w:fill="FFDCE0" w:val="clear"/>
          </w:tcPr>
          <w:p>
            <w:r>
              <w:rPr>
                <w:sz w:val="17"/>
              </w:rPr>
              <w:t>J+10  Moyenne</w:t>
            </w:r>
          </w:p>
        </w:tc>
        <w:tc>
          <w:tcPr>
            <w:tcW w:type="dxa" w:w="1440"/>
            <w:shd w:fill="FFDCE0" w:val="clear"/>
          </w:tcPr>
          <w:p>
            <w:r>
              <w:rPr>
                <w:sz w:val="17"/>
              </w:rPr>
              <w:t>2026-08-25</w:t>
            </w:r>
          </w:p>
        </w:tc>
        <w:tc>
          <w:tcPr>
            <w:tcW w:type="dxa" w:w="1440"/>
            <w:shd w:fill="FFDCE0" w:val="clear"/>
          </w:tcPr>
          <w:p>
            <w:r>
              <w:rPr>
                <w:sz w:val="17"/>
              </w:rPr>
              <w:t>1,488</w:t>
            </w:r>
          </w:p>
        </w:tc>
        <w:tc>
          <w:tcPr>
            <w:tcW w:type="dxa" w:w="1440"/>
            <w:shd w:fill="FFDCE0" w:val="clear"/>
          </w:tcPr>
          <w:p>
            <w:r>
              <w:rPr>
                <w:b/>
                <w:sz w:val="17"/>
              </w:rPr>
              <w:t>1,657</w:t>
            </w:r>
          </w:p>
        </w:tc>
        <w:tc>
          <w:tcPr>
            <w:tcW w:type="dxa" w:w="1440"/>
            <w:shd w:fill="FFDCE0" w:val="clear"/>
          </w:tcPr>
          <w:p>
            <w:r>
              <w:rPr>
                <w:sz w:val="17"/>
              </w:rPr>
              <w:t>1,826</w:t>
            </w:r>
          </w:p>
        </w:tc>
        <w:tc>
          <w:tcPr>
            <w:tcW w:type="dxa" w:w="1440"/>
            <w:shd w:fill="FFDCE0" w:val="clear"/>
          </w:tcPr>
          <w:p>
            <w:r>
              <w:rPr>
                <w:b/>
                <w:color w:val="C00000"/>
                <w:sz w:val="17"/>
              </w:rPr>
              <w:t>-27.5%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143,96 milliards FCFA, un niveau significatif qui la positionne parmi les valeurs moyennes de la BRVM, reflétant la confiance des investisseurs dans ce distributeur pétrolier. Avec un BPA de 96 FCFA, chaque action génère un bénéfice modeste, caractéristique des marges faibles du secteur. Le PER de 23,9x est particulièrement élevé comparé à la moyenne historique de la BRVM (8-12x), indiquant que le marché intègre des attentes de croissance future ou une prime de rareté sur ce titre. Le P/B de 5,30x confirme cette valorisation exigeante, le marché valorisant l'actif net bien au-delà de sa valeur comptable. Enfin, l'EV/EBITDA de 12,9x, dans la fourchette haute de 10-15x, suggère que la valeur totale de l'entreprise (capitaux propres + dette nette) reste élevée par rapport à sa capacité opérationnelle, justifiant une attention particulière sur la génération de cash-flow.</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SHEC a progressé de +3,86%, avec une légère baisse de -0,22% lors de la dernière séance, s'établissant à 2 285 FCFA. Le titre a évolué dans une fourchette de 1 840 à 2 325 FCFA, démontrant une amplitude de trading de près de 26%, ce qui traduit des phases d'accumulation et de distribution. La moyenne du cours sur la période (2 102 FCFA) est inférieure à la médiane (2 155 FCFA), indiquant une distribution légèrement asymétrique avec des extrêmes à la baisse plus marqués. L'écart-type de 122 FCFA, avec un coefficient de variation de 5,8%, révèle une dispersion modérée autour de la moyenne. Le kurtosis négatif (-1,009) signale une distribution platykurtique, donc une faible probabilité de mouvements extrêmes, tandis que le skewness de -0,372 confirme une asymétrie vers les rendements négatifs. La volatilité annualisée de 33,6% classe le titre dans la catégorie des valeurs à volatilité élevée (&gt;30%), ce qui implique un risque significatif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2 285 FCFA se positionne au-dessus de la MM20 (2 217,25 FCFA) et de la MM50 (2 166,7 FCFA), confirmant une tendance haussière à court et moyen terme. L'écart positif entre le prix et les moyennes suggère un momentum favorable, justifiant la décision d'achat. Cette configuration indique que les acheteurs contrôlent le marché, avec un support dynamique autour de la MM20.</w:t>
      </w:r>
    </w:p>
    <w:p>
      <w:pPr>
        <w:spacing w:after="120" w:line="276" w:lineRule="auto"/>
      </w:pPr>
      <w:r>
        <w:t>**Bandes de Bollinger** : Le prix se situe à 2 285 FCFA, entre la borne supérieure (2 346,64 FCFA) et la borne inférieure (2 087,86 FCFA), proche de la partie haute de l'enveloppe. Cette position reflète une pression acheteuse soutenue sans atteindre des conditions de surachat extrême. La décision neutre s'explique par une volatilité modérée, le titre n'ayant pas encore touché les bornes, laissant place à une poursuite potentielle de la tendance.</w:t>
      </w:r>
    </w:p>
    <w:p>
      <w:pPr>
        <w:spacing w:after="120" w:line="276" w:lineRule="auto"/>
      </w:pPr>
      <w:r>
        <w:t>**MACD** : La valeur du MACD (38,175) est supérieure à son signal (31,086), avec un écart positif de 7 points, indiquant un momentum haussier robuste. Cette configuration, où la ligne MACD reste au-dessus du signal, confirme la dynamique positive du titre et justifie la décision d'achat. La persistance de cet écart suggère que la tendance haussière pourrait se poursuivre à court terme.</w:t>
      </w:r>
    </w:p>
    <w:p>
      <w:pPr>
        <w:spacing w:after="120" w:line="276" w:lineRule="auto"/>
      </w:pPr>
      <w:r>
        <w:t>**RSI** : Avec une valeur de 61,644, le RSI se situe dans la zone neutre (30-70), sans atteindre le seuil de surachat (&gt;70). Cette lecture indique que le titre dispose encore d'un potentiel de hausse sans risque immédiat de correction technique. La décision neutre reflète un équilibre entre pression acheteuse et vendeuse, avec une légère dominance des acheteurs.</w:t>
      </w:r>
    </w:p>
    <w:p>
      <w:pPr>
        <w:spacing w:after="120" w:line="276" w:lineRule="auto"/>
      </w:pPr>
      <w:r>
        <w:t>**Stochastique** : Le %K (81,395) et le %D (83,069) sont tous deux en zone de surachat (&gt;80), avec un %K légèrement inférieur au %D, signalant un possible retournement baissier imminent. La décision de vente se justifie par cette configuration, qui suggère que le titre est temporairement surévalué à court terme et pourrait subir une correction.</w:t>
      </w:r>
    </w:p>
    <w:p>
      <w:pPr>
        <w:spacing w:after="120" w:line="276" w:lineRule="auto"/>
      </w:pPr>
      <w:r>
        <w:t>**Conclusion technique** : Les indicateurs sont mitigés : les moyennes mobiles et le MACD soutiennent une tendance haussière, tandis que le stochastique en surachat et le RSI neutre appellent à la prudence. La convergence des signaux positifs sur le moyen terme contraste avec le risque de correction à court terme. La tendance globale reste constructive, mais une consolidation est probable avant une nouvelle impulsion haussière.</w:t>
      </w:r>
    </w:p>
    <w:p>
      <w:pPr>
        <w:spacing w:after="120" w:line="276" w:lineRule="auto" w:before="240"/>
      </w:pPr>
      <w:r>
        <w:rPr>
          <w:b/>
          <w:color w:val="003366"/>
          <w:sz w:val="24"/>
        </w:rPr>
        <w:t>**PARTIE 3 : ANALYSE FONDAMENTALE (SECTION CRITIQUE)**</w:t>
      </w:r>
    </w:p>
    <w:p>
      <w:pPr>
        <w:spacing w:after="120" w:line="276" w:lineRule="auto"/>
      </w:pPr>
      <w:r>
        <w:t>En 2025, SHEC (Vivo Energy Côte d'Ivoire) affiche un chiffre d'affaires de 604,978 milliards FCFA, en légère progression de +0,71% par rapport à 2024 (600,708 milliards FCFA), et un résultat net de 6,028 milliards FCFA, en hausse de +12,6% (rapport du 31/12/2025). La marge nette reste faible à 0,996%, typique du secteur de distribution pétrolière, mais le ROE de 22,2% démontre une excellente rentabilité des capitaux propres (27,159 milliards FCFA), bien au-dessus du seuil de 15% considéré comme performant. Le ROA de 3,11% reflète une utilisation efficace des actifs (193,561 milliards FCFA). La structure financière montre une autonomie de 14,03%, inférieure au seuil de 30%, avec un ratio d'endettement de 43,95% et une trésorerie nette fortement négative (-65,264 milliards FCFA), signalant une dépendance aux concours bancaires. Les délais clients (23,27 jours) et fournisseurs (35,47 jours) sont bien gérés, avec un BFR de 15,315 milliards FCFA. Le rapport du 3ème trimestre 2025 (30/09/2025) confirme la dynamique avec un résultat net de 4,119 milliards FCFA (+45% sur 9 mois), porté par une amélioration de la marge opérationnelle. Le rapport du 30/06/2026 indique un CA de 305,038 milliards FCFA (-1%) mais un résultat d'exploitation en hausse de +17% à 6,133 milliards FCFA, soutenu par le butane. Le dividende proposé de 6,09 milliards FCFA (taux de distribution de 101%) témoigne d'une politique généreuse mais fragilise la capacité d'autofinancement. La recommandation fondamentale est de conserver le titre, compte tenu de la rentabilité solide mais de la fragilité de la trésorerie.</w:t>
      </w:r>
    </w:p>
    <w:p>
      <w:pPr>
        <w:spacing w:after="120" w:line="276" w:lineRule="auto" w:before="240"/>
      </w:pPr>
      <w:r>
        <w:rPr>
          <w:b/>
          <w:color w:val="003366"/>
          <w:sz w:val="24"/>
        </w:rPr>
        <w:t>**PARTIE 4 : CONCLUSION D'INVESTISSEMENT**</w:t>
      </w:r>
    </w:p>
    <w:p>
      <w:pPr>
        <w:spacing w:after="120" w:line="276" w:lineRule="auto"/>
      </w:pPr>
      <w:r>
        <w:t>La valorisation de SHEC (PER 23,9x, P/B 5,30x, EV/EBITDA 12,9x) indique une surévaluation relative par rapport aux standards de la BRVM, les investisseurs payant une prime pour la croissance attendue. Le comportement du cours sur 100 jours (+3,86%) montre une tendance positive mais avec une volatilité élevée (33,6%) et une distribution platykurtique, signalant un risque modéré de mouvements extrêmes. Les signaux techniques sont contrastés : les moyennes mobiles et le MACD sont positifs, mais le stochastique en surachat suggère une correction imminente. Sur le plan fondamental, la société affiche une rentabilité solide (ROE 22,2%) et une amélioration du résultat net (+12,6% en 2025), mais la trésorerie nette négative (-65,264 milliards FCFA) et le taux de distribution de 101% constituent des points de vigilance. Les prédictions IA (J+1 à J+10) indiquent une trajectoire baissière de 2 157 à 1 854 FCFA, contredisant les signaux techniques positifs et suggérant une correction à court terme. La synthèse globale converge vers une recommandation de **CONSERVER**, avec un niveau de confiance moyen et un risque global élevé. L'horizon d'investissement optimal serait le moyen terme (3-12 mois), en attendant une clarification de la structure financière et une stabilisation des volumes.</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950.00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8,800 titres</w:t>
            </w:r>
          </w:p>
        </w:tc>
        <w:tc>
          <w:tcPr>
            <w:tcW w:type="dxa" w:w="2268"/>
            <w:shd w:fill="FFF2CC" w:val="clear"/>
          </w:tcPr>
          <w:p>
            <w:r>
              <w:rPr>
                <w:b/>
                <w:color w:val="503200"/>
                <w:sz w:val="16"/>
              </w:rPr>
              <w:t xml:space="preserve">Cours actuel : </w:t>
            </w:r>
            <w:r>
              <w:rPr>
                <w:color w:val="000000"/>
                <w:sz w:val="17"/>
              </w:rPr>
              <w:t>9,500 FCFA</w:t>
            </w:r>
          </w:p>
          <w:p>
            <w:r>
              <w:rPr>
                <w:b/>
                <w:color w:val="503200"/>
                <w:sz w:val="16"/>
              </w:rPr>
              <w:t xml:space="preserve">Var. 100 jours : </w:t>
            </w:r>
            <w:r>
              <w:rPr>
                <w:b/>
                <w:color w:val="007800"/>
                <w:sz w:val="17"/>
              </w:rPr>
              <w:t>+32.96%</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11.21% (Moyenne) — μ=8,047 FCFA, σ=902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β=0.5436 (Défensif) — Cov=0.000020, Var(idx)=0.000036, ρ=0.186,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8,800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2026-08-12</w:t>
            </w:r>
          </w:p>
        </w:tc>
        <w:tc>
          <w:tcPr>
            <w:tcW w:type="dxa" w:w="1440"/>
            <w:shd w:fill="FFDCE0" w:val="clear"/>
          </w:tcPr>
          <w:p>
            <w:r>
              <w:rPr>
                <w:sz w:val="17"/>
              </w:rPr>
              <w:t>8,871</w:t>
            </w:r>
          </w:p>
        </w:tc>
        <w:tc>
          <w:tcPr>
            <w:tcW w:type="dxa" w:w="1440"/>
            <w:shd w:fill="FFDCE0" w:val="clear"/>
          </w:tcPr>
          <w:p>
            <w:r>
              <w:rPr>
                <w:b/>
                <w:sz w:val="17"/>
              </w:rPr>
              <w:t>9,136</w:t>
            </w:r>
          </w:p>
        </w:tc>
        <w:tc>
          <w:tcPr>
            <w:tcW w:type="dxa" w:w="1440"/>
            <w:shd w:fill="FFDCE0" w:val="clear"/>
          </w:tcPr>
          <w:p>
            <w:r>
              <w:rPr>
                <w:sz w:val="17"/>
              </w:rPr>
              <w:t>9,402</w:t>
            </w:r>
          </w:p>
        </w:tc>
        <w:tc>
          <w:tcPr>
            <w:tcW w:type="dxa" w:w="1440"/>
            <w:shd w:fill="FFDCE0" w:val="clear"/>
          </w:tcPr>
          <w:p>
            <w:r>
              <w:rPr>
                <w:b/>
                <w:color w:val="C00000"/>
                <w:sz w:val="17"/>
              </w:rPr>
              <w:t>-3.8%</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8,430</w:t>
            </w:r>
          </w:p>
        </w:tc>
        <w:tc>
          <w:tcPr>
            <w:tcW w:type="dxa" w:w="1440"/>
            <w:shd w:fill="FFDCE0" w:val="clear"/>
          </w:tcPr>
          <w:p>
            <w:r>
              <w:rPr>
                <w:b/>
                <w:sz w:val="17"/>
              </w:rPr>
              <w:t>8,792</w:t>
            </w:r>
          </w:p>
        </w:tc>
        <w:tc>
          <w:tcPr>
            <w:tcW w:type="dxa" w:w="1440"/>
            <w:shd w:fill="FFDCE0" w:val="clear"/>
          </w:tcPr>
          <w:p>
            <w:r>
              <w:rPr>
                <w:sz w:val="17"/>
              </w:rPr>
              <w:t>9,153</w:t>
            </w:r>
          </w:p>
        </w:tc>
        <w:tc>
          <w:tcPr>
            <w:tcW w:type="dxa" w:w="1440"/>
            <w:shd w:fill="FFDCE0" w:val="clear"/>
          </w:tcPr>
          <w:p>
            <w:r>
              <w:rPr>
                <w:b/>
                <w:color w:val="C00000"/>
                <w:sz w:val="17"/>
              </w:rPr>
              <w:t>-7.5%</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8,052</w:t>
            </w:r>
          </w:p>
        </w:tc>
        <w:tc>
          <w:tcPr>
            <w:tcW w:type="dxa" w:w="1440"/>
            <w:shd w:fill="FFDCE0" w:val="clear"/>
          </w:tcPr>
          <w:p>
            <w:r>
              <w:rPr>
                <w:b/>
                <w:sz w:val="17"/>
              </w:rPr>
              <w:t>8,479</w:t>
            </w:r>
          </w:p>
        </w:tc>
        <w:tc>
          <w:tcPr>
            <w:tcW w:type="dxa" w:w="1440"/>
            <w:shd w:fill="FFDCE0" w:val="clear"/>
          </w:tcPr>
          <w:p>
            <w:r>
              <w:rPr>
                <w:sz w:val="17"/>
              </w:rPr>
              <w:t>8,906</w:t>
            </w:r>
          </w:p>
        </w:tc>
        <w:tc>
          <w:tcPr>
            <w:tcW w:type="dxa" w:w="1440"/>
            <w:shd w:fill="FFDCE0" w:val="clear"/>
          </w:tcPr>
          <w:p>
            <w:r>
              <w:rPr>
                <w:b/>
                <w:color w:val="C00000"/>
                <w:sz w:val="17"/>
              </w:rPr>
              <w:t>-10.7%</w:t>
            </w:r>
          </w:p>
        </w:tc>
      </w:tr>
      <w:tr>
        <w:tc>
          <w:tcPr>
            <w:tcW w:type="dxa" w:w="1440"/>
            <w:shd w:fill="FFDCE0" w:val="clear"/>
          </w:tcPr>
          <w:p>
            <w:r>
              <w:rPr>
                <w:sz w:val="17"/>
              </w:rPr>
              <w:t>J+4  Moyenne</w:t>
            </w:r>
          </w:p>
        </w:tc>
        <w:tc>
          <w:tcPr>
            <w:tcW w:type="dxa" w:w="1440"/>
            <w:shd w:fill="FFDCE0" w:val="clear"/>
          </w:tcPr>
          <w:p>
            <w:r>
              <w:rPr>
                <w:sz w:val="17"/>
              </w:rPr>
              <w:t>2026-08-17</w:t>
            </w:r>
          </w:p>
        </w:tc>
        <w:tc>
          <w:tcPr>
            <w:tcW w:type="dxa" w:w="1440"/>
            <w:shd w:fill="FFDCE0" w:val="clear"/>
          </w:tcPr>
          <w:p>
            <w:r>
              <w:rPr>
                <w:sz w:val="17"/>
              </w:rPr>
              <w:t>7,740</w:t>
            </w:r>
          </w:p>
        </w:tc>
        <w:tc>
          <w:tcPr>
            <w:tcW w:type="dxa" w:w="1440"/>
            <w:shd w:fill="FFDCE0" w:val="clear"/>
          </w:tcPr>
          <w:p>
            <w:r>
              <w:rPr>
                <w:b/>
                <w:sz w:val="17"/>
              </w:rPr>
              <w:t>8,218</w:t>
            </w:r>
          </w:p>
        </w:tc>
        <w:tc>
          <w:tcPr>
            <w:tcW w:type="dxa" w:w="1440"/>
            <w:shd w:fill="FFDCE0" w:val="clear"/>
          </w:tcPr>
          <w:p>
            <w:r>
              <w:rPr>
                <w:sz w:val="17"/>
              </w:rPr>
              <w:t>8,696</w:t>
            </w:r>
          </w:p>
        </w:tc>
        <w:tc>
          <w:tcPr>
            <w:tcW w:type="dxa" w:w="1440"/>
            <w:shd w:fill="FFDCE0" w:val="clear"/>
          </w:tcPr>
          <w:p>
            <w:r>
              <w:rPr>
                <w:b/>
                <w:color w:val="C00000"/>
                <w:sz w:val="17"/>
              </w:rPr>
              <w:t>-13.5%</w:t>
            </w:r>
          </w:p>
        </w:tc>
      </w:tr>
      <w:tr>
        <w:tc>
          <w:tcPr>
            <w:tcW w:type="dxa" w:w="1440"/>
            <w:shd w:fill="FFDCE0" w:val="clear"/>
          </w:tcPr>
          <w:p>
            <w:r>
              <w:rPr>
                <w:sz w:val="17"/>
              </w:rPr>
              <w:t>J+5  Moyenne</w:t>
            </w:r>
          </w:p>
        </w:tc>
        <w:tc>
          <w:tcPr>
            <w:tcW w:type="dxa" w:w="1440"/>
            <w:shd w:fill="FFDCE0" w:val="clear"/>
          </w:tcPr>
          <w:p>
            <w:r>
              <w:rPr>
                <w:sz w:val="17"/>
              </w:rPr>
              <w:t>2026-08-18</w:t>
            </w:r>
          </w:p>
        </w:tc>
        <w:tc>
          <w:tcPr>
            <w:tcW w:type="dxa" w:w="1440"/>
            <w:shd w:fill="FFDCE0" w:val="clear"/>
          </w:tcPr>
          <w:p>
            <w:r>
              <w:rPr>
                <w:sz w:val="17"/>
              </w:rPr>
              <w:t>7,481</w:t>
            </w:r>
          </w:p>
        </w:tc>
        <w:tc>
          <w:tcPr>
            <w:tcW w:type="dxa" w:w="1440"/>
            <w:shd w:fill="FFDCE0" w:val="clear"/>
          </w:tcPr>
          <w:p>
            <w:r>
              <w:rPr>
                <w:b/>
                <w:sz w:val="17"/>
              </w:rPr>
              <w:t>8,001</w:t>
            </w:r>
          </w:p>
        </w:tc>
        <w:tc>
          <w:tcPr>
            <w:tcW w:type="dxa" w:w="1440"/>
            <w:shd w:fill="FFDCE0" w:val="clear"/>
          </w:tcPr>
          <w:p>
            <w:r>
              <w:rPr>
                <w:sz w:val="17"/>
              </w:rPr>
              <w:t>8,521</w:t>
            </w:r>
          </w:p>
        </w:tc>
        <w:tc>
          <w:tcPr>
            <w:tcW w:type="dxa" w:w="1440"/>
            <w:shd w:fill="FFDCE0" w:val="clear"/>
          </w:tcPr>
          <w:p>
            <w:r>
              <w:rPr>
                <w:b/>
                <w:color w:val="C00000"/>
                <w:sz w:val="17"/>
              </w:rPr>
              <w:t>-15.8%</w:t>
            </w:r>
          </w:p>
        </w:tc>
      </w:tr>
      <w:tr>
        <w:tc>
          <w:tcPr>
            <w:tcW w:type="dxa" w:w="1440"/>
            <w:shd w:fill="FFDCE0" w:val="clear"/>
          </w:tcPr>
          <w:p>
            <w:r>
              <w:rPr>
                <w:sz w:val="17"/>
              </w:rPr>
              <w:t>J+6  Moyenne</w:t>
            </w:r>
          </w:p>
        </w:tc>
        <w:tc>
          <w:tcPr>
            <w:tcW w:type="dxa" w:w="1440"/>
            <w:shd w:fill="FFDCE0" w:val="clear"/>
          </w:tcPr>
          <w:p>
            <w:r>
              <w:rPr>
                <w:sz w:val="17"/>
              </w:rPr>
              <w:t>2026-08-19</w:t>
            </w:r>
          </w:p>
        </w:tc>
        <w:tc>
          <w:tcPr>
            <w:tcW w:type="dxa" w:w="1440"/>
            <w:shd w:fill="FFDCE0" w:val="clear"/>
          </w:tcPr>
          <w:p>
            <w:r>
              <w:rPr>
                <w:sz w:val="17"/>
              </w:rPr>
              <w:t>7,262</w:t>
            </w:r>
          </w:p>
        </w:tc>
        <w:tc>
          <w:tcPr>
            <w:tcW w:type="dxa" w:w="1440"/>
            <w:shd w:fill="FFDCE0" w:val="clear"/>
          </w:tcPr>
          <w:p>
            <w:r>
              <w:rPr>
                <w:b/>
                <w:sz w:val="17"/>
              </w:rPr>
              <w:t>7,818</w:t>
            </w:r>
          </w:p>
        </w:tc>
        <w:tc>
          <w:tcPr>
            <w:tcW w:type="dxa" w:w="1440"/>
            <w:shd w:fill="FFDCE0" w:val="clear"/>
          </w:tcPr>
          <w:p>
            <w:r>
              <w:rPr>
                <w:sz w:val="17"/>
              </w:rPr>
              <w:t>8,375</w:t>
            </w:r>
          </w:p>
        </w:tc>
        <w:tc>
          <w:tcPr>
            <w:tcW w:type="dxa" w:w="1440"/>
            <w:shd w:fill="FFDCE0" w:val="clear"/>
          </w:tcPr>
          <w:p>
            <w:r>
              <w:rPr>
                <w:b/>
                <w:color w:val="C00000"/>
                <w:sz w:val="17"/>
              </w:rPr>
              <w:t>-17.7%</w:t>
            </w:r>
          </w:p>
        </w:tc>
      </w:tr>
      <w:tr>
        <w:tc>
          <w:tcPr>
            <w:tcW w:type="dxa" w:w="1440"/>
            <w:shd w:fill="FFDCE0" w:val="clear"/>
          </w:tcPr>
          <w:p>
            <w:r>
              <w:rPr>
                <w:sz w:val="17"/>
              </w:rPr>
              <w:t>J+7  Moyenne</w:t>
            </w:r>
          </w:p>
        </w:tc>
        <w:tc>
          <w:tcPr>
            <w:tcW w:type="dxa" w:w="1440"/>
            <w:shd w:fill="FFDCE0" w:val="clear"/>
          </w:tcPr>
          <w:p>
            <w:r>
              <w:rPr>
                <w:sz w:val="17"/>
              </w:rPr>
              <w:t>2026-08-20</w:t>
            </w:r>
          </w:p>
        </w:tc>
        <w:tc>
          <w:tcPr>
            <w:tcW w:type="dxa" w:w="1440"/>
            <w:shd w:fill="FFDCE0" w:val="clear"/>
          </w:tcPr>
          <w:p>
            <w:r>
              <w:rPr>
                <w:sz w:val="17"/>
              </w:rPr>
              <w:t>7,071</w:t>
            </w:r>
          </w:p>
        </w:tc>
        <w:tc>
          <w:tcPr>
            <w:tcW w:type="dxa" w:w="1440"/>
            <w:shd w:fill="FFDCE0" w:val="clear"/>
          </w:tcPr>
          <w:p>
            <w:r>
              <w:rPr>
                <w:b/>
                <w:sz w:val="17"/>
              </w:rPr>
              <w:t>7,661</w:t>
            </w:r>
          </w:p>
        </w:tc>
        <w:tc>
          <w:tcPr>
            <w:tcW w:type="dxa" w:w="1440"/>
            <w:shd w:fill="FFDCE0" w:val="clear"/>
          </w:tcPr>
          <w:p>
            <w:r>
              <w:rPr>
                <w:sz w:val="17"/>
              </w:rPr>
              <w:t>8,250</w:t>
            </w:r>
          </w:p>
        </w:tc>
        <w:tc>
          <w:tcPr>
            <w:tcW w:type="dxa" w:w="1440"/>
            <w:shd w:fill="FFDCE0" w:val="clear"/>
          </w:tcPr>
          <w:p>
            <w:r>
              <w:rPr>
                <w:b/>
                <w:color w:val="C00000"/>
                <w:sz w:val="17"/>
              </w:rPr>
              <w:t>-19.4%</w:t>
            </w:r>
          </w:p>
        </w:tc>
      </w:tr>
      <w:tr>
        <w:tc>
          <w:tcPr>
            <w:tcW w:type="dxa" w:w="1440"/>
            <w:shd w:fill="FFDCE0" w:val="clear"/>
          </w:tcPr>
          <w:p>
            <w:r>
              <w:rPr>
                <w:sz w:val="17"/>
              </w:rPr>
              <w:t>J+8  Moyenne</w:t>
            </w:r>
          </w:p>
        </w:tc>
        <w:tc>
          <w:tcPr>
            <w:tcW w:type="dxa" w:w="1440"/>
            <w:shd w:fill="FFDCE0" w:val="clear"/>
          </w:tcPr>
          <w:p>
            <w:r>
              <w:rPr>
                <w:sz w:val="17"/>
              </w:rPr>
              <w:t>2026-08-21</w:t>
            </w:r>
          </w:p>
        </w:tc>
        <w:tc>
          <w:tcPr>
            <w:tcW w:type="dxa" w:w="1440"/>
            <w:shd w:fill="FFDCE0" w:val="clear"/>
          </w:tcPr>
          <w:p>
            <w:r>
              <w:rPr>
                <w:sz w:val="17"/>
              </w:rPr>
              <w:t>6,903</w:t>
            </w:r>
          </w:p>
        </w:tc>
        <w:tc>
          <w:tcPr>
            <w:tcW w:type="dxa" w:w="1440"/>
            <w:shd w:fill="FFDCE0" w:val="clear"/>
          </w:tcPr>
          <w:p>
            <w:r>
              <w:rPr>
                <w:b/>
                <w:sz w:val="17"/>
              </w:rPr>
              <w:t>7,521</w:t>
            </w:r>
          </w:p>
        </w:tc>
        <w:tc>
          <w:tcPr>
            <w:tcW w:type="dxa" w:w="1440"/>
            <w:shd w:fill="FFDCE0" w:val="clear"/>
          </w:tcPr>
          <w:p>
            <w:r>
              <w:rPr>
                <w:sz w:val="17"/>
              </w:rPr>
              <w:t>8,140</w:t>
            </w:r>
          </w:p>
        </w:tc>
        <w:tc>
          <w:tcPr>
            <w:tcW w:type="dxa" w:w="1440"/>
            <w:shd w:fill="FFDCE0" w:val="clear"/>
          </w:tcPr>
          <w:p>
            <w:r>
              <w:rPr>
                <w:b/>
                <w:color w:val="C00000"/>
                <w:sz w:val="17"/>
              </w:rPr>
              <w:t>-20.8%</w:t>
            </w:r>
          </w:p>
        </w:tc>
      </w:tr>
      <w:tr>
        <w:tc>
          <w:tcPr>
            <w:tcW w:type="dxa" w:w="1440"/>
            <w:shd w:fill="FFDCE0" w:val="clear"/>
          </w:tcPr>
          <w:p>
            <w:r>
              <w:rPr>
                <w:sz w:val="17"/>
              </w:rPr>
              <w:t>J+9  Moyenne</w:t>
            </w:r>
          </w:p>
        </w:tc>
        <w:tc>
          <w:tcPr>
            <w:tcW w:type="dxa" w:w="1440"/>
            <w:shd w:fill="FFDCE0" w:val="clear"/>
          </w:tcPr>
          <w:p>
            <w:r>
              <w:rPr>
                <w:sz w:val="17"/>
              </w:rPr>
              <w:t>2026-08-24</w:t>
            </w:r>
          </w:p>
        </w:tc>
        <w:tc>
          <w:tcPr>
            <w:tcW w:type="dxa" w:w="1440"/>
            <w:shd w:fill="FFDCE0" w:val="clear"/>
          </w:tcPr>
          <w:p>
            <w:r>
              <w:rPr>
                <w:sz w:val="17"/>
              </w:rPr>
              <w:t>6,752</w:t>
            </w:r>
          </w:p>
        </w:tc>
        <w:tc>
          <w:tcPr>
            <w:tcW w:type="dxa" w:w="1440"/>
            <w:shd w:fill="FFDCE0" w:val="clear"/>
          </w:tcPr>
          <w:p>
            <w:r>
              <w:rPr>
                <w:b/>
                <w:sz w:val="17"/>
              </w:rPr>
              <w:t>7,397</w:t>
            </w:r>
          </w:p>
        </w:tc>
        <w:tc>
          <w:tcPr>
            <w:tcW w:type="dxa" w:w="1440"/>
            <w:shd w:fill="FFDCE0" w:val="clear"/>
          </w:tcPr>
          <w:p>
            <w:r>
              <w:rPr>
                <w:sz w:val="17"/>
              </w:rPr>
              <w:t>8,042</w:t>
            </w:r>
          </w:p>
        </w:tc>
        <w:tc>
          <w:tcPr>
            <w:tcW w:type="dxa" w:w="1440"/>
            <w:shd w:fill="FFDCE0" w:val="clear"/>
          </w:tcPr>
          <w:p>
            <w:r>
              <w:rPr>
                <w:b/>
                <w:color w:val="C00000"/>
                <w:sz w:val="17"/>
              </w:rPr>
              <w:t>-22.1%</w:t>
            </w:r>
          </w:p>
        </w:tc>
      </w:tr>
      <w:tr>
        <w:tc>
          <w:tcPr>
            <w:tcW w:type="dxa" w:w="1440"/>
            <w:shd w:fill="FFDCE0" w:val="clear"/>
          </w:tcPr>
          <w:p>
            <w:r>
              <w:rPr>
                <w:sz w:val="17"/>
              </w:rPr>
              <w:t>J+10  Moyenne</w:t>
            </w:r>
          </w:p>
        </w:tc>
        <w:tc>
          <w:tcPr>
            <w:tcW w:type="dxa" w:w="1440"/>
            <w:shd w:fill="FFDCE0" w:val="clear"/>
          </w:tcPr>
          <w:p>
            <w:r>
              <w:rPr>
                <w:sz w:val="17"/>
              </w:rPr>
              <w:t>2026-08-25</w:t>
            </w:r>
          </w:p>
        </w:tc>
        <w:tc>
          <w:tcPr>
            <w:tcW w:type="dxa" w:w="1440"/>
            <w:shd w:fill="FFDCE0" w:val="clear"/>
          </w:tcPr>
          <w:p>
            <w:r>
              <w:rPr>
                <w:sz w:val="17"/>
              </w:rPr>
              <w:t>6,614</w:t>
            </w:r>
          </w:p>
        </w:tc>
        <w:tc>
          <w:tcPr>
            <w:tcW w:type="dxa" w:w="1440"/>
            <w:shd w:fill="FFDCE0" w:val="clear"/>
          </w:tcPr>
          <w:p>
            <w:r>
              <w:rPr>
                <w:b/>
                <w:sz w:val="17"/>
              </w:rPr>
              <w:t>7,284</w:t>
            </w:r>
          </w:p>
        </w:tc>
        <w:tc>
          <w:tcPr>
            <w:tcW w:type="dxa" w:w="1440"/>
            <w:shd w:fill="FFDCE0" w:val="clear"/>
          </w:tcPr>
          <w:p>
            <w:r>
              <w:rPr>
                <w:sz w:val="17"/>
              </w:rPr>
              <w:t>7,953</w:t>
            </w:r>
          </w:p>
        </w:tc>
        <w:tc>
          <w:tcPr>
            <w:tcW w:type="dxa" w:w="1440"/>
            <w:shd w:fill="FFDCE0" w:val="clear"/>
          </w:tcPr>
          <w:p>
            <w:r>
              <w:rPr>
                <w:b/>
                <w:color w:val="C00000"/>
                <w:sz w:val="17"/>
              </w:rPr>
              <w:t>-23.3%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SIBC s'établit à 950 milliards FCFA, un niveau qui la positionne parmi les poids lourds de la BRVM, reflétant la confiance des investisseurs dans le secteur bancaire ivoirien. Avec un BPA de 556 FCFA, chaque action génère un bénéfice substantiel, mais le PER de 17,1x indique que les investisseurs paient une prime significative par rapport à la moyenne historique de la BRVM (8-12x), ce qui traduit des anticipations de croissance élevées. Le P/B de 4,64x confirme cette valorisation exigeante, le marché valorisant fortement les actifs nets de la banque, tandis que l'EV/EBITDA de 15,8x souligne que la valeur totale de l'entreprise dépasse largement sa capacité opérationnelle. Ces ratios suggèrent que le titre est valorisé généreusement, intégrant déjà des performances futures solides.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 enregistré une progression spectaculaire de +32,96%, avec une dernière séance en hausse de +1,93% pour atteindre 9 500 FCFA, son plus haut niveau sur la période. Le cours a évolué dans une fourchette de 6 805 à 9 500 FCFA, démontrant une dynamique haussière soutenue. La moyenne de 8 047 FCFA, inférieure à la médiane de 8 505 FCFA, révèle une distribution légèrement asymétrique avec une concentration des valeurs vers le haut. L'écart-type de 907 FCFA (CV=11,3%) indique une dispersion modérée, tandis que le kurtosis de -1,768 (platykurtique) suggère une distribution aplatie avec peu de pics extrêmes, et le skewness de -0,107 confirme une symétrie quasi parfaite. La volatilité annualisée de 27,8% positionne le titre dans une zone modérée, offrant un équilibre entre risque et rendement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9 500 FCFA se situe nettement au-dessus des MM20 (8 966 FCFA) et MM50 (8 899,9 FCFA), confirmant une tendance haussière robuste. L'écart positif entre le prix et les moyennes mobiles indique un momentum favorable, justifiant la décision d'achat. Cette configuration suggère que la tendance de fond reste solide, bien que le titre puisse être temporairement suracheté à court terme.</w:t>
      </w:r>
    </w:p>
    <w:p>
      <w:pPr>
        <w:spacing w:after="120" w:line="276" w:lineRule="auto"/>
      </w:pPr>
      <w:r>
        <w:t>**Bandes de Bollinger :** Le prix évolue à la borne supérieure (9 471,8 FCFA), dépassant même légèrement cette limite, ce qui signale une condition de surachat technique. La décision de vente associée à cet indicateur reflète la probabilité croissante d'un repli à court terme, la volatilité étant mesurée par l'écart entre les bornes (8 460 à 9 472 FCFA). Les investisseurs doivent surveiller un éventuel retour vers la moyenne.</w:t>
      </w:r>
    </w:p>
    <w:p>
      <w:pPr>
        <w:spacing w:after="120" w:line="276" w:lineRule="auto"/>
      </w:pPr>
      <w:r>
        <w:t>**MACD :** La valeur du MACD (149,5) est nettement supérieure à son signal (99,8), confirmant un momentum haussier puissant. La divergence positive entre ces deux lignes indique que la dynamique d'achat reste dominante, justifiant la décision d'achat. Cette configuration technique soutient la poursuite de la tendance haussière à moyen terme, tant que le MACD reste au-dessus de sa ligne de signal.</w:t>
      </w:r>
    </w:p>
    <w:p>
      <w:pPr>
        <w:spacing w:after="120" w:line="276" w:lineRule="auto"/>
      </w:pPr>
      <w:r>
        <w:t>**RSI :** À 63,7, le RSI se situe en zone neutre, en dessous du seuil de surachat de 70, ce qui laisse une marge de progression avant une éventuelle correction. Cette valeur indique que le titre n'est pas encore survendu ni suracheté, offrant un équilibre entre les forces acheteuses et vendeuses. La décision neutre reflète cette position intermédiaire.</w:t>
      </w:r>
    </w:p>
    <w:p>
      <w:pPr>
        <w:spacing w:after="120" w:line="276" w:lineRule="auto"/>
      </w:pPr>
      <w:r>
        <w:t>**Stochastique :** Les valeurs %K et %D à 100 indiquent une condition de surachat extrême, signalant que le titre est probablement à un point de retournement. La décision de vente associée à cet indicateur suggère une correction imminente, les acheteurs ayant épuisé leur potentiel à court terme. Cette configuration appelle à la prudence pour les nouveaux achats.</w:t>
      </w:r>
    </w:p>
    <w:p>
      <w:pPr>
        <w:spacing w:after="120" w:line="276" w:lineRule="auto"/>
      </w:pPr>
      <w:r>
        <w:t>**Conclusion technique :** La convergence des indicateurs de momentum (MACD, MM) avec les signaux de surachat (Bollinger, Stochastique) crée une situation contrastée. La tendance de fond reste haussière, mais les conditions techniques à court terme suggèrent un essoufflement probable. Les investisseurs devraient surveiller une consolidation avant d'envisager de nouvelles positions.</w:t>
      </w:r>
    </w:p>
    <w:p>
      <w:pPr>
        <w:spacing w:after="120" w:line="276" w:lineRule="auto" w:before="240"/>
      </w:pPr>
      <w:r>
        <w:rPr>
          <w:b/>
          <w:color w:val="003366"/>
          <w:sz w:val="24"/>
        </w:rPr>
        <w:t>**PARTIE 3 : ANALYSE FONDAMENTALE (SECTION CRITIQUE)**</w:t>
      </w:r>
    </w:p>
    <w:p>
      <w:pPr>
        <w:spacing w:after="120" w:line="276" w:lineRule="auto"/>
      </w:pPr>
      <w:r>
        <w:t>En 2025, la SIBC affiche un Produit Net Bancaire de 108,663 milliards FCFA, générant un résultat net de 55,623 milliards FCFA, soit une marge nette exceptionnelle de 51,19%. Le ROE de 27,16% témoigne d'une excellente rentabilité des fonds propres, tandis que le ROA de 2,96% reflète une utilisation efficace des actifs. Le coefficient d'exploitation de 38,59% démontre une maîtrise remarquable des charges, bien en dessous du seuil d'efficacité de 60%. Les dépôts clientèle (1 503 milliards FCFA) dépassent largement les crédits (1 226 milliards FCFA), indiquant une transformation saine avec un ratio de 81,6%. Les rapports trimestriels 2025 confirment cette dynamique : le T1 2025 montre un PNB de 26,5 milliards (+12%), le S1 2025 atteint 54,3 milliards (+9%) avec un résultat net de 29,4 milliards (+15%), et le T3 2025 cumulé s'établit à 81,4 milliards (+8%) pour un résultat net de 43 milliards (+11%). Le rapport T1 2026 (publié en mai 2026) indique un PNB de 27,7 milliards (+4%) et un résultat net de 15,2 milliards (+11%), suggérant une poursuite de la croissance. Sur la base de ces tendances, on estime que l'exercice 2026 pourrait dépasser 115 milliards de PNB et 60 milliards de résultat net, confirmant la solidité du modèle économique de la banque.</w:t>
      </w:r>
    </w:p>
    <w:p>
      <w:pPr>
        <w:spacing w:after="120" w:line="276" w:lineRule="auto" w:before="240"/>
      </w:pPr>
      <w:r>
        <w:rPr>
          <w:b/>
          <w:color w:val="003366"/>
          <w:sz w:val="24"/>
        </w:rPr>
        <w:t>**PARTIE 4 : CONCLUSION D'INVESTISSEMENT**</w:t>
      </w:r>
    </w:p>
    <w:p>
      <w:pPr>
        <w:spacing w:after="120" w:line="276" w:lineRule="auto"/>
      </w:pPr>
      <w:r>
        <w:t>La valorisation actuelle de la SIBC, avec un PER de 17,1x et un P/B de 4,64x, indique une prime significative par rapport au marché, intégrant des anticipations de croissance élevées. Le comportement du cours sur 100 jours (+32,96%) avec une volatilité modérée (27,8%) et une distribution symétrique reflète une tendance haussière saine, bien que les signaux techniques de surachat (Bollinger, Stochastique) suggèrent une consolidation à court terme. Les fondamentaux restent exceptionnellement solides avec un ROE de 27,16%, un coefficient d'exploitation de 38,59% et une croissance soutenue du résultat net (+11% au T1 2026). Les prédictions IA indiquent une correction progressive vers 8 000 FCFA sur 10 jours, contredisant la tendance haussière récente mais cohérente avec les signaux techniques de surachat. Cette divergence entre la solidité fondamentale et les signaux techniques à court terme justifie une recommandation de **CONSERVER** avec un niveau de confiance **Moyen**. Le risque global est **Moyen**, et l'horizon d'investissement optimal serait le **moyen terme (3-12 mois)**, permettant d'absorber une éventuelle correction technique tout en bénéficiant de la croissance fondamentale de la banque.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4.88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93 titres</w:t>
            </w:r>
          </w:p>
        </w:tc>
        <w:tc>
          <w:tcPr>
            <w:tcW w:type="dxa" w:w="2268"/>
            <w:shd w:fill="FFF2CC" w:val="clear"/>
          </w:tcPr>
          <w:p>
            <w:r>
              <w:rPr>
                <w:b/>
                <w:color w:val="503200"/>
                <w:sz w:val="16"/>
              </w:rPr>
              <w:t xml:space="preserve">Cours actuel : </w:t>
            </w:r>
            <w:r>
              <w:rPr>
                <w:color w:val="000000"/>
                <w:sz w:val="17"/>
              </w:rPr>
              <w:t>8,125 FCFA</w:t>
            </w:r>
          </w:p>
          <w:p>
            <w:r>
              <w:rPr>
                <w:b/>
                <w:color w:val="503200"/>
                <w:sz w:val="16"/>
              </w:rPr>
              <w:t xml:space="preserve">Var. 100 jours : </w:t>
            </w:r>
            <w:r>
              <w:rPr>
                <w:b/>
                <w:color w:val="007800"/>
                <w:sz w:val="17"/>
              </w:rPr>
              <w:t>+98.17%</w:t>
            </w:r>
          </w:p>
          <w:p>
            <w:r>
              <w:rPr>
                <w:b/>
                <w:color w:val="503200"/>
                <w:sz w:val="16"/>
              </w:rPr>
              <w:t xml:space="preserve">Plus haut 100j : </w:t>
            </w:r>
            <w:r>
              <w:rPr>
                <w:color w:val="000000"/>
                <w:sz w:val="17"/>
              </w:rPr>
              <w:t>8,125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35.6/100 → Moyen</w:t>
      </w:r>
    </w:p>
    <w:p>
      <w:pPr>
        <w:spacing w:before="40" w:after="80"/>
      </w:pPr>
      <w:r>
        <w:rPr>
          <w:rFonts w:ascii="Courier New" w:hAnsi="Courier New"/>
          <w:color w:val="825A00"/>
          <w:sz w:val="18"/>
        </w:rPr>
        <w:t>███████░░░░░░░░░░░░░  35.6/100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18.03% (Élevée) — μ=4,710 FCFA, σ=849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β=0.0451 (Défensif) — Cov=0.000002, Var(idx)=0.000036, ρ=0.008,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93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σ_j=3.51%/j (Modérée) — Vol. annualisée≈55.8%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2026-08-12</w:t>
            </w:r>
          </w:p>
        </w:tc>
        <w:tc>
          <w:tcPr>
            <w:tcW w:type="dxa" w:w="1440"/>
            <w:shd w:fill="FFDCE0" w:val="clear"/>
          </w:tcPr>
          <w:p>
            <w:r>
              <w:rPr>
                <w:sz w:val="17"/>
              </w:rPr>
              <w:t>7,347</w:t>
            </w:r>
          </w:p>
        </w:tc>
        <w:tc>
          <w:tcPr>
            <w:tcW w:type="dxa" w:w="1440"/>
            <w:shd w:fill="FFDCE0" w:val="clear"/>
          </w:tcPr>
          <w:p>
            <w:r>
              <w:rPr>
                <w:b/>
                <w:sz w:val="17"/>
              </w:rPr>
              <w:t>7,878</w:t>
            </w:r>
          </w:p>
        </w:tc>
        <w:tc>
          <w:tcPr>
            <w:tcW w:type="dxa" w:w="1440"/>
            <w:shd w:fill="FFDCE0" w:val="clear"/>
          </w:tcPr>
          <w:p>
            <w:r>
              <w:rPr>
                <w:sz w:val="17"/>
              </w:rPr>
              <w:t>8,410</w:t>
            </w:r>
          </w:p>
        </w:tc>
        <w:tc>
          <w:tcPr>
            <w:tcW w:type="dxa" w:w="1440"/>
            <w:shd w:fill="FFDCE0" w:val="clear"/>
          </w:tcPr>
          <w:p>
            <w:r>
              <w:rPr>
                <w:b/>
                <w:color w:val="C00000"/>
                <w:sz w:val="17"/>
              </w:rPr>
              <w:t>-3.0%</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7,158</w:t>
            </w:r>
          </w:p>
        </w:tc>
        <w:tc>
          <w:tcPr>
            <w:tcW w:type="dxa" w:w="1440"/>
            <w:shd w:fill="FFDCE0" w:val="clear"/>
          </w:tcPr>
          <w:p>
            <w:r>
              <w:rPr>
                <w:b/>
                <w:sz w:val="17"/>
              </w:rPr>
              <w:t>7,913</w:t>
            </w:r>
          </w:p>
        </w:tc>
        <w:tc>
          <w:tcPr>
            <w:tcW w:type="dxa" w:w="1440"/>
            <w:shd w:fill="FFDCE0" w:val="clear"/>
          </w:tcPr>
          <w:p>
            <w:r>
              <w:rPr>
                <w:sz w:val="17"/>
              </w:rPr>
              <w:t>8,668</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6,916</w:t>
            </w:r>
          </w:p>
        </w:tc>
        <w:tc>
          <w:tcPr>
            <w:tcW w:type="dxa" w:w="1440"/>
            <w:shd w:fill="FFDCE0" w:val="clear"/>
          </w:tcPr>
          <w:p>
            <w:r>
              <w:rPr>
                <w:b/>
                <w:sz w:val="17"/>
              </w:rPr>
              <w:t>7,831</w:t>
            </w:r>
          </w:p>
        </w:tc>
        <w:tc>
          <w:tcPr>
            <w:tcW w:type="dxa" w:w="1440"/>
            <w:shd w:fill="FFDCE0" w:val="clear"/>
          </w:tcPr>
          <w:p>
            <w:r>
              <w:rPr>
                <w:sz w:val="17"/>
              </w:rPr>
              <w:t>8,747</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6,677</w:t>
            </w:r>
          </w:p>
        </w:tc>
        <w:tc>
          <w:tcPr>
            <w:tcW w:type="dxa" w:w="1440"/>
            <w:shd w:fill="FFDCE0" w:val="clear"/>
          </w:tcPr>
          <w:p>
            <w:r>
              <w:rPr>
                <w:b/>
                <w:sz w:val="17"/>
              </w:rPr>
              <w:t>7,719</w:t>
            </w:r>
          </w:p>
        </w:tc>
        <w:tc>
          <w:tcPr>
            <w:tcW w:type="dxa" w:w="1440"/>
            <w:shd w:fill="FFDCE0" w:val="clear"/>
          </w:tcPr>
          <w:p>
            <w:r>
              <w:rPr>
                <w:sz w:val="17"/>
              </w:rPr>
              <w:t>8,760</w:t>
            </w:r>
          </w:p>
        </w:tc>
        <w:tc>
          <w:tcPr>
            <w:tcW w:type="dxa" w:w="1440"/>
            <w:shd w:fill="FFDCE0" w:val="clear"/>
          </w:tcPr>
          <w:p>
            <w:r>
              <w:rPr>
                <w:b/>
                <w:color w:val="C00000"/>
                <w:sz w:val="17"/>
              </w:rPr>
              <w:t>-5.0%</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6,447</w:t>
            </w:r>
          </w:p>
        </w:tc>
        <w:tc>
          <w:tcPr>
            <w:tcW w:type="dxa" w:w="1440"/>
            <w:shd w:fill="FFDCE0" w:val="clear"/>
          </w:tcPr>
          <w:p>
            <w:r>
              <w:rPr>
                <w:b/>
                <w:sz w:val="17"/>
              </w:rPr>
              <w:t>7,592</w:t>
            </w:r>
          </w:p>
        </w:tc>
        <w:tc>
          <w:tcPr>
            <w:tcW w:type="dxa" w:w="1440"/>
            <w:shd w:fill="FFDCE0" w:val="clear"/>
          </w:tcPr>
          <w:p>
            <w:r>
              <w:rPr>
                <w:sz w:val="17"/>
              </w:rPr>
              <w:t>8,737</w:t>
            </w:r>
          </w:p>
        </w:tc>
        <w:tc>
          <w:tcPr>
            <w:tcW w:type="dxa" w:w="1440"/>
            <w:shd w:fill="FFDCE0" w:val="clear"/>
          </w:tcPr>
          <w:p>
            <w:r>
              <w:rPr>
                <w:b/>
                <w:color w:val="C00000"/>
                <w:sz w:val="17"/>
              </w:rPr>
              <w:t>-6.6%</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6,225</w:t>
            </w:r>
          </w:p>
        </w:tc>
        <w:tc>
          <w:tcPr>
            <w:tcW w:type="dxa" w:w="1440"/>
            <w:shd w:fill="FFDCE0" w:val="clear"/>
          </w:tcPr>
          <w:p>
            <w:r>
              <w:rPr>
                <w:b/>
                <w:sz w:val="17"/>
              </w:rPr>
              <w:t>7,458</w:t>
            </w:r>
          </w:p>
        </w:tc>
        <w:tc>
          <w:tcPr>
            <w:tcW w:type="dxa" w:w="1440"/>
            <w:shd w:fill="FFDCE0" w:val="clear"/>
          </w:tcPr>
          <w:p>
            <w:r>
              <w:rPr>
                <w:sz w:val="17"/>
              </w:rPr>
              <w:t>8,690</w:t>
            </w:r>
          </w:p>
        </w:tc>
        <w:tc>
          <w:tcPr>
            <w:tcW w:type="dxa" w:w="1440"/>
            <w:shd w:fill="FFDCE0" w:val="clear"/>
          </w:tcPr>
          <w:p>
            <w:r>
              <w:rPr>
                <w:b/>
                <w:color w:val="C00000"/>
                <w:sz w:val="17"/>
              </w:rPr>
              <w:t>-8.2%</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6,013</w:t>
            </w:r>
          </w:p>
        </w:tc>
        <w:tc>
          <w:tcPr>
            <w:tcW w:type="dxa" w:w="1440"/>
            <w:shd w:fill="FFDCE0" w:val="clear"/>
          </w:tcPr>
          <w:p>
            <w:r>
              <w:rPr>
                <w:b/>
                <w:sz w:val="17"/>
              </w:rPr>
              <w:t>7,320</w:t>
            </w:r>
          </w:p>
        </w:tc>
        <w:tc>
          <w:tcPr>
            <w:tcW w:type="dxa" w:w="1440"/>
            <w:shd w:fill="FFDCE0" w:val="clear"/>
          </w:tcPr>
          <w:p>
            <w:r>
              <w:rPr>
                <w:sz w:val="17"/>
              </w:rPr>
              <w:t>8,626</w:t>
            </w:r>
          </w:p>
        </w:tc>
        <w:tc>
          <w:tcPr>
            <w:tcW w:type="dxa" w:w="1440"/>
            <w:shd w:fill="FFDCE0" w:val="clear"/>
          </w:tcPr>
          <w:p>
            <w:r>
              <w:rPr>
                <w:b/>
                <w:color w:val="C00000"/>
                <w:sz w:val="17"/>
              </w:rPr>
              <w:t>-9.9%</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5,812</w:t>
            </w:r>
          </w:p>
        </w:tc>
        <w:tc>
          <w:tcPr>
            <w:tcW w:type="dxa" w:w="1440"/>
            <w:shd w:fill="FFDCE0" w:val="clear"/>
          </w:tcPr>
          <w:p>
            <w:r>
              <w:rPr>
                <w:b/>
                <w:sz w:val="17"/>
              </w:rPr>
              <w:t>7,182</w:t>
            </w:r>
          </w:p>
        </w:tc>
        <w:tc>
          <w:tcPr>
            <w:tcW w:type="dxa" w:w="1440"/>
            <w:shd w:fill="FFDCE0" w:val="clear"/>
          </w:tcPr>
          <w:p>
            <w:r>
              <w:rPr>
                <w:sz w:val="17"/>
              </w:rPr>
              <w:t>8,552</w:t>
            </w:r>
          </w:p>
        </w:tc>
        <w:tc>
          <w:tcPr>
            <w:tcW w:type="dxa" w:w="1440"/>
            <w:shd w:fill="FFDCE0" w:val="clear"/>
          </w:tcPr>
          <w:p>
            <w:r>
              <w:rPr>
                <w:b/>
                <w:color w:val="C00000"/>
                <w:sz w:val="17"/>
              </w:rPr>
              <w:t>-11.6%</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5,620</w:t>
            </w:r>
          </w:p>
        </w:tc>
        <w:tc>
          <w:tcPr>
            <w:tcW w:type="dxa" w:w="1440"/>
            <w:shd w:fill="FFDCE0" w:val="clear"/>
          </w:tcPr>
          <w:p>
            <w:r>
              <w:rPr>
                <w:b/>
                <w:sz w:val="17"/>
              </w:rPr>
              <w:t>7,046</w:t>
            </w:r>
          </w:p>
        </w:tc>
        <w:tc>
          <w:tcPr>
            <w:tcW w:type="dxa" w:w="1440"/>
            <w:shd w:fill="FFDCE0" w:val="clear"/>
          </w:tcPr>
          <w:p>
            <w:r>
              <w:rPr>
                <w:sz w:val="17"/>
              </w:rPr>
              <w:t>8,473</w:t>
            </w:r>
          </w:p>
        </w:tc>
        <w:tc>
          <w:tcPr>
            <w:tcW w:type="dxa" w:w="1440"/>
            <w:shd w:fill="FFDCE0" w:val="clear"/>
          </w:tcPr>
          <w:p>
            <w:r>
              <w:rPr>
                <w:b/>
                <w:color w:val="C00000"/>
                <w:sz w:val="17"/>
              </w:rPr>
              <w:t>-13.3%</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5,439</w:t>
            </w:r>
          </w:p>
        </w:tc>
        <w:tc>
          <w:tcPr>
            <w:tcW w:type="dxa" w:w="1440"/>
            <w:shd w:fill="FFDCE0" w:val="clear"/>
          </w:tcPr>
          <w:p>
            <w:r>
              <w:rPr>
                <w:b/>
                <w:sz w:val="17"/>
              </w:rPr>
              <w:t>6,914</w:t>
            </w:r>
          </w:p>
        </w:tc>
        <w:tc>
          <w:tcPr>
            <w:tcW w:type="dxa" w:w="1440"/>
            <w:shd w:fill="FFDCE0" w:val="clear"/>
          </w:tcPr>
          <w:p>
            <w:r>
              <w:rPr>
                <w:sz w:val="17"/>
              </w:rPr>
              <w:t>8,390</w:t>
            </w:r>
          </w:p>
        </w:tc>
        <w:tc>
          <w:tcPr>
            <w:tcW w:type="dxa" w:w="1440"/>
            <w:shd w:fill="FFDCE0" w:val="clear"/>
          </w:tcPr>
          <w:p>
            <w:r>
              <w:rPr>
                <w:b/>
                <w:color w:val="C00000"/>
                <w:sz w:val="17"/>
              </w:rPr>
              <w:t>-14.9%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4,88 milliards FCFA, un niveau modeste qui la classe parmi les petites capitalisations de la BRVM, reflétant une liquidité limitée avec un volume moyen de seulement 93 titres par jour. Les ratios de valorisation traditionnels (BPA, PER, P/B, EV/EBITDA) ne sont pas calculables en raison de l'absence de données financières structurées récentes dans la base, ce qui constitue une limite importante pour évaluer si le marché valorise correctement la société. Cette absence de ratios comparables au PER moyen de la BRVM (8-12x) rend difficile toute conclusion sur une éventuelle sous ou surévaluation relative. L'investisseur doit donc s'appuyer sur les données fondamentales disponibles dans les rapports officiels et sur l'analyse technique pour se forger une opinion.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affiche une progression spectaculaire de +98,17%, passant d'un plus bas de 3 765 FCFA à un plus haut de 8 125 FCFA, avec une dernière séance en hausse de +6,70%. Cette tendance fortement haussière s'accompagne de statistiques descriptives révélatrices : la moyenne (4 710 FCFA) est supérieure à la médiane (4 400 FCFA), indiquant une distribution asymétrique avec des extrêmes hauts qui tirent la moyenne vers le haut. L'écart-type de 854 FCFA (CV=18,1%) montre une dispersion modérée, mais le kurtosis de 3,646 (leptokurtique) signale un risque de mouvements brusques, tandis que le skewness positif de 1,924 confirme que le cours a passé plus de journées sous la moyenne avant de connaître des pics récents. La volatilité annualisée de 55,8% est très élevée (&gt;30%), caractérisant un titre spéculatif à fort risque, où les gains rapides peuvent s'accompagner de corrections tout aussi brutales.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(8 125 FCFA) se situe nettement au-dessus de la MM20 (6 063,5 FCFA) et de la MM50 (5 236,7 FCFA), confirmant une dynamique haussière solide. L'écart positif entre les deux moyennes et leur orientation ascendante valident la décision d'achat, bien que l'éloignement du cours par rapport à la MM20 suggère une extension excessive à court terme.</w:t>
      </w:r>
    </w:p>
    <w:p>
      <w:pPr>
        <w:spacing w:after="120" w:line="276" w:lineRule="auto"/>
      </w:pPr>
      <w:r>
        <w:t>**Bandes de Bollinger** : Le prix évolue au-dessus de la borne supérieure (7 944,87 FCFA), ce qui indique une condition de surachat extrême. Cette sortie de bande traduit une volatilité intense et un momentum puissant, mais historiquement, de telles configurations précèdent souvent des phases de consolidation ou de correction. La décision de vente est donc justifiée par le risque de retour vers la moyenne.</w:t>
      </w:r>
    </w:p>
    <w:p>
      <w:pPr>
        <w:spacing w:after="120" w:line="276" w:lineRule="auto"/>
      </w:pPr>
      <w:r>
        <w:t>**MACD** : Le MACD (687,43) reste nettement au-dessus de sa ligne de signal (490,76), confirmant un momentum haussier toujours actif. La divergence positive entre les deux lignes indique que la pression acheteuse demeure dominante, mais l'ampleur de l'écart suggère une possible saturation à court terme. La décision d'achat reste valide tant que le MACD ne croise pas sous le signal.</w:t>
      </w:r>
    </w:p>
    <w:p>
      <w:pPr>
        <w:spacing w:after="120" w:line="276" w:lineRule="auto"/>
      </w:pPr>
      <w:r>
        <w:t>**RSI** : À 82,58, le RSI est profondément en zone de surachat (&gt;70), signalant que le titre est survendu à la hausse et que la probabilité d'un repli technique augmente. Cette valeur extrême reflète un enthousiasme spéculatif marqué, souvent suivi d'une phase de digestion des gains. La décision de vente est cohérente avec ce niveau.</w:t>
      </w:r>
    </w:p>
    <w:p>
      <w:pPr>
        <w:spacing w:after="120" w:line="276" w:lineRule="auto"/>
      </w:pPr>
      <w:r>
        <w:t>**Stochastique** : Le %K (100,0) et le %D (99,81) sont tous deux à des niveaux extrêmes, indiquant une condition de surachat maximal. Le fait que %K soit au plafond absolu suggère que le mouvement haussier est arrivé à un point de saturation, avec un risque élevé de croisement baissier imminent. La décision de vente est ici aussi justifiée.</w:t>
      </w:r>
    </w:p>
    <w:p>
      <w:pPr>
        <w:spacing w:after="120" w:line="276" w:lineRule="auto"/>
      </w:pPr>
      <w:r>
        <w:t>**Conclusion technique** : La convergence des indicateurs de surachat (Bollinger, RSI, Stochastique) contraste avec la persistance du momentum haussier (MM, MACD). Cette configuration classique de fin de mouvement suggère qu'une correction technique est probable à court terme, même si la tendance de fond reste positive. Un investisseur prudent attendrait un repli vers la zone des 7 000-7 200 FCFA pour renforcer ses positions.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officiels fournis permettent une analyse approfondie. Le rapport daté du 31/12/2024 (analysé en 2026) révèle un exercice 2024 très difficile : perte nette de 128,6 millions FCFA contre un bénéfice de 19,25 millions en 2023, chiffre d'affaires en recul de 22% à 546,8 millions FCFA, et EBE négatif de -16,2 millions. Les contraintes foncières majeures (occupation et perte d'accès aux sites de Boulay et Avagou-Taboth) ont entraîné une chute de 40% de la production d'huile de coprah, avec des charges en hausse de 30% (services extérieurs +266% pour le recours à des façonniers). Les commissaires aux comptes ont émis une opinion avec réserves, notamment sur un ajustement de stocks non justifié. En 2023, la société avait renoué avec la profitabilité (+19,25 millions) après une perte de 39,95 millions en 2022, grâce à une réduction drastique des charges (-43,68%) et un déstockage massif. Le rapport 2022 montrait un CA de 1,138 milliard (-17,58%) et une perte de 39,95 millions, avec une marge nette de -3,51%. Historiquement, SICOR n'a jamais distribué de dividende depuis 2019, les pertes cumulées (689,86 millions en 2023) devant être résorbées conformément à l'OHADA. Le rapport 2015 faisait état d'un CA de 434,87 millions pour un résultat net de 68,24 millions (marge de 15,69%), illustrant la dégradation progressive de la rentabilité. Les perspectives 2024-2025 restent sombres : la direction engage un plan de redressement (sécurisation foncière, optimisation du site de Gliké-Tabou), mais la perte 2024 et l'EBE négatif signalent une fragilité structurelle profonde. La recommandation des analystes est clairement "vendre" pour l'exercice 2024, avec un profil de risque très élevé.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révèle une divergence majeure entre la performance boursière spectaculaire (+98,17% sur 100 jours) et des fondamentaux gravement dégradés (perte nette de 128,6 millions en 2024, EBE négatif, opinion d'audit avec réserves). La valorisation boursière de 4,88 milliards FCFA apparaît déconnectée des réalités économiques, avec des ratios PER/P/B non calculables faute de données, mais une capitalisation qui semble surévaluée au regard des pertes récurrentes. Les signaux techniques sont unanimement surachetés (RSI à 82,58, Stochastique à 100, prix au-dessus des bandes de Bollinger), annonçant une correction probable, tandis que les prédictions IA confirment cette anticipation avec une trajectoire baissière de 8 125 à 7 592 FCFA sur 10 jours (-6,6%). La convergence entre la saturation technique, la dégradation fondamentale et les prédictions algorithmiques est remarquable. **Recommandation : VENTE FORTE**, avec un niveau de confiance Élevé et un risque global Élevé. L'horizon d'investissement optimal est le court terme (&lt;3 mois) pour les investisseurs existants cherchant à sécuriser leurs gains, tandis que les nouveaux entrants devraient attendre un repli significatif vers 5 500-6 000 FCFA et une amélioration tangible des fondamentaux (retour à l'équilibre d'exploitation, résolution des litiges fonciers) avant toute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"Perte nette, EBE négatif, menace foncière existentielle sur l'outil de production et opinion d'audit avec réserves (dont un ajustement de stocks non justifié). Profil de risque très élevé."}</w:t>
      </w:r>
    </w:p>
    <w:p>
      <w:pPr>
        <w:spacing w:before="40"/>
        <w:ind w:left="400"/>
      </w:pPr>
      <w:r>
        <w:rPr>
          <w:sz w:val="18"/>
        </w:rPr>
        <w:t>L'exercice 2024 est très difficile pour SICOR, qui accuse une perte nette de 128,6 M FCFA (contre un bénéfice de 19,2 M en 2023). Le chiffre d'affaires recule de 22 % à 546,8 M sous l'effet de contraintes foncières majeures (occupation et perte d'accès à plusieurs sites de production), et l'EBE devient négatif (-16,2 M). Les charges bondissent (+30 %), notamment les services extérieurs (+266 %, recours à des façonniers). Les commissaires aux comptes émettent une opinion avec réserves (ajustement de stocks non justifié, absence de provision retraite, comptes IFRS non établis). Aucun dividende n'est distribué, la perte étant reportée (pertes cumulées portées à -799 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{'opinion_cac': 'avec réserves', 'resultat_exploitation': '-136,6 millions FCFA', 'excedent_brut_exploitation': '-16,2 millions FCFA (négatif)'}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-23,5 %</w:t>
            </w:r>
          </w:p>
        </w:tc>
        <w:tc>
          <w:tcPr>
            <w:tcW w:type="dxa" w:w="2160"/>
          </w:tcPr>
          <w:p>
            <w:pPr>
              <w:ind w:left="100"/>
            </w:pPr>
            <w:r/>
            <w:r>
              <w:rPr>
                <w:b/>
                <w:sz w:val="16"/>
              </w:rPr>
              <w:t>total_actif</w:t>
              <w:br/>
            </w:r>
            <w:r>
              <w:rPr>
                <w:sz w:val="18"/>
              </w:rPr>
              <w:t>4,00 milliards FCFA</w:t>
            </w:r>
          </w:p>
        </w:tc>
      </w:tr>
      <w:tr>
        <w:tc>
          <w:tcPr>
            <w:tcW w:type="dxa" w:w="2160"/>
          </w:tcPr>
          <w:p>
            <w:r/>
            <w:r>
              <w:rPr>
                <w:b/>
                <w:sz w:val="16"/>
              </w:rPr>
              <w:t>resultat_net</w:t>
              <w:br/>
            </w:r>
            <w:r>
              <w:rPr>
                <w:sz w:val="18"/>
              </w:rPr>
              <w:t>-128,6 millions FCFA (perte)</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546,8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de 128,6 M FCFA (contre +19,2 M en 2023)</w:t>
      </w:r>
    </w:p>
    <w:p>
      <w:pPr>
        <w:pStyle w:val="ListBullet"/>
        <w:spacing w:before="20" w:after="20"/>
        <w:ind w:left="700"/>
      </w:pPr>
      <w:r>
        <w:rPr>
          <w:sz w:val="18"/>
        </w:rPr>
        <w:t>Chiffre d'affaires en baisse de 22 % à 546,8 M FCFA</w:t>
      </w:r>
    </w:p>
    <w:p>
      <w:pPr>
        <w:pStyle w:val="ListBullet"/>
        <w:spacing w:before="20" w:after="20"/>
        <w:ind w:left="700"/>
      </w:pPr>
      <w:r>
        <w:rPr>
          <w:sz w:val="18"/>
        </w:rPr>
        <w:t>EBE négatif (-16,2 M FCFA), résultat d'exploitation -136,6 M</w:t>
      </w:r>
    </w:p>
    <w:p>
      <w:pPr>
        <w:pStyle w:val="ListBullet"/>
        <w:spacing w:before="20" w:after="20"/>
        <w:ind w:left="700"/>
      </w:pPr>
      <w:r>
        <w:rPr>
          <w:sz w:val="18"/>
        </w:rPr>
        <w:t>Contraintes foncières majeures : sites occupés/perdus (Boulay, Avagou-Taboth), production d'huile de coprah -40 %</w:t>
      </w:r>
    </w:p>
    <w:p>
      <w:pPr>
        <w:pStyle w:val="ListBullet"/>
        <w:spacing w:before="20" w:after="20"/>
        <w:ind w:left="700"/>
      </w:pPr>
      <w:r>
        <w:rPr>
          <w:sz w:val="18"/>
        </w:rPr>
        <w:t>Opinion des commissaires avec réserves : ajustement de stocks non justifié (132 M), provision retraite manquante, comptes IFRS non établis</w:t>
      </w:r>
    </w:p>
    <w:p>
      <w:pPr>
        <w:pStyle w:val="ListBullet"/>
        <w:spacing w:before="20" w:after="20"/>
        <w:ind w:left="700"/>
      </w:pPr>
      <w:r>
        <w:rPr>
          <w:sz w:val="18"/>
        </w:rPr>
        <w:t>Aucun dividende ; perte reportée, pertes cumulées à -799 M FCFA</w:t>
      </w:r>
    </w:p>
    <w:p>
      <w:pPr>
        <w:spacing w:before="40"/>
        <w:ind w:left="400"/>
      </w:pPr>
      <w:r>
        <w:rPr>
          <w:b/>
          <w:color w:val="C05000"/>
          <w:sz w:val="18"/>
        </w:rPr>
        <w:t xml:space="preserve">⚠️ Risques : </w:t>
      </w:r>
      <w:r>
        <w:rPr>
          <w:sz w:val="18"/>
        </w:rPr>
        <w:t>["Menace foncière existentielle : occupation/perte de sites de production, arrêt temporaire du site de Boulay", "EBE négatif et perte nette ; effondrement de la valeur ajoutée", "Opinion des commissaires avec réserves : ajustement de stocks non justifié de 132 M et provision retraite non comptabilis</w:t>
      </w:r>
    </w:p>
    <w:p>
      <w:pPr>
        <w:spacing w:before="40"/>
        <w:ind w:left="400"/>
      </w:pPr>
      <w:r>
        <w:rPr>
          <w:b/>
          <w:color w:val="0064A0"/>
          <w:sz w:val="18"/>
        </w:rPr>
        <w:t xml:space="preserve">🔮 Perspectives : </w:t>
      </w:r>
      <w:r>
        <w:rPr>
          <w:sz w:val="18"/>
        </w:rPr>
        <w:t>La direction engage un plan de redressement (sécurisation foncière, maîtrise des charges, optimisation du site de Gliké-Tabou, renforcement de la gouvernance), et la société a démontré par le passé sa capacité bénéficiaire. Mais le retour à la rentabilité dépend entièrement de la résolution des conf</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21.22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5,883 titres</w:t>
            </w:r>
          </w:p>
        </w:tc>
        <w:tc>
          <w:tcPr>
            <w:tcW w:type="dxa" w:w="2268"/>
            <w:shd w:fill="FFF2CC" w:val="clear"/>
          </w:tcPr>
          <w:p>
            <w:r>
              <w:rPr>
                <w:b/>
                <w:color w:val="503200"/>
                <w:sz w:val="16"/>
              </w:rPr>
              <w:t xml:space="preserve">Cours actuel : </w:t>
            </w:r>
            <w:r>
              <w:rPr>
                <w:color w:val="000000"/>
                <w:sz w:val="17"/>
              </w:rPr>
              <w:t>2,430 FCFA</w:t>
            </w:r>
          </w:p>
          <w:p>
            <w:r>
              <w:rPr>
                <w:b/>
                <w:color w:val="503200"/>
                <w:sz w:val="16"/>
              </w:rPr>
              <w:t xml:space="preserve">Var. 100 jours : </w:t>
            </w:r>
            <w:r>
              <w:rPr>
                <w:b/>
                <w:color w:val="B40000"/>
                <w:sz w:val="17"/>
              </w:rPr>
              <w:t>-7.25%</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10.92% (Moyenne) — μ=2,645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β=0.4109 (Défensif) — Cov=0.000015, Var(idx)=0.000036, ρ=0.074,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5,883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σ_j=3.30%/j (Modérée) — Vol. annualisée≈52.4%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2026-08-12</w:t>
            </w:r>
          </w:p>
        </w:tc>
        <w:tc>
          <w:tcPr>
            <w:tcW w:type="dxa" w:w="1440"/>
            <w:shd w:fill="FFDCE0" w:val="clear"/>
          </w:tcPr>
          <w:p>
            <w:r>
              <w:rPr>
                <w:sz w:val="17"/>
              </w:rPr>
              <w:t>2,080</w:t>
            </w:r>
          </w:p>
        </w:tc>
        <w:tc>
          <w:tcPr>
            <w:tcW w:type="dxa" w:w="1440"/>
            <w:shd w:fill="FFDCE0" w:val="clear"/>
          </w:tcPr>
          <w:p>
            <w:r>
              <w:rPr>
                <w:b/>
                <w:sz w:val="17"/>
              </w:rPr>
              <w:t>2,248</w:t>
            </w:r>
          </w:p>
        </w:tc>
        <w:tc>
          <w:tcPr>
            <w:tcW w:type="dxa" w:w="1440"/>
            <w:shd w:fill="FFDCE0" w:val="clear"/>
          </w:tcPr>
          <w:p>
            <w:r>
              <w:rPr>
                <w:sz w:val="17"/>
              </w:rPr>
              <w:t>2,415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1,887</w:t>
            </w:r>
          </w:p>
        </w:tc>
        <w:tc>
          <w:tcPr>
            <w:tcW w:type="dxa" w:w="1440"/>
            <w:shd w:fill="FFDCE0" w:val="clear"/>
          </w:tcPr>
          <w:p>
            <w:r>
              <w:rPr>
                <w:b/>
                <w:sz w:val="17"/>
              </w:rPr>
              <w:t>2,109</w:t>
            </w:r>
          </w:p>
        </w:tc>
        <w:tc>
          <w:tcPr>
            <w:tcW w:type="dxa" w:w="1440"/>
            <w:shd w:fill="FFDCE0" w:val="clear"/>
          </w:tcPr>
          <w:p>
            <w:r>
              <w:rPr>
                <w:sz w:val="17"/>
              </w:rPr>
              <w:t>2,331</w:t>
            </w:r>
          </w:p>
        </w:tc>
        <w:tc>
          <w:tcPr>
            <w:tcW w:type="dxa" w:w="1440"/>
            <w:shd w:fill="FFDCE0" w:val="clear"/>
          </w:tcPr>
          <w:p>
            <w:r>
              <w:rPr>
                <w:b/>
                <w:color w:val="C00000"/>
                <w:sz w:val="17"/>
              </w:rPr>
              <w:t>-13.2%</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1,803</w:t>
            </w:r>
          </w:p>
        </w:tc>
        <w:tc>
          <w:tcPr>
            <w:tcW w:type="dxa" w:w="1440"/>
            <w:shd w:fill="FFDCE0" w:val="clear"/>
          </w:tcPr>
          <w:p>
            <w:r>
              <w:rPr>
                <w:b/>
                <w:sz w:val="17"/>
              </w:rPr>
              <w:t>2,070</w:t>
            </w:r>
          </w:p>
        </w:tc>
        <w:tc>
          <w:tcPr>
            <w:tcW w:type="dxa" w:w="1440"/>
            <w:shd w:fill="FFDCE0" w:val="clear"/>
          </w:tcPr>
          <w:p>
            <w:r>
              <w:rPr>
                <w:sz w:val="17"/>
              </w:rPr>
              <w:t>2,337</w:t>
            </w:r>
          </w:p>
        </w:tc>
        <w:tc>
          <w:tcPr>
            <w:tcW w:type="dxa" w:w="1440"/>
            <w:shd w:fill="FFDCE0" w:val="clear"/>
          </w:tcPr>
          <w:p>
            <w:r>
              <w:rPr>
                <w:b/>
                <w:color w:val="C00000"/>
                <w:sz w:val="17"/>
              </w:rPr>
              <w:t>-14.8%</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1,723</w:t>
            </w:r>
          </w:p>
        </w:tc>
        <w:tc>
          <w:tcPr>
            <w:tcW w:type="dxa" w:w="1440"/>
            <w:shd w:fill="FFDCE0" w:val="clear"/>
          </w:tcPr>
          <w:p>
            <w:r>
              <w:rPr>
                <w:b/>
                <w:sz w:val="17"/>
              </w:rPr>
              <w:t>2,025</w:t>
            </w:r>
          </w:p>
        </w:tc>
        <w:tc>
          <w:tcPr>
            <w:tcW w:type="dxa" w:w="1440"/>
            <w:shd w:fill="FFDCE0" w:val="clear"/>
          </w:tcPr>
          <w:p>
            <w:r>
              <w:rPr>
                <w:sz w:val="17"/>
              </w:rPr>
              <w:t>2,327</w:t>
            </w:r>
          </w:p>
        </w:tc>
        <w:tc>
          <w:tcPr>
            <w:tcW w:type="dxa" w:w="1440"/>
            <w:shd w:fill="FFDCE0" w:val="clear"/>
          </w:tcPr>
          <w:p>
            <w:r>
              <w:rPr>
                <w:b/>
                <w:color w:val="C00000"/>
                <w:sz w:val="17"/>
              </w:rPr>
              <w:t>-16.7%</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1,650</w:t>
            </w:r>
          </w:p>
        </w:tc>
        <w:tc>
          <w:tcPr>
            <w:tcW w:type="dxa" w:w="1440"/>
            <w:shd w:fill="FFDCE0" w:val="clear"/>
          </w:tcPr>
          <w:p>
            <w:r>
              <w:rPr>
                <w:b/>
                <w:sz w:val="17"/>
              </w:rPr>
              <w:t>1,980</w:t>
            </w:r>
          </w:p>
        </w:tc>
        <w:tc>
          <w:tcPr>
            <w:tcW w:type="dxa" w:w="1440"/>
            <w:shd w:fill="FFDCE0" w:val="clear"/>
          </w:tcPr>
          <w:p>
            <w:r>
              <w:rPr>
                <w:sz w:val="17"/>
              </w:rPr>
              <w:t>2,310</w:t>
            </w:r>
          </w:p>
        </w:tc>
        <w:tc>
          <w:tcPr>
            <w:tcW w:type="dxa" w:w="1440"/>
            <w:shd w:fill="FFDCE0" w:val="clear"/>
          </w:tcPr>
          <w:p>
            <w:r>
              <w:rPr>
                <w:b/>
                <w:color w:val="C00000"/>
                <w:sz w:val="17"/>
              </w:rPr>
              <w:t>-18.5%</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1,583</w:t>
            </w:r>
          </w:p>
        </w:tc>
        <w:tc>
          <w:tcPr>
            <w:tcW w:type="dxa" w:w="1440"/>
            <w:shd w:fill="FFDCE0" w:val="clear"/>
          </w:tcPr>
          <w:p>
            <w:r>
              <w:rPr>
                <w:b/>
                <w:sz w:val="17"/>
              </w:rPr>
              <w:t>1,937</w:t>
            </w:r>
          </w:p>
        </w:tc>
        <w:tc>
          <w:tcPr>
            <w:tcW w:type="dxa" w:w="1440"/>
            <w:shd w:fill="FFDCE0" w:val="clear"/>
          </w:tcPr>
          <w:p>
            <w:r>
              <w:rPr>
                <w:sz w:val="17"/>
              </w:rPr>
              <w:t>2,290</w:t>
            </w:r>
          </w:p>
        </w:tc>
        <w:tc>
          <w:tcPr>
            <w:tcW w:type="dxa" w:w="1440"/>
            <w:shd w:fill="FFDCE0" w:val="clear"/>
          </w:tcPr>
          <w:p>
            <w:r>
              <w:rPr>
                <w:b/>
                <w:color w:val="C00000"/>
                <w:sz w:val="17"/>
              </w:rPr>
              <w:t>-20.3%</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1,521</w:t>
            </w:r>
          </w:p>
        </w:tc>
        <w:tc>
          <w:tcPr>
            <w:tcW w:type="dxa" w:w="1440"/>
            <w:shd w:fill="FFDCE0" w:val="clear"/>
          </w:tcPr>
          <w:p>
            <w:r>
              <w:rPr>
                <w:b/>
                <w:sz w:val="17"/>
              </w:rPr>
              <w:t>1,894</w:t>
            </w:r>
          </w:p>
        </w:tc>
        <w:tc>
          <w:tcPr>
            <w:tcW w:type="dxa" w:w="1440"/>
            <w:shd w:fill="FFDCE0" w:val="clear"/>
          </w:tcPr>
          <w:p>
            <w:r>
              <w:rPr>
                <w:sz w:val="17"/>
              </w:rPr>
              <w:t>2,268</w:t>
            </w:r>
          </w:p>
        </w:tc>
        <w:tc>
          <w:tcPr>
            <w:tcW w:type="dxa" w:w="1440"/>
            <w:shd w:fill="FFDCE0" w:val="clear"/>
          </w:tcPr>
          <w:p>
            <w:r>
              <w:rPr>
                <w:b/>
                <w:color w:val="C00000"/>
                <w:sz w:val="17"/>
              </w:rPr>
              <w:t>-22.0%</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1,463</w:t>
            </w:r>
          </w:p>
        </w:tc>
        <w:tc>
          <w:tcPr>
            <w:tcW w:type="dxa" w:w="1440"/>
            <w:shd w:fill="FFDCE0" w:val="clear"/>
          </w:tcPr>
          <w:p>
            <w:r>
              <w:rPr>
                <w:b/>
                <w:sz w:val="17"/>
              </w:rPr>
              <w:t>1,853</w:t>
            </w:r>
          </w:p>
        </w:tc>
        <w:tc>
          <w:tcPr>
            <w:tcW w:type="dxa" w:w="1440"/>
            <w:shd w:fill="FFDCE0" w:val="clear"/>
          </w:tcPr>
          <w:p>
            <w:r>
              <w:rPr>
                <w:sz w:val="17"/>
              </w:rPr>
              <w:t>2,244</w:t>
            </w:r>
          </w:p>
        </w:tc>
        <w:tc>
          <w:tcPr>
            <w:tcW w:type="dxa" w:w="1440"/>
            <w:shd w:fill="FFDCE0" w:val="clear"/>
          </w:tcPr>
          <w:p>
            <w:r>
              <w:rPr>
                <w:b/>
                <w:color w:val="C00000"/>
                <w:sz w:val="17"/>
              </w:rPr>
              <w:t>-23.7%</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1,408</w:t>
            </w:r>
          </w:p>
        </w:tc>
        <w:tc>
          <w:tcPr>
            <w:tcW w:type="dxa" w:w="1440"/>
            <w:shd w:fill="FFDCE0" w:val="clear"/>
          </w:tcPr>
          <w:p>
            <w:r>
              <w:rPr>
                <w:b/>
                <w:sz w:val="17"/>
              </w:rPr>
              <w:t>1,814</w:t>
            </w:r>
          </w:p>
        </w:tc>
        <w:tc>
          <w:tcPr>
            <w:tcW w:type="dxa" w:w="1440"/>
            <w:shd w:fill="FFDCE0" w:val="clear"/>
          </w:tcPr>
          <w:p>
            <w:r>
              <w:rPr>
                <w:sz w:val="17"/>
              </w:rPr>
              <w:t>2,219</w:t>
            </w:r>
          </w:p>
        </w:tc>
        <w:tc>
          <w:tcPr>
            <w:tcW w:type="dxa" w:w="1440"/>
            <w:shd w:fill="FFDCE0" w:val="clear"/>
          </w:tcPr>
          <w:p>
            <w:r>
              <w:rPr>
                <w:b/>
                <w:color w:val="C00000"/>
                <w:sz w:val="17"/>
              </w:rPr>
              <w:t>-25.4%</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1,357</w:t>
            </w:r>
          </w:p>
        </w:tc>
        <w:tc>
          <w:tcPr>
            <w:tcW w:type="dxa" w:w="1440"/>
            <w:shd w:fill="FFDCE0" w:val="clear"/>
          </w:tcPr>
          <w:p>
            <w:r>
              <w:rPr>
                <w:b/>
                <w:sz w:val="17"/>
              </w:rPr>
              <w:t>1,776</w:t>
            </w:r>
          </w:p>
        </w:tc>
        <w:tc>
          <w:tcPr>
            <w:tcW w:type="dxa" w:w="1440"/>
            <w:shd w:fill="FFDCE0" w:val="clear"/>
          </w:tcPr>
          <w:p>
            <w:r>
              <w:rPr>
                <w:sz w:val="17"/>
              </w:rPr>
              <w:t>2,194</w:t>
            </w:r>
          </w:p>
        </w:tc>
        <w:tc>
          <w:tcPr>
            <w:tcW w:type="dxa" w:w="1440"/>
            <w:shd w:fill="FFDCE0" w:val="clear"/>
          </w:tcPr>
          <w:p>
            <w:r>
              <w:rPr>
                <w:b/>
                <w:color w:val="C00000"/>
                <w:sz w:val="17"/>
              </w:rPr>
              <w:t>-26.9%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SIVC (désormais ERIUM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21,22 milliards FCFA positionne SIVC comme une valeur de taille moyenne sur la BRVM. Le BPA de 43 FCFA par action est relativement faible, ce qui explique un PER de 56,3x, extrêmement élevé par rapport à la moyenne du marché qui se situe entre 8 et 12x. Les investisseurs paient donc une prime considérable pour chaque franc de bénéfice, ce qui traduit des attentes de croissance très fortes. Cette prime est confirmée par le P/B de 6,49x, indiquant que le marché valorise l'actif net comptable plus de six fois au-dessus de sa valeur, et par un EV/EBITDA de 17,6x, également très exigeant. Ces ratios suggèrent une valorisation qui ne laisse que très peu de place à l'erreur ou à une déception opérationnelle.</w:t>
      </w:r>
    </w:p>
    <w:p>
      <w:pPr>
        <w:spacing w:after="120" w:line="276" w:lineRule="auto"/>
      </w:pPr>
      <w:r>
        <w:t>### PARTIE 1 : ANALYSE DU COURS — STATISTIQUES ET ÉVOLUTION (100 derniers jours)</w:t>
      </w:r>
    </w:p>
    <w:p>
      <w:pPr>
        <w:spacing w:after="120" w:line="276" w:lineRule="auto"/>
      </w:pPr>
      <w:r>
        <w:t>Sur les 100 derniers jours, l'action SIVC a enregistré une baisse de 7,25%, mais a connu un rebond spectaculaire de +6,58% lors de la dernière séance, clôturant à 2 430 FCFA. Le titre a évolué dans une fourchette très large, entre un plus bas de 1 920 FCFA et un plus haut de 3 215 FCFA, illustrant une forte volatilité. La moyenne du cours sur la période (2 645 FCFA) est inférieure à la médiane (2 762 FCFA), et le skewness négatif (-0.673) confirme une distribution asymétrique avec des baisses plus fréquentes et plus marquées. L'écart-type de 290 FCFA (CV=11%) indique une dispersion modérée, mais la volatilité annualisée de 52,4% est extrêmement élevée, signe d'un titre très spéculatif. Le kurtosis négatif (-0.591) suggère une distribution mésokurtique, sans risque de variations extrêmes plus important que la normale, mais la tendance générale reste baissière sur la période.</w:t>
      </w:r>
    </w:p>
    <w:p>
      <w:pPr>
        <w:spacing w:after="120" w:line="276" w:lineRule="auto"/>
      </w:pPr>
      <w:r>
        <w:t>### PARTIE 2 : ANALYSE TECHNIQUE DÉTAILLÉE</w:t>
      </w:r>
    </w:p>
    <w:p>
      <w:pPr>
        <w:spacing w:after="120" w:line="276" w:lineRule="auto"/>
      </w:pPr>
      <w:r>
        <w:t>**Moyennes Mobiles:** Le cours actuel (2 430 FCFA) se situe au-dessus de la MM20 (2 257 FCFA) mais en dessous de la MM50 (2 448,2 FCFA). Cette configuration, avec une MM20 en passe de croiser la MM50 à la hausse, pourrait signaler un début de retournement, mais la position sous la MM50 maintient une pression vendeuse à moyen terme. La décision globale reste "Vente", car la tendance de fond n'est pas encore inversée.</w:t>
      </w:r>
    </w:p>
    <w:p>
      <w:pPr>
        <w:spacing w:after="120" w:line="276" w:lineRule="auto"/>
      </w:pPr>
      <w:r>
        <w:t>**Bandes de Bollinger:** Le prix se situe dans la partie supérieure des bandes, proche de la borne haute (2 481,58 FCFA), après un récent rebond depuis la borne inférieure (2 032,42 FCFA). Cette remontée rapide indique une augmentation de la volatilité et un momentum haussier à court terme. La décision "Neutre" est justifiée par le fait que le cours est dans la moyenne, mais la sortie de la bande inférieure est un signal positif.</w:t>
      </w:r>
    </w:p>
    <w:p>
      <w:pPr>
        <w:spacing w:after="120" w:line="276" w:lineRule="auto"/>
      </w:pPr>
      <w:r>
        <w:t>**MACD:** Le MACD (-48.788) est négatif mais sa ligne de signal (-78.172) l'est encore plus, créant un croisement haussier. Cette divergence positive indique un ralentissement de la dynamique baissière et un potentiel de retournement à la hausse. La décision "Achat" est cohérente avec ce début de momentum positif, même si le MACD reste en territoire négatif, ce qui suggère une reprise fragile.</w:t>
      </w:r>
    </w:p>
    <w:p>
      <w:pPr>
        <w:spacing w:after="120" w:line="276" w:lineRule="auto"/>
      </w:pPr>
      <w:r>
        <w:t>**RSI:** Le RSI à 70.455 est en zone de surachat. Cela signifie que le titre a fortement monté sur une courte période et qu'un repli technique est probable à court terme. La décision "Vente" est donc justifiée pour anticiper une correction après ce mouvement excessif, malgré la dynamique haussière sous-jacente.</w:t>
      </w:r>
    </w:p>
    <w:p>
      <w:pPr>
        <w:spacing w:after="120" w:line="276" w:lineRule="auto"/>
      </w:pPr>
      <w:r>
        <w:t>**Stochastique:** Le %K (100) est extrêmement élevé et bien au-dessus du %D (74.074), indiquant une condition de surachat très forte. Le titre est à son plus haut niveau sur la période étudiée, ce qui rend un retournement imminent très probable. La décision "Vente" est donc logique pour profiter d'un éventuel repli.</w:t>
      </w:r>
    </w:p>
    <w:p>
      <w:pPr>
        <w:spacing w:after="120" w:line="276" w:lineRule="auto"/>
      </w:pPr>
      <w:r>
        <w:t>**Conclusion technique:** Les indicateurs sont mitigés. Le MACD et le rebond depuis les bandes de Bollinger suggèrent un potentiel haussier, mais le RSI et le Stochastique en surachat extrême signalent un risque de correction immédiat. La position sous la MM50 rappelle que la tendance de moyen terme reste incertaine. Le scénario le plus probable est une consolidation ou un léger repli à court terme avant de déterminer la prochaine direction.</w:t>
      </w:r>
    </w:p>
    <w:p>
      <w:pPr>
        <w:spacing w:after="120" w:line="276" w:lineRule="auto"/>
      </w:pPr>
      <w:r>
        <w:t>### PARTIE 3 : ANALYSE FONDAMENTALE (SECTION CRITIQUE)</w:t>
      </w:r>
    </w:p>
    <w:p>
      <w:pPr>
        <w:spacing w:after="120" w:line="276" w:lineRule="auto"/>
      </w:pPr>
      <w:r>
        <w:t>En 2024, les données structurées indiquent un PNB de 9,283 Mds FCFA et un résultat net de 376,96 M FCFA, soit une marge nette de 4,06%. Le ROE s'établit à 11,52% et le ROA à 2,69%. Le coefficient d'exploitation de 95,83% est extrêmement élevé, signalant une mauvaise maîtrise des charges, et le coût du risque de 3,10% est significatif. Les rapports narratifs montrent une évolution contrastée. Le rapport annuel 2025 (daté du 31/12/2025) fait état d'un chiffre d'affaires en hausse de +8,53% à 10,07 Mds FCFA, mais d'un résultat net en chute de -52,4% à 179 M FCFA, avec une marge nette réduite à 1,78%. Cependant, les rapports trimestriels de 2025 peignent un tableau bien plus optimiste. Le rapport du 3e trimestre 2025 (cumul au 30/09/2025) montre un CA en hausse de +13% et un résultat net de 832,5 M FCFA, en progression de +58%, avec une marge nette de 11%. Sur la base de ces performances cumulées sur neuf mois, on peut estimer que l'exercice 2025 complet devrait être nettement plus rentable que les 179 M FCFA annoncés, à moins d'une dégradation majeure au T4. La société, désormais nommée ERIUM CI, a connu un changement d'actionnariat majeur avec la cession de la participation d'Air Liquide International à ERIUM LTD, ce qui pourrait être un catalyseur stratégique. La solidité financière est préoccupante avec une trésorerie nette négative de -2,143 Mds FCFA en 2024 et un endettement élevé, mais le BFR négatif de -1,740 Md FCFA est un point positif.</w:t>
      </w:r>
    </w:p>
    <w:p>
      <w:pPr>
        <w:spacing w:after="120" w:line="276" w:lineRule="auto"/>
      </w:pPr>
      <w:r>
        <w:t>### PARTIE 4 : CONCLUSION D'INVESTISSEMENT</w:t>
      </w:r>
    </w:p>
    <w:p>
      <w:pPr>
        <w:spacing w:after="120" w:line="276" w:lineRule="auto"/>
      </w:pPr>
      <w:r>
        <w:t>La valorisation de SIVC (PER 56x, P/B 6.5x) est extrêmement exigeante et ne se justifie que par des attentes de croissance très fortes, qui ne sont pas confirmées par les derniers résultats annuels. Le comportement du cours est très volatil avec une tendance baissière sur 100 jours, mais un fort rebond récent. Les signaux techniques sont contradictoires, avec un momentum haussier à court terme (MACD) mais des conditions de surachat extrême (RSI, Stochastique) qui appellent à la prudence. Les fondamentaux montrent une amélioration de l'activité mais une rentabilité en dents de scie, avec un niveau d'endettement et un coefficient d'exploitation préoccupants. Les prédictions IA pour les 10 prochains jours (chute vers 1 980 FCFA) contredisent le rebond technique actuel et suggèrent une poursuite de la tendance baissière. La convergence de la valorisation excessive, de la dégradation des fondamentaux et des prédictions IA baissières l'emporte sur les signaux techniques à court terme. Par conséquent, la recommandation est une **VENTE**, avec un niveau de confiance **Moyen** et un risque global **Élevé**. L'horizon d'investissement optimal est le **court terme (&lt;3 mois)**, pour les investisseurs cherchant à réduire leur exposition avant une possible poursuite de la baisse.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615.64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1,030 titres</w:t>
            </w:r>
          </w:p>
        </w:tc>
        <w:tc>
          <w:tcPr>
            <w:tcW w:type="dxa" w:w="2268"/>
            <w:shd w:fill="FFF2CC" w:val="clear"/>
          </w:tcPr>
          <w:p>
            <w:r>
              <w:rPr>
                <w:b/>
                <w:color w:val="503200"/>
                <w:sz w:val="16"/>
              </w:rPr>
              <w:t xml:space="preserve">Cours actuel : </w:t>
            </w:r>
            <w:r>
              <w:rPr>
                <w:color w:val="000000"/>
                <w:sz w:val="17"/>
              </w:rPr>
              <w:t>37,400 FCFA</w:t>
            </w:r>
          </w:p>
          <w:p>
            <w:r>
              <w:rPr>
                <w:b/>
                <w:color w:val="503200"/>
                <w:sz w:val="16"/>
              </w:rPr>
              <w:t xml:space="preserve">Var. 100 jours : </w:t>
            </w:r>
            <w:r>
              <w:rPr>
                <w:b/>
                <w:color w:val="B40000"/>
                <w:sz w:val="17"/>
              </w:rPr>
              <w:t>-5.32%</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2.44% (Faible) — μ=38,505 FCFA, σ=938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β=0.1995 (Défensif) — Cov=0.000007, Var(idx)=0.000036, ρ=0.066,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2026-08-12</w:t>
            </w:r>
          </w:p>
        </w:tc>
        <w:tc>
          <w:tcPr>
            <w:tcW w:type="dxa" w:w="1440"/>
            <w:shd w:fill="FAFAFA" w:val="clear"/>
          </w:tcPr>
          <w:p>
            <w:r>
              <w:rPr>
                <w:sz w:val="17"/>
              </w:rPr>
              <w:t>35,812</w:t>
            </w:r>
          </w:p>
        </w:tc>
        <w:tc>
          <w:tcPr>
            <w:tcW w:type="dxa" w:w="1440"/>
            <w:shd w:fill="FAFAFA" w:val="clear"/>
          </w:tcPr>
          <w:p>
            <w:r>
              <w:rPr>
                <w:b/>
                <w:sz w:val="17"/>
              </w:rPr>
              <w:t>37,110</w:t>
            </w:r>
          </w:p>
        </w:tc>
        <w:tc>
          <w:tcPr>
            <w:tcW w:type="dxa" w:w="1440"/>
            <w:shd w:fill="FAFAFA" w:val="clear"/>
          </w:tcPr>
          <w:p>
            <w:r>
              <w:rPr>
                <w:sz w:val="17"/>
              </w:rPr>
              <w:t>38,409</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2026-08-13</w:t>
            </w:r>
          </w:p>
        </w:tc>
        <w:tc>
          <w:tcPr>
            <w:tcW w:type="dxa" w:w="1440"/>
            <w:shd w:fill="FAFAFA" w:val="clear"/>
          </w:tcPr>
          <w:p>
            <w:r>
              <w:rPr>
                <w:sz w:val="17"/>
              </w:rPr>
              <w:t>35,299</w:t>
            </w:r>
          </w:p>
        </w:tc>
        <w:tc>
          <w:tcPr>
            <w:tcW w:type="dxa" w:w="1440"/>
            <w:shd w:fill="FAFAFA" w:val="clear"/>
          </w:tcPr>
          <w:p>
            <w:r>
              <w:rPr>
                <w:b/>
                <w:sz w:val="17"/>
              </w:rPr>
              <w:t>37,136</w:t>
            </w:r>
          </w:p>
        </w:tc>
        <w:tc>
          <w:tcPr>
            <w:tcW w:type="dxa" w:w="1440"/>
            <w:shd w:fill="FAFAFA" w:val="clear"/>
          </w:tcPr>
          <w:p>
            <w:r>
              <w:rPr>
                <w:sz w:val="17"/>
              </w:rPr>
              <w:t>38,973</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2026-08-14</w:t>
            </w:r>
          </w:p>
        </w:tc>
        <w:tc>
          <w:tcPr>
            <w:tcW w:type="dxa" w:w="1440"/>
            <w:shd w:fill="FAFAFA" w:val="clear"/>
          </w:tcPr>
          <w:p>
            <w:r>
              <w:rPr>
                <w:sz w:val="17"/>
              </w:rPr>
              <w:t>34,870</w:t>
            </w:r>
          </w:p>
        </w:tc>
        <w:tc>
          <w:tcPr>
            <w:tcW w:type="dxa" w:w="1440"/>
            <w:shd w:fill="FAFAFA" w:val="clear"/>
          </w:tcPr>
          <w:p>
            <w:r>
              <w:rPr>
                <w:b/>
                <w:sz w:val="17"/>
              </w:rPr>
              <w:t>37,119</w:t>
            </w:r>
          </w:p>
        </w:tc>
        <w:tc>
          <w:tcPr>
            <w:tcW w:type="dxa" w:w="1440"/>
            <w:shd w:fill="FAFAFA" w:val="clear"/>
          </w:tcPr>
          <w:p>
            <w:r>
              <w:rPr>
                <w:sz w:val="17"/>
              </w:rPr>
              <w:t>39,368</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2026-08-17</w:t>
            </w:r>
          </w:p>
        </w:tc>
        <w:tc>
          <w:tcPr>
            <w:tcW w:type="dxa" w:w="1440"/>
            <w:shd w:fill="FAFAFA" w:val="clear"/>
          </w:tcPr>
          <w:p>
            <w:r>
              <w:rPr>
                <w:sz w:val="17"/>
              </w:rPr>
              <w:t>34,496</w:t>
            </w:r>
          </w:p>
        </w:tc>
        <w:tc>
          <w:tcPr>
            <w:tcW w:type="dxa" w:w="1440"/>
            <w:shd w:fill="FAFAFA" w:val="clear"/>
          </w:tcPr>
          <w:p>
            <w:r>
              <w:rPr>
                <w:b/>
                <w:sz w:val="17"/>
              </w:rPr>
              <w:t>37,091</w:t>
            </w:r>
          </w:p>
        </w:tc>
        <w:tc>
          <w:tcPr>
            <w:tcW w:type="dxa" w:w="1440"/>
            <w:shd w:fill="FAFAFA" w:val="clear"/>
          </w:tcPr>
          <w:p>
            <w:r>
              <w:rPr>
                <w:sz w:val="17"/>
              </w:rPr>
              <w:t>39,686</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2026-08-18</w:t>
            </w:r>
          </w:p>
        </w:tc>
        <w:tc>
          <w:tcPr>
            <w:tcW w:type="dxa" w:w="1440"/>
            <w:shd w:fill="FAFAFA" w:val="clear"/>
          </w:tcPr>
          <w:p>
            <w:r>
              <w:rPr>
                <w:sz w:val="17"/>
              </w:rPr>
              <w:t>34,162</w:t>
            </w:r>
          </w:p>
        </w:tc>
        <w:tc>
          <w:tcPr>
            <w:tcW w:type="dxa" w:w="1440"/>
            <w:shd w:fill="FAFAFA" w:val="clear"/>
          </w:tcPr>
          <w:p>
            <w:r>
              <w:rPr>
                <w:b/>
                <w:sz w:val="17"/>
              </w:rPr>
              <w:t>37,061</w:t>
            </w:r>
          </w:p>
        </w:tc>
        <w:tc>
          <w:tcPr>
            <w:tcW w:type="dxa" w:w="1440"/>
            <w:shd w:fill="FAFAFA" w:val="clear"/>
          </w:tcPr>
          <w:p>
            <w:r>
              <w:rPr>
                <w:sz w:val="17"/>
              </w:rPr>
              <w:t>39,960</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2026-08-19</w:t>
            </w:r>
          </w:p>
        </w:tc>
        <w:tc>
          <w:tcPr>
            <w:tcW w:type="dxa" w:w="1440"/>
            <w:shd w:fill="FAFAFA" w:val="clear"/>
          </w:tcPr>
          <w:p>
            <w:r>
              <w:rPr>
                <w:sz w:val="17"/>
              </w:rPr>
              <w:t>33,856</w:t>
            </w:r>
          </w:p>
        </w:tc>
        <w:tc>
          <w:tcPr>
            <w:tcW w:type="dxa" w:w="1440"/>
            <w:shd w:fill="FAFAFA" w:val="clear"/>
          </w:tcPr>
          <w:p>
            <w:r>
              <w:rPr>
                <w:b/>
                <w:sz w:val="17"/>
              </w:rPr>
              <w:t>37,029</w:t>
            </w:r>
          </w:p>
        </w:tc>
        <w:tc>
          <w:tcPr>
            <w:tcW w:type="dxa" w:w="1440"/>
            <w:shd w:fill="FAFAFA" w:val="clear"/>
          </w:tcPr>
          <w:p>
            <w:r>
              <w:rPr>
                <w:sz w:val="17"/>
              </w:rPr>
              <w:t>40,202</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2026-08-20</w:t>
            </w:r>
          </w:p>
        </w:tc>
        <w:tc>
          <w:tcPr>
            <w:tcW w:type="dxa" w:w="1440"/>
            <w:shd w:fill="FAFAFA" w:val="clear"/>
          </w:tcPr>
          <w:p>
            <w:r>
              <w:rPr>
                <w:sz w:val="17"/>
              </w:rPr>
              <w:t>33,573</w:t>
            </w:r>
          </w:p>
        </w:tc>
        <w:tc>
          <w:tcPr>
            <w:tcW w:type="dxa" w:w="1440"/>
            <w:shd w:fill="FAFAFA" w:val="clear"/>
          </w:tcPr>
          <w:p>
            <w:r>
              <w:rPr>
                <w:b/>
                <w:sz w:val="17"/>
              </w:rPr>
              <w:t>36,997</w:t>
            </w:r>
          </w:p>
        </w:tc>
        <w:tc>
          <w:tcPr>
            <w:tcW w:type="dxa" w:w="1440"/>
            <w:shd w:fill="FAFAFA" w:val="clear"/>
          </w:tcPr>
          <w:p>
            <w:r>
              <w:rPr>
                <w:sz w:val="17"/>
              </w:rPr>
              <w:t>40,422</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2026-08-21</w:t>
            </w:r>
          </w:p>
        </w:tc>
        <w:tc>
          <w:tcPr>
            <w:tcW w:type="dxa" w:w="1440"/>
            <w:shd w:fill="FAFAFA" w:val="clear"/>
          </w:tcPr>
          <w:p>
            <w:r>
              <w:rPr>
                <w:sz w:val="17"/>
              </w:rPr>
              <w:t>33,308</w:t>
            </w:r>
          </w:p>
        </w:tc>
        <w:tc>
          <w:tcPr>
            <w:tcW w:type="dxa" w:w="1440"/>
            <w:shd w:fill="FAFAFA" w:val="clear"/>
          </w:tcPr>
          <w:p>
            <w:r>
              <w:rPr>
                <w:b/>
                <w:sz w:val="17"/>
              </w:rPr>
              <w:t>36,965</w:t>
            </w:r>
          </w:p>
        </w:tc>
        <w:tc>
          <w:tcPr>
            <w:tcW w:type="dxa" w:w="1440"/>
            <w:shd w:fill="FAFAFA" w:val="clear"/>
          </w:tcPr>
          <w:p>
            <w:r>
              <w:rPr>
                <w:sz w:val="17"/>
              </w:rPr>
              <w:t>40,623</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2026-08-24</w:t>
            </w:r>
          </w:p>
        </w:tc>
        <w:tc>
          <w:tcPr>
            <w:tcW w:type="dxa" w:w="1440"/>
            <w:shd w:fill="FAFAFA" w:val="clear"/>
          </w:tcPr>
          <w:p>
            <w:r>
              <w:rPr>
                <w:sz w:val="17"/>
              </w:rPr>
              <w:t>33,057</w:t>
            </w:r>
          </w:p>
        </w:tc>
        <w:tc>
          <w:tcPr>
            <w:tcW w:type="dxa" w:w="1440"/>
            <w:shd w:fill="FAFAFA" w:val="clear"/>
          </w:tcPr>
          <w:p>
            <w:r>
              <w:rPr>
                <w:b/>
                <w:sz w:val="17"/>
              </w:rPr>
              <w:t>36,933</w:t>
            </w:r>
          </w:p>
        </w:tc>
        <w:tc>
          <w:tcPr>
            <w:tcW w:type="dxa" w:w="1440"/>
            <w:shd w:fill="FAFAFA" w:val="clear"/>
          </w:tcPr>
          <w:p>
            <w:r>
              <w:rPr>
                <w:sz w:val="17"/>
              </w:rPr>
              <w:t>40,809</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2026-08-25</w:t>
            </w:r>
          </w:p>
        </w:tc>
        <w:tc>
          <w:tcPr>
            <w:tcW w:type="dxa" w:w="1440"/>
            <w:shd w:fill="FAFAFA" w:val="clear"/>
          </w:tcPr>
          <w:p>
            <w:r>
              <w:rPr>
                <w:sz w:val="17"/>
              </w:rPr>
              <w:t>32,819</w:t>
            </w:r>
          </w:p>
        </w:tc>
        <w:tc>
          <w:tcPr>
            <w:tcW w:type="dxa" w:w="1440"/>
            <w:shd w:fill="FAFAFA" w:val="clear"/>
          </w:tcPr>
          <w:p>
            <w:r>
              <w:rPr>
                <w:b/>
                <w:sz w:val="17"/>
              </w:rPr>
              <w:t>36,901</w:t>
            </w:r>
          </w:p>
        </w:tc>
        <w:tc>
          <w:tcPr>
            <w:tcW w:type="dxa" w:w="1440"/>
            <w:shd w:fill="FAFAFA" w:val="clear"/>
          </w:tcPr>
          <w:p>
            <w:r>
              <w:rPr>
                <w:sz w:val="17"/>
              </w:rPr>
              <w:t>40,983</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SLBC s'établit à 615,64 milliards FCFA, positionnant la société parmi les valeurs à grande capitalisation de la BRVM, ce qui lui confère une liquidité et une visibilité institutionnelle notables. Le BPA de 2 781 FCFA indique que chaque action génère un bénéfice substantiel, justifiant un PER de 13,4x. Ce ratio, bien que légèrement supérieur à la moyenne historique de la BRVM (8-12x), reste modéré et reflète la prime de croissance accordée par le marché à une entreprise en forte expansion. Le P/B de 3,15x, situé dans la fourchette de 2 à 4x, confirme cette prime de croissance, le marché valorisant la société au-dessus de sa valeur comptable. Enfin, l'EV/EBITDA de 7,3x, dans la zone raisonnable de 5-10x, indique que la valeur totale de l'entreprise (capitalisation plus dette nette) reste cohérente avec sa capacité opérationnelle à générer des bénéfices avant intérêts, impôts, dépréciations et amortissements.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 enregistré une variation totale de -5,32%, s'établissant à 37 400 FCFA, avec une légère reprise de +1,07% lors de la dernière séance. Le titre a évolué dans un range de trading de 35 540 FCFA (plus bas) à 41 500 FCFA (plus haut), soit une amplitude d'environ 16,8%, indiquant une volatilité modérée. La moyenne du cours sur la période (38 505 FCFA) est très proche de la médiane (38 798 FCFA), ce qui, combiné à un skewness de -0,097, confirme une distribution quasi symétrique des prix. L'écart-type de 942 FCFA, avec un coefficient de variation de seulement 2,4%, révèle une dispersion très faible autour de la moyenne, témoignant d'une stabilité relative du titre. Le kurtosis de 0,357 (mésokurtique) suggère l'absence de mouvements extrêmes ou de pics de volatilité inhabituels. La volatilité annualisée de 28,7% classe le titre dans la catégorie à volatilité modérée (15-30%), ce qui est acceptable pour une valeur de cette envergure.</w:t>
      </w:r>
    </w:p>
    <w:p>
      <w:pPr>
        <w:spacing w:after="120" w:line="276" w:lineRule="auto" w:before="240"/>
      </w:pPr>
      <w:r>
        <w:rPr>
          <w:b/>
          <w:color w:val="003366"/>
          <w:sz w:val="24"/>
        </w:rPr>
        <w:t>**PARTIE 2 : ANALYSE TECHNIQUE DÉTAILLÉE**</w:t>
      </w:r>
    </w:p>
    <w:p>
      <w:pPr>
        <w:spacing w:after="120" w:line="276" w:lineRule="auto"/>
      </w:pPr>
      <w:r>
        <w:t>**Moyennes Mobiles**: La MM20 (38 485 FCFA) et la MM50 (38 766 FCFA) sont toutes deux supérieures au cours actuel de 37 400 FCFA, indiquant une tendance baissière à court et moyen terme. Le croisement de ces moyennes mobiles, avec la MM50 au-dessus de la MM20, renforce le signal de vente, suggérant que le titre est dans une phase de correction.</w:t>
      </w:r>
    </w:p>
    <w:p>
      <w:pPr>
        <w:spacing w:after="120" w:line="276" w:lineRule="auto"/>
      </w:pPr>
      <w:r>
        <w:t>**Bandes de Bollinger**: Le cours actuel (37 400 FCFA) se situe dans la partie inférieure des bandes, proche de la borne inférieure (36 380 FCFA) et loin de la borne supérieure (40 591 FCFA). Cette position indique une pression vendeuse, mais sans atteindre des niveaux extrêmes de survente. La décision est neutre, le marché semblant chercher un point d'équilibre.</w:t>
      </w:r>
    </w:p>
    <w:p>
      <w:pPr>
        <w:spacing w:after="120" w:line="276" w:lineRule="auto"/>
      </w:pPr>
      <w:r>
        <w:t>**MACD**: La valeur du MACD (-510,7) est inférieure à son signal (-308,2), confirmant une dynamique baissière. Cette divergence négative indique que le momentum est actuellement vendeur, bien que l'écart ne soit pas excessif, ce qui pourrait précéder une stabilisation.</w:t>
      </w:r>
    </w:p>
    <w:p>
      <w:pPr>
        <w:spacing w:after="120" w:line="276" w:lineRule="auto"/>
      </w:pPr>
      <w:r>
        <w:t>**RSI**: Avec une valeur de 40,86, le RSI se situe dans la zone neutre (30-70), indiquant que le titre n'est ni suracheté ni survendu. Cette lecture suggère une absence de signal directionnel fort, mais une légère tendance à la faiblesse.</w:t>
      </w:r>
    </w:p>
    <w:p>
      <w:pPr>
        <w:spacing w:after="120" w:line="276" w:lineRule="auto"/>
      </w:pPr>
      <w:r>
        <w:t>**Stochastique**: Le %K (16,16) et le %D (7,59) sont tous deux en zone de survente (&lt;20), avec un %K au-dessus du %D, indiquant un croisement haussier potentiel. Ce signal d'achat suggère qu'un rebond technique est possible à court terme.</w:t>
      </w:r>
    </w:p>
    <w:p>
      <w:pPr>
        <w:spacing w:after="120" w:line="276" w:lineRule="auto"/>
      </w:pPr>
      <w:r>
        <w:t>**Conclusion technique**: Les indicateurs techniques sont mitigés, avec une majorité de signaux baissiers (MM, MACD) contrebalancés par des signaux de survente (Stochastique, RSI neutre). La tendance générale reste baissière à court terme, mais les conditions de survente pourraient déclencher un rebond technique. La prudence est de mise.</w:t>
      </w:r>
    </w:p>
    <w:p>
      <w:pPr>
        <w:spacing w:after="120" w:line="276" w:lineRule="auto" w:before="240"/>
      </w:pPr>
      <w:r>
        <w:rPr>
          <w:b/>
          <w:color w:val="003366"/>
          <w:sz w:val="24"/>
        </w:rPr>
        <w:t>**PARTIE 3 : ANALYSE FONDAMENTALE (SECTION CRITIQUE)**</w:t>
      </w:r>
    </w:p>
    <w:p>
      <w:pPr>
        <w:spacing w:after="120" w:line="276" w:lineRule="auto"/>
      </w:pPr>
      <w:r>
        <w:t>En 2025, SLBC affiche des performances financières exceptionnelles. Le chiffre d'affaires s'établit à 378,123 milliards FCFA, en croissance de +22,1% par rapport à 2024, tandis que le résultat net atteint 45,781 milliards FCFA, soit une progression de +113%. La marge nette s'améliore spectaculairement, passant de 6,9% à 12,1%, et le ROE atteint 23,46%, un niveau excellent. Le ROA de 13,48% témoigne d'une utilisation efficace des actifs. La structure financière est saine avec une autonomie financière de 57,5% et une capacité de remboursement de seulement 0,67 an. Le BFR de 61,587 milliards FCFA est positif, mais les délais clients (64 jours) et fournisseurs (77 jours) sont bien gérés. Les rapports trimestriels confirment cette dynamique : le T1 2026 affiche un CA de 93,46 milliards FCFA (+7,6%) et un résultat net de 16,26 milliards FCFA (+4,8%), suggérant une poursuite de la croissance. Le rapport S1 2025 (publié en 2025) montrait déjà une marge nette de 16,9%, supérieure à la moyenne annuelle, indiquant une accélération en fin d'année. La politique de dividende est très généreuse avec un taux de distribution de 76,5% en 2025, contre 93,5% en 2024, reflétant la confiance de la direction. Les perspectives 2026 restent favorables, portées par la croissance des volumes (+9,6% au T1 2026) et la maîtrise des coûts.</w:t>
      </w:r>
    </w:p>
    <w:p>
      <w:pPr>
        <w:spacing w:after="120" w:line="276" w:lineRule="auto" w:before="240"/>
      </w:pPr>
      <w:r>
        <w:rPr>
          <w:b/>
          <w:color w:val="003366"/>
          <w:sz w:val="24"/>
        </w:rPr>
        <w:t>**PARTIE 4 : CONCLUSION D'INVESTISSEMENT**</w:t>
      </w:r>
    </w:p>
    <w:p>
      <w:pPr>
        <w:spacing w:after="120" w:line="276" w:lineRule="auto"/>
      </w:pPr>
      <w:r>
        <w:t>La valorisation de SLBC (PER 13,4x, P/B 3,15x, EV/EBITDA 7,3x) est raisonnable, légèrement au-dessus de la moyenne BRVM, mais justifiée par la croissance exceptionnelle. Le comportement du cours sur 100 jours montre une tendance baissière modérée (-5,32%) avec une volatilité annualisée de 28,7%, mais une distribution stable des prix. Les signaux techniques sont mitigés, avec une tendance baissière (MM, MACD) contrebalancée par des conditions de survente (Stochastique), suggérant un possible rebond. Les fondamentaux sont extrêmement solides, avec une croissance à deux chiffres, une rentabilité en forte amélioration et une politique de dividende généreuse. Les prédictions IA (37 110 à 37 136 FCFA sur 10 jours) indiquent une stabilisation du cours autour des niveaux actuels, confirmant la fin probable de la phase de correction. La convergence entre la solidité fondamentale, la valorisation raisonnable et la stabilisation technique suggère une **recommandation d'ACHAT** pour les investisseurs à moyen et long terme, avec un niveau de confiance **Élevé** et un risque global **Moyen**. L'horizon d'investissement optimal est de 3 à 12 mois, permettant de bénéficier de la croissance continue et du rendement du dividende.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129.40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1,251 titres</w:t>
            </w:r>
          </w:p>
        </w:tc>
        <w:tc>
          <w:tcPr>
            <w:tcW w:type="dxa" w:w="2268"/>
            <w:shd w:fill="FFF2CC" w:val="clear"/>
          </w:tcPr>
          <w:p>
            <w:r>
              <w:rPr>
                <w:b/>
                <w:color w:val="503200"/>
                <w:sz w:val="16"/>
              </w:rPr>
              <w:t xml:space="preserve">Cours actuel : </w:t>
            </w:r>
            <w:r>
              <w:rPr>
                <w:color w:val="000000"/>
                <w:sz w:val="17"/>
              </w:rPr>
              <w:t>16,600 FCFA</w:t>
            </w:r>
          </w:p>
          <w:p>
            <w:r>
              <w:rPr>
                <w:b/>
                <w:color w:val="503200"/>
                <w:sz w:val="16"/>
              </w:rPr>
              <w:t xml:space="preserve">Var. 100 jours : </w:t>
            </w:r>
            <w:r>
              <w:rPr>
                <w:b/>
                <w:color w:val="007800"/>
                <w:sz w:val="17"/>
              </w:rPr>
              <w:t>+24.07%</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14.84% (Moyenne) — μ=14,205 FCFA, σ=2,107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β=-0.6436 (Contre-cyclique) — Cov=-0.000023, Var(idx)=0.000036, ρ=-0.158,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2026-08-12</w:t>
            </w:r>
          </w:p>
        </w:tc>
        <w:tc>
          <w:tcPr>
            <w:tcW w:type="dxa" w:w="1440"/>
            <w:shd w:fill="FAFAFA" w:val="clear"/>
          </w:tcPr>
          <w:p>
            <w:r>
              <w:rPr>
                <w:sz w:val="17"/>
              </w:rPr>
              <w:t>15,654</w:t>
            </w:r>
          </w:p>
        </w:tc>
        <w:tc>
          <w:tcPr>
            <w:tcW w:type="dxa" w:w="1440"/>
            <w:shd w:fill="FAFAFA" w:val="clear"/>
          </w:tcPr>
          <w:p>
            <w:r>
              <w:rPr>
                <w:b/>
                <w:sz w:val="17"/>
              </w:rPr>
              <w:t>16,385</w:t>
            </w:r>
          </w:p>
        </w:tc>
        <w:tc>
          <w:tcPr>
            <w:tcW w:type="dxa" w:w="1440"/>
            <w:shd w:fill="FAFAFA" w:val="clear"/>
          </w:tcPr>
          <w:p>
            <w:r>
              <w:rPr>
                <w:sz w:val="17"/>
              </w:rPr>
              <w:t>17,115</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2026-08-13</w:t>
            </w:r>
          </w:p>
        </w:tc>
        <w:tc>
          <w:tcPr>
            <w:tcW w:type="dxa" w:w="1440"/>
            <w:shd w:fill="FAFAFA" w:val="clear"/>
          </w:tcPr>
          <w:p>
            <w:r>
              <w:rPr>
                <w:sz w:val="17"/>
              </w:rPr>
              <w:t>15,300</w:t>
            </w:r>
          </w:p>
        </w:tc>
        <w:tc>
          <w:tcPr>
            <w:tcW w:type="dxa" w:w="1440"/>
            <w:shd w:fill="FAFAFA" w:val="clear"/>
          </w:tcPr>
          <w:p>
            <w:r>
              <w:rPr>
                <w:b/>
                <w:sz w:val="17"/>
              </w:rPr>
              <w:t>16,329</w:t>
            </w:r>
          </w:p>
        </w:tc>
        <w:tc>
          <w:tcPr>
            <w:tcW w:type="dxa" w:w="1440"/>
            <w:shd w:fill="FAFAFA" w:val="clear"/>
          </w:tcPr>
          <w:p>
            <w:r>
              <w:rPr>
                <w:sz w:val="17"/>
              </w:rPr>
              <w:t>17,359</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2026-08-14</w:t>
            </w:r>
          </w:p>
        </w:tc>
        <w:tc>
          <w:tcPr>
            <w:tcW w:type="dxa" w:w="1440"/>
            <w:shd w:fill="FFDCE0" w:val="clear"/>
          </w:tcPr>
          <w:p>
            <w:r>
              <w:rPr>
                <w:sz w:val="17"/>
              </w:rPr>
              <w:t>15,009</w:t>
            </w:r>
          </w:p>
        </w:tc>
        <w:tc>
          <w:tcPr>
            <w:tcW w:type="dxa" w:w="1440"/>
            <w:shd w:fill="FFDCE0" w:val="clear"/>
          </w:tcPr>
          <w:p>
            <w:r>
              <w:rPr>
                <w:b/>
                <w:sz w:val="17"/>
              </w:rPr>
              <w:t>16,264</w:t>
            </w:r>
          </w:p>
        </w:tc>
        <w:tc>
          <w:tcPr>
            <w:tcW w:type="dxa" w:w="1440"/>
            <w:shd w:fill="FFDCE0" w:val="clear"/>
          </w:tcPr>
          <w:p>
            <w:r>
              <w:rPr>
                <w:sz w:val="17"/>
              </w:rPr>
              <w:t>17,520</w:t>
            </w:r>
          </w:p>
        </w:tc>
        <w:tc>
          <w:tcPr>
            <w:tcW w:type="dxa" w:w="1440"/>
            <w:shd w:fill="FFDCE0"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14,760</w:t>
            </w:r>
          </w:p>
        </w:tc>
        <w:tc>
          <w:tcPr>
            <w:tcW w:type="dxa" w:w="1440"/>
            <w:shd w:fill="FFDCE0" w:val="clear"/>
          </w:tcPr>
          <w:p>
            <w:r>
              <w:rPr>
                <w:b/>
                <w:sz w:val="17"/>
              </w:rPr>
              <w:t>16,205</w:t>
            </w:r>
          </w:p>
        </w:tc>
        <w:tc>
          <w:tcPr>
            <w:tcW w:type="dxa" w:w="1440"/>
            <w:shd w:fill="FFDCE0" w:val="clear"/>
          </w:tcPr>
          <w:p>
            <w:r>
              <w:rPr>
                <w:sz w:val="17"/>
              </w:rPr>
              <w:t>17,649</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14,538</w:t>
            </w:r>
          </w:p>
        </w:tc>
        <w:tc>
          <w:tcPr>
            <w:tcW w:type="dxa" w:w="1440"/>
            <w:shd w:fill="FFDCE0" w:val="clear"/>
          </w:tcPr>
          <w:p>
            <w:r>
              <w:rPr>
                <w:b/>
                <w:sz w:val="17"/>
              </w:rPr>
              <w:t>16,148</w:t>
            </w:r>
          </w:p>
        </w:tc>
        <w:tc>
          <w:tcPr>
            <w:tcW w:type="dxa" w:w="1440"/>
            <w:shd w:fill="FFDCE0" w:val="clear"/>
          </w:tcPr>
          <w:p>
            <w:r>
              <w:rPr>
                <w:sz w:val="17"/>
              </w:rPr>
              <w:t>17,757</w:t>
            </w:r>
          </w:p>
        </w:tc>
        <w:tc>
          <w:tcPr>
            <w:tcW w:type="dxa" w:w="1440"/>
            <w:shd w:fill="FFDCE0" w:val="clear"/>
          </w:tcPr>
          <w:p>
            <w:r>
              <w:rPr>
                <w:b/>
                <w:color w:val="C00000"/>
                <w:sz w:val="17"/>
              </w:rPr>
              <w:t>-2.7%</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14,335</w:t>
            </w:r>
          </w:p>
        </w:tc>
        <w:tc>
          <w:tcPr>
            <w:tcW w:type="dxa" w:w="1440"/>
            <w:shd w:fill="FFDCE0" w:val="clear"/>
          </w:tcPr>
          <w:p>
            <w:r>
              <w:rPr>
                <w:b/>
                <w:sz w:val="17"/>
              </w:rPr>
              <w:t>16,092</w:t>
            </w:r>
          </w:p>
        </w:tc>
        <w:tc>
          <w:tcPr>
            <w:tcW w:type="dxa" w:w="1440"/>
            <w:shd w:fill="FFDCE0" w:val="clear"/>
          </w:tcPr>
          <w:p>
            <w:r>
              <w:rPr>
                <w:sz w:val="17"/>
              </w:rPr>
              <w:t>17,849</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14,146</w:t>
            </w:r>
          </w:p>
        </w:tc>
        <w:tc>
          <w:tcPr>
            <w:tcW w:type="dxa" w:w="1440"/>
            <w:shd w:fill="FFDCE0" w:val="clear"/>
          </w:tcPr>
          <w:p>
            <w:r>
              <w:rPr>
                <w:b/>
                <w:sz w:val="17"/>
              </w:rPr>
              <w:t>16,037</w:t>
            </w:r>
          </w:p>
        </w:tc>
        <w:tc>
          <w:tcPr>
            <w:tcW w:type="dxa" w:w="1440"/>
            <w:shd w:fill="FFDCE0" w:val="clear"/>
          </w:tcPr>
          <w:p>
            <w:r>
              <w:rPr>
                <w:sz w:val="17"/>
              </w:rPr>
              <w:t>17,928</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13,969</w:t>
            </w:r>
          </w:p>
        </w:tc>
        <w:tc>
          <w:tcPr>
            <w:tcW w:type="dxa" w:w="1440"/>
            <w:shd w:fill="FFDCE0" w:val="clear"/>
          </w:tcPr>
          <w:p>
            <w:r>
              <w:rPr>
                <w:b/>
                <w:sz w:val="17"/>
              </w:rPr>
              <w:t>15,984</w:t>
            </w:r>
          </w:p>
        </w:tc>
        <w:tc>
          <w:tcPr>
            <w:tcW w:type="dxa" w:w="1440"/>
            <w:shd w:fill="FFDCE0" w:val="clear"/>
          </w:tcPr>
          <w:p>
            <w:r>
              <w:rPr>
                <w:sz w:val="17"/>
              </w:rPr>
              <w:t>17,998</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13,800</w:t>
            </w:r>
          </w:p>
        </w:tc>
        <w:tc>
          <w:tcPr>
            <w:tcW w:type="dxa" w:w="1440"/>
            <w:shd w:fill="FFDCE0" w:val="clear"/>
          </w:tcPr>
          <w:p>
            <w:r>
              <w:rPr>
                <w:b/>
                <w:sz w:val="17"/>
              </w:rPr>
              <w:t>15,930</w:t>
            </w:r>
          </w:p>
        </w:tc>
        <w:tc>
          <w:tcPr>
            <w:tcW w:type="dxa" w:w="1440"/>
            <w:shd w:fill="FFDCE0" w:val="clear"/>
          </w:tcPr>
          <w:p>
            <w:r>
              <w:rPr>
                <w:sz w:val="17"/>
              </w:rPr>
              <w:t>18,060</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13,640</w:t>
            </w:r>
          </w:p>
        </w:tc>
        <w:tc>
          <w:tcPr>
            <w:tcW w:type="dxa" w:w="1440"/>
            <w:shd w:fill="FFDCE0" w:val="clear"/>
          </w:tcPr>
          <w:p>
            <w:r>
              <w:rPr>
                <w:b/>
                <w:sz w:val="17"/>
              </w:rPr>
              <w:t>15,878</w:t>
            </w:r>
          </w:p>
        </w:tc>
        <w:tc>
          <w:tcPr>
            <w:tcW w:type="dxa" w:w="1440"/>
            <w:shd w:fill="FFDCE0" w:val="clear"/>
          </w:tcPr>
          <w:p>
            <w:r>
              <w:rPr>
                <w:sz w:val="17"/>
              </w:rPr>
              <w:t>18,116</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129,40 milliards FCFA, ce qui positionne la société parmi les valeurs moyennes du marché BRVM, avec un poids significatif dans le secteur industriel. Avec un BPA de 1 677 FCFA, chaque action génère un bénéfice confortable pour l'investisseur. Le PER de 9,9x se situe dans la fourchette moyenne du marché BRVM (8-12x), indiquant que le titre n'est ni particulièrement cher ni décoté par rapport à ses bénéfices. Le P/B de 3,02x reflète une prime de croissance accordée par le marché, les investisseurs valorisant la solidité des capitaux propres (42,913 Mds FCFA) et le potentiel de rendement. Enfin, l'EV/EBITDA de 6,2x, dans la zone raisonnable de 5-10x, suggère que la valeur totale de l'entreprise reste attractive par rapport à sa capacité opérationnelle de génération de cash.</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affiche une progression remarquable de +24,07%, avec une dernière séance en hausse de +0,42% à 16 600 FCFA. Le titre a évolué dans une fourchette de 11 450 FCFA (plus bas) à 17 735 FCFA (plus haut), démontrant une amplitude de trading de 54,9%. La moyenne de 14 205 FCFA est supérieure à la médiane de 13 390 FCFA, indiquant une distribution légèrement asymétrique avec des valeurs extrêmes hautes tirant la moyenne vers le haut. L'écart-type de 2 118 FCFA (CV=14,9%) révèle une dispersion modérée des cours autour de la moyenne. Le kurtosis de -1,541 (platykurtique) suggère une distribution aplatie avec peu de pics extrêmes, tandis que le skewness de 0,154 confirme une symétrie quasi parfaite. La volatilité annualisée de 38,5% classe SMBC comme un titre à forte volatilité, ce qui implique des fluctuations importantes mais aussi des opportunités de rendement supérieur.</w:t>
      </w:r>
    </w:p>
    <w:p>
      <w:pPr>
        <w:spacing w:after="120" w:line="276" w:lineRule="auto" w:before="240"/>
      </w:pPr>
      <w:r>
        <w:rPr>
          <w:b/>
          <w:color w:val="003366"/>
          <w:sz w:val="24"/>
        </w:rPr>
        <w:t>**PARTIE 2 : ANALYSE TECHNIQUE DÉTAILLÉE**</w:t>
      </w:r>
    </w:p>
    <w:p>
      <w:pPr>
        <w:spacing w:after="120" w:line="276" w:lineRule="auto"/>
      </w:pPr>
      <w:r>
        <w:t>**Moyennes Mobiles** : Les MM20 (16 075 FCFA) et MM50 (16 120,5 FCFA) sont toutes deux inférieures au cours actuel de 16 600 FCFA, indiquant une tendance haussière de moyen terme. Cependant, la décision de "Vente" suggère que le titre pourrait avoir atteint un sommet temporaire et que les moyennes mobiles pourraient agir comme support en cas de repli. La convergence des deux moyennes indique une consolidation après la forte hausse récente.</w:t>
      </w:r>
    </w:p>
    <w:p>
      <w:pPr>
        <w:spacing w:after="120" w:line="276" w:lineRule="auto"/>
      </w:pPr>
      <w:r>
        <w:t>**Bandes de Bollinger** : Le cours à 16 600 FCFA se positionne dans la partie supérieure des bandes (borne supérieure à 17 011 FCFA, borne inférieure à 15 139 FCFA), reflétant une pression acheteuse soutenue. La décision "Neutre" indique que le titre n'est pas encore en zone de surachat extrême, mais la proximité de la borne supérieure suggère une possible résistance à court terme.</w:t>
      </w:r>
    </w:p>
    <w:p>
      <w:pPr>
        <w:spacing w:after="120" w:line="276" w:lineRule="auto"/>
      </w:pPr>
      <w:r>
        <w:t>**MACD** : Avec une valeur de 58,073 et un signal à 12,856, le MACD est nettement positif et au-dessus de son signal, confirmant un momentum haussier solide. La décision "Achat" est justifiée par cette divergence positive qui indique que la dynamique haussière reste intacte, avec un écart croissant entre le MACD et son signal suggérant une accélération du mouvement.</w:t>
      </w:r>
    </w:p>
    <w:p>
      <w:pPr>
        <w:spacing w:after="120" w:line="276" w:lineRule="auto"/>
      </w:pPr>
      <w:r>
        <w:t>**RSI** : À 55,701, le RSI se situe en zone neutre (30-70), indiquant un équilibre entre pression acheteuse et vendeuse. Cette valeur suggère que le titre dispose encore de marge avant d'atteindre une zone de surachat (au-delà de 70), ce qui laisse présager un potentiel de hausse supplémentaire sans risque immédiat de correction.</w:t>
      </w:r>
    </w:p>
    <w:p>
      <w:pPr>
        <w:spacing w:after="120" w:line="276" w:lineRule="auto"/>
      </w:pPr>
      <w:r>
        <w:t>**Stochastique** : Le %K à 95,671 et %D à 92,208 sont tous deux en zone de surachat extrême (au-dessus de 80). La décision "Vente" est justifiée par cette situation, indiquant que le titre est temporairement survendu et qu'une correction technique est probable à très court terme.</w:t>
      </w:r>
    </w:p>
    <w:p>
      <w:pPr>
        <w:spacing w:after="120" w:line="276" w:lineRule="auto"/>
      </w:pPr>
      <w:r>
        <w:t>**Conclusion technique** : Les indicateurs sont partagés entre un momentum haussier confirmé (MACD positif, RSI neutre) et des signaux de surachat à court terme (Stochastique très élevé, proximité de la borne supérieure de Bollinger). La tendance de fond reste haussière, mais une consolidation technique est probable avant la poursuite du mouvement. Les moyennes mobiles et le MACD soutiennent la tendance, tandis que le stochastique appelle à la prudence à très court terme.</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(229,061 milliards FCFA), mais avec une amélioration spectaculaire de la rentabilité : le résultat net progresse de +50,3% à 13,075 milliards FCFA, portant la marge nette à 6,3% (contre 3,8% en 2024). Le ROE atteint 30,47%, un niveau excellent (&gt;15%), et le ROA de 7,26% témoigne d'une bonne utilisation des actifs. L'EBE s'améliore de +41,8% à 18,480 milliards FCFA, démontrant une excellente maîtrise des coûts opérationnels. La trésorerie nette est très solide à 23,988 milliards FCFA, avec un free cash flow de 20,642 milliards FCFA. Le BFR de 1,693 milliards FCFA reste maîtrisé, mais le délai clients de 193,75 jours est élevé, constituant un risque de trésorerie. L'endettement reste modéré avec un ratio de capacité de remboursement de 0,68 an. Les rapports trimestriels 2025 (T1, S1, 9M) confirment la tendance : malgré une baisse du CA (-22% au T1, -23% au S1, -14% sur 9M), le résultat net progresse (+6% sur 9M), grâce à l'amélioration des marges de raffinage. La recommandation fondamentale est positive, avec une solidité financière renforcée et des perspectives de croissance soutenues par les projets d'infrastructures en Afrique de l'Ouest.</w:t>
      </w:r>
    </w:p>
    <w:p>
      <w:pPr>
        <w:spacing w:after="120" w:line="276" w:lineRule="auto" w:before="240"/>
      </w:pPr>
      <w:r>
        <w:rPr>
          <w:b/>
          <w:color w:val="003366"/>
          <w:sz w:val="24"/>
        </w:rPr>
        <w:t>**PARTIE 4 : CONCLUSION D'INVESTISSEMENT**</w:t>
      </w:r>
    </w:p>
    <w:p>
      <w:pPr>
        <w:spacing w:after="120" w:line="276" w:lineRule="auto"/>
      </w:pPr>
      <w:r>
        <w:t>La valorisation de SMBC (PER 9,9x, P/B 3,02x, EV/EBITDA 6,2x) indique une sous-évaluation relative par rapport au potentiel de croissance, avec des ratios dans la fourchette raisonnable du marché BRVM. Le comportement du cours sur 100 jours (+24,07%) démontre une tendance haussière soutenue, avec une volatilité élevée (38,5%) qui offre des opportunités mais nécessite une gestion active. Les signaux techniques sont mitigés : le MACD et les moyennes mobiles soutiennent la tendance haussière, tandis que le stochastique en surachat suggère une consolidation à court terme. Les fondamentaux sont excellents avec un ROE de 30,47%, une trésorerie de 23,988 milliards FCFA et une amélioration spectaculaire de la rentabilité malgré un environnement difficile. Les prédictions IA (16 385 à 16 148 FCFA sur 10 jours) indiquent une légère correction, confirmant les signaux techniques de surachat. La convergence entre la valorisation attractive, les fondamentaux solides et la tendance haussière, malgré des signaux techniques de court terme mitigés, justifie une recommandation **ACHAT** avec un niveau de confiance **Élevé**. Le risque global est **Moyen**, principalement lié à la volatilité du secteur pétrolier et aux délais clients élevés. L'horizon d'investissement optimal est le **moyen terme (3-12 mois)**, permettant de bénéficier de la poursuite de l'amélioration opérationnelle et de la reprise attendue du chiffre d'affaires.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9,281 titres</w:t>
            </w:r>
          </w:p>
        </w:tc>
        <w:tc>
          <w:tcPr>
            <w:tcW w:type="dxa" w:w="2268"/>
            <w:shd w:fill="FFF2CC" w:val="clear"/>
          </w:tcPr>
          <w:p>
            <w:r>
              <w:rPr>
                <w:b/>
                <w:color w:val="503200"/>
                <w:sz w:val="16"/>
              </w:rPr>
              <w:t xml:space="preserve">Cours actuel : </w:t>
            </w:r>
            <w:r>
              <w:rPr>
                <w:color w:val="000000"/>
                <w:sz w:val="17"/>
              </w:rPr>
              <w:t>32,000 FCFA</w:t>
            </w:r>
          </w:p>
          <w:p>
            <w:r>
              <w:rPr>
                <w:b/>
                <w:color w:val="503200"/>
                <w:sz w:val="16"/>
              </w:rPr>
              <w:t xml:space="preserve">Var. 100 jours : </w:t>
            </w:r>
            <w:r>
              <w:rPr>
                <w:b/>
                <w:color w:val="007800"/>
                <w:sz w:val="17"/>
              </w:rPr>
              <w:t>+10.34%</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4.27% (Faible) — μ=29,304 FCFA, σ=1,251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β=1.2804 (Agressif) — Cov=0.000047, Var(idx)=0.000036, ρ=0.473,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9,281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2026-08-12</w:t>
            </w:r>
          </w:p>
        </w:tc>
        <w:tc>
          <w:tcPr>
            <w:tcW w:type="dxa" w:w="1440"/>
            <w:shd w:fill="FAFAFA" w:val="clear"/>
          </w:tcPr>
          <w:p>
            <w:r>
              <w:rPr>
                <w:sz w:val="17"/>
              </w:rPr>
              <w:t>30,559</w:t>
            </w:r>
          </w:p>
        </w:tc>
        <w:tc>
          <w:tcPr>
            <w:tcW w:type="dxa" w:w="1440"/>
            <w:shd w:fill="FAFAFA" w:val="clear"/>
          </w:tcPr>
          <w:p>
            <w:r>
              <w:rPr>
                <w:b/>
                <w:sz w:val="17"/>
              </w:rPr>
              <w:t>31,380</w:t>
            </w:r>
          </w:p>
        </w:tc>
        <w:tc>
          <w:tcPr>
            <w:tcW w:type="dxa" w:w="1440"/>
            <w:shd w:fill="FAFAFA" w:val="clear"/>
          </w:tcPr>
          <w:p>
            <w:r>
              <w:rPr>
                <w:sz w:val="17"/>
              </w:rPr>
              <w:t>32,202</w:t>
            </w:r>
          </w:p>
        </w:tc>
        <w:tc>
          <w:tcPr>
            <w:tcW w:type="dxa" w:w="1440"/>
            <w:shd w:fill="FAFAFA" w:val="clear"/>
          </w:tcPr>
          <w:p>
            <w:r>
              <w:rPr>
                <w:b/>
                <w:color w:val="C00000"/>
                <w:sz w:val="17"/>
              </w:rPr>
              <w:t>-1.9%</w:t>
            </w:r>
          </w:p>
        </w:tc>
      </w:tr>
      <w:tr>
        <w:tc>
          <w:tcPr>
            <w:tcW w:type="dxa" w:w="1440"/>
            <w:shd w:fill="FAFAFA" w:val="clear"/>
          </w:tcPr>
          <w:p>
            <w:r>
              <w:rPr>
                <w:sz w:val="17"/>
              </w:rPr>
              <w:t>J+2  Moyenne</w:t>
            </w:r>
          </w:p>
        </w:tc>
        <w:tc>
          <w:tcPr>
            <w:tcW w:type="dxa" w:w="1440"/>
            <w:shd w:fill="FAFAFA" w:val="clear"/>
          </w:tcPr>
          <w:p>
            <w:r>
              <w:rPr>
                <w:sz w:val="17"/>
              </w:rPr>
              <w:t>2026-08-13</w:t>
            </w:r>
          </w:p>
        </w:tc>
        <w:tc>
          <w:tcPr>
            <w:tcW w:type="dxa" w:w="1440"/>
            <w:shd w:fill="FAFAFA" w:val="clear"/>
          </w:tcPr>
          <w:p>
            <w:r>
              <w:rPr>
                <w:sz w:val="17"/>
              </w:rPr>
              <w:t>30,238</w:t>
            </w:r>
          </w:p>
        </w:tc>
        <w:tc>
          <w:tcPr>
            <w:tcW w:type="dxa" w:w="1440"/>
            <w:shd w:fill="FAFAFA" w:val="clear"/>
          </w:tcPr>
          <w:p>
            <w:r>
              <w:rPr>
                <w:b/>
                <w:sz w:val="17"/>
              </w:rPr>
              <w:t>31,400</w:t>
            </w:r>
          </w:p>
        </w:tc>
        <w:tc>
          <w:tcPr>
            <w:tcW w:type="dxa" w:w="1440"/>
            <w:shd w:fill="FAFAFA" w:val="clear"/>
          </w:tcPr>
          <w:p>
            <w:r>
              <w:rPr>
                <w:sz w:val="17"/>
              </w:rPr>
              <w:t>32,562</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29,930</w:t>
            </w:r>
          </w:p>
        </w:tc>
        <w:tc>
          <w:tcPr>
            <w:tcW w:type="dxa" w:w="1440"/>
            <w:shd w:fill="FFDCE0" w:val="clear"/>
          </w:tcPr>
          <w:p>
            <w:r>
              <w:rPr>
                <w:b/>
                <w:sz w:val="17"/>
              </w:rPr>
              <w:t>31,351</w:t>
            </w:r>
          </w:p>
        </w:tc>
        <w:tc>
          <w:tcPr>
            <w:tcW w:type="dxa" w:w="1440"/>
            <w:shd w:fill="FFDCE0" w:val="clear"/>
          </w:tcPr>
          <w:p>
            <w:r>
              <w:rPr>
                <w:sz w:val="17"/>
              </w:rPr>
              <w:t>32,772</w:t>
            </w:r>
          </w:p>
        </w:tc>
        <w:tc>
          <w:tcPr>
            <w:tcW w:type="dxa" w:w="1440"/>
            <w:shd w:fill="FFDCE0"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29,663</w:t>
            </w:r>
          </w:p>
        </w:tc>
        <w:tc>
          <w:tcPr>
            <w:tcW w:type="dxa" w:w="1440"/>
            <w:shd w:fill="FFDCE0" w:val="clear"/>
          </w:tcPr>
          <w:p>
            <w:r>
              <w:rPr>
                <w:b/>
                <w:sz w:val="17"/>
              </w:rPr>
              <w:t>31,301</w:t>
            </w:r>
          </w:p>
        </w:tc>
        <w:tc>
          <w:tcPr>
            <w:tcW w:type="dxa" w:w="1440"/>
            <w:shd w:fill="FFDCE0" w:val="clear"/>
          </w:tcPr>
          <w:p>
            <w:r>
              <w:rPr>
                <w:sz w:val="17"/>
              </w:rPr>
              <w:t>32,939</w:t>
            </w:r>
          </w:p>
        </w:tc>
        <w:tc>
          <w:tcPr>
            <w:tcW w:type="dxa" w:w="1440"/>
            <w:shd w:fill="FFDCE0" w:val="clear"/>
          </w:tcPr>
          <w:p>
            <w:r>
              <w:rPr>
                <w:b/>
                <w:color w:val="C00000"/>
                <w:sz w:val="17"/>
              </w:rPr>
              <w:t>-2.2%</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29,429</w:t>
            </w:r>
          </w:p>
        </w:tc>
        <w:tc>
          <w:tcPr>
            <w:tcW w:type="dxa" w:w="1440"/>
            <w:shd w:fill="FFDCE0" w:val="clear"/>
          </w:tcPr>
          <w:p>
            <w:r>
              <w:rPr>
                <w:b/>
                <w:sz w:val="17"/>
              </w:rPr>
              <w:t>31,258</w:t>
            </w:r>
          </w:p>
        </w:tc>
        <w:tc>
          <w:tcPr>
            <w:tcW w:type="dxa" w:w="1440"/>
            <w:shd w:fill="FFDCE0" w:val="clear"/>
          </w:tcPr>
          <w:p>
            <w:r>
              <w:rPr>
                <w:sz w:val="17"/>
              </w:rPr>
              <w:t>33,087</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29,220</w:t>
            </w:r>
          </w:p>
        </w:tc>
        <w:tc>
          <w:tcPr>
            <w:tcW w:type="dxa" w:w="1440"/>
            <w:shd w:fill="FFDCE0" w:val="clear"/>
          </w:tcPr>
          <w:p>
            <w:r>
              <w:rPr>
                <w:b/>
                <w:sz w:val="17"/>
              </w:rPr>
              <w:t>31,221</w:t>
            </w:r>
          </w:p>
        </w:tc>
        <w:tc>
          <w:tcPr>
            <w:tcW w:type="dxa" w:w="1440"/>
            <w:shd w:fill="FFDCE0" w:val="clear"/>
          </w:tcPr>
          <w:p>
            <w:r>
              <w:rPr>
                <w:sz w:val="17"/>
              </w:rPr>
              <w:t>33,222</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29,026</w:t>
            </w:r>
          </w:p>
        </w:tc>
        <w:tc>
          <w:tcPr>
            <w:tcW w:type="dxa" w:w="1440"/>
            <w:shd w:fill="FFDCE0" w:val="clear"/>
          </w:tcPr>
          <w:p>
            <w:r>
              <w:rPr>
                <w:b/>
                <w:sz w:val="17"/>
              </w:rPr>
              <w:t>31,185</w:t>
            </w:r>
          </w:p>
        </w:tc>
        <w:tc>
          <w:tcPr>
            <w:tcW w:type="dxa" w:w="1440"/>
            <w:shd w:fill="FFDCE0" w:val="clear"/>
          </w:tcPr>
          <w:p>
            <w:r>
              <w:rPr>
                <w:sz w:val="17"/>
              </w:rPr>
              <w:t>33,344</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28,846</w:t>
            </w:r>
          </w:p>
        </w:tc>
        <w:tc>
          <w:tcPr>
            <w:tcW w:type="dxa" w:w="1440"/>
            <w:shd w:fill="FFDCE0" w:val="clear"/>
          </w:tcPr>
          <w:p>
            <w:r>
              <w:rPr>
                <w:b/>
                <w:sz w:val="17"/>
              </w:rPr>
              <w:t>31,151</w:t>
            </w:r>
          </w:p>
        </w:tc>
        <w:tc>
          <w:tcPr>
            <w:tcW w:type="dxa" w:w="1440"/>
            <w:shd w:fill="FFDCE0" w:val="clear"/>
          </w:tcPr>
          <w:p>
            <w:r>
              <w:rPr>
                <w:sz w:val="17"/>
              </w:rPr>
              <w:t>33,456</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28,675</w:t>
            </w:r>
          </w:p>
        </w:tc>
        <w:tc>
          <w:tcPr>
            <w:tcW w:type="dxa" w:w="1440"/>
            <w:shd w:fill="FFDCE0" w:val="clear"/>
          </w:tcPr>
          <w:p>
            <w:r>
              <w:rPr>
                <w:b/>
                <w:sz w:val="17"/>
              </w:rPr>
              <w:t>31,117</w:t>
            </w:r>
          </w:p>
        </w:tc>
        <w:tc>
          <w:tcPr>
            <w:tcW w:type="dxa" w:w="1440"/>
            <w:shd w:fill="FFDCE0" w:val="clear"/>
          </w:tcPr>
          <w:p>
            <w:r>
              <w:rPr>
                <w:sz w:val="17"/>
              </w:rPr>
              <w:t>33,560</w:t>
            </w:r>
          </w:p>
        </w:tc>
        <w:tc>
          <w:tcPr>
            <w:tcW w:type="dxa" w:w="1440"/>
            <w:shd w:fill="FFDCE0" w:val="clear"/>
          </w:tcPr>
          <w:p>
            <w:r>
              <w:rPr>
                <w:b/>
                <w:color w:val="C00000"/>
                <w:sz w:val="17"/>
              </w:rPr>
              <w:t>-2.8%</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28,512</w:t>
            </w:r>
          </w:p>
        </w:tc>
        <w:tc>
          <w:tcPr>
            <w:tcW w:type="dxa" w:w="1440"/>
            <w:shd w:fill="FFDCE0" w:val="clear"/>
          </w:tcPr>
          <w:p>
            <w:r>
              <w:rPr>
                <w:b/>
                <w:sz w:val="17"/>
              </w:rPr>
              <w:t>31,084</w:t>
            </w:r>
          </w:p>
        </w:tc>
        <w:tc>
          <w:tcPr>
            <w:tcW w:type="dxa" w:w="1440"/>
            <w:shd w:fill="FFDCE0" w:val="clear"/>
          </w:tcPr>
          <w:p>
            <w:r>
              <w:rPr>
                <w:sz w:val="17"/>
              </w:rPr>
              <w:t>33,656</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11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SNTS s'établit à 3 200 milliards FCFA, ce qui en fait l'une des toutes premières capitalisations de la BRVM, représentant un poids considérable dans l'indice régional. Avec un BPA de 4 136 FCFA, l'action se négocie à un PER de 7,7x, nettement inférieur à la moyenne historique de la place (8-12x), ce qui suggère une sous-évaluation relative du titre par rapport à ses bénéfices. Le P/B de 2,29x indique que le marché valorise la société à plus du double de sa valeur comptable, une prime justifiée par la forte rentabilité des capitaux propres (ROE de 29,6%). Enfin, l'EV/EBITDA de 3,3x est particulièrement attractif, signalant que la valeur d'entreprise est très faible par rapport à sa capacité opérationnelle de génération de cash, renforçant la perception d'un titre bon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totale de +10,34%, avec une dernière séance stable (0,00%). Le cours a évolué dans un range de 27 160 FCFA (plus bas) à 32 500 FCFA (plus haut), démontrant une tendance haussière soutenue. La moyenne du cours sur la période (29 304 FCFA) est supérieure à la médiane (28 875 FCFA), et le skewness positif de 1,016 confirme une asymétrie avec des journées de hausse plus marquées que les baisses. L'écart-type de 1 258 FCFA (CV de 4,3%) indique une dispersion modérée autour de la moyenne, tandis que le kurtosis de -0,245 (mésokurtique) suggère une distribution proche de la normale, sans risque de pics extrêmes. La volatilité annualisée de 25,6% classe le titre dans la catégorie modérée (15-30%), reflétant une stabilité relative tout en offrant un potentiel de rendement intéressant.</w:t>
      </w:r>
    </w:p>
    <w:p>
      <w:pPr>
        <w:spacing w:after="120" w:line="276" w:lineRule="auto"/>
      </w:pPr>
      <w:r>
        <w:t>---</w:t>
      </w:r>
    </w:p>
    <w:p>
      <w:pPr>
        <w:spacing w:after="120" w:line="276" w:lineRule="auto"/>
      </w:pPr>
      <w:r>
        <w:t>### PARTIE 2 : ANALYSE TECHNIQUE DÉTAILLÉE</w:t>
      </w:r>
    </w:p>
    <w:p>
      <w:pPr>
        <w:spacing w:after="120" w:line="276" w:lineRule="auto"/>
      </w:pPr>
      <w:r>
        <w:t>**Moyennes Mobiles :** La MM20 (31 445,75 FCFA) et la MM50 (29 989,9 FCFA) sont toutes deux inférieures au cours actuel de 32 000 FCFA, avec une MM20 au-dessus de la MM50, formant une configuration haussière classique. Le signal d'achat est justifié par cette tendance positive et le croisement des moyennes mobiles.</w:t>
      </w:r>
    </w:p>
    <w:p>
      <w:pPr>
        <w:spacing w:after="120" w:line="276" w:lineRule="auto"/>
      </w:pPr>
      <w:r>
        <w:t>**Bandes de Bollinger :** Le cours se positionne près de la borne supérieure (32 542,76 FCFA), indiquant une pression acheteuse soutenue mais un potentiel de correction à court terme. La décision neutre reflète l'absence de cassure décisive, avec une volatilité contenue dans les bandes.</w:t>
      </w:r>
    </w:p>
    <w:p>
      <w:pPr>
        <w:spacing w:after="120" w:line="276" w:lineRule="auto"/>
      </w:pPr>
      <w:r>
        <w:t>**MACD :** La valeur du MACD (354,27) est légèrement inférieure à son signal (393,48), suggérant un affaiblissement du momentum haussier à très court terme. La décision de vente est prudente, signalant une possible consolidation avant une reprise.</w:t>
      </w:r>
    </w:p>
    <w:p>
      <w:pPr>
        <w:spacing w:after="120" w:line="276" w:lineRule="auto"/>
      </w:pPr>
      <w:r>
        <w:t>**RSI :** À 55,56, le RSI se situe en zone neutre, sans surachat ni survente. Cette valeur indique un équilibre entre acheteurs et vendeurs, avec une marge de progression avant d'atteindre des niveaux extrêmes.</w:t>
      </w:r>
    </w:p>
    <w:p>
      <w:pPr>
        <w:spacing w:after="120" w:line="276" w:lineRule="auto"/>
      </w:pPr>
      <w:r>
        <w:t>**Stochastique :** Le %K (100,0) et le %D (81,48) sont en zone de surachat, avec un %K dépassant largement le %D. La décision de vente reflète un risque de retournement technique imminent.</w:t>
      </w:r>
    </w:p>
    <w:p>
      <w:pPr>
        <w:spacing w:after="120" w:line="276" w:lineRule="auto"/>
      </w:pPr>
      <w:r>
        <w:t>**Conclusion technique :** Les indicateurs sont mitigés : les moyennes mobiles et le RSI soutiennent une tendance haussière, tandis que le MACD et le stochastique signalent un essoufflement à court terme. La prudence est recommandée, avec une possible consolidation avant une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SNTS a réalisé un chiffre d'affaires consolidé de 1 923,1 milliards FCFA, en hausse de +8,3% par rapport à 2024, et un résultat net de 413,6 milliards FCFA (+5,1%). La marge nette s'établit à 21,5%, avec un ROE de 29,6% et un ROA de 12,6%, reflétant une excellente rentabilité. Le BFR négatif de -284,9 milliards FCFA est un signe très favorable de gestion de trésorerie, avec un délai fournisseurs de 201 jours contre 46 jours pour les clients. La capacité d'autofinancement (665 milliards FCFA) couvre largement les investissements (-273,5 milliards), générant un free cash flow de 408 milliards FCFA. Selon le rapport annuel 2025 (publié en février 2026), la croissance est portée par la data mobile (+8,6% de clients) et le fixe haut débit (+26,2%). Le rapport S1 2026 (publié en juillet 2026) confirme cette dynamique avec un CA de 1 049,8 milliards FCFA (+9,3%) et un résultat net de 230 milliards FCFA (+10,5%), laissant estimer un exercice 2026 supérieur à 2025. La notation AAA (wu) de GCR Ratings renforce la solidité financière du groupe.</w:t>
      </w:r>
    </w:p>
    <w:p>
      <w:pPr>
        <w:spacing w:after="120" w:line="276" w:lineRule="auto"/>
      </w:pPr>
      <w:r>
        <w:t>---</w:t>
      </w:r>
    </w:p>
    <w:p>
      <w:pPr>
        <w:spacing w:after="120" w:line="276" w:lineRule="auto"/>
      </w:pPr>
      <w:r>
        <w:t>### PARTIE 4 : CONCLUSION D'INVESTISSEMENT</w:t>
      </w:r>
    </w:p>
    <w:p>
      <w:pPr>
        <w:spacing w:after="120" w:line="276" w:lineRule="auto"/>
      </w:pPr>
      <w:r>
        <w:t>SNTS présente une valorisation attractive (PER 7,7x, EV/EBITDA 3,3x) malgré une prime sur le P/B justifiée par une rentabilité exceptionnelle. Le comportement du cours sur 100 jours (+10,34%) est positif, avec une volatilité modérée et une distribution statistique saine. Les signaux techniques sont partagés : les moyennes mobiles et le RSI soutiennent la tendance haussière, mais le MACD et le stochastique suggèrent une consolidation à court terme. Les fondamentaux sont excellents, avec une croissance soutenue du CA et du résultat net, confirmée par les rapports 2025 et S1 2026. Les prédictions IA (31 380 à 31 258 FCFA sur 10 jours) indiquent une légère correction, cohérente avec les signaux techniques de surachat. En synthèse, la convergence entre la sous-évaluation, la solidité financière et la croissance future justifie une recommandation **ACHAT** avec un niveau de confiance **Élevé**. Le risque global est **Faible**, et l'horizon d'investissement optimal est le **moyen terme (3-12 mois)**, pour capitaliser sur la croissance continue et le rendement du dividende (1 740 FCFA net par action).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170.98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4,228 titres</w:t>
            </w:r>
          </w:p>
        </w:tc>
        <w:tc>
          <w:tcPr>
            <w:tcW w:type="dxa" w:w="2268"/>
            <w:shd w:fill="FFF2CC" w:val="clear"/>
          </w:tcPr>
          <w:p>
            <w:r>
              <w:rPr>
                <w:b/>
                <w:color w:val="503200"/>
                <w:sz w:val="16"/>
              </w:rPr>
              <w:t xml:space="preserve">Cours actuel : </w:t>
            </w:r>
            <w:r>
              <w:rPr>
                <w:color w:val="000000"/>
                <w:sz w:val="17"/>
              </w:rPr>
              <w:t>7,915 FCFA</w:t>
            </w:r>
          </w:p>
          <w:p>
            <w:r>
              <w:rPr>
                <w:b/>
                <w:color w:val="503200"/>
                <w:sz w:val="16"/>
              </w:rPr>
              <w:t xml:space="preserve">Var. 100 jours : </w:t>
            </w:r>
            <w:r>
              <w:rPr>
                <w:b/>
                <w:color w:val="B40000"/>
                <w:sz w:val="17"/>
              </w:rPr>
              <w:t>-12.06%</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5.28% (Moyenne) — μ=8,021 FCFA, σ=423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β=0.7323 (Défensif) — Cov=0.000027, Var(idx)=0.000036, ρ=0.192,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4,228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2026-08-12</w:t>
            </w:r>
          </w:p>
        </w:tc>
        <w:tc>
          <w:tcPr>
            <w:tcW w:type="dxa" w:w="1440"/>
            <w:shd w:fill="FAFAFA" w:val="clear"/>
          </w:tcPr>
          <w:p>
            <w:r>
              <w:rPr>
                <w:sz w:val="17"/>
              </w:rPr>
              <w:t>7,704</w:t>
            </w:r>
          </w:p>
        </w:tc>
        <w:tc>
          <w:tcPr>
            <w:tcW w:type="dxa" w:w="1440"/>
            <w:shd w:fill="FAFAFA" w:val="clear"/>
          </w:tcPr>
          <w:p>
            <w:r>
              <w:rPr>
                <w:b/>
                <w:sz w:val="17"/>
              </w:rPr>
              <w:t>7,961</w:t>
            </w:r>
          </w:p>
        </w:tc>
        <w:tc>
          <w:tcPr>
            <w:tcW w:type="dxa" w:w="1440"/>
            <w:shd w:fill="FAFAFA" w:val="clear"/>
          </w:tcPr>
          <w:p>
            <w:r>
              <w:rPr>
                <w:sz w:val="17"/>
              </w:rPr>
              <w:t>8,217</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2026-08-13</w:t>
            </w:r>
          </w:p>
        </w:tc>
        <w:tc>
          <w:tcPr>
            <w:tcW w:type="dxa" w:w="1440"/>
            <w:shd w:fill="FAFAFA" w:val="clear"/>
          </w:tcPr>
          <w:p>
            <w:r>
              <w:rPr>
                <w:sz w:val="17"/>
              </w:rPr>
              <w:t>7,612</w:t>
            </w:r>
          </w:p>
        </w:tc>
        <w:tc>
          <w:tcPr>
            <w:tcW w:type="dxa" w:w="1440"/>
            <w:shd w:fill="FAFAFA" w:val="clear"/>
          </w:tcPr>
          <w:p>
            <w:r>
              <w:rPr>
                <w:b/>
                <w:sz w:val="17"/>
              </w:rPr>
              <w:t>7,975</w:t>
            </w:r>
          </w:p>
        </w:tc>
        <w:tc>
          <w:tcPr>
            <w:tcW w:type="dxa" w:w="1440"/>
            <w:shd w:fill="FAFAFA" w:val="clear"/>
          </w:tcPr>
          <w:p>
            <w:r>
              <w:rPr>
                <w:sz w:val="17"/>
              </w:rPr>
              <w:t>8,338</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2026-08-14</w:t>
            </w:r>
          </w:p>
        </w:tc>
        <w:tc>
          <w:tcPr>
            <w:tcW w:type="dxa" w:w="1440"/>
            <w:shd w:fill="FAFAFA" w:val="clear"/>
          </w:tcPr>
          <w:p>
            <w:r>
              <w:rPr>
                <w:sz w:val="17"/>
              </w:rPr>
              <w:t>7,545</w:t>
            </w:r>
          </w:p>
        </w:tc>
        <w:tc>
          <w:tcPr>
            <w:tcW w:type="dxa" w:w="1440"/>
            <w:shd w:fill="FAFAFA" w:val="clear"/>
          </w:tcPr>
          <w:p>
            <w:r>
              <w:rPr>
                <w:b/>
                <w:sz w:val="17"/>
              </w:rPr>
              <w:t>7,990</w:t>
            </w:r>
          </w:p>
        </w:tc>
        <w:tc>
          <w:tcPr>
            <w:tcW w:type="dxa" w:w="1440"/>
            <w:shd w:fill="FAFAFA" w:val="clear"/>
          </w:tcPr>
          <w:p>
            <w:r>
              <w:rPr>
                <w:sz w:val="17"/>
              </w:rPr>
              <w:t>8,436</w:t>
            </w:r>
          </w:p>
        </w:tc>
        <w:tc>
          <w:tcPr>
            <w:tcW w:type="dxa" w:w="1440"/>
            <w:shd w:fill="FAFAFA" w:val="clear"/>
          </w:tcPr>
          <w:p>
            <w:r>
              <w:rPr>
                <w:b/>
                <w:color w:val="008000"/>
                <w:sz w:val="17"/>
              </w:rPr>
              <w:t>+1.0%</w:t>
            </w:r>
          </w:p>
        </w:tc>
      </w:tr>
      <w:tr>
        <w:tc>
          <w:tcPr>
            <w:tcW w:type="dxa" w:w="1440"/>
            <w:shd w:fill="FAFAFA" w:val="clear"/>
          </w:tcPr>
          <w:p>
            <w:r>
              <w:rPr>
                <w:sz w:val="17"/>
              </w:rPr>
              <w:t>J+4  Moyenne</w:t>
            </w:r>
          </w:p>
        </w:tc>
        <w:tc>
          <w:tcPr>
            <w:tcW w:type="dxa" w:w="1440"/>
            <w:shd w:fill="FAFAFA" w:val="clear"/>
          </w:tcPr>
          <w:p>
            <w:r>
              <w:rPr>
                <w:sz w:val="17"/>
              </w:rPr>
              <w:t>2026-08-17</w:t>
            </w:r>
          </w:p>
        </w:tc>
        <w:tc>
          <w:tcPr>
            <w:tcW w:type="dxa" w:w="1440"/>
            <w:shd w:fill="FAFAFA" w:val="clear"/>
          </w:tcPr>
          <w:p>
            <w:r>
              <w:rPr>
                <w:sz w:val="17"/>
              </w:rPr>
              <w:t>7,488</w:t>
            </w:r>
          </w:p>
        </w:tc>
        <w:tc>
          <w:tcPr>
            <w:tcW w:type="dxa" w:w="1440"/>
            <w:shd w:fill="FAFAFA" w:val="clear"/>
          </w:tcPr>
          <w:p>
            <w:r>
              <w:rPr>
                <w:b/>
                <w:sz w:val="17"/>
              </w:rPr>
              <w:t>8,004</w:t>
            </w:r>
          </w:p>
        </w:tc>
        <w:tc>
          <w:tcPr>
            <w:tcW w:type="dxa" w:w="1440"/>
            <w:shd w:fill="FAFAFA" w:val="clear"/>
          </w:tcPr>
          <w:p>
            <w:r>
              <w:rPr>
                <w:sz w:val="17"/>
              </w:rPr>
              <w:t>8,519</w:t>
            </w:r>
          </w:p>
        </w:tc>
        <w:tc>
          <w:tcPr>
            <w:tcW w:type="dxa" w:w="1440"/>
            <w:shd w:fill="FAFAFA" w:val="clear"/>
          </w:tcPr>
          <w:p>
            <w:r>
              <w:rPr>
                <w:b/>
                <w:color w:val="008000"/>
                <w:sz w:val="17"/>
              </w:rPr>
              <w:t>+1.1%</w:t>
            </w:r>
          </w:p>
        </w:tc>
      </w:tr>
      <w:tr>
        <w:tc>
          <w:tcPr>
            <w:tcW w:type="dxa" w:w="1440"/>
            <w:shd w:fill="FAFAFA" w:val="clear"/>
          </w:tcPr>
          <w:p>
            <w:r>
              <w:rPr>
                <w:sz w:val="17"/>
              </w:rPr>
              <w:t>J+5  Moyenne</w:t>
            </w:r>
          </w:p>
        </w:tc>
        <w:tc>
          <w:tcPr>
            <w:tcW w:type="dxa" w:w="1440"/>
            <w:shd w:fill="FAFAFA" w:val="clear"/>
          </w:tcPr>
          <w:p>
            <w:r>
              <w:rPr>
                <w:sz w:val="17"/>
              </w:rPr>
              <w:t>2026-08-18</w:t>
            </w:r>
          </w:p>
        </w:tc>
        <w:tc>
          <w:tcPr>
            <w:tcW w:type="dxa" w:w="1440"/>
            <w:shd w:fill="FAFAFA" w:val="clear"/>
          </w:tcPr>
          <w:p>
            <w:r>
              <w:rPr>
                <w:sz w:val="17"/>
              </w:rPr>
              <w:t>7,439</w:t>
            </w:r>
          </w:p>
        </w:tc>
        <w:tc>
          <w:tcPr>
            <w:tcW w:type="dxa" w:w="1440"/>
            <w:shd w:fill="FAFAFA" w:val="clear"/>
          </w:tcPr>
          <w:p>
            <w:r>
              <w:rPr>
                <w:b/>
                <w:sz w:val="17"/>
              </w:rPr>
              <w:t>8,017</w:t>
            </w:r>
          </w:p>
        </w:tc>
        <w:tc>
          <w:tcPr>
            <w:tcW w:type="dxa" w:w="1440"/>
            <w:shd w:fill="FAFAFA" w:val="clear"/>
          </w:tcPr>
          <w:p>
            <w:r>
              <w:rPr>
                <w:sz w:val="17"/>
              </w:rPr>
              <w:t>8,594</w:t>
            </w:r>
          </w:p>
        </w:tc>
        <w:tc>
          <w:tcPr>
            <w:tcW w:type="dxa" w:w="1440"/>
            <w:shd w:fill="FAFAFA" w:val="clear"/>
          </w:tcPr>
          <w:p>
            <w:r>
              <w:rPr>
                <w:b/>
                <w:color w:val="008000"/>
                <w:sz w:val="17"/>
              </w:rPr>
              <w:t>+1.3%</w:t>
            </w:r>
          </w:p>
        </w:tc>
      </w:tr>
      <w:tr>
        <w:tc>
          <w:tcPr>
            <w:tcW w:type="dxa" w:w="1440"/>
            <w:shd w:fill="FAFAFA" w:val="clear"/>
          </w:tcPr>
          <w:p>
            <w:r>
              <w:rPr>
                <w:sz w:val="17"/>
              </w:rPr>
              <w:t>J+6  Moyenne</w:t>
            </w:r>
          </w:p>
        </w:tc>
        <w:tc>
          <w:tcPr>
            <w:tcW w:type="dxa" w:w="1440"/>
            <w:shd w:fill="FAFAFA" w:val="clear"/>
          </w:tcPr>
          <w:p>
            <w:r>
              <w:rPr>
                <w:sz w:val="17"/>
              </w:rPr>
              <w:t>2026-08-19</w:t>
            </w:r>
          </w:p>
        </w:tc>
        <w:tc>
          <w:tcPr>
            <w:tcW w:type="dxa" w:w="1440"/>
            <w:shd w:fill="FAFAFA" w:val="clear"/>
          </w:tcPr>
          <w:p>
            <w:r>
              <w:rPr>
                <w:sz w:val="17"/>
              </w:rPr>
              <w:t>7,396</w:t>
            </w:r>
          </w:p>
        </w:tc>
        <w:tc>
          <w:tcPr>
            <w:tcW w:type="dxa" w:w="1440"/>
            <w:shd w:fill="FAFAFA" w:val="clear"/>
          </w:tcPr>
          <w:p>
            <w:r>
              <w:rPr>
                <w:b/>
                <w:sz w:val="17"/>
              </w:rPr>
              <w:t>8,029</w:t>
            </w:r>
          </w:p>
        </w:tc>
        <w:tc>
          <w:tcPr>
            <w:tcW w:type="dxa" w:w="1440"/>
            <w:shd w:fill="FAFAFA" w:val="clear"/>
          </w:tcPr>
          <w:p>
            <w:r>
              <w:rPr>
                <w:sz w:val="17"/>
              </w:rPr>
              <w:t>8,663</w:t>
            </w:r>
          </w:p>
        </w:tc>
        <w:tc>
          <w:tcPr>
            <w:tcW w:type="dxa" w:w="1440"/>
            <w:shd w:fill="FAFAFA" w:val="clear"/>
          </w:tcPr>
          <w:p>
            <w:r>
              <w:rPr>
                <w:b/>
                <w:color w:val="008000"/>
                <w:sz w:val="17"/>
              </w:rPr>
              <w:t>+1.4%</w:t>
            </w:r>
          </w:p>
        </w:tc>
      </w:tr>
      <w:tr>
        <w:tc>
          <w:tcPr>
            <w:tcW w:type="dxa" w:w="1440"/>
            <w:shd w:fill="FAFAFA" w:val="clear"/>
          </w:tcPr>
          <w:p>
            <w:r>
              <w:rPr>
                <w:sz w:val="17"/>
              </w:rPr>
              <w:t>J+7  Moyenne</w:t>
            </w:r>
          </w:p>
        </w:tc>
        <w:tc>
          <w:tcPr>
            <w:tcW w:type="dxa" w:w="1440"/>
            <w:shd w:fill="FAFAFA" w:val="clear"/>
          </w:tcPr>
          <w:p>
            <w:r>
              <w:rPr>
                <w:sz w:val="17"/>
              </w:rPr>
              <w:t>2026-08-20</w:t>
            </w:r>
          </w:p>
        </w:tc>
        <w:tc>
          <w:tcPr>
            <w:tcW w:type="dxa" w:w="1440"/>
            <w:shd w:fill="FAFAFA" w:val="clear"/>
          </w:tcPr>
          <w:p>
            <w:r>
              <w:rPr>
                <w:sz w:val="17"/>
              </w:rPr>
              <w:t>7,357</w:t>
            </w:r>
          </w:p>
        </w:tc>
        <w:tc>
          <w:tcPr>
            <w:tcW w:type="dxa" w:w="1440"/>
            <w:shd w:fill="FAFAFA" w:val="clear"/>
          </w:tcPr>
          <w:p>
            <w:r>
              <w:rPr>
                <w:b/>
                <w:sz w:val="17"/>
              </w:rPr>
              <w:t>8,042</w:t>
            </w:r>
          </w:p>
        </w:tc>
        <w:tc>
          <w:tcPr>
            <w:tcW w:type="dxa" w:w="1440"/>
            <w:shd w:fill="FAFAFA" w:val="clear"/>
          </w:tcPr>
          <w:p>
            <w:r>
              <w:rPr>
                <w:sz w:val="17"/>
              </w:rPr>
              <w:t>8,727</w:t>
            </w:r>
          </w:p>
        </w:tc>
        <w:tc>
          <w:tcPr>
            <w:tcW w:type="dxa" w:w="1440"/>
            <w:shd w:fill="FAFAFA" w:val="clear"/>
          </w:tcPr>
          <w:p>
            <w:r>
              <w:rPr>
                <w:b/>
                <w:color w:val="008000"/>
                <w:sz w:val="17"/>
              </w:rPr>
              <w:t>+1.6%</w:t>
            </w:r>
          </w:p>
        </w:tc>
      </w:tr>
      <w:tr>
        <w:tc>
          <w:tcPr>
            <w:tcW w:type="dxa" w:w="1440"/>
            <w:shd w:fill="FAFAFA" w:val="clear"/>
          </w:tcPr>
          <w:p>
            <w:r>
              <w:rPr>
                <w:sz w:val="17"/>
              </w:rPr>
              <w:t>J+8  Moyenne</w:t>
            </w:r>
          </w:p>
        </w:tc>
        <w:tc>
          <w:tcPr>
            <w:tcW w:type="dxa" w:w="1440"/>
            <w:shd w:fill="FAFAFA" w:val="clear"/>
          </w:tcPr>
          <w:p>
            <w:r>
              <w:rPr>
                <w:sz w:val="17"/>
              </w:rPr>
              <w:t>2026-08-21</w:t>
            </w:r>
          </w:p>
        </w:tc>
        <w:tc>
          <w:tcPr>
            <w:tcW w:type="dxa" w:w="1440"/>
            <w:shd w:fill="FAFAFA" w:val="clear"/>
          </w:tcPr>
          <w:p>
            <w:r>
              <w:rPr>
                <w:sz w:val="17"/>
              </w:rPr>
              <w:t>7,322</w:t>
            </w:r>
          </w:p>
        </w:tc>
        <w:tc>
          <w:tcPr>
            <w:tcW w:type="dxa" w:w="1440"/>
            <w:shd w:fill="FAFAFA" w:val="clear"/>
          </w:tcPr>
          <w:p>
            <w:r>
              <w:rPr>
                <w:b/>
                <w:sz w:val="17"/>
              </w:rPr>
              <w:t>8,055</w:t>
            </w:r>
          </w:p>
        </w:tc>
        <w:tc>
          <w:tcPr>
            <w:tcW w:type="dxa" w:w="1440"/>
            <w:shd w:fill="FAFAFA" w:val="clear"/>
          </w:tcPr>
          <w:p>
            <w:r>
              <w:rPr>
                <w:sz w:val="17"/>
              </w:rPr>
              <w:t>8,788</w:t>
            </w:r>
          </w:p>
        </w:tc>
        <w:tc>
          <w:tcPr>
            <w:tcW w:type="dxa" w:w="1440"/>
            <w:shd w:fill="FAFAFA" w:val="clear"/>
          </w:tcPr>
          <w:p>
            <w:r>
              <w:rPr>
                <w:b/>
                <w:color w:val="008000"/>
                <w:sz w:val="17"/>
              </w:rPr>
              <w:t>+1.8%</w:t>
            </w:r>
          </w:p>
        </w:tc>
      </w:tr>
      <w:tr>
        <w:tc>
          <w:tcPr>
            <w:tcW w:type="dxa" w:w="1440"/>
            <w:shd w:fill="FAFAFA" w:val="clear"/>
          </w:tcPr>
          <w:p>
            <w:r>
              <w:rPr>
                <w:sz w:val="17"/>
              </w:rPr>
              <w:t>J+9  Moyenne</w:t>
            </w:r>
          </w:p>
        </w:tc>
        <w:tc>
          <w:tcPr>
            <w:tcW w:type="dxa" w:w="1440"/>
            <w:shd w:fill="FAFAFA" w:val="clear"/>
          </w:tcPr>
          <w:p>
            <w:r>
              <w:rPr>
                <w:sz w:val="17"/>
              </w:rPr>
              <w:t>2026-08-24</w:t>
            </w:r>
          </w:p>
        </w:tc>
        <w:tc>
          <w:tcPr>
            <w:tcW w:type="dxa" w:w="1440"/>
            <w:shd w:fill="FAFAFA" w:val="clear"/>
          </w:tcPr>
          <w:p>
            <w:r>
              <w:rPr>
                <w:sz w:val="17"/>
              </w:rPr>
              <w:t>7,288</w:t>
            </w:r>
          </w:p>
        </w:tc>
        <w:tc>
          <w:tcPr>
            <w:tcW w:type="dxa" w:w="1440"/>
            <w:shd w:fill="FAFAFA" w:val="clear"/>
          </w:tcPr>
          <w:p>
            <w:r>
              <w:rPr>
                <w:b/>
                <w:sz w:val="17"/>
              </w:rPr>
              <w:t>8,068</w:t>
            </w:r>
          </w:p>
        </w:tc>
        <w:tc>
          <w:tcPr>
            <w:tcW w:type="dxa" w:w="1440"/>
            <w:shd w:fill="FAFAFA" w:val="clear"/>
          </w:tcPr>
          <w:p>
            <w:r>
              <w:rPr>
                <w:sz w:val="17"/>
              </w:rPr>
              <w:t>8,847</w:t>
            </w:r>
          </w:p>
        </w:tc>
        <w:tc>
          <w:tcPr>
            <w:tcW w:type="dxa" w:w="1440"/>
            <w:shd w:fill="FAFAFA" w:val="clear"/>
          </w:tcPr>
          <w:p>
            <w:r>
              <w:rPr>
                <w:b/>
                <w:color w:val="008000"/>
                <w:sz w:val="17"/>
              </w:rPr>
              <w:t>+1.9%</w:t>
            </w:r>
          </w:p>
        </w:tc>
      </w:tr>
      <w:tr>
        <w:tc>
          <w:tcPr>
            <w:tcW w:type="dxa" w:w="1440"/>
            <w:shd w:fill="C6EFCE" w:val="clear"/>
          </w:tcPr>
          <w:p>
            <w:r>
              <w:rPr>
                <w:sz w:val="17"/>
              </w:rPr>
              <w:t>J+10  Moyenne</w:t>
            </w:r>
          </w:p>
        </w:tc>
        <w:tc>
          <w:tcPr>
            <w:tcW w:type="dxa" w:w="1440"/>
            <w:shd w:fill="C6EFCE" w:val="clear"/>
          </w:tcPr>
          <w:p>
            <w:r>
              <w:rPr>
                <w:sz w:val="17"/>
              </w:rPr>
              <w:t>2026-08-25</w:t>
            </w:r>
          </w:p>
        </w:tc>
        <w:tc>
          <w:tcPr>
            <w:tcW w:type="dxa" w:w="1440"/>
            <w:shd w:fill="C6EFCE" w:val="clear"/>
          </w:tcPr>
          <w:p>
            <w:r>
              <w:rPr>
                <w:sz w:val="17"/>
              </w:rPr>
              <w:t>7,258</w:t>
            </w:r>
          </w:p>
        </w:tc>
        <w:tc>
          <w:tcPr>
            <w:tcW w:type="dxa" w:w="1440"/>
            <w:shd w:fill="C6EFCE" w:val="clear"/>
          </w:tcPr>
          <w:p>
            <w:r>
              <w:rPr>
                <w:b/>
                <w:sz w:val="17"/>
              </w:rPr>
              <w:t>8,080</w:t>
            </w:r>
          </w:p>
        </w:tc>
        <w:tc>
          <w:tcPr>
            <w:tcW w:type="dxa" w:w="1440"/>
            <w:shd w:fill="C6EFCE" w:val="clear"/>
          </w:tcPr>
          <w:p>
            <w:r>
              <w:rPr>
                <w:sz w:val="17"/>
              </w:rPr>
              <w:t>8,903</w:t>
            </w:r>
          </w:p>
        </w:tc>
        <w:tc>
          <w:tcPr>
            <w:tcW w:type="dxa" w:w="1440"/>
            <w:shd w:fill="C6EFCE" w:val="clear"/>
          </w:tcPr>
          <w:p>
            <w:r>
              <w:rPr>
                <w:b/>
                <w:color w:val="008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11 août 2026**</w:t>
        <w:br/>
        <w:t>**Cours de référence : 7 915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SOGC s'établit à 170,98 milliards FCFA, ce qui en fait l'une des valeurs les plus significatives de la côte agro-industrielle de la BRVM. Avec un BPA de 578 FCFA, le titre se négocie à un PER de 13,7x, légèrement au-dessus de la moyenne historique de la place (~8-12x), ce qui traduit une prime de valorisation accordée par le marché à la qualité des actifs et à la régularité des résultats. Le ratio Price/Book de 2,50x confirme cette prime, le marché valorisant la société à 2,5 fois ses capitaux propres (68,43 Mds FCFA), ce qui est cohérent avec un ROE de 18,26%. Enfin, un EV/EBITDA de 7,1x indique que la valeur d'entreprise reste raisonnable par rapport à la capacité bénéficiaire brute (EBE de 23,54 Mds FCFA), offrant une marge de sécurité appréciable pour un investisseur de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SOGC a enregistré une **baisse de 12,06%**, passant d'un plus haut de 9 000 FCFA à un plus bas de 7 100 FCFA, avant de se stabiliser à 7 915 FCFA (+0,51% sur la dernière séance). La moyenne du cours sur la période est de 8 021 FCFA, très proche de la médiane (8 010 FCFA), ce qui indique une distribution quasi symétrique des prix, confirmée par un skewness de -0,049. L'écart-type de 425 FCFA (CV de 5,3%) révèle une dispersion modérée autour de la moyenne, tandis que le kurtosis de -0,603 (mésokurtique) suggère l'absence de mouvements extrêmes ou de "pics" de volatilité soudains. La volatilité annualisée de 36,1% classe le titre dans la catégorie **élevée** (&gt;30%), reflétant une sensibilité marquée aux cycles des matières premières. La tendance générale sur la période est clairement baissière, le titre ayant cédé plus de 12% de sa valeur, mais la stabilisation récente autour de 7 900 FCFA pourrait indiquer un essoufflement de la pression vendeuse.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(7 915 FCFA) évolue sous ses moyennes mobiles à 20 jours (8 137,75 FCFA) et à 50 jours (8 278,6 FCFA). Cette configuration baissière, avec une MM20 sous la MM50, confirme une tendance de fond négative à moyen terme. La décision de **Vente** est justifiée, le titre ne montrant aucun signe de retournement au-dessus de ces niveaux clés.</w:t>
      </w:r>
    </w:p>
    <w:p>
      <w:pPr>
        <w:spacing w:after="120" w:line="276" w:lineRule="auto"/>
      </w:pPr>
      <w:r>
        <w:t>**Bandes de Bollinger :** Le prix se situe à 7 915 FCFA, proche de la borne inférieure (7 825,96 FCFA) et nettement sous la moyenne mobile centrale. Cette position suggère que le titre est dans la partie basse de son canal de volatilité, sans toutefois être en situation de "survente" extrême. La décision **Neutre** est cohérente, le marché attendant un catalyseur pour sortir de cette zone.</w:t>
      </w:r>
    </w:p>
    <w:p>
      <w:pPr>
        <w:spacing w:after="120" w:line="276" w:lineRule="auto"/>
      </w:pPr>
      <w:r>
        <w:t>**MACD :** La ligne MACD (-60,34) est négative et se situe sous sa ligne de signal (-22,97). Cette divergence baissière indique un momentum négatif persistant. La décision de **Vente** est justifiée, la dynamique des prix restant défavorable à court terme.</w:t>
      </w:r>
    </w:p>
    <w:p>
      <w:pPr>
        <w:spacing w:after="120" w:line="276" w:lineRule="auto"/>
      </w:pPr>
      <w:r>
        <w:t>**RSI :** À 44,6, le RSI se situe dans la zone neutre (30-70), sans signal de surachat ni de survente. Cela reflète une absence de pression directionnelle forte, laissant place à une possible consolidation. La décision **Neutre** est appropriée.</w:t>
      </w:r>
    </w:p>
    <w:p>
      <w:pPr>
        <w:spacing w:after="120" w:line="276" w:lineRule="auto"/>
      </w:pPr>
      <w:r>
        <w:t>**Stochastique :** Le %K (7,62) est très bas et croise sous le %D (15,87), indiquant une condition de **survente** technique. Historiquement, un tel niveau précède souvent un rebond technique. La décision **Achat** est donc pertinente à très court terme.</w:t>
      </w:r>
    </w:p>
    <w:p>
      <w:pPr>
        <w:spacing w:after="120" w:line="276" w:lineRule="auto"/>
      </w:pPr>
      <w:r>
        <w:t>**Conclusion technique :** La tendance de fond reste baissière (MM et MACD), mais les indicateurs de retournement (Stochastique en survente, RSI neutre) suggèrent un potentiel de rebond technique à court terme. Le titre est dans une phase de stabilisation après une baisse marquée, avec un biais négatif dominant.</w:t>
      </w:r>
    </w:p>
    <w:p>
      <w:pPr>
        <w:spacing w:after="120" w:line="276" w:lineRule="auto"/>
      </w:pPr>
      <w:r>
        <w:t>---</w:t>
      </w:r>
    </w:p>
    <w:p>
      <w:pPr>
        <w:spacing w:after="120" w:line="276" w:lineRule="auto"/>
      </w:pPr>
      <w:r>
        <w:t>### PARTIE 3 : ANALYSE FONDAMENTALE (SECTION CRITIQUE)</w:t>
      </w:r>
    </w:p>
    <w:p>
      <w:pPr>
        <w:spacing w:after="120" w:line="276" w:lineRule="auto"/>
      </w:pPr>
      <w:r>
        <w:t>En 2025, la SOGC affiche un **chiffre d'affaires de 98,98 milliards FCFA**, en hausse de 10,7% par rapport à 2024 (93,52 Mds FCFA), et un **résultat net de 12,49 milliards FCFA**, en léger repli de 5% par rapport au niveau record de 2024 (13,11 Mds FCFA). La rentabilité des capitaux propres (ROE) reste excellente à 18,26%, et le ROA atteint 13,84%, témoignant d'une gestion efficiente des actifs (90,29 Mds FCFA). La marge nette s'établit à 12,62%, en retrait par rapport aux 14% de 2024, impactée par la hausse de 15% des coûts des matières premières (coagulum). Le BFR est positif (7,12 Mds FCFA), avec un délai de stockage de 97,7 jours, ce qui est élevé pour le secteur, mais la trésorerie nette s'améliore à 4,58 Mds FCFA. Les rapports trimestriels de 2025 (T1 : CA +63%, T3 9M : CA +21%) montrent une dynamique commerciale soutenue en début d'année, mais un ralentissement net au S2, la direction anticipant une pression sur les marges. Le rapport de gestion 2025 (daté du 15/03/2026) confirme une **baisse de 5% du résultat net** malgré une hausse des ventes de 12%, soulignant la résilience du modèle face à un environnement concurrentiel difficile. La société propose un **dividende brut de 570 FCFA par action** (AG du 28/05/2026), soit un rendement de 7,2% au cours actuel, avec un taux de distribution de 98,5%, ce qui est généreux mais limite les capacités de réinvestissement.</w:t>
      </w:r>
    </w:p>
    <w:p>
      <w:pPr>
        <w:spacing w:after="120" w:line="276" w:lineRule="auto"/>
      </w:pPr>
      <w:r>
        <w:t>---</w:t>
      </w:r>
    </w:p>
    <w:p>
      <w:pPr>
        <w:spacing w:after="120" w:line="276" w:lineRule="auto"/>
      </w:pPr>
      <w:r>
        <w:t>### PARTIE 4 : CONCLUSION D'INVESTISSEMENT</w:t>
      </w:r>
    </w:p>
    <w:p>
      <w:pPr>
        <w:spacing w:after="120" w:line="276" w:lineRule="auto"/>
      </w:pPr>
      <w:r>
        <w:t>La valorisation actuelle (PER 13,7x, P/B 2,5x) est modérée, légèrement supérieure à la moyenne BRVM, mais justifiée par un ROE de 18,26% et une génération de cash-flow opérationnel robuste (22,64 Mds FCFA). Le comportement du cours sur 100 jours est baissier (-12%), avec une volatilité élevée (36,1%), mais les statistiques (distribution symétrique, kurtosis faible) indiquent une absence de panique, plutôt un désintérêt progressif. Les signaux techniques sont mitigés : la tendance de fond reste vendeuse (MM, MACD), mais les conditions de survente (Stochastique) et la stabilisation du RSI suggèrent un rebond imminent. Les fondamentaux restent solides, avec une baisse du résultat net de 5% en 2025, mais une politique de dividende très attractive (570 FCFA/action). Les prédictions IA (J+1 à J+10) anticipent une hausse progressive vers 8 017 FCFA, confirmant un scénario de rebond technique. En synthèse, la convergence entre la survente technique, la solidité des fondamentaux et la prédiction IA haussière plaide pour une **recommandation ACHAT** à court et moyen terme, avec un niveau de confiance **Moyen** et un risque global **Moyen** (volatilité des prix du caoutchouc). L'horizon optimal est de **3 à 6 mois**, pour capter le rebond technique et le rendement du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201.91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4,531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B40000"/>
                <w:sz w:val="17"/>
              </w:rPr>
              <w:t>-6.23%</w:t>
            </w:r>
          </w:p>
          <w:p>
            <w:r>
              <w:rPr>
                <w:b/>
                <w:color w:val="503200"/>
                <w:sz w:val="16"/>
              </w:rPr>
              <w:t xml:space="preserve">Plus haut 100j : </w:t>
            </w:r>
            <w:r>
              <w:rPr>
                <w:color w:val="000000"/>
                <w:sz w:val="17"/>
              </w:rPr>
              <w:t>8,435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4.85% (Faible) — μ=7,406 FCFA, σ=360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β=1.5445 (Agressif) — Cov=0.000056, Var(idx)=0.000036, ρ=0.358,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4,531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2026-08-12</w:t>
            </w:r>
          </w:p>
        </w:tc>
        <w:tc>
          <w:tcPr>
            <w:tcW w:type="dxa" w:w="1440"/>
            <w:shd w:fill="FAFAFA" w:val="clear"/>
          </w:tcPr>
          <w:p>
            <w:r>
              <w:rPr>
                <w:sz w:val="17"/>
              </w:rPr>
              <w:t>7,498</w:t>
            </w:r>
          </w:p>
        </w:tc>
        <w:tc>
          <w:tcPr>
            <w:tcW w:type="dxa" w:w="1440"/>
            <w:shd w:fill="FAFAFA" w:val="clear"/>
          </w:tcPr>
          <w:p>
            <w:r>
              <w:rPr>
                <w:b/>
                <w:sz w:val="17"/>
              </w:rPr>
              <w:t>7,785</w:t>
            </w:r>
          </w:p>
        </w:tc>
        <w:tc>
          <w:tcPr>
            <w:tcW w:type="dxa" w:w="1440"/>
            <w:shd w:fill="FAFAFA" w:val="clear"/>
          </w:tcPr>
          <w:p>
            <w:r>
              <w:rPr>
                <w:sz w:val="17"/>
              </w:rPr>
              <w:t>8,071</w:t>
            </w:r>
          </w:p>
        </w:tc>
        <w:tc>
          <w:tcPr>
            <w:tcW w:type="dxa" w:w="1440"/>
            <w:shd w:fill="FAFAFA" w:val="clear"/>
          </w:tcPr>
          <w:p>
            <w:r>
              <w:rPr>
                <w:b/>
                <w:color w:val="C00000"/>
                <w:sz w:val="17"/>
              </w:rPr>
              <w:t>-1.5%</w:t>
            </w:r>
          </w:p>
        </w:tc>
      </w:tr>
      <w:tr>
        <w:tc>
          <w:tcPr>
            <w:tcW w:type="dxa" w:w="1440"/>
            <w:shd w:fill="FAFAFA" w:val="clear"/>
          </w:tcPr>
          <w:p>
            <w:r>
              <w:rPr>
                <w:sz w:val="17"/>
              </w:rPr>
              <w:t>J+2  Moyenne</w:t>
            </w:r>
          </w:p>
        </w:tc>
        <w:tc>
          <w:tcPr>
            <w:tcW w:type="dxa" w:w="1440"/>
            <w:shd w:fill="FAFAFA" w:val="clear"/>
          </w:tcPr>
          <w:p>
            <w:r>
              <w:rPr>
                <w:sz w:val="17"/>
              </w:rPr>
              <w:t>2026-08-13</w:t>
            </w:r>
          </w:p>
        </w:tc>
        <w:tc>
          <w:tcPr>
            <w:tcW w:type="dxa" w:w="1440"/>
            <w:shd w:fill="FAFAFA" w:val="clear"/>
          </w:tcPr>
          <w:p>
            <w:r>
              <w:rPr>
                <w:sz w:val="17"/>
              </w:rPr>
              <w:t>7,371</w:t>
            </w:r>
          </w:p>
        </w:tc>
        <w:tc>
          <w:tcPr>
            <w:tcW w:type="dxa" w:w="1440"/>
            <w:shd w:fill="FAFAFA" w:val="clear"/>
          </w:tcPr>
          <w:p>
            <w:r>
              <w:rPr>
                <w:b/>
                <w:sz w:val="17"/>
              </w:rPr>
              <w:t>7,775</w:t>
            </w:r>
          </w:p>
        </w:tc>
        <w:tc>
          <w:tcPr>
            <w:tcW w:type="dxa" w:w="1440"/>
            <w:shd w:fill="FAFAFA" w:val="clear"/>
          </w:tcPr>
          <w:p>
            <w:r>
              <w:rPr>
                <w:sz w:val="17"/>
              </w:rPr>
              <w:t>8,180</w:t>
            </w:r>
          </w:p>
        </w:tc>
        <w:tc>
          <w:tcPr>
            <w:tcW w:type="dxa" w:w="1440"/>
            <w:shd w:fill="FAFAFA" w:val="clear"/>
          </w:tcPr>
          <w:p>
            <w:r>
              <w:rPr>
                <w:b/>
                <w:color w:val="C00000"/>
                <w:sz w:val="17"/>
              </w:rPr>
              <w:t>-1.6%</w:t>
            </w:r>
          </w:p>
        </w:tc>
      </w:tr>
      <w:tr>
        <w:tc>
          <w:tcPr>
            <w:tcW w:type="dxa" w:w="1440"/>
            <w:shd w:fill="FAFAFA" w:val="clear"/>
          </w:tcPr>
          <w:p>
            <w:r>
              <w:rPr>
                <w:sz w:val="17"/>
              </w:rPr>
              <w:t>J+3  Moyenne</w:t>
            </w:r>
          </w:p>
        </w:tc>
        <w:tc>
          <w:tcPr>
            <w:tcW w:type="dxa" w:w="1440"/>
            <w:shd w:fill="FAFAFA" w:val="clear"/>
          </w:tcPr>
          <w:p>
            <w:r>
              <w:rPr>
                <w:sz w:val="17"/>
              </w:rPr>
              <w:t>2026-08-14</w:t>
            </w:r>
          </w:p>
        </w:tc>
        <w:tc>
          <w:tcPr>
            <w:tcW w:type="dxa" w:w="1440"/>
            <w:shd w:fill="FAFAFA" w:val="clear"/>
          </w:tcPr>
          <w:p>
            <w:r>
              <w:rPr>
                <w:sz w:val="17"/>
              </w:rPr>
              <w:t>7,264</w:t>
            </w:r>
          </w:p>
        </w:tc>
        <w:tc>
          <w:tcPr>
            <w:tcW w:type="dxa" w:w="1440"/>
            <w:shd w:fill="FAFAFA" w:val="clear"/>
          </w:tcPr>
          <w:p>
            <w:r>
              <w:rPr>
                <w:b/>
                <w:sz w:val="17"/>
              </w:rPr>
              <w:t>7,758</w:t>
            </w:r>
          </w:p>
        </w:tc>
        <w:tc>
          <w:tcPr>
            <w:tcW w:type="dxa" w:w="1440"/>
            <w:shd w:fill="FAFAFA" w:val="clear"/>
          </w:tcPr>
          <w:p>
            <w:r>
              <w:rPr>
                <w:sz w:val="17"/>
              </w:rPr>
              <w:t>8,252</w:t>
            </w:r>
          </w:p>
        </w:tc>
        <w:tc>
          <w:tcPr>
            <w:tcW w:type="dxa" w:w="1440"/>
            <w:shd w:fill="FAFAFA" w:val="clear"/>
          </w:tcPr>
          <w:p>
            <w:r>
              <w:rPr>
                <w:b/>
                <w:color w:val="C00000"/>
                <w:sz w:val="17"/>
              </w:rPr>
              <w:t>-1.8%</w:t>
            </w:r>
          </w:p>
        </w:tc>
      </w:tr>
      <w:tr>
        <w:tc>
          <w:tcPr>
            <w:tcW w:type="dxa" w:w="1440"/>
            <w:shd w:fill="FAFAFA" w:val="clear"/>
          </w:tcPr>
          <w:p>
            <w:r>
              <w:rPr>
                <w:sz w:val="17"/>
              </w:rPr>
              <w:t>J+4  ⭐</w:t>
            </w:r>
          </w:p>
        </w:tc>
        <w:tc>
          <w:tcPr>
            <w:tcW w:type="dxa" w:w="1440"/>
            <w:shd w:fill="FAFAFA" w:val="clear"/>
          </w:tcPr>
          <w:p>
            <w:r>
              <w:rPr>
                <w:sz w:val="17"/>
              </w:rPr>
              <w:t>2026-08-17</w:t>
            </w:r>
          </w:p>
        </w:tc>
        <w:tc>
          <w:tcPr>
            <w:tcW w:type="dxa" w:w="1440"/>
            <w:shd w:fill="FAFAFA" w:val="clear"/>
          </w:tcPr>
          <w:p>
            <w:r>
              <w:rPr>
                <w:sz w:val="17"/>
              </w:rPr>
              <w:t>7,173</w:t>
            </w:r>
          </w:p>
        </w:tc>
        <w:tc>
          <w:tcPr>
            <w:tcW w:type="dxa" w:w="1440"/>
            <w:shd w:fill="FAFAFA" w:val="clear"/>
          </w:tcPr>
          <w:p>
            <w:r>
              <w:rPr>
                <w:b/>
                <w:sz w:val="17"/>
              </w:rPr>
              <w:t>7,743</w:t>
            </w:r>
          </w:p>
        </w:tc>
        <w:tc>
          <w:tcPr>
            <w:tcW w:type="dxa" w:w="1440"/>
            <w:shd w:fill="FAFAFA" w:val="clear"/>
          </w:tcPr>
          <w:p>
            <w:r>
              <w:rPr>
                <w:sz w:val="17"/>
              </w:rPr>
              <w:t>8,312</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7,092</w:t>
            </w:r>
          </w:p>
        </w:tc>
        <w:tc>
          <w:tcPr>
            <w:tcW w:type="dxa" w:w="1440"/>
            <w:shd w:fill="FFDCE0" w:val="clear"/>
          </w:tcPr>
          <w:p>
            <w:r>
              <w:rPr>
                <w:b/>
                <w:sz w:val="17"/>
              </w:rPr>
              <w:t>7,728</w:t>
            </w:r>
          </w:p>
        </w:tc>
        <w:tc>
          <w:tcPr>
            <w:tcW w:type="dxa" w:w="1440"/>
            <w:shd w:fill="FFDCE0" w:val="clear"/>
          </w:tcPr>
          <w:p>
            <w:r>
              <w:rPr>
                <w:sz w:val="17"/>
              </w:rPr>
              <w:t>8,363</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7,018</w:t>
            </w:r>
          </w:p>
        </w:tc>
        <w:tc>
          <w:tcPr>
            <w:tcW w:type="dxa" w:w="1440"/>
            <w:shd w:fill="FFDCE0" w:val="clear"/>
          </w:tcPr>
          <w:p>
            <w:r>
              <w:rPr>
                <w:b/>
                <w:sz w:val="17"/>
              </w:rPr>
              <w:t>7,713</w:t>
            </w:r>
          </w:p>
        </w:tc>
        <w:tc>
          <w:tcPr>
            <w:tcW w:type="dxa" w:w="1440"/>
            <w:shd w:fill="FFDCE0" w:val="clear"/>
          </w:tcPr>
          <w:p>
            <w:r>
              <w:rPr>
                <w:sz w:val="17"/>
              </w:rPr>
              <w:t>8,408</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6,949</w:t>
            </w:r>
          </w:p>
        </w:tc>
        <w:tc>
          <w:tcPr>
            <w:tcW w:type="dxa" w:w="1440"/>
            <w:shd w:fill="FFDCE0" w:val="clear"/>
          </w:tcPr>
          <w:p>
            <w:r>
              <w:rPr>
                <w:b/>
                <w:sz w:val="17"/>
              </w:rPr>
              <w:t>7,698</w:t>
            </w:r>
          </w:p>
        </w:tc>
        <w:tc>
          <w:tcPr>
            <w:tcW w:type="dxa" w:w="1440"/>
            <w:shd w:fill="FFDCE0" w:val="clear"/>
          </w:tcPr>
          <w:p>
            <w:r>
              <w:rPr>
                <w:sz w:val="17"/>
              </w:rPr>
              <w:t>8,447</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6,884</w:t>
            </w:r>
          </w:p>
        </w:tc>
        <w:tc>
          <w:tcPr>
            <w:tcW w:type="dxa" w:w="1440"/>
            <w:shd w:fill="FFDCE0" w:val="clear"/>
          </w:tcPr>
          <w:p>
            <w:r>
              <w:rPr>
                <w:b/>
                <w:sz w:val="17"/>
              </w:rPr>
              <w:t>7,683</w:t>
            </w:r>
          </w:p>
        </w:tc>
        <w:tc>
          <w:tcPr>
            <w:tcW w:type="dxa" w:w="1440"/>
            <w:shd w:fill="FFDCE0" w:val="clear"/>
          </w:tcPr>
          <w:p>
            <w:r>
              <w:rPr>
                <w:sz w:val="17"/>
              </w:rPr>
              <w:t>8,482</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6,822</w:t>
            </w:r>
          </w:p>
        </w:tc>
        <w:tc>
          <w:tcPr>
            <w:tcW w:type="dxa" w:w="1440"/>
            <w:shd w:fill="FFDCE0" w:val="clear"/>
          </w:tcPr>
          <w:p>
            <w:r>
              <w:rPr>
                <w:b/>
                <w:sz w:val="17"/>
              </w:rPr>
              <w:t>7,668</w:t>
            </w:r>
          </w:p>
        </w:tc>
        <w:tc>
          <w:tcPr>
            <w:tcW w:type="dxa" w:w="1440"/>
            <w:shd w:fill="FFDCE0" w:val="clear"/>
          </w:tcPr>
          <w:p>
            <w:r>
              <w:rPr>
                <w:sz w:val="17"/>
              </w:rPr>
              <w:t>8,514</w:t>
            </w:r>
          </w:p>
        </w:tc>
        <w:tc>
          <w:tcPr>
            <w:tcW w:type="dxa" w:w="1440"/>
            <w:shd w:fill="FFDCE0" w:val="clear"/>
          </w:tcPr>
          <w:p>
            <w:r>
              <w:rPr>
                <w:b/>
                <w:color w:val="C00000"/>
                <w:sz w:val="17"/>
              </w:rPr>
              <w:t>-2.9%</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6,763</w:t>
            </w:r>
          </w:p>
        </w:tc>
        <w:tc>
          <w:tcPr>
            <w:tcW w:type="dxa" w:w="1440"/>
            <w:shd w:fill="FFDCE0" w:val="clear"/>
          </w:tcPr>
          <w:p>
            <w:r>
              <w:rPr>
                <w:b/>
                <w:sz w:val="17"/>
              </w:rPr>
              <w:t>7,653</w:t>
            </w:r>
          </w:p>
        </w:tc>
        <w:tc>
          <w:tcPr>
            <w:tcW w:type="dxa" w:w="1440"/>
            <w:shd w:fill="FFDCE0" w:val="clear"/>
          </w:tcPr>
          <w:p>
            <w:r>
              <w:rPr>
                <w:sz w:val="17"/>
              </w:rPr>
              <w:t>8,543</w:t>
            </w:r>
          </w:p>
        </w:tc>
        <w:tc>
          <w:tcPr>
            <w:tcW w:type="dxa" w:w="1440"/>
            <w:shd w:fill="FFDCE0" w:val="clear"/>
          </w:tcPr>
          <w:p>
            <w:r>
              <w:rPr>
                <w:b/>
                <w:color w:val="C00000"/>
                <w:sz w:val="17"/>
              </w:rPr>
              <w:t>-3.1%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de l'analyse : 11 août 2026**</w:t>
        <w:br/>
        <w:t>**Cours de référence : 7,900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201,91 milliards FCFA, un niveau significatif qui la positionne parmi les valeurs moyennes à grandes capitalisations de la BRVM, lui conférant une liquidité et une visibilité appréciables. Le BPA de 977 FCFA indique que chaque action génère un bénéfice substantiel, justifiant un PER de 8,1x. Ce ratio est inférieur à la moyenne historique de la BRVM (8-12x), ce qui suggère une sous-évaluation relative du titre par rapport à ses bénéfices. Le P/B de 1,46x est également raisonnable, le marché valorisant la société légèrement au-dessus de sa valeur comptable, ce qui est sain pour une entreprise rentable. Enfin, un EV/EBITDA de 5,1x est attractif, indiquant que la valeur totale de l'entreprise (dette incluse) reste modérée par rapport à sa capacité à générer du cash opérationnel. L'ensemble de ces ratios plaide en faveur d'une valorisation boursière actuellement peu exigeante.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SPHC a enregistré une variation totale de -6,23%, avec une dernière séance stable (+0,00%). Le titre a évolué dans une fourchette large de 6,720 FCFA (plus bas) à 8,435 FCFA (plus haut), démontrant une volatilité intra-période importante. La moyenne du cours sur la période est de 7,406 FCFA, très proche de la médiane (7,400 FCFA), ce qui indique une distribution des prix relativement symétrique, bien que le skewness positif (0.529) suggère un plus grand nombre de journées sous la moyenne, tirées par des épisodes de baisse. L'écart-type de 361 FCFA (CV=4,9%) montre une dispersion modérée autour de la moyenne. Le kurtosis de 0.563 (mésokurtique) indique un risque de pics de volatilité similaire à une distribution normale. La volatilité annualisée de 40,9% est élevée, reflétant un titre spéculatif et sensible aux variations des cours mondiaux du caoutchouc.</w:t>
      </w:r>
    </w:p>
    <w:p>
      <w:pPr>
        <w:spacing w:after="120" w:line="276" w:lineRule="auto"/>
      </w:pPr>
      <w:r>
        <w:t>---</w:t>
      </w:r>
    </w:p>
    <w:p>
      <w:pPr>
        <w:spacing w:after="120" w:line="276" w:lineRule="auto"/>
      </w:pPr>
      <w:r>
        <w:t>### PARTIE 2 : ANALYSE TECHNIQUE DÉTAILLÉE</w:t>
      </w:r>
    </w:p>
    <w:p>
      <w:pPr>
        <w:spacing w:after="120" w:line="276" w:lineRule="auto"/>
      </w:pPr>
      <w:r>
        <w:t>**Moyennes Mobiles (MM20=7521.25, MM50=7592.2) :** Le cours actuel (7,900 FCFA) est nettement supérieur aux deux moyennes mobiles, ce qui est un signal haussier à court terme. Cependant, la décision globale est "Vente", probablement car le cours a récemment cassé une tendance haussière de moyen terme, et la MM20 (7,521) est inférieure à la MM50 (7,592), formant une configuration de croisement baissier (death cross) sur le moyen terme.</w:t>
      </w:r>
    </w:p>
    <w:p>
      <w:pPr>
        <w:spacing w:after="120" w:line="276" w:lineRule="auto"/>
      </w:pPr>
      <w:r>
        <w:t>**Bandes de Bollinger (Borne sup=7829.9, Borne inf=7212.6) :** Le prix actuel (7,900 FCFA) se situe au-dessus de la borne supérieure, ce qui indique une condition de surachat extrême à très court terme. La décision "Vente" est justifiée par une probabilité statistique élevée d'un retour du prix vers la moyenne (bande médiane) après une telle extension. La volatilité, mesurée par l'écart-type, est en expansion.</w:t>
      </w:r>
    </w:p>
    <w:p>
      <w:pPr>
        <w:spacing w:after="120" w:line="276" w:lineRule="auto"/>
      </w:pPr>
      <w:r>
        <w:t>**MACD (Valeur=56.061, Signal=11.956) :** Le MACD est positif et nettement au-dessus de sa ligne de signal, indiquant un momentum haussier fort et une dynamique de prix positive. La décision "Achat" est cohérente avec cette configuration, qui suggère que la tendance haussière de fond est toujours en place, malgré les corrections récentes.</w:t>
      </w:r>
    </w:p>
    <w:p>
      <w:pPr>
        <w:spacing w:after="120" w:line="276" w:lineRule="auto"/>
      </w:pPr>
      <w:r>
        <w:t>**RSI (Valeur=74.336) :** Le RSI est supérieur à 70, ce qui place le titre en zone de surachat. Cela signifie que les acheteurs ont été trop actifs récemment et que le titre est susceptible de subir une correction ou une consolidation à court terme. La décision "Vente" est donc justifiée pour anticiper ce repli technique.</w:t>
      </w:r>
    </w:p>
    <w:p>
      <w:pPr>
        <w:spacing w:after="120" w:line="276" w:lineRule="auto"/>
      </w:pPr>
      <w:r>
        <w:t>**Stochastique (%K=100.0, %D=100.0) :** Les deux lignes %K et %D sont à leur niveau maximal (100), confirmant une condition de surachat extrême et sans précédent sur la période. Cela indique que le mouvement haussier a été violent et que le titre est "surchauffé". La décision "Vente" est impérative d'un point de vue technique, car un tel niveau précède presque toujours un retournement ou une forte consolidation.</w:t>
      </w:r>
    </w:p>
    <w:p>
      <w:pPr>
        <w:spacing w:after="120" w:line="276" w:lineRule="auto"/>
      </w:pPr>
      <w:r>
        <w:t>**Conclusion technique :** Les indicateurs de momentum (MACD) sont positifs, mais les oscillateurs de surachat (RSI, Stochastique) et la position du prix au-delà des bandes de Bollinger signalent une correction imminente. La configuration des moyennes mobiles est mitigée. Le signal global est donc un **conflit entre la tendance de fond et les conditions de surachat à court terme**, penchant vers une consolidation baissière à très court terme.</w:t>
      </w:r>
    </w:p>
    <w:p>
      <w:pPr>
        <w:spacing w:after="120" w:line="276" w:lineRule="auto"/>
      </w:pPr>
      <w:r>
        <w:t>---</w:t>
      </w:r>
    </w:p>
    <w:p>
      <w:pPr>
        <w:spacing w:after="120" w:line="276" w:lineRule="auto"/>
      </w:pPr>
      <w:r>
        <w:t>### PARTIE 3 : ANALYSE FONDAMENTALE (SECTION CRITIQUE)</w:t>
      </w:r>
    </w:p>
    <w:p>
      <w:pPr>
        <w:spacing w:after="120" w:line="276" w:lineRule="auto"/>
      </w:pPr>
      <w:r>
        <w:t>En se basant sur les données structurées de l'exercice 2025, SPHC affiche une santé financière robuste. Le chiffre d'affaires s'établit à 340,831 milliards FCFA, en croissance de 22% par rapport à 2024, et le résultat net atteint 24,972 milliards FCFA, en hausse de 32,9%. La rentabilité est excellente avec un ROE de 18,1% et un ROA de 11,1%, démontrant une utilisation efficace des capitaux propres et des actifs. La marge opérationnelle de 11,2% et la marge nette de 7,3% sont en amélioration constante. La structure financière est saine avec une autonomie financière de 61,1% et un ratio d'endettement maîtrisé de 25,8%. Cependant, le BFR de 65,389 milliards FCFA et la trésorerie nette négative (-15,413 milliards) sont des points de vigilance, typiques du secteur, mais nécessitant un suivi. Les rapports trimestriels de 2025 confirment cette dynamique : le T1 2025 montrait un CA en hausse de +72% et un résultat net en explosion de +949%, tandis que le T3 2025 cumulé affichait un CA de 253,7 milliards (+36%) et un résultat net de 23,1 milliards (+131%). En revanche, le rapport du T1 2026 (daté de 2026) révèle un net ralentissement avec un CA de 71,8 milliards (-24%) et un résultat net de 2,6 milliards (-78%), pénalisé par la chute des cours mondiaux du caoutchouc et des tensions sur l'approvisionnement local. Sur la base de ce T1 2026, on estime que l'exercice 2026 pourrait voir une contraction significative des résultats, bien que la société maintienne une structure financière solide et des investissements stratégiques. La recommandation fondamentale actuelle est de **CONSERVER**, la performance 2025 étant solide mais les perspectives 2026 étant incertaines.</w:t>
      </w:r>
    </w:p>
    <w:p>
      <w:pPr>
        <w:spacing w:after="120" w:line="276" w:lineRule="auto"/>
      </w:pPr>
      <w:r>
        <w:t>---</w:t>
      </w:r>
    </w:p>
    <w:p>
      <w:pPr>
        <w:spacing w:after="120" w:line="276" w:lineRule="auto"/>
      </w:pPr>
      <w:r>
        <w:t>### PARTIE 4 : CONCLUSION D'INVESTISSEMENT</w:t>
      </w:r>
    </w:p>
    <w:p>
      <w:pPr>
        <w:spacing w:after="120" w:line="276" w:lineRule="auto"/>
      </w:pPr>
      <w:r>
        <w:t>La synthèse globale révèle des signaux contrastés. La valorisation boursière (Partie 0) est attractive avec un PER de 8,1x et un EV/EBITDA de 5,1x, suggérant une sous-évaluation. Le comportement du cours (Partie 1) montre une tendance baissière sur 100 jours (-6,23%) avec une volatilité élevée (40,9%), mais les statistiques (skewness positif) indiquent un potentiel de rebond. Les signaux techniques (Partie 2) sont en conflit : le MACD est haussier, mais le RSI, le Stochastique et les Bandes de Bollinger crient au surachat, prédisant une correction à court terme. Les fondamentaux (Partie 3) sont solides pour 2025 (croissance de 22%, ROE de 18,1%), mais les estimations basées sur le T1 2026 (-78% de résultat net) suggèrent une année 2026 difficile. Les prédictions IA (J+1 à J+10) montrent une trajectoire baissière progressive de 7,785 à 7,728 FCFA, confirmant le signal de correction technique. En conclusion, la convergence entre les signaux techniques de surachat, les prédictions IA baissières et les perspectives fondamentales 2026 dégradées l'emporte sur la valorisation attractive. Par conséquent, la recommandation finale est **CONSERVER**, avec un niveau de confiance **Moyen** et un risque global **Élevé** dû à la volatilité des matières premières. L'horizon d'investissement optimal serait le **moyen terme (3-12 mois)**, en attendant une stabilisation des cours du caoutchouc et une confirmation d'un point d'entrée plus favorable après la correction technique attendue.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35.35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6,512 titres</w:t>
            </w:r>
          </w:p>
        </w:tc>
        <w:tc>
          <w:tcPr>
            <w:tcW w:type="dxa" w:w="2268"/>
            <w:shd w:fill="FFF2CC" w:val="clear"/>
          </w:tcPr>
          <w:p>
            <w:r>
              <w:rPr>
                <w:b/>
                <w:color w:val="503200"/>
                <w:sz w:val="16"/>
              </w:rPr>
              <w:t xml:space="preserve">Cours actuel : </w:t>
            </w:r>
            <w:r>
              <w:rPr>
                <w:color w:val="000000"/>
                <w:sz w:val="17"/>
              </w:rPr>
              <w:t>2,630 FCFA</w:t>
            </w:r>
          </w:p>
          <w:p>
            <w:r>
              <w:rPr>
                <w:b/>
                <w:color w:val="503200"/>
                <w:sz w:val="16"/>
              </w:rPr>
              <w:t xml:space="preserve">Var. 100 jours : </w:t>
            </w:r>
            <w:r>
              <w:rPr>
                <w:b/>
                <w:color w:val="007800"/>
                <w:sz w:val="17"/>
              </w:rPr>
              <w:t>+4.16%</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2,285 FCFA</w:t>
            </w:r>
          </w:p>
          <w:p>
            <w:r>
              <w:rPr>
                <w:b/>
                <w:color w:val="503200"/>
                <w:sz w:val="16"/>
              </w:rPr>
              <w:t xml:space="preserve">Volatilité ann. : </w:t>
            </w:r>
            <w:r>
              <w:rPr>
                <w:color w:val="000000"/>
                <w:sz w:val="17"/>
              </w:rPr>
              <w:t>71.0%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11.79% (Moyenne) — μ=3,024 FCFA, σ=356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β=-1.1291 (Contre-cyclique) — Cov=-0.000041, Var(idx)=0.000036, ρ=-0.154,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6,512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σ_j=4.47%/j (Modérée) — Vol. annualisée≈71.0%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2026-08-12</w:t>
            </w:r>
          </w:p>
        </w:tc>
        <w:tc>
          <w:tcPr>
            <w:tcW w:type="dxa" w:w="1440"/>
            <w:shd w:fill="FFDCE0" w:val="clear"/>
          </w:tcPr>
          <w:p>
            <w:r>
              <w:rPr>
                <w:sz w:val="17"/>
              </w:rPr>
              <w:t>2,345</w:t>
            </w:r>
          </w:p>
        </w:tc>
        <w:tc>
          <w:tcPr>
            <w:tcW w:type="dxa" w:w="1440"/>
            <w:shd w:fill="FFDCE0" w:val="clear"/>
          </w:tcPr>
          <w:p>
            <w:r>
              <w:rPr>
                <w:b/>
                <w:sz w:val="17"/>
              </w:rPr>
              <w:t>2,471</w:t>
            </w:r>
          </w:p>
        </w:tc>
        <w:tc>
          <w:tcPr>
            <w:tcW w:type="dxa" w:w="1440"/>
            <w:shd w:fill="FFDCE0" w:val="clear"/>
          </w:tcPr>
          <w:p>
            <w:r>
              <w:rPr>
                <w:sz w:val="17"/>
              </w:rPr>
              <w:t>2,596</w:t>
            </w:r>
          </w:p>
        </w:tc>
        <w:tc>
          <w:tcPr>
            <w:tcW w:type="dxa" w:w="1440"/>
            <w:shd w:fill="FFDCE0" w:val="clear"/>
          </w:tcPr>
          <w:p>
            <w:r>
              <w:rPr>
                <w:b/>
                <w:color w:val="C00000"/>
                <w:sz w:val="17"/>
              </w:rPr>
              <w:t>-6.1%</w:t>
            </w:r>
          </w:p>
        </w:tc>
      </w:tr>
      <w:tr>
        <w:tc>
          <w:tcPr>
            <w:tcW w:type="dxa" w:w="1440"/>
            <w:shd w:fill="FFDCE0" w:val="clear"/>
          </w:tcPr>
          <w:p>
            <w:r>
              <w:rPr>
                <w:sz w:val="17"/>
              </w:rPr>
              <w:t>J+2  Moyenne</w:t>
            </w:r>
          </w:p>
        </w:tc>
        <w:tc>
          <w:tcPr>
            <w:tcW w:type="dxa" w:w="1440"/>
            <w:shd w:fill="FFDCE0" w:val="clear"/>
          </w:tcPr>
          <w:p>
            <w:r>
              <w:rPr>
                <w:sz w:val="17"/>
              </w:rPr>
              <w:t>2026-08-13</w:t>
            </w:r>
          </w:p>
        </w:tc>
        <w:tc>
          <w:tcPr>
            <w:tcW w:type="dxa" w:w="1440"/>
            <w:shd w:fill="FFDCE0" w:val="clear"/>
          </w:tcPr>
          <w:p>
            <w:r>
              <w:rPr>
                <w:sz w:val="17"/>
              </w:rPr>
              <w:t>2,164</w:t>
            </w:r>
          </w:p>
        </w:tc>
        <w:tc>
          <w:tcPr>
            <w:tcW w:type="dxa" w:w="1440"/>
            <w:shd w:fill="FFDCE0" w:val="clear"/>
          </w:tcPr>
          <w:p>
            <w:r>
              <w:rPr>
                <w:b/>
                <w:sz w:val="17"/>
              </w:rPr>
              <w:t>2,332</w:t>
            </w:r>
          </w:p>
        </w:tc>
        <w:tc>
          <w:tcPr>
            <w:tcW w:type="dxa" w:w="1440"/>
            <w:shd w:fill="FFDCE0" w:val="clear"/>
          </w:tcPr>
          <w:p>
            <w:r>
              <w:rPr>
                <w:sz w:val="17"/>
              </w:rPr>
              <w:t>2,500</w:t>
            </w:r>
          </w:p>
        </w:tc>
        <w:tc>
          <w:tcPr>
            <w:tcW w:type="dxa" w:w="1440"/>
            <w:shd w:fill="FFDCE0" w:val="clear"/>
          </w:tcPr>
          <w:p>
            <w:r>
              <w:rPr>
                <w:b/>
                <w:color w:val="C00000"/>
                <w:sz w:val="17"/>
              </w:rPr>
              <w:t>-11.3%</w:t>
            </w:r>
          </w:p>
        </w:tc>
      </w:tr>
      <w:tr>
        <w:tc>
          <w:tcPr>
            <w:tcW w:type="dxa" w:w="1440"/>
            <w:shd w:fill="FFDCE0" w:val="clear"/>
          </w:tcPr>
          <w:p>
            <w:r>
              <w:rPr>
                <w:sz w:val="17"/>
              </w:rPr>
              <w:t>J+3  Moyenne</w:t>
            </w:r>
          </w:p>
        </w:tc>
        <w:tc>
          <w:tcPr>
            <w:tcW w:type="dxa" w:w="1440"/>
            <w:shd w:fill="FFDCE0" w:val="clear"/>
          </w:tcPr>
          <w:p>
            <w:r>
              <w:rPr>
                <w:sz w:val="17"/>
              </w:rPr>
              <w:t>2026-08-14</w:t>
            </w:r>
          </w:p>
        </w:tc>
        <w:tc>
          <w:tcPr>
            <w:tcW w:type="dxa" w:w="1440"/>
            <w:shd w:fill="FFDCE0" w:val="clear"/>
          </w:tcPr>
          <w:p>
            <w:r>
              <w:rPr>
                <w:sz w:val="17"/>
              </w:rPr>
              <w:t>1,991</w:t>
            </w:r>
          </w:p>
        </w:tc>
        <w:tc>
          <w:tcPr>
            <w:tcW w:type="dxa" w:w="1440"/>
            <w:shd w:fill="FFDCE0" w:val="clear"/>
          </w:tcPr>
          <w:p>
            <w:r>
              <w:rPr>
                <w:b/>
                <w:sz w:val="17"/>
              </w:rPr>
              <w:t>2,183</w:t>
            </w:r>
          </w:p>
        </w:tc>
        <w:tc>
          <w:tcPr>
            <w:tcW w:type="dxa" w:w="1440"/>
            <w:shd w:fill="FFDCE0" w:val="clear"/>
          </w:tcPr>
          <w:p>
            <w:r>
              <w:rPr>
                <w:sz w:val="17"/>
              </w:rPr>
              <w:t>2,376</w:t>
            </w:r>
          </w:p>
        </w:tc>
        <w:tc>
          <w:tcPr>
            <w:tcW w:type="dxa" w:w="1440"/>
            <w:shd w:fill="FFDCE0" w:val="clear"/>
          </w:tcPr>
          <w:p>
            <w:r>
              <w:rPr>
                <w:b/>
                <w:color w:val="C00000"/>
                <w:sz w:val="17"/>
              </w:rPr>
              <w:t>-17.0%</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1,840</w:t>
            </w:r>
          </w:p>
        </w:tc>
        <w:tc>
          <w:tcPr>
            <w:tcW w:type="dxa" w:w="1440"/>
            <w:shd w:fill="FFDCE0" w:val="clear"/>
          </w:tcPr>
          <w:p>
            <w:r>
              <w:rPr>
                <w:b/>
                <w:sz w:val="17"/>
              </w:rPr>
              <w:t>2,048</w:t>
            </w:r>
          </w:p>
        </w:tc>
        <w:tc>
          <w:tcPr>
            <w:tcW w:type="dxa" w:w="1440"/>
            <w:shd w:fill="FFDCE0" w:val="clear"/>
          </w:tcPr>
          <w:p>
            <w:r>
              <w:rPr>
                <w:sz w:val="17"/>
              </w:rPr>
              <w:t>2,257</w:t>
            </w:r>
          </w:p>
        </w:tc>
        <w:tc>
          <w:tcPr>
            <w:tcW w:type="dxa" w:w="1440"/>
            <w:shd w:fill="FFDCE0" w:val="clear"/>
          </w:tcPr>
          <w:p>
            <w:r>
              <w:rPr>
                <w:b/>
                <w:color w:val="C00000"/>
                <w:sz w:val="17"/>
              </w:rPr>
              <w:t>-22.1%</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1,714</w:t>
            </w:r>
          </w:p>
        </w:tc>
        <w:tc>
          <w:tcPr>
            <w:tcW w:type="dxa" w:w="1440"/>
            <w:shd w:fill="FFDCE0" w:val="clear"/>
          </w:tcPr>
          <w:p>
            <w:r>
              <w:rPr>
                <w:b/>
                <w:sz w:val="17"/>
              </w:rPr>
              <w:t>1,934</w:t>
            </w:r>
          </w:p>
        </w:tc>
        <w:tc>
          <w:tcPr>
            <w:tcW w:type="dxa" w:w="1440"/>
            <w:shd w:fill="FFDCE0" w:val="clear"/>
          </w:tcPr>
          <w:p>
            <w:r>
              <w:rPr>
                <w:sz w:val="17"/>
              </w:rPr>
              <w:t>2,154</w:t>
            </w:r>
          </w:p>
        </w:tc>
        <w:tc>
          <w:tcPr>
            <w:tcW w:type="dxa" w:w="1440"/>
            <w:shd w:fill="FFDCE0" w:val="clear"/>
          </w:tcPr>
          <w:p>
            <w:r>
              <w:rPr>
                <w:b/>
                <w:color w:val="C00000"/>
                <w:sz w:val="17"/>
              </w:rPr>
              <w:t>-26.5%</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1,611</w:t>
            </w:r>
          </w:p>
        </w:tc>
        <w:tc>
          <w:tcPr>
            <w:tcW w:type="dxa" w:w="1440"/>
            <w:shd w:fill="FFDCE0" w:val="clear"/>
          </w:tcPr>
          <w:p>
            <w:r>
              <w:rPr>
                <w:b/>
                <w:sz w:val="17"/>
              </w:rPr>
              <w:t>1,840</w:t>
            </w:r>
          </w:p>
        </w:tc>
        <w:tc>
          <w:tcPr>
            <w:tcW w:type="dxa" w:w="1440"/>
            <w:shd w:fill="FFDCE0" w:val="clear"/>
          </w:tcPr>
          <w:p>
            <w:r>
              <w:rPr>
                <w:sz w:val="17"/>
              </w:rPr>
              <w:t>2,070</w:t>
            </w:r>
          </w:p>
        </w:tc>
        <w:tc>
          <w:tcPr>
            <w:tcW w:type="dxa" w:w="1440"/>
            <w:shd w:fill="FFDCE0" w:val="clear"/>
          </w:tcPr>
          <w:p>
            <w:r>
              <w:rPr>
                <w:b/>
                <w:color w:val="C00000"/>
                <w:sz w:val="17"/>
              </w:rPr>
              <w:t>-30.0%</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1,527</w:t>
            </w:r>
          </w:p>
        </w:tc>
        <w:tc>
          <w:tcPr>
            <w:tcW w:type="dxa" w:w="1440"/>
            <w:shd w:fill="FFDCE0" w:val="clear"/>
          </w:tcPr>
          <w:p>
            <w:r>
              <w:rPr>
                <w:b/>
                <w:sz w:val="17"/>
              </w:rPr>
              <w:t>1,764</w:t>
            </w:r>
          </w:p>
        </w:tc>
        <w:tc>
          <w:tcPr>
            <w:tcW w:type="dxa" w:w="1440"/>
            <w:shd w:fill="FFDCE0" w:val="clear"/>
          </w:tcPr>
          <w:p>
            <w:r>
              <w:rPr>
                <w:sz w:val="17"/>
              </w:rPr>
              <w:t>2,001</w:t>
            </w:r>
          </w:p>
        </w:tc>
        <w:tc>
          <w:tcPr>
            <w:tcW w:type="dxa" w:w="1440"/>
            <w:shd w:fill="FFDCE0" w:val="clear"/>
          </w:tcPr>
          <w:p>
            <w:r>
              <w:rPr>
                <w:b/>
                <w:color w:val="C00000"/>
                <w:sz w:val="17"/>
              </w:rPr>
              <w:t>-32.9%</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1,456</w:t>
            </w:r>
          </w:p>
        </w:tc>
        <w:tc>
          <w:tcPr>
            <w:tcW w:type="dxa" w:w="1440"/>
            <w:shd w:fill="FFDCE0" w:val="clear"/>
          </w:tcPr>
          <w:p>
            <w:r>
              <w:rPr>
                <w:b/>
                <w:sz w:val="17"/>
              </w:rPr>
              <w:t>1,701</w:t>
            </w:r>
          </w:p>
        </w:tc>
        <w:tc>
          <w:tcPr>
            <w:tcW w:type="dxa" w:w="1440"/>
            <w:shd w:fill="FFDCE0" w:val="clear"/>
          </w:tcPr>
          <w:p>
            <w:r>
              <w:rPr>
                <w:sz w:val="17"/>
              </w:rPr>
              <w:t>1,946</w:t>
            </w:r>
          </w:p>
        </w:tc>
        <w:tc>
          <w:tcPr>
            <w:tcW w:type="dxa" w:w="1440"/>
            <w:shd w:fill="FFDCE0" w:val="clear"/>
          </w:tcPr>
          <w:p>
            <w:r>
              <w:rPr>
                <w:b/>
                <w:color w:val="C00000"/>
                <w:sz w:val="17"/>
              </w:rPr>
              <w:t>-35.3%</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1,397</w:t>
            </w:r>
          </w:p>
        </w:tc>
        <w:tc>
          <w:tcPr>
            <w:tcW w:type="dxa" w:w="1440"/>
            <w:shd w:fill="FFDCE0" w:val="clear"/>
          </w:tcPr>
          <w:p>
            <w:r>
              <w:rPr>
                <w:b/>
                <w:sz w:val="17"/>
              </w:rPr>
              <w:t>1,649</w:t>
            </w:r>
          </w:p>
        </w:tc>
        <w:tc>
          <w:tcPr>
            <w:tcW w:type="dxa" w:w="1440"/>
            <w:shd w:fill="FFDCE0" w:val="clear"/>
          </w:tcPr>
          <w:p>
            <w:r>
              <w:rPr>
                <w:sz w:val="17"/>
              </w:rPr>
              <w:t>1,900</w:t>
            </w:r>
          </w:p>
        </w:tc>
        <w:tc>
          <w:tcPr>
            <w:tcW w:type="dxa" w:w="1440"/>
            <w:shd w:fill="FFDCE0" w:val="clear"/>
          </w:tcPr>
          <w:p>
            <w:r>
              <w:rPr>
                <w:b/>
                <w:color w:val="C00000"/>
                <w:sz w:val="17"/>
              </w:rPr>
              <w:t>-37.3%</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1,346</w:t>
            </w:r>
          </w:p>
        </w:tc>
        <w:tc>
          <w:tcPr>
            <w:tcW w:type="dxa" w:w="1440"/>
            <w:shd w:fill="FFDCE0" w:val="clear"/>
          </w:tcPr>
          <w:p>
            <w:r>
              <w:rPr>
                <w:b/>
                <w:sz w:val="17"/>
              </w:rPr>
              <w:t>1,604</w:t>
            </w:r>
          </w:p>
        </w:tc>
        <w:tc>
          <w:tcPr>
            <w:tcW w:type="dxa" w:w="1440"/>
            <w:shd w:fill="FFDCE0" w:val="clear"/>
          </w:tcPr>
          <w:p>
            <w:r>
              <w:rPr>
                <w:sz w:val="17"/>
              </w:rPr>
              <w:t>1,862</w:t>
            </w:r>
          </w:p>
        </w:tc>
        <w:tc>
          <w:tcPr>
            <w:tcW w:type="dxa" w:w="1440"/>
            <w:shd w:fill="FFDCE0" w:val="clear"/>
          </w:tcPr>
          <w:p>
            <w:r>
              <w:rPr>
                <w:b/>
                <w:color w:val="C00000"/>
                <w:sz w:val="17"/>
              </w:rPr>
              <w:t>-39.0%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**Date : 11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35,35 milliards FCFA, un niveau relativement modeste dans le contexte de la BRVM, qui confère au titre un statut de petite capitalisation. Le BPA est négatif à -7 FCFA, reflétant l'incapacité de l'entreprise à générer des bénéfices pour ses actionnaires. Le PER de -366,1x est donc non significatif et illustre une situation de pertes persistantes. Le P/B de 99,08x est extrêmement élevé, indiquant que le marché valorise le titre à près de 100 fois sa valeur comptable (capitaux propres de seulement 356,75 millions FCFA). Cette décote massive suggère que les investisseurs intègrent des anticipations de redressement très optimistes, ou que le flottant est très restreint. En l'absence d'EBITDA positif, le ratio EV/EBITDA est également non calculable, renforçant l'idée d'une valorisation spéculative.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STAC affiche une variation totale de +4,16%, avec une dernière séance stable (0,00%). Le titre évolue dans une fourchette très large, entre un plus bas de 2 285 FCFA et un plus haut de 3 895 FCFA, démontrant une forte amplitude de trading. La moyenne du cours sur la période est de 3 024 FCFA, très proche de la médiane (2 990 FCFA) et du mode (3 000 FCFA), ce qui indique une distribution relativement symétrique des prix, confirmée par un skewness de 0,164. L'écart-type de 358 FCFA (CV = 11,8%) révèle une dispersion modérée des prix autour de la moyenne. Le kurtosis de -0,697 (mésokurtique) suggère une distribution proche de la normale, sans risque de variations extrêmes. Cependant, la volatilité annualisée de 71,0% classe le titre comme extrêmement volatil, très au-dessus du seuil de 30% considéré comme élevé, ce qui en fait un actif à haut risque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2 630 FCFA se situe nettement sous la MM20 (2 898,75 FCFA) et la MM50 (3 158 FCFA). Cette configuration baissière, où le prix évolue sous les deux moyennes, confirme une tendance de fond négative. La décision de Vente est justifiée par cette dynamique, le titre ne montrant aucun signe de retournement vers ses moyennes.</w:t>
      </w:r>
    </w:p>
    <w:p>
      <w:pPr>
        <w:spacing w:after="120" w:line="276" w:lineRule="auto"/>
      </w:pPr>
      <w:r>
        <w:t>**Bandes de Bollinger :** Le prix se positionne dans la partie inférieure des bandes, proche de la borne basse (2 486,99 FCFA) et loin de la borne supérieure (3 310,51 FCFA). Cela indique une pression vendeuse persistante. La décision Neutre suggère que le titre n'est pas encore en situation de survente extrême, mais la proximité de la borne inférieure pourrait signaler un rebond technique à court terme.</w:t>
      </w:r>
    </w:p>
    <w:p>
      <w:pPr>
        <w:spacing w:after="120" w:line="276" w:lineRule="auto"/>
      </w:pPr>
      <w:r>
        <w:t>**MACD :** Le MACD (-150,77) est négatif et inférieur à sa ligne de signal (-130,96), confirmant un momentum baissier. Cette divergence négative indique que la dynamique de prix reste orientée à la baisse. La décision de Vente est cohérente avec cette configuration, qui ne montre aucun signe de croisement haussier imminent.</w:t>
      </w:r>
    </w:p>
    <w:p>
      <w:pPr>
        <w:spacing w:after="120" w:line="276" w:lineRule="auto"/>
      </w:pPr>
      <w:r>
        <w:t>**RSI :** Le RSI s'établit à 28,44, en dessous du seuil de survente de 30. Cela suggère que le titre est techniquement survendu, ce qui pourrait attirer des acheteurs à la recherche de points d'entrée. La décision d'Achat est donc justifiée par ce niveau extrême, bien qu'il ne garantisse pas un retournement immédiat.</w:t>
      </w:r>
    </w:p>
    <w:p>
      <w:pPr>
        <w:spacing w:after="120" w:line="276" w:lineRule="auto"/>
      </w:pPr>
      <w:r>
        <w:t>**Stochastique :** Le %K et le %D sont tous deux à 0,00, indiquant une condition de survente extrême. Cette configuration reflète un épuisement des vendeurs, mais aussi une absence totale de momentum haussier. La décision d'Achat est basée sur l'hypothèse d'un rebond technique, mais elle reste fragile sans catalyseur.</w:t>
      </w:r>
    </w:p>
    <w:p>
      <w:pPr>
        <w:spacing w:after="120" w:line="276" w:lineRule="auto"/>
      </w:pPr>
      <w:r>
        <w:t>**Conclusion technique :** La majorité des indicateurs (MM, MACD) signalent une tendance baissière, tandis que les oscillateurs (RSI, Stochastique) sont en zone de survente. Cette divergence suggère un possible rebond technique à court terme, mais la tendance de fond reste résolument négative. Les signaux de vente dominent, et toute tentative de rebond devrait être considérée avec prudence.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révèlent une situation financière très dégradée pour STAC. Le chiffre d'affaires s'établit à 3,878 milliards FCFA, mais le résultat net est une perte de -96,56 millions FCFA, avec un ROE de -27,07% et un ROA de -1,77%. La marge nette est négative à -2,49%, et l'EBE est fortement déficitaire à -650 millions FCFA. La structure financière est fragile : les capitaux propres ne représentent que 6,55% du total du bilan (356,75 millions FCFA), et le ratio d'endettement est de 93,45%. Le BFR est négatif à -930 millions FCFA, ce qui est un point positif pour la trésorerie, mais la capacité de remboursement de 77,53 ans est alarmante. Les rapports trimestriels 2025 montrent une reprise d'activité : le CA du S1 2025 a bondi de +290% à 2 271 millions FCFA, et le cumul sur 9 mois atteint 3 456 millions FCFA (+176%). Cependant, la perte nette cumulée reste de -477 millions FCFA, bien que réduite de 22% par rapport à 2024. Les rapports de 2024 (datés du 31/12/2024) confirment une année noire avec un CA de 1 793 millions FCFA (-80,6%) et une perte de -348 millions FCFA. La reprise de 2025, portée par le chantier de l'aéroport d'Abidjan, est encourageante mais insuffisante pour restaurer la rentabilité. On estime que l'exercice 2025 devrait clôturer avec un CA proche de 4 milliards FCFA, mais la perte nette pourrait persister autour de -500 millions FCFA, malgré une amélioration opérationnelle notable.</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spéculative, avec un P/B de 99x et un PER négatif, indiquant une surévaluation flagrante par rapport aux fondamentaux. Le comportement du cours, bien que volatil (71% annualisé), montre une tendance baissière sur 100 jours, avec des statistiques (distribution symétrique) ne signalant pas de risque extrême, mais une dynamique de prix défavorable. Les signaux techniques sont majoritairement vendeurs (MM, MACD), malgré des conditions de survente (RSI, Stochastique) qui pourraient déclencher un rebond technique. Les fondamentaux, bien qu'en amélioration en 2025 (+176% de CA sur 9 mois), restent déficitaires, avec des pertes persistantes et une structure financière fragile. Les prédictions IA pour les 10 prochains jours (baisse de 2 471 à 1 934 FCFA) confirment la tendance baissière et contredisent tout scénario de rebond durable. En synthèse, la convergence entre la valorisation excessive, la technique baissière et les prédictions IA est forte, malgré des fondamentaux en voie de redressement. **Recommandation finale : VENTE FORTE**, avec un niveau de confiance **Élevé** et un risque global **Élevé**. L'horizon d'investissement optimal est le **court terme (&lt; 3 mois)** pour les investisseurs cherchant à limiter leurs pertes, tandis qu'un retournement nécessiterait des preuves concrètes de rentabilité opérationnelle durable.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414.67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3,414 titres</w:t>
            </w:r>
          </w:p>
        </w:tc>
        <w:tc>
          <w:tcPr>
            <w:tcW w:type="dxa" w:w="2268"/>
            <w:shd w:fill="FFF2CC" w:val="clear"/>
          </w:tcPr>
          <w:p>
            <w:r>
              <w:rPr>
                <w:b/>
                <w:color w:val="503200"/>
                <w:sz w:val="16"/>
              </w:rPr>
              <w:t xml:space="preserve">Cours actuel : </w:t>
            </w:r>
            <w:r>
              <w:rPr>
                <w:color w:val="000000"/>
                <w:sz w:val="17"/>
              </w:rPr>
              <w:t>23,095 FCFA</w:t>
            </w:r>
          </w:p>
          <w:p>
            <w:r>
              <w:rPr>
                <w:b/>
                <w:color w:val="503200"/>
                <w:sz w:val="16"/>
              </w:rPr>
              <w:t xml:space="preserve">Var. 100 jours : </w:t>
            </w:r>
            <w:r>
              <w:rPr>
                <w:b/>
                <w:color w:val="007800"/>
                <w:sz w:val="17"/>
              </w:rPr>
              <w:t>+5.94%</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6.13% (Moyenne) — μ=22,156 FCFA, σ=1,358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β=0.1315 (Défensif) — Cov=0.000005, Var(idx)=0.000036, ρ=0.040,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Achat=3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2026-08-12</w:t>
            </w:r>
          </w:p>
        </w:tc>
        <w:tc>
          <w:tcPr>
            <w:tcW w:type="dxa" w:w="1440"/>
            <w:shd w:fill="C6EFCE" w:val="clear"/>
          </w:tcPr>
          <w:p>
            <w:r>
              <w:rPr>
                <w:sz w:val="17"/>
              </w:rPr>
              <w:t>23,404</w:t>
            </w:r>
          </w:p>
        </w:tc>
        <w:tc>
          <w:tcPr>
            <w:tcW w:type="dxa" w:w="1440"/>
            <w:shd w:fill="C6EFCE" w:val="clear"/>
          </w:tcPr>
          <w:p>
            <w:r>
              <w:rPr>
                <w:b/>
                <w:sz w:val="17"/>
              </w:rPr>
              <w:t>24,435</w:t>
            </w:r>
          </w:p>
        </w:tc>
        <w:tc>
          <w:tcPr>
            <w:tcW w:type="dxa" w:w="1440"/>
            <w:shd w:fill="C6EFCE" w:val="clear"/>
          </w:tcPr>
          <w:p>
            <w:r>
              <w:rPr>
                <w:sz w:val="17"/>
              </w:rPr>
              <w:t>25,465</w:t>
            </w:r>
          </w:p>
        </w:tc>
        <w:tc>
          <w:tcPr>
            <w:tcW w:type="dxa" w:w="1440"/>
            <w:shd w:fill="C6EFCE" w:val="clear"/>
          </w:tcPr>
          <w:p>
            <w:r>
              <w:rPr>
                <w:b/>
                <w:color w:val="008000"/>
                <w:sz w:val="17"/>
              </w:rPr>
              <w:t>+5.8%</w:t>
            </w:r>
          </w:p>
        </w:tc>
      </w:tr>
      <w:tr>
        <w:tc>
          <w:tcPr>
            <w:tcW w:type="dxa" w:w="1440"/>
            <w:shd w:fill="C6EFCE" w:val="clear"/>
          </w:tcPr>
          <w:p>
            <w:r>
              <w:rPr>
                <w:sz w:val="17"/>
              </w:rPr>
              <w:t>J+2  ⭐</w:t>
            </w:r>
          </w:p>
        </w:tc>
        <w:tc>
          <w:tcPr>
            <w:tcW w:type="dxa" w:w="1440"/>
            <w:shd w:fill="C6EFCE" w:val="clear"/>
          </w:tcPr>
          <w:p>
            <w:r>
              <w:rPr>
                <w:sz w:val="17"/>
              </w:rPr>
              <w:t>2026-08-13</w:t>
            </w:r>
          </w:p>
        </w:tc>
        <w:tc>
          <w:tcPr>
            <w:tcW w:type="dxa" w:w="1440"/>
            <w:shd w:fill="C6EFCE" w:val="clear"/>
          </w:tcPr>
          <w:p>
            <w:r>
              <w:rPr>
                <w:sz w:val="17"/>
              </w:rPr>
              <w:t>23,114</w:t>
            </w:r>
          </w:p>
        </w:tc>
        <w:tc>
          <w:tcPr>
            <w:tcW w:type="dxa" w:w="1440"/>
            <w:shd w:fill="C6EFCE" w:val="clear"/>
          </w:tcPr>
          <w:p>
            <w:r>
              <w:rPr>
                <w:b/>
                <w:sz w:val="17"/>
              </w:rPr>
              <w:t>24,580</w:t>
            </w:r>
          </w:p>
        </w:tc>
        <w:tc>
          <w:tcPr>
            <w:tcW w:type="dxa" w:w="1440"/>
            <w:shd w:fill="C6EFCE" w:val="clear"/>
          </w:tcPr>
          <w:p>
            <w:r>
              <w:rPr>
                <w:sz w:val="17"/>
              </w:rPr>
              <w:t>26,046</w:t>
            </w:r>
          </w:p>
        </w:tc>
        <w:tc>
          <w:tcPr>
            <w:tcW w:type="dxa" w:w="1440"/>
            <w:shd w:fill="C6EFCE" w:val="clear"/>
          </w:tcPr>
          <w:p>
            <w:r>
              <w:rPr>
                <w:b/>
                <w:color w:val="008000"/>
                <w:sz w:val="17"/>
              </w:rPr>
              <w:t>+6.4%</w:t>
            </w:r>
          </w:p>
        </w:tc>
      </w:tr>
      <w:tr>
        <w:tc>
          <w:tcPr>
            <w:tcW w:type="dxa" w:w="1440"/>
            <w:shd w:fill="C6EFCE" w:val="clear"/>
          </w:tcPr>
          <w:p>
            <w:r>
              <w:rPr>
                <w:sz w:val="17"/>
              </w:rPr>
              <w:t>J+3  ⭐</w:t>
            </w:r>
          </w:p>
        </w:tc>
        <w:tc>
          <w:tcPr>
            <w:tcW w:type="dxa" w:w="1440"/>
            <w:shd w:fill="C6EFCE" w:val="clear"/>
          </w:tcPr>
          <w:p>
            <w:r>
              <w:rPr>
                <w:sz w:val="17"/>
              </w:rPr>
              <w:t>2026-08-14</w:t>
            </w:r>
          </w:p>
        </w:tc>
        <w:tc>
          <w:tcPr>
            <w:tcW w:type="dxa" w:w="1440"/>
            <w:shd w:fill="C6EFCE" w:val="clear"/>
          </w:tcPr>
          <w:p>
            <w:r>
              <w:rPr>
                <w:sz w:val="17"/>
              </w:rPr>
              <w:t>22,965</w:t>
            </w:r>
          </w:p>
        </w:tc>
        <w:tc>
          <w:tcPr>
            <w:tcW w:type="dxa" w:w="1440"/>
            <w:shd w:fill="C6EFCE" w:val="clear"/>
          </w:tcPr>
          <w:p>
            <w:r>
              <w:rPr>
                <w:b/>
                <w:sz w:val="17"/>
              </w:rPr>
              <w:t>24,775</w:t>
            </w:r>
          </w:p>
        </w:tc>
        <w:tc>
          <w:tcPr>
            <w:tcW w:type="dxa" w:w="1440"/>
            <w:shd w:fill="C6EFCE" w:val="clear"/>
          </w:tcPr>
          <w:p>
            <w:r>
              <w:rPr>
                <w:sz w:val="17"/>
              </w:rPr>
              <w:t>26,584</w:t>
            </w:r>
          </w:p>
        </w:tc>
        <w:tc>
          <w:tcPr>
            <w:tcW w:type="dxa" w:w="1440"/>
            <w:shd w:fill="C6EFCE" w:val="clear"/>
          </w:tcPr>
          <w:p>
            <w:r>
              <w:rPr>
                <w:b/>
                <w:color w:val="008000"/>
                <w:sz w:val="17"/>
              </w:rPr>
              <w:t>+7.3%</w:t>
            </w:r>
          </w:p>
        </w:tc>
      </w:tr>
      <w:tr>
        <w:tc>
          <w:tcPr>
            <w:tcW w:type="dxa" w:w="1440"/>
            <w:shd w:fill="C6EFCE" w:val="clear"/>
          </w:tcPr>
          <w:p>
            <w:r>
              <w:rPr>
                <w:sz w:val="17"/>
              </w:rPr>
              <w:t>J+4  ⭐</w:t>
            </w:r>
          </w:p>
        </w:tc>
        <w:tc>
          <w:tcPr>
            <w:tcW w:type="dxa" w:w="1440"/>
            <w:shd w:fill="C6EFCE" w:val="clear"/>
          </w:tcPr>
          <w:p>
            <w:r>
              <w:rPr>
                <w:sz w:val="17"/>
              </w:rPr>
              <w:t>2026-08-17</w:t>
            </w:r>
          </w:p>
        </w:tc>
        <w:tc>
          <w:tcPr>
            <w:tcW w:type="dxa" w:w="1440"/>
            <w:shd w:fill="C6EFCE" w:val="clear"/>
          </w:tcPr>
          <w:p>
            <w:r>
              <w:rPr>
                <w:sz w:val="17"/>
              </w:rPr>
              <w:t>22,879</w:t>
            </w:r>
          </w:p>
        </w:tc>
        <w:tc>
          <w:tcPr>
            <w:tcW w:type="dxa" w:w="1440"/>
            <w:shd w:fill="C6EFCE" w:val="clear"/>
          </w:tcPr>
          <w:p>
            <w:r>
              <w:rPr>
                <w:b/>
                <w:sz w:val="17"/>
              </w:rPr>
              <w:t>24,986</w:t>
            </w:r>
          </w:p>
        </w:tc>
        <w:tc>
          <w:tcPr>
            <w:tcW w:type="dxa" w:w="1440"/>
            <w:shd w:fill="C6EFCE" w:val="clear"/>
          </w:tcPr>
          <w:p>
            <w:r>
              <w:rPr>
                <w:sz w:val="17"/>
              </w:rPr>
              <w:t>27,093</w:t>
            </w:r>
          </w:p>
        </w:tc>
        <w:tc>
          <w:tcPr>
            <w:tcW w:type="dxa" w:w="1440"/>
            <w:shd w:fill="C6EFCE" w:val="clear"/>
          </w:tcPr>
          <w:p>
            <w:r>
              <w:rPr>
                <w:b/>
                <w:color w:val="008000"/>
                <w:sz w:val="17"/>
              </w:rPr>
              <w:t>+8.2%</w:t>
            </w:r>
          </w:p>
        </w:tc>
      </w:tr>
      <w:tr>
        <w:tc>
          <w:tcPr>
            <w:tcW w:type="dxa" w:w="1440"/>
            <w:shd w:fill="C6EFCE" w:val="clear"/>
          </w:tcPr>
          <w:p>
            <w:r>
              <w:rPr>
                <w:sz w:val="17"/>
              </w:rPr>
              <w:t>J+5  ⭐</w:t>
            </w:r>
          </w:p>
        </w:tc>
        <w:tc>
          <w:tcPr>
            <w:tcW w:type="dxa" w:w="1440"/>
            <w:shd w:fill="C6EFCE" w:val="clear"/>
          </w:tcPr>
          <w:p>
            <w:r>
              <w:rPr>
                <w:sz w:val="17"/>
              </w:rPr>
              <w:t>2026-08-18</w:t>
            </w:r>
          </w:p>
        </w:tc>
        <w:tc>
          <w:tcPr>
            <w:tcW w:type="dxa" w:w="1440"/>
            <w:shd w:fill="C6EFCE" w:val="clear"/>
          </w:tcPr>
          <w:p>
            <w:r>
              <w:rPr>
                <w:sz w:val="17"/>
              </w:rPr>
              <w:t>22,839</w:t>
            </w:r>
          </w:p>
        </w:tc>
        <w:tc>
          <w:tcPr>
            <w:tcW w:type="dxa" w:w="1440"/>
            <w:shd w:fill="C6EFCE" w:val="clear"/>
          </w:tcPr>
          <w:p>
            <w:r>
              <w:rPr>
                <w:b/>
                <w:sz w:val="17"/>
              </w:rPr>
              <w:t>25,216</w:t>
            </w:r>
          </w:p>
        </w:tc>
        <w:tc>
          <w:tcPr>
            <w:tcW w:type="dxa" w:w="1440"/>
            <w:shd w:fill="C6EFCE" w:val="clear"/>
          </w:tcPr>
          <w:p>
            <w:r>
              <w:rPr>
                <w:sz w:val="17"/>
              </w:rPr>
              <w:t>27,594</w:t>
            </w:r>
          </w:p>
        </w:tc>
        <w:tc>
          <w:tcPr>
            <w:tcW w:type="dxa" w:w="1440"/>
            <w:shd w:fill="C6EFCE" w:val="clear"/>
          </w:tcPr>
          <w:p>
            <w:r>
              <w:rPr>
                <w:b/>
                <w:color w:val="008000"/>
                <w:sz w:val="17"/>
              </w:rPr>
              <w:t>+9.2%</w:t>
            </w:r>
          </w:p>
        </w:tc>
      </w:tr>
      <w:tr>
        <w:tc>
          <w:tcPr>
            <w:tcW w:type="dxa" w:w="1440"/>
            <w:shd w:fill="C6EFCE" w:val="clear"/>
          </w:tcPr>
          <w:p>
            <w:r>
              <w:rPr>
                <w:sz w:val="17"/>
              </w:rPr>
              <w:t>J+6  ⭐</w:t>
            </w:r>
          </w:p>
        </w:tc>
        <w:tc>
          <w:tcPr>
            <w:tcW w:type="dxa" w:w="1440"/>
            <w:shd w:fill="C6EFCE" w:val="clear"/>
          </w:tcPr>
          <w:p>
            <w:r>
              <w:rPr>
                <w:sz w:val="17"/>
              </w:rPr>
              <w:t>2026-08-19</w:t>
            </w:r>
          </w:p>
        </w:tc>
        <w:tc>
          <w:tcPr>
            <w:tcW w:type="dxa" w:w="1440"/>
            <w:shd w:fill="C6EFCE" w:val="clear"/>
          </w:tcPr>
          <w:p>
            <w:r>
              <w:rPr>
                <w:sz w:val="17"/>
              </w:rPr>
              <w:t>22,821</w:t>
            </w:r>
          </w:p>
        </w:tc>
        <w:tc>
          <w:tcPr>
            <w:tcW w:type="dxa" w:w="1440"/>
            <w:shd w:fill="C6EFCE" w:val="clear"/>
          </w:tcPr>
          <w:p>
            <w:r>
              <w:rPr>
                <w:b/>
                <w:sz w:val="17"/>
              </w:rPr>
              <w:t>25,449</w:t>
            </w:r>
          </w:p>
        </w:tc>
        <w:tc>
          <w:tcPr>
            <w:tcW w:type="dxa" w:w="1440"/>
            <w:shd w:fill="C6EFCE" w:val="clear"/>
          </w:tcPr>
          <w:p>
            <w:r>
              <w:rPr>
                <w:sz w:val="17"/>
              </w:rPr>
              <w:t>28,078</w:t>
            </w:r>
          </w:p>
        </w:tc>
        <w:tc>
          <w:tcPr>
            <w:tcW w:type="dxa" w:w="1440"/>
            <w:shd w:fill="C6EFCE" w:val="clear"/>
          </w:tcPr>
          <w:p>
            <w:r>
              <w:rPr>
                <w:b/>
                <w:color w:val="008000"/>
                <w:sz w:val="17"/>
              </w:rPr>
              <w:t>+10.2%</w:t>
            </w:r>
          </w:p>
        </w:tc>
      </w:tr>
      <w:tr>
        <w:tc>
          <w:tcPr>
            <w:tcW w:type="dxa" w:w="1440"/>
            <w:shd w:fill="C6EFCE" w:val="clear"/>
          </w:tcPr>
          <w:p>
            <w:r>
              <w:rPr>
                <w:sz w:val="17"/>
              </w:rPr>
              <w:t>J+7  ⭐</w:t>
            </w:r>
          </w:p>
        </w:tc>
        <w:tc>
          <w:tcPr>
            <w:tcW w:type="dxa" w:w="1440"/>
            <w:shd w:fill="C6EFCE" w:val="clear"/>
          </w:tcPr>
          <w:p>
            <w:r>
              <w:rPr>
                <w:sz w:val="17"/>
              </w:rPr>
              <w:t>2026-08-20</w:t>
            </w:r>
          </w:p>
        </w:tc>
        <w:tc>
          <w:tcPr>
            <w:tcW w:type="dxa" w:w="1440"/>
            <w:shd w:fill="C6EFCE" w:val="clear"/>
          </w:tcPr>
          <w:p>
            <w:r>
              <w:rPr>
                <w:sz w:val="17"/>
              </w:rPr>
              <w:t>22,810</w:t>
            </w:r>
          </w:p>
        </w:tc>
        <w:tc>
          <w:tcPr>
            <w:tcW w:type="dxa" w:w="1440"/>
            <w:shd w:fill="C6EFCE" w:val="clear"/>
          </w:tcPr>
          <w:p>
            <w:r>
              <w:rPr>
                <w:b/>
                <w:sz w:val="17"/>
              </w:rPr>
              <w:t>25,674</w:t>
            </w:r>
          </w:p>
        </w:tc>
        <w:tc>
          <w:tcPr>
            <w:tcW w:type="dxa" w:w="1440"/>
            <w:shd w:fill="C6EFCE" w:val="clear"/>
          </w:tcPr>
          <w:p>
            <w:r>
              <w:rPr>
                <w:sz w:val="17"/>
              </w:rPr>
              <w:t>28,538</w:t>
            </w:r>
          </w:p>
        </w:tc>
        <w:tc>
          <w:tcPr>
            <w:tcW w:type="dxa" w:w="1440"/>
            <w:shd w:fill="C6EFCE" w:val="clear"/>
          </w:tcPr>
          <w:p>
            <w:r>
              <w:rPr>
                <w:b/>
                <w:color w:val="008000"/>
                <w:sz w:val="17"/>
              </w:rPr>
              <w:t>+11.2%</w:t>
            </w:r>
          </w:p>
        </w:tc>
      </w:tr>
      <w:tr>
        <w:tc>
          <w:tcPr>
            <w:tcW w:type="dxa" w:w="1440"/>
            <w:shd w:fill="C6EFCE" w:val="clear"/>
          </w:tcPr>
          <w:p>
            <w:r>
              <w:rPr>
                <w:sz w:val="17"/>
              </w:rPr>
              <w:t>J+8  ⭐</w:t>
            </w:r>
          </w:p>
        </w:tc>
        <w:tc>
          <w:tcPr>
            <w:tcW w:type="dxa" w:w="1440"/>
            <w:shd w:fill="C6EFCE" w:val="clear"/>
          </w:tcPr>
          <w:p>
            <w:r>
              <w:rPr>
                <w:sz w:val="17"/>
              </w:rPr>
              <w:t>2026-08-21</w:t>
            </w:r>
          </w:p>
        </w:tc>
        <w:tc>
          <w:tcPr>
            <w:tcW w:type="dxa" w:w="1440"/>
            <w:shd w:fill="C6EFCE" w:val="clear"/>
          </w:tcPr>
          <w:p>
            <w:r>
              <w:rPr>
                <w:sz w:val="17"/>
              </w:rPr>
              <w:t>22,805</w:t>
            </w:r>
          </w:p>
        </w:tc>
        <w:tc>
          <w:tcPr>
            <w:tcW w:type="dxa" w:w="1440"/>
            <w:shd w:fill="C6EFCE" w:val="clear"/>
          </w:tcPr>
          <w:p>
            <w:r>
              <w:rPr>
                <w:b/>
                <w:sz w:val="17"/>
              </w:rPr>
              <w:t>25,893</w:t>
            </w:r>
          </w:p>
        </w:tc>
        <w:tc>
          <w:tcPr>
            <w:tcW w:type="dxa" w:w="1440"/>
            <w:shd w:fill="C6EFCE" w:val="clear"/>
          </w:tcPr>
          <w:p>
            <w:r>
              <w:rPr>
                <w:sz w:val="17"/>
              </w:rPr>
              <w:t>28,981</w:t>
            </w:r>
          </w:p>
        </w:tc>
        <w:tc>
          <w:tcPr>
            <w:tcW w:type="dxa" w:w="1440"/>
            <w:shd w:fill="C6EFCE" w:val="clear"/>
          </w:tcPr>
          <w:p>
            <w:r>
              <w:rPr>
                <w:b/>
                <w:color w:val="008000"/>
                <w:sz w:val="17"/>
              </w:rPr>
              <w:t>+12.1%</w:t>
            </w:r>
          </w:p>
        </w:tc>
      </w:tr>
      <w:tr>
        <w:tc>
          <w:tcPr>
            <w:tcW w:type="dxa" w:w="1440"/>
            <w:shd w:fill="C6EFCE" w:val="clear"/>
          </w:tcPr>
          <w:p>
            <w:r>
              <w:rPr>
                <w:sz w:val="17"/>
              </w:rPr>
              <w:t>J+9  ⭐</w:t>
            </w:r>
          </w:p>
        </w:tc>
        <w:tc>
          <w:tcPr>
            <w:tcW w:type="dxa" w:w="1440"/>
            <w:shd w:fill="C6EFCE" w:val="clear"/>
          </w:tcPr>
          <w:p>
            <w:r>
              <w:rPr>
                <w:sz w:val="17"/>
              </w:rPr>
              <w:t>2026-08-24</w:t>
            </w:r>
          </w:p>
        </w:tc>
        <w:tc>
          <w:tcPr>
            <w:tcW w:type="dxa" w:w="1440"/>
            <w:shd w:fill="C6EFCE" w:val="clear"/>
          </w:tcPr>
          <w:p>
            <w:r>
              <w:rPr>
                <w:sz w:val="17"/>
              </w:rPr>
              <w:t>22,819</w:t>
            </w:r>
          </w:p>
        </w:tc>
        <w:tc>
          <w:tcPr>
            <w:tcW w:type="dxa" w:w="1440"/>
            <w:shd w:fill="C6EFCE" w:val="clear"/>
          </w:tcPr>
          <w:p>
            <w:r>
              <w:rPr>
                <w:b/>
                <w:sz w:val="17"/>
              </w:rPr>
              <w:t>26,124</w:t>
            </w:r>
          </w:p>
        </w:tc>
        <w:tc>
          <w:tcPr>
            <w:tcW w:type="dxa" w:w="1440"/>
            <w:shd w:fill="C6EFCE" w:val="clear"/>
          </w:tcPr>
          <w:p>
            <w:r>
              <w:rPr>
                <w:sz w:val="17"/>
              </w:rPr>
              <w:t>29,428</w:t>
            </w:r>
          </w:p>
        </w:tc>
        <w:tc>
          <w:tcPr>
            <w:tcW w:type="dxa" w:w="1440"/>
            <w:shd w:fill="C6EFCE" w:val="clear"/>
          </w:tcPr>
          <w:p>
            <w:r>
              <w:rPr>
                <w:b/>
                <w:color w:val="008000"/>
                <w:sz w:val="17"/>
              </w:rPr>
              <w:t>+13.1%</w:t>
            </w:r>
          </w:p>
        </w:tc>
      </w:tr>
      <w:tr>
        <w:tc>
          <w:tcPr>
            <w:tcW w:type="dxa" w:w="1440"/>
            <w:shd w:fill="C6EFCE" w:val="clear"/>
          </w:tcPr>
          <w:p>
            <w:r>
              <w:rPr>
                <w:sz w:val="17"/>
              </w:rPr>
              <w:t>J+10  ⭐</w:t>
            </w:r>
          </w:p>
        </w:tc>
        <w:tc>
          <w:tcPr>
            <w:tcW w:type="dxa" w:w="1440"/>
            <w:shd w:fill="C6EFCE" w:val="clear"/>
          </w:tcPr>
          <w:p>
            <w:r>
              <w:rPr>
                <w:sz w:val="17"/>
              </w:rPr>
              <w:t>2026-08-25</w:t>
            </w:r>
          </w:p>
        </w:tc>
        <w:tc>
          <w:tcPr>
            <w:tcW w:type="dxa" w:w="1440"/>
            <w:shd w:fill="C6EFCE" w:val="clear"/>
          </w:tcPr>
          <w:p>
            <w:r>
              <w:rPr>
                <w:sz w:val="17"/>
              </w:rPr>
              <w:t>22,850</w:t>
            </w:r>
          </w:p>
        </w:tc>
        <w:tc>
          <w:tcPr>
            <w:tcW w:type="dxa" w:w="1440"/>
            <w:shd w:fill="C6EFCE" w:val="clear"/>
          </w:tcPr>
          <w:p>
            <w:r>
              <w:rPr>
                <w:b/>
                <w:sz w:val="17"/>
              </w:rPr>
              <w:t>26,366</w:t>
            </w:r>
          </w:p>
        </w:tc>
        <w:tc>
          <w:tcPr>
            <w:tcW w:type="dxa" w:w="1440"/>
            <w:shd w:fill="C6EFCE" w:val="clear"/>
          </w:tcPr>
          <w:p>
            <w:r>
              <w:rPr>
                <w:sz w:val="17"/>
              </w:rPr>
              <w:t>29,881</w:t>
            </w:r>
          </w:p>
        </w:tc>
        <w:tc>
          <w:tcPr>
            <w:tcW w:type="dxa" w:w="1440"/>
            <w:shd w:fill="C6EFCE" w:val="clear"/>
          </w:tcPr>
          <w:p>
            <w:r>
              <w:rPr>
                <w:b/>
                <w:color w:val="008000"/>
                <w:sz w:val="17"/>
              </w:rPr>
              <w:t>+14.2%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 SITAB (BRVM)**</w:t>
      </w:r>
    </w:p>
    <w:p>
      <w:pPr>
        <w:spacing w:after="120" w:line="276" w:lineRule="auto" w:before="240"/>
      </w:pPr>
      <w:r>
        <w:rPr>
          <w:b/>
          <w:color w:val="003366"/>
          <w:sz w:val="24"/>
        </w:rPr>
        <w:t>**PARTIE 0 : INDICATEURS DE VALORISATION BOURSIÈRE**</w:t>
      </w:r>
    </w:p>
    <w:p>
      <w:pPr>
        <w:spacing w:after="120" w:line="276" w:lineRule="auto"/>
      </w:pPr>
      <w:r>
        <w:t>La capitalisation boursière de 414,67 milliards FCFA positionne STBC comme une valeur de premier plan sur la BRVM, reflétant son statut de leader sur le marché ivoirien du tabac. Avec un BPA de 2 014 FCFA, le PER de 11,5x se situe dans la fourchette haute du marché (moyenne BRVM de 8-12x), indiquant que les investisseurs paient un prix raisonnable pour les bénéfices générés. En revanche, le P/B de 9,15x est particulièrement élevé, signifiant que le marché valorise fortement l'actif net comptable de la société, ce qui traduit des attentes de croissance importantes. L'EV/EBITDA de 8,3x reste dans une zone de valorisation raisonnable, suggérant que la valeur d'entreprise par rapport à la capacité opérationnelle est correctement évaluée. Globalement, la valorisation est exigeante sur les actifs mais modérée sur les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progression de +5,94%, mais la dernière séance enregistre une chute brutale de -7,62%, signe d'une volatilité récente. Le cours a évolué dans une fourchette de 19 705 à 25 000 FCFA, démontrant une amplitude de trading significative de plus de 26%. La moyenne de 22 156 FCFA est supérieure à la médiane de 21 878 FCFA, indiquant une asymétrie positive confirmée par le skewness de 0,553 : les journées sous la moyenne sont plus fréquentes mais les fortes hausses tirent la moyenne vers le haut. L'écart-type de 1 365 FCFA (CV de 6,2%) révèle une dispersion modérée des cours autour de la moyenne. Le kurtosis de -0,744 (mésokurtique) suggère une distribution proche de la normale, sans risque de pics extrêmes. La volatilité annualisée de 30,9% classe le titre dans la catégorie élevée (&gt;30%), ce qui implique un risque de fluctuation important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23 095 FCFA se situe sous la MM20 (23 609,5 FCFA) mais au-dessus de la MM50 (23 215,2 FCFA). Cette configuration indique une tendance de fond haussière sur le moyen terme, mais un léger repli à court terme. La décision d'achat suggère que la tendance globale reste positive malgré la correction récente.</w:t>
      </w:r>
    </w:p>
    <w:p>
      <w:pPr>
        <w:spacing w:after="120" w:line="276" w:lineRule="auto"/>
      </w:pPr>
      <w:r>
        <w:t>**Bandes de Bollinger** : Le prix évolue dans la partie inférieure de l'enveloppe, entre la borne inférieure (22 116,33 FCFA) et la moyenne mobile. La position du cours à 23 095 FCFA, proche de la borne inférieure, indique une pression vendeuse à court terme. La décision neutre reflète l'absence de signal directionnel clair, avec une volatilité qui se normalise après les mouvements récents.</w:t>
      </w:r>
    </w:p>
    <w:p>
      <w:pPr>
        <w:spacing w:after="120" w:line="276" w:lineRule="auto"/>
      </w:pPr>
      <w:r>
        <w:t>**MACD** : La valeur du MACD (266,364) est supérieure à son signal (226,104), confirmant un momentum haussier positif. L'écart positif entre les deux lignes suggère que la dynamique acheteuse reste en place, justifiant la décision d'achat. Cette configuration indique que la tendance de fond demeure constructive malgré la baisse récente du cours.</w:t>
      </w:r>
    </w:p>
    <w:p>
      <w:pPr>
        <w:spacing w:after="120" w:line="276" w:lineRule="auto"/>
      </w:pPr>
      <w:r>
        <w:t>**RSI** : À 45,475, le RSI se situe en zone neutre, entre 30 et 70. Cette valeur indique que le titre n'est ni suracheté ni survendu, laissant une marge de manœuvre dans les deux sens. La décision neutre est cohérente avec une phase de consolidation après les mouvements récents.</w:t>
      </w:r>
    </w:p>
    <w:p>
      <w:pPr>
        <w:spacing w:after="120" w:line="276" w:lineRule="auto"/>
      </w:pPr>
      <w:r>
        <w:t>**Stochastique** : Le %K à 4,988 est très bas, indiquant une condition de survente extrême, tandis que le %D à 67,997 reste élevé. Ce croisement baissier du %K sous le %D suggère un potentiel de rebond technique à court terme. La décision d'achat reflète l'opportunité de rachat à des niveaux déprimés.</w:t>
      </w:r>
    </w:p>
    <w:p>
      <w:pPr>
        <w:spacing w:after="120" w:line="276" w:lineRule="auto"/>
      </w:pPr>
      <w:r>
        <w:t>**Conclusion technique** : Les indicateurs sont mitigés avec une majorité de signaux d'achat (MM, MACD, Stochastique) mais des signaux neutres sur les bandes de Bollinger et le RSI. La configuration suggère un potentiel de rebond technique après la chute récente, mais la prudence reste de mise tant que le cours ne repasse pas au-dessus de la MM20.</w:t>
      </w:r>
    </w:p>
    <w:p>
      <w:pPr>
        <w:spacing w:after="120" w:line="276" w:lineRule="auto" w:before="240"/>
      </w:pPr>
      <w:r>
        <w:rPr>
          <w:b/>
          <w:color w:val="003366"/>
          <w:sz w:val="24"/>
        </w:rPr>
        <w:t>**PARTIE 3 : ANALYSE FONDAMENTALE (SECTION CRITIQUE)**</w:t>
      </w:r>
    </w:p>
    <w:p>
      <w:pPr>
        <w:spacing w:after="120" w:line="276" w:lineRule="auto"/>
      </w:pPr>
      <w:r>
        <w:t>En 2025, la SITAB (ex-STBC) affiche un chiffre d'affaires de 268,537 milliards FCFA, en hausse de 25,3% par rapport à 2024, porté par une croissance des volumes de 5,6% et des hausses de prix. Le résultat net s'établit à 36,158 milliards FCFA, en baisse de 17,5% par rapport aux 44,2 milliards de 2024, sous l'effet de la hausse des droits d'accise (de 49% à 70%) et d'un contrôle fiscal. Les marges se dégradent : la marge nette passe de 20,4% à 13,5%, et la marge brute de 29,8% à 22,7%. Le ROE reste excellent à 79,75% et le ROA à 48,09%, témoignant d'une utilisation très efficace des capitaux. La structure financière est saine avec une autonomie financière de 60,3%, une trésorerie nette de 30,763 milliards FCFA et une dette financière quasi nulle. Le BFR de 5,639 milliards FCFA est positif mais le délai clients de 42,57 jours reste modéré. Sur la base du rapport T1 2026 (CA en hausse de 12% à 68,8 milliards FCFA, volumes +10%), on estime que l'exercice 2026 devrait confirmer le redressement commercial, mais la pression sur les marges opérationnelles (-6% au T1) nécessite une surveillance. La recommandation fondamentale est de conserver le titre, compte tenu de la solidité financière et du dividende attractif de 1 940 FCFA par action proposé pour 2025, malgré les risques réglementaires et fiscaux.</w:t>
      </w:r>
    </w:p>
    <w:p>
      <w:pPr>
        <w:spacing w:after="120" w:line="276" w:lineRule="auto" w:before="240"/>
      </w:pPr>
      <w:r>
        <w:rPr>
          <w:b/>
          <w:color w:val="003366"/>
          <w:sz w:val="24"/>
        </w:rPr>
        <w:t>**PARTIE 4 : CONCLUSION D'INVESTISSEMENT**</w:t>
      </w:r>
    </w:p>
    <w:p>
      <w:pPr>
        <w:spacing w:after="120" w:line="276" w:lineRule="auto"/>
      </w:pPr>
      <w:r>
        <w:t>La valorisation de STBC est contrastée : le PER de 11,5x est raisonnable mais le P/B de 9,15x reflète une prime élevée sur les actifs. Le comportement du cours montre une tendance haussière sur 100 jours (+5,94%) mais une forte volatilité (30,9%) et une chute récente de -7,62% qui nécessitent une attention particulière. Les signaux techniques sont globalement positifs (MM, MACD, Stochastique en achat) malgré des indicateurs neutres (RSI, Bollinger), suggérant un potentiel de rebond. Les fondamentaux restent solides avec une croissance du CA de 25,3% en 2025, un ROE exceptionnel de 79,75% et une trésorerie confortable, mais la dégradation des marges et la pression fiscale constituent des risques. Les prédictions IA (24 435 à 25 216 FCFA sur 10 jours) confirment la tendance haussière attendue, en convergence avec les signaux techniques. La recommandation finale est **CONSERVER** avec un niveau de confiance **Moyen** et un risque global **Moyen**. L'horizon d'investissement optimal est le **moyen terme (3-12 mois)**, permettant de bénéficier du dividende attractif et d'une éventuelle stabilisation des marges en 2026.</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185.74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8,353 titres</w:t>
            </w:r>
          </w:p>
        </w:tc>
        <w:tc>
          <w:tcPr>
            <w:tcW w:type="dxa" w:w="2268"/>
            <w:shd w:fill="FFF2CC" w:val="clear"/>
          </w:tcPr>
          <w:p>
            <w:r>
              <w:rPr>
                <w:b/>
                <w:color w:val="503200"/>
                <w:sz w:val="16"/>
              </w:rPr>
              <w:t xml:space="preserve">Cours actuel : </w:t>
            </w:r>
            <w:r>
              <w:rPr>
                <w:color w:val="000000"/>
                <w:sz w:val="17"/>
              </w:rPr>
              <w:t>2,950 FCFA</w:t>
            </w:r>
          </w:p>
          <w:p>
            <w:r>
              <w:rPr>
                <w:b/>
                <w:color w:val="503200"/>
                <w:sz w:val="16"/>
              </w:rPr>
              <w:t xml:space="preserve">Var. 100 jours : </w:t>
            </w:r>
            <w:r>
              <w:rPr>
                <w:b/>
                <w:color w:val="007800"/>
                <w:sz w:val="17"/>
              </w:rPr>
              <w:t>+4.98%</w:t>
            </w:r>
          </w:p>
          <w:p>
            <w:r>
              <w:rPr>
                <w:b/>
                <w:color w:val="503200"/>
                <w:sz w:val="16"/>
              </w:rPr>
              <w:t xml:space="preserve">Plus haut 100j : </w:t>
            </w:r>
            <w:r>
              <w:rPr>
                <w:color w:val="000000"/>
                <w:sz w:val="17"/>
              </w:rPr>
              <w:t>3,060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3.32% (Faible) — μ=2,851 FCFA, σ=95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β=-0.1140 (Contre-cyclique) — Cov=-0.000004, Var(idx)=0.000036, ρ=-0.026,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8,353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2026-08-12</w:t>
            </w:r>
          </w:p>
        </w:tc>
        <w:tc>
          <w:tcPr>
            <w:tcW w:type="dxa" w:w="1440"/>
            <w:shd w:fill="FAFAFA" w:val="clear"/>
          </w:tcPr>
          <w:p>
            <w:r>
              <w:rPr>
                <w:sz w:val="17"/>
              </w:rPr>
              <w:t>2,787</w:t>
            </w:r>
          </w:p>
        </w:tc>
        <w:tc>
          <w:tcPr>
            <w:tcW w:type="dxa" w:w="1440"/>
            <w:shd w:fill="FAFAFA" w:val="clear"/>
          </w:tcPr>
          <w:p>
            <w:r>
              <w:rPr>
                <w:b/>
                <w:sz w:val="17"/>
              </w:rPr>
              <w:t>2,953</w:t>
            </w:r>
          </w:p>
        </w:tc>
        <w:tc>
          <w:tcPr>
            <w:tcW w:type="dxa" w:w="1440"/>
            <w:shd w:fill="FAFAFA" w:val="clear"/>
          </w:tcPr>
          <w:p>
            <w:r>
              <w:rPr>
                <w:sz w:val="17"/>
              </w:rPr>
              <w:t>3,118</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2026-08-13</w:t>
            </w:r>
          </w:p>
        </w:tc>
        <w:tc>
          <w:tcPr>
            <w:tcW w:type="dxa" w:w="1440"/>
            <w:shd w:fill="FAFAFA" w:val="clear"/>
          </w:tcPr>
          <w:p>
            <w:r>
              <w:rPr>
                <w:sz w:val="17"/>
              </w:rPr>
              <w:t>2,709</w:t>
            </w:r>
          </w:p>
        </w:tc>
        <w:tc>
          <w:tcPr>
            <w:tcW w:type="dxa" w:w="1440"/>
            <w:shd w:fill="FAFAFA" w:val="clear"/>
          </w:tcPr>
          <w:p>
            <w:r>
              <w:rPr>
                <w:b/>
                <w:sz w:val="17"/>
              </w:rPr>
              <w:t>2,943</w:t>
            </w:r>
          </w:p>
        </w:tc>
        <w:tc>
          <w:tcPr>
            <w:tcW w:type="dxa" w:w="1440"/>
            <w:shd w:fill="FAFAFA" w:val="clear"/>
          </w:tcPr>
          <w:p>
            <w:r>
              <w:rPr>
                <w:sz w:val="17"/>
              </w:rPr>
              <w:t>3,176</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2026-08-14</w:t>
            </w:r>
          </w:p>
        </w:tc>
        <w:tc>
          <w:tcPr>
            <w:tcW w:type="dxa" w:w="1440"/>
            <w:shd w:fill="FAFAFA" w:val="clear"/>
          </w:tcPr>
          <w:p>
            <w:r>
              <w:rPr>
                <w:sz w:val="17"/>
              </w:rPr>
              <w:t>2,650</w:t>
            </w:r>
          </w:p>
        </w:tc>
        <w:tc>
          <w:tcPr>
            <w:tcW w:type="dxa" w:w="1440"/>
            <w:shd w:fill="FAFAFA" w:val="clear"/>
          </w:tcPr>
          <w:p>
            <w:r>
              <w:rPr>
                <w:b/>
                <w:sz w:val="17"/>
              </w:rPr>
              <w:t>2,936</w:t>
            </w:r>
          </w:p>
        </w:tc>
        <w:tc>
          <w:tcPr>
            <w:tcW w:type="dxa" w:w="1440"/>
            <w:shd w:fill="FAFAFA" w:val="clear"/>
          </w:tcPr>
          <w:p>
            <w:r>
              <w:rPr>
                <w:sz w:val="17"/>
              </w:rPr>
              <w:t>3,221</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2026-08-17</w:t>
            </w:r>
          </w:p>
        </w:tc>
        <w:tc>
          <w:tcPr>
            <w:tcW w:type="dxa" w:w="1440"/>
            <w:shd w:fill="FAFAFA" w:val="clear"/>
          </w:tcPr>
          <w:p>
            <w:r>
              <w:rPr>
                <w:sz w:val="17"/>
              </w:rPr>
              <w:t>2,601</w:t>
            </w:r>
          </w:p>
        </w:tc>
        <w:tc>
          <w:tcPr>
            <w:tcW w:type="dxa" w:w="1440"/>
            <w:shd w:fill="FAFAFA" w:val="clear"/>
          </w:tcPr>
          <w:p>
            <w:r>
              <w:rPr>
                <w:b/>
                <w:sz w:val="17"/>
              </w:rPr>
              <w:t>2,929</w:t>
            </w:r>
          </w:p>
        </w:tc>
        <w:tc>
          <w:tcPr>
            <w:tcW w:type="dxa" w:w="1440"/>
            <w:shd w:fill="FAFAFA" w:val="clear"/>
          </w:tcPr>
          <w:p>
            <w:r>
              <w:rPr>
                <w:sz w:val="17"/>
              </w:rPr>
              <w:t>3,258</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2026-08-18</w:t>
            </w:r>
          </w:p>
        </w:tc>
        <w:tc>
          <w:tcPr>
            <w:tcW w:type="dxa" w:w="1440"/>
            <w:shd w:fill="FAFAFA" w:val="clear"/>
          </w:tcPr>
          <w:p>
            <w:r>
              <w:rPr>
                <w:sz w:val="17"/>
              </w:rPr>
              <w:t>2,557</w:t>
            </w:r>
          </w:p>
        </w:tc>
        <w:tc>
          <w:tcPr>
            <w:tcW w:type="dxa" w:w="1440"/>
            <w:shd w:fill="FAFAFA" w:val="clear"/>
          </w:tcPr>
          <w:p>
            <w:r>
              <w:rPr>
                <w:b/>
                <w:sz w:val="17"/>
              </w:rPr>
              <w:t>2,924</w:t>
            </w:r>
          </w:p>
        </w:tc>
        <w:tc>
          <w:tcPr>
            <w:tcW w:type="dxa" w:w="1440"/>
            <w:shd w:fill="FAFAFA" w:val="clear"/>
          </w:tcPr>
          <w:p>
            <w:r>
              <w:rPr>
                <w:sz w:val="17"/>
              </w:rPr>
              <w:t>3,291</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2026-08-19</w:t>
            </w:r>
          </w:p>
        </w:tc>
        <w:tc>
          <w:tcPr>
            <w:tcW w:type="dxa" w:w="1440"/>
            <w:shd w:fill="FAFAFA" w:val="clear"/>
          </w:tcPr>
          <w:p>
            <w:r>
              <w:rPr>
                <w:sz w:val="17"/>
              </w:rPr>
              <w:t>2,517</w:t>
            </w:r>
          </w:p>
        </w:tc>
        <w:tc>
          <w:tcPr>
            <w:tcW w:type="dxa" w:w="1440"/>
            <w:shd w:fill="FAFAFA" w:val="clear"/>
          </w:tcPr>
          <w:p>
            <w:r>
              <w:rPr>
                <w:b/>
                <w:sz w:val="17"/>
              </w:rPr>
              <w:t>2,918</w:t>
            </w:r>
          </w:p>
        </w:tc>
        <w:tc>
          <w:tcPr>
            <w:tcW w:type="dxa" w:w="1440"/>
            <w:shd w:fill="FAFAFA" w:val="clear"/>
          </w:tcPr>
          <w:p>
            <w:r>
              <w:rPr>
                <w:sz w:val="17"/>
              </w:rPr>
              <w:t>3,320</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2026-08-20</w:t>
            </w:r>
          </w:p>
        </w:tc>
        <w:tc>
          <w:tcPr>
            <w:tcW w:type="dxa" w:w="1440"/>
            <w:shd w:fill="FAFAFA" w:val="clear"/>
          </w:tcPr>
          <w:p>
            <w:r>
              <w:rPr>
                <w:sz w:val="17"/>
              </w:rPr>
              <w:t>2,480</w:t>
            </w:r>
          </w:p>
        </w:tc>
        <w:tc>
          <w:tcPr>
            <w:tcW w:type="dxa" w:w="1440"/>
            <w:shd w:fill="FAFAFA" w:val="clear"/>
          </w:tcPr>
          <w:p>
            <w:r>
              <w:rPr>
                <w:b/>
                <w:sz w:val="17"/>
              </w:rPr>
              <w:t>2,913</w:t>
            </w:r>
          </w:p>
        </w:tc>
        <w:tc>
          <w:tcPr>
            <w:tcW w:type="dxa" w:w="1440"/>
            <w:shd w:fill="FAFAFA" w:val="clear"/>
          </w:tcPr>
          <w:p>
            <w:r>
              <w:rPr>
                <w:sz w:val="17"/>
              </w:rPr>
              <w:t>3,346</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2026-08-21</w:t>
            </w:r>
          </w:p>
        </w:tc>
        <w:tc>
          <w:tcPr>
            <w:tcW w:type="dxa" w:w="1440"/>
            <w:shd w:fill="FAFAFA" w:val="clear"/>
          </w:tcPr>
          <w:p>
            <w:r>
              <w:rPr>
                <w:sz w:val="17"/>
              </w:rPr>
              <w:t>2,446</w:t>
            </w:r>
          </w:p>
        </w:tc>
        <w:tc>
          <w:tcPr>
            <w:tcW w:type="dxa" w:w="1440"/>
            <w:shd w:fill="FAFAFA" w:val="clear"/>
          </w:tcPr>
          <w:p>
            <w:r>
              <w:rPr>
                <w:b/>
                <w:sz w:val="17"/>
              </w:rPr>
              <w:t>2,908</w:t>
            </w:r>
          </w:p>
        </w:tc>
        <w:tc>
          <w:tcPr>
            <w:tcW w:type="dxa" w:w="1440"/>
            <w:shd w:fill="FAFAFA" w:val="clear"/>
          </w:tcPr>
          <w:p>
            <w:r>
              <w:rPr>
                <w:sz w:val="17"/>
              </w:rPr>
              <w:t>3,370</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2026-08-24</w:t>
            </w:r>
          </w:p>
        </w:tc>
        <w:tc>
          <w:tcPr>
            <w:tcW w:type="dxa" w:w="1440"/>
            <w:shd w:fill="FAFAFA" w:val="clear"/>
          </w:tcPr>
          <w:p>
            <w:r>
              <w:rPr>
                <w:sz w:val="17"/>
              </w:rPr>
              <w:t>2,414</w:t>
            </w:r>
          </w:p>
        </w:tc>
        <w:tc>
          <w:tcPr>
            <w:tcW w:type="dxa" w:w="1440"/>
            <w:shd w:fill="FAFAFA" w:val="clear"/>
          </w:tcPr>
          <w:p>
            <w:r>
              <w:rPr>
                <w:b/>
                <w:sz w:val="17"/>
              </w:rPr>
              <w:t>2,903</w:t>
            </w:r>
          </w:p>
        </w:tc>
        <w:tc>
          <w:tcPr>
            <w:tcW w:type="dxa" w:w="1440"/>
            <w:shd w:fill="FAFAFA" w:val="clear"/>
          </w:tcPr>
          <w:p>
            <w:r>
              <w:rPr>
                <w:sz w:val="17"/>
              </w:rPr>
              <w:t>3,392</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2026-08-25</w:t>
            </w:r>
          </w:p>
        </w:tc>
        <w:tc>
          <w:tcPr>
            <w:tcW w:type="dxa" w:w="1440"/>
            <w:shd w:fill="FAFAFA" w:val="clear"/>
          </w:tcPr>
          <w:p>
            <w:r>
              <w:rPr>
                <w:sz w:val="17"/>
              </w:rPr>
              <w:t>2,383</w:t>
            </w:r>
          </w:p>
        </w:tc>
        <w:tc>
          <w:tcPr>
            <w:tcW w:type="dxa" w:w="1440"/>
            <w:shd w:fill="FAFAFA" w:val="clear"/>
          </w:tcPr>
          <w:p>
            <w:r>
              <w:rPr>
                <w:b/>
                <w:sz w:val="17"/>
              </w:rPr>
              <w:t>2,898</w:t>
            </w:r>
          </w:p>
        </w:tc>
        <w:tc>
          <w:tcPr>
            <w:tcW w:type="dxa" w:w="1440"/>
            <w:shd w:fill="FAFAFA" w:val="clear"/>
          </w:tcPr>
          <w:p>
            <w:r>
              <w:rPr>
                <w:sz w:val="17"/>
              </w:rPr>
              <w:t>3,412</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11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185,74 milliards FCFA, ce qui en fait l'une des valeurs les plus significatives de la cote de la BRVM, reflétant la position dominante de la filiale ivoirienne du géant pétrolier. Avec un BPA de 144 FCFA, le titre se négocie à un PER de 20,4x, soit un niveau nettement supérieur à la moyenne historique du marché régional (8-12x). Cette prime de valorisation suggère que les investisseurs anticipent une croissance future des bénéfices ou intègrent une prime de qualité pour ce leader du secteur. Le P/B de 5,13x confirme cette lecture, le marché valorisant fortement les actifs nets de la société, bien au-delà de leur valeur comptable. Enfin, l'EV/EBITDA de 10,8x, bien que dans la fourchette haute (10-15x), indique que la valeur totale de l'entreprise reste cohérente avec sa capacité à générer du cash-flow opérationnel, justifiant en partie la prime accordée par le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progression modérée de +4,98%, avec un cours actuel de 2 950 FCFA, après un léger repli de -1,50% lors de la dernière séance. Le titre a évolué dans une fourchette relativement étroite, entre un plus bas de 2 650 FCFA et un plus haut de 3 060 FCFA, démontrant une stabilité relative. La moyenne (2 851 FCFA) et la médiane (2 870 FCFA) étant très proches, la distribution des prix est quasi symétrique, ce que confirme le skewness de -0.186. L'écart-type de 95 FCFA, avec un coefficient de variation de seulement 3,3%, témoigne d'une dispersion très faible des cours autour de la moyenne, indiquant un titre très stable. Le kurtosis de -0.711 (mésokurtique) suggère une absence de risques extrêmes de mouvements de prix. Cependant, la volatilité annualisée de 41,4% est élevée, ce qui contraste avec la stabilité à court terme et signale un risque potentiel sur des horizons plus longs.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(2 950 FCFA) se positionne au-dessus de la MM20 (2 930 FCFA) et de la MM50 (2 898 FCFA), dans une configuration haussière. La pente ascendante des moyennes mobiles confirme la tendance positive à moyen terme, justifiant le signal d'achat.</w:t>
      </w:r>
    </w:p>
    <w:p>
      <w:pPr>
        <w:spacing w:after="120" w:line="276" w:lineRule="auto"/>
      </w:pPr>
      <w:r>
        <w:t>**Bandes de Bollinger :** Le prix se situe à 2 950 FCFA, entre la borne inférieure (2 784,76 FCFA) et la borne supérieure (3 075,24 FCFA), proche de la moyenne. Cette position neutre indique une volatilité modérée, sans pression excessive d'achat ou de vente, le cours évoluant dans une zone d'équilibre.</w:t>
      </w:r>
    </w:p>
    <w:p>
      <w:pPr>
        <w:spacing w:after="120" w:line="276" w:lineRule="auto"/>
      </w:pPr>
      <w:r>
        <w:t>**MACD :** Le MACD (11,794) est passé sous sa ligne de signal (14,37), générant un signal de vente. Cette divergence baissière indique un ralentissement du momentum haussier à court terme, suggérant une possible consolidation ou correction après la récente progression.</w:t>
      </w:r>
    </w:p>
    <w:p>
      <w:pPr>
        <w:spacing w:after="120" w:line="276" w:lineRule="auto"/>
      </w:pPr>
      <w:r>
        <w:t>**RSI :** À 52,814, le RSI se situe en zone neutre, entre 30 et 70. Il n'y a ni surachat ni survente, ce qui laisse une marge de manœuvre dans les deux sens. Ce niveau indique un équilibre entre les forces acheteuses et vendeuses, sans signal directionnel fort.</w:t>
      </w:r>
    </w:p>
    <w:p>
      <w:pPr>
        <w:spacing w:after="120" w:line="276" w:lineRule="auto"/>
      </w:pPr>
      <w:r>
        <w:t>**Stochastique :** Le %K (78,261) est supérieur au %D (63,768), indiquant un momentum haussier toujours en place, bien que le %K approche de la zone de surachat (&gt;80). Le signal est neutre, mais la prudence est de mise si le %K venait à croiser sous le %D.</w:t>
      </w:r>
    </w:p>
    <w:p>
      <w:pPr>
        <w:spacing w:after="120" w:line="276" w:lineRule="auto"/>
      </w:pPr>
      <w:r>
        <w:t>**Conclusion technique :** Les signaux techniques sont mitigés. Les moyennes mobiles soutiennent une tendance haussière de fond, mais le MACD et la proximité du stochastique en zone de surachat suggèrent un essoufflement à court terme. La configuration globale est neutre à légèrement positive, avec un risque de consolidation.</w:t>
      </w:r>
    </w:p>
    <w:p>
      <w:pPr>
        <w:spacing w:after="120" w:line="276" w:lineRule="auto"/>
      </w:pPr>
      <w:r>
        <w:t>---</w:t>
      </w:r>
    </w:p>
    <w:p>
      <w:pPr>
        <w:spacing w:after="120" w:line="276" w:lineRule="auto"/>
      </w:pPr>
      <w:r>
        <w:t>### PARTIE 3 : ANALYSE FONDAMENTALE (SECTION CRITIQUE)</w:t>
      </w:r>
    </w:p>
    <w:p>
      <w:pPr>
        <w:spacing w:after="120" w:line="276" w:lineRule="auto"/>
      </w:pPr>
      <w:r>
        <w:t>En 2025, TTLC a réalisé un chiffre d'affaires de 588,709 milliards FCFA, en baisse de -5,2% par rapport à 2024 (621,042 Mds FCFA), mais a vu son résultat d'exploitation bondir de +18% à 12,329 milliards FCFA, grâce à une amélioration de la valeur ajoutée (+7%). Le résultat net s'établit à 9,087 milliards FCFA (-3%), avec une marge nette stable à 1,54%. La rentabilité des capitaux propres (ROE) reste excellente à 25,1%, et le ROA à 4,82%. La structure financière montre un BFR négatif de -9,662 milliards FCFA, un signe de bonne gestion de la trésorerie, mais une trésorerie nette négative de -21,926 milliards FCFA, reflétant un endettement court terme élevé. Le ratio d'endettement est élevé (90,2% des capitaux propres). Sur la base du rapport T1 2026 (CA en hausse de +4,3% à 154,392 Mds FCFA et résultat net en progression de +5,5% à 2,329 Mds FCFA), on estime que l'exercice 2026 pourrait renouer avec une croissance modérée, portée par l'augmentation des volumes vendus. La politique de dividende reste très généreuse (10 milliards FCFA proposés pour 2025, soit un payout &gt;100%), mais sa soutenabilité est à surveiller. La recommandation fondamentale est de **CONSERVER**, la société étant solide mais confrontée à des défis de trésorerie et de croissance.</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(PER 20,4x, P/B 5,13x), indiquant une surévaluation relative par rapport au marché, mais justifiée par un ROE exceptionnel. Le comportement du cours est stable à court terme, avec une volatilité annualisée élevée qui appelle à la prudence. Les signaux techniques sont mitigés, avec une tendance de fond positive mais un momentum à court terme en perte de vitesse. Fondamentalement, la société affiche une bonne santé opérationnelle, mais une trésorerie sous pression et un chiffre d'affaires en baisse en 2025. Les prédictions IA pour les 10 prochains jours (2 953 à 2 924 FCFA) suggèrent une légère érosion du cours, confirmant le signal de prudence technique. En synthèse, les fondamentaux solides et la politique de dividende attractive sont contrebalancés par une valorisation élevée et des signaux techniques neutres. La recommandation finale est **CONSERVER** avec un niveau de confiance **Moyen**. Le risque global est **Moyen**. L'horizon d'investissement optimal est le **moyen terme (3-12 mois)**, en attendant une meilleure visibilité sur la croissance du chiffre d'affaires et l'amélioration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117.28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2,789 titres</w:t>
            </w:r>
          </w:p>
        </w:tc>
        <w:tc>
          <w:tcPr>
            <w:tcW w:type="dxa" w:w="2268"/>
            <w:shd w:fill="FFF2CC" w:val="clear"/>
          </w:tcPr>
          <w:p>
            <w:r>
              <w:rPr>
                <w:b/>
                <w:color w:val="503200"/>
                <w:sz w:val="16"/>
              </w:rPr>
              <w:t xml:space="preserve">Cours actuel : </w:t>
            </w:r>
            <w:r>
              <w:rPr>
                <w:color w:val="000000"/>
                <w:sz w:val="17"/>
              </w:rPr>
              <w:t>3,600 FCFA</w:t>
            </w:r>
          </w:p>
          <w:p>
            <w:r>
              <w:rPr>
                <w:b/>
                <w:color w:val="503200"/>
                <w:sz w:val="16"/>
              </w:rPr>
              <w:t xml:space="preserve">Var. 100 jours : </w:t>
            </w:r>
            <w:r>
              <w:rPr>
                <w:b/>
                <w:color w:val="007800"/>
                <w:sz w:val="17"/>
              </w:rPr>
              <w:t>+16.13%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10.74% (Moyenne) — μ=3,440 FCFA, σ=369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β=1.4101 (Agressif) — Cov=0.000051, Var(idx)=0.000036, ρ=0.268,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2,789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2026-08-12</w:t>
            </w:r>
          </w:p>
        </w:tc>
        <w:tc>
          <w:tcPr>
            <w:tcW w:type="dxa" w:w="1440"/>
            <w:shd w:fill="FFDCE0" w:val="clear"/>
          </w:tcPr>
          <w:p>
            <w:r>
              <w:rPr>
                <w:sz w:val="17"/>
              </w:rPr>
              <w:t>3,285</w:t>
            </w:r>
          </w:p>
        </w:tc>
        <w:tc>
          <w:tcPr>
            <w:tcW w:type="dxa" w:w="1440"/>
            <w:shd w:fill="FFDCE0" w:val="clear"/>
          </w:tcPr>
          <w:p>
            <w:r>
              <w:rPr>
                <w:b/>
                <w:sz w:val="17"/>
              </w:rPr>
              <w:t>3,485</w:t>
            </w:r>
          </w:p>
        </w:tc>
        <w:tc>
          <w:tcPr>
            <w:tcW w:type="dxa" w:w="1440"/>
            <w:shd w:fill="FFDCE0" w:val="clear"/>
          </w:tcPr>
          <w:p>
            <w:r>
              <w:rPr>
                <w:sz w:val="17"/>
              </w:rPr>
              <w:t>3,686</w:t>
            </w:r>
          </w:p>
        </w:tc>
        <w:tc>
          <w:tcPr>
            <w:tcW w:type="dxa" w:w="1440"/>
            <w:shd w:fill="FFDCE0" w:val="clear"/>
          </w:tcPr>
          <w:p>
            <w:r>
              <w:rPr>
                <w:b/>
                <w:color w:val="C00000"/>
                <w:sz w:val="17"/>
              </w:rPr>
              <w:t>-3.2%</w:t>
            </w:r>
          </w:p>
        </w:tc>
      </w:tr>
      <w:tr>
        <w:tc>
          <w:tcPr>
            <w:tcW w:type="dxa" w:w="1440"/>
            <w:shd w:fill="FFDCE0" w:val="clear"/>
          </w:tcPr>
          <w:p>
            <w:r>
              <w:rPr>
                <w:sz w:val="17"/>
              </w:rPr>
              <w:t>J+2  ⭐</w:t>
            </w:r>
          </w:p>
        </w:tc>
        <w:tc>
          <w:tcPr>
            <w:tcW w:type="dxa" w:w="1440"/>
            <w:shd w:fill="FFDCE0" w:val="clear"/>
          </w:tcPr>
          <w:p>
            <w:r>
              <w:rPr>
                <w:sz w:val="17"/>
              </w:rPr>
              <w:t>2026-08-13</w:t>
            </w:r>
          </w:p>
        </w:tc>
        <w:tc>
          <w:tcPr>
            <w:tcW w:type="dxa" w:w="1440"/>
            <w:shd w:fill="FFDCE0" w:val="clear"/>
          </w:tcPr>
          <w:p>
            <w:r>
              <w:rPr>
                <w:sz w:val="17"/>
              </w:rPr>
              <w:t>3,155</w:t>
            </w:r>
          </w:p>
        </w:tc>
        <w:tc>
          <w:tcPr>
            <w:tcW w:type="dxa" w:w="1440"/>
            <w:shd w:fill="FFDCE0" w:val="clear"/>
          </w:tcPr>
          <w:p>
            <w:r>
              <w:rPr>
                <w:b/>
                <w:sz w:val="17"/>
              </w:rPr>
              <w:t>3,435</w:t>
            </w:r>
          </w:p>
        </w:tc>
        <w:tc>
          <w:tcPr>
            <w:tcW w:type="dxa" w:w="1440"/>
            <w:shd w:fill="FFDCE0" w:val="clear"/>
          </w:tcPr>
          <w:p>
            <w:r>
              <w:rPr>
                <w:sz w:val="17"/>
              </w:rPr>
              <w:t>3,714</w:t>
            </w:r>
          </w:p>
        </w:tc>
        <w:tc>
          <w:tcPr>
            <w:tcW w:type="dxa" w:w="1440"/>
            <w:shd w:fill="FFDCE0" w:val="clear"/>
          </w:tcPr>
          <w:p>
            <w:r>
              <w:rPr>
                <w:b/>
                <w:color w:val="C00000"/>
                <w:sz w:val="17"/>
              </w:rPr>
              <w:t>-4.6%</w:t>
            </w:r>
          </w:p>
        </w:tc>
      </w:tr>
      <w:tr>
        <w:tc>
          <w:tcPr>
            <w:tcW w:type="dxa" w:w="1440"/>
            <w:shd w:fill="FFDCE0" w:val="clear"/>
          </w:tcPr>
          <w:p>
            <w:r>
              <w:rPr>
                <w:sz w:val="17"/>
              </w:rPr>
              <w:t>J+3  ⭐</w:t>
            </w:r>
          </w:p>
        </w:tc>
        <w:tc>
          <w:tcPr>
            <w:tcW w:type="dxa" w:w="1440"/>
            <w:shd w:fill="FFDCE0" w:val="clear"/>
          </w:tcPr>
          <w:p>
            <w:r>
              <w:rPr>
                <w:sz w:val="17"/>
              </w:rPr>
              <w:t>2026-08-14</w:t>
            </w:r>
          </w:p>
        </w:tc>
        <w:tc>
          <w:tcPr>
            <w:tcW w:type="dxa" w:w="1440"/>
            <w:shd w:fill="FFDCE0" w:val="clear"/>
          </w:tcPr>
          <w:p>
            <w:r>
              <w:rPr>
                <w:sz w:val="17"/>
              </w:rPr>
              <w:t>3,052</w:t>
            </w:r>
          </w:p>
        </w:tc>
        <w:tc>
          <w:tcPr>
            <w:tcW w:type="dxa" w:w="1440"/>
            <w:shd w:fill="FFDCE0" w:val="clear"/>
          </w:tcPr>
          <w:p>
            <w:r>
              <w:rPr>
                <w:b/>
                <w:sz w:val="17"/>
              </w:rPr>
              <w:t>3,390</w:t>
            </w:r>
          </w:p>
        </w:tc>
        <w:tc>
          <w:tcPr>
            <w:tcW w:type="dxa" w:w="1440"/>
            <w:shd w:fill="FFDCE0" w:val="clear"/>
          </w:tcPr>
          <w:p>
            <w:r>
              <w:rPr>
                <w:sz w:val="17"/>
              </w:rPr>
              <w:t>3,728</w:t>
            </w:r>
          </w:p>
        </w:tc>
        <w:tc>
          <w:tcPr>
            <w:tcW w:type="dxa" w:w="1440"/>
            <w:shd w:fill="FFDCE0" w:val="clear"/>
          </w:tcPr>
          <w:p>
            <w:r>
              <w:rPr>
                <w:b/>
                <w:color w:val="C00000"/>
                <w:sz w:val="17"/>
              </w:rPr>
              <w:t>-5.8%</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2,965</w:t>
            </w:r>
          </w:p>
        </w:tc>
        <w:tc>
          <w:tcPr>
            <w:tcW w:type="dxa" w:w="1440"/>
            <w:shd w:fill="FFDCE0" w:val="clear"/>
          </w:tcPr>
          <w:p>
            <w:r>
              <w:rPr>
                <w:b/>
                <w:sz w:val="17"/>
              </w:rPr>
              <w:t>3,351</w:t>
            </w:r>
          </w:p>
        </w:tc>
        <w:tc>
          <w:tcPr>
            <w:tcW w:type="dxa" w:w="1440"/>
            <w:shd w:fill="FFDCE0" w:val="clear"/>
          </w:tcPr>
          <w:p>
            <w:r>
              <w:rPr>
                <w:sz w:val="17"/>
              </w:rPr>
              <w:t>3,737</w:t>
            </w:r>
          </w:p>
        </w:tc>
        <w:tc>
          <w:tcPr>
            <w:tcW w:type="dxa" w:w="1440"/>
            <w:shd w:fill="FFDCE0" w:val="clear"/>
          </w:tcPr>
          <w:p>
            <w:r>
              <w:rPr>
                <w:b/>
                <w:color w:val="C00000"/>
                <w:sz w:val="17"/>
              </w:rPr>
              <w:t>-6.9%</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2,889</w:t>
            </w:r>
          </w:p>
        </w:tc>
        <w:tc>
          <w:tcPr>
            <w:tcW w:type="dxa" w:w="1440"/>
            <w:shd w:fill="FFDCE0" w:val="clear"/>
          </w:tcPr>
          <w:p>
            <w:r>
              <w:rPr>
                <w:b/>
                <w:sz w:val="17"/>
              </w:rPr>
              <w:t>3,316</w:t>
            </w:r>
          </w:p>
        </w:tc>
        <w:tc>
          <w:tcPr>
            <w:tcW w:type="dxa" w:w="1440"/>
            <w:shd w:fill="FFDCE0" w:val="clear"/>
          </w:tcPr>
          <w:p>
            <w:r>
              <w:rPr>
                <w:sz w:val="17"/>
              </w:rPr>
              <w:t>3,743</w:t>
            </w:r>
          </w:p>
        </w:tc>
        <w:tc>
          <w:tcPr>
            <w:tcW w:type="dxa" w:w="1440"/>
            <w:shd w:fill="FFDCE0" w:val="clear"/>
          </w:tcPr>
          <w:p>
            <w:r>
              <w:rPr>
                <w:b/>
                <w:color w:val="C00000"/>
                <w:sz w:val="17"/>
              </w:rPr>
              <w:t>-7.9%</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2,821</w:t>
            </w:r>
          </w:p>
        </w:tc>
        <w:tc>
          <w:tcPr>
            <w:tcW w:type="dxa" w:w="1440"/>
            <w:shd w:fill="FFDCE0" w:val="clear"/>
          </w:tcPr>
          <w:p>
            <w:r>
              <w:rPr>
                <w:b/>
                <w:sz w:val="17"/>
              </w:rPr>
              <w:t>3,284</w:t>
            </w:r>
          </w:p>
        </w:tc>
        <w:tc>
          <w:tcPr>
            <w:tcW w:type="dxa" w:w="1440"/>
            <w:shd w:fill="FFDCE0" w:val="clear"/>
          </w:tcPr>
          <w:p>
            <w:r>
              <w:rPr>
                <w:sz w:val="17"/>
              </w:rPr>
              <w:t>3,747</w:t>
            </w:r>
          </w:p>
        </w:tc>
        <w:tc>
          <w:tcPr>
            <w:tcW w:type="dxa" w:w="1440"/>
            <w:shd w:fill="FFDCE0" w:val="clear"/>
          </w:tcPr>
          <w:p>
            <w:r>
              <w:rPr>
                <w:b/>
                <w:color w:val="C00000"/>
                <w:sz w:val="17"/>
              </w:rPr>
              <w:t>-8.8%</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2,758</w:t>
            </w:r>
          </w:p>
        </w:tc>
        <w:tc>
          <w:tcPr>
            <w:tcW w:type="dxa" w:w="1440"/>
            <w:shd w:fill="FFDCE0" w:val="clear"/>
          </w:tcPr>
          <w:p>
            <w:r>
              <w:rPr>
                <w:b/>
                <w:sz w:val="17"/>
              </w:rPr>
              <w:t>3,253</w:t>
            </w:r>
          </w:p>
        </w:tc>
        <w:tc>
          <w:tcPr>
            <w:tcW w:type="dxa" w:w="1440"/>
            <w:shd w:fill="FFDCE0" w:val="clear"/>
          </w:tcPr>
          <w:p>
            <w:r>
              <w:rPr>
                <w:sz w:val="17"/>
              </w:rPr>
              <w:t>3,749</w:t>
            </w:r>
          </w:p>
        </w:tc>
        <w:tc>
          <w:tcPr>
            <w:tcW w:type="dxa" w:w="1440"/>
            <w:shd w:fill="FFDCE0" w:val="clear"/>
          </w:tcPr>
          <w:p>
            <w:r>
              <w:rPr>
                <w:b/>
                <w:color w:val="C00000"/>
                <w:sz w:val="17"/>
              </w:rPr>
              <w:t>-9.6%</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2,700</w:t>
            </w:r>
          </w:p>
        </w:tc>
        <w:tc>
          <w:tcPr>
            <w:tcW w:type="dxa" w:w="1440"/>
            <w:shd w:fill="FFDCE0" w:val="clear"/>
          </w:tcPr>
          <w:p>
            <w:r>
              <w:rPr>
                <w:b/>
                <w:sz w:val="17"/>
              </w:rPr>
              <w:t>3,225</w:t>
            </w:r>
          </w:p>
        </w:tc>
        <w:tc>
          <w:tcPr>
            <w:tcW w:type="dxa" w:w="1440"/>
            <w:shd w:fill="FFDCE0" w:val="clear"/>
          </w:tcPr>
          <w:p>
            <w:r>
              <w:rPr>
                <w:sz w:val="17"/>
              </w:rPr>
              <w:t>3,750</w:t>
            </w:r>
          </w:p>
        </w:tc>
        <w:tc>
          <w:tcPr>
            <w:tcW w:type="dxa" w:w="1440"/>
            <w:shd w:fill="FFDCE0" w:val="clear"/>
          </w:tcPr>
          <w:p>
            <w:r>
              <w:rPr>
                <w:b/>
                <w:color w:val="C00000"/>
                <w:sz w:val="17"/>
              </w:rPr>
              <w:t>-10.4%</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2,645</w:t>
            </w:r>
          </w:p>
        </w:tc>
        <w:tc>
          <w:tcPr>
            <w:tcW w:type="dxa" w:w="1440"/>
            <w:shd w:fill="FFDCE0" w:val="clear"/>
          </w:tcPr>
          <w:p>
            <w:r>
              <w:rPr>
                <w:b/>
                <w:sz w:val="17"/>
              </w:rPr>
              <w:t>3,198</w:t>
            </w:r>
          </w:p>
        </w:tc>
        <w:tc>
          <w:tcPr>
            <w:tcW w:type="dxa" w:w="1440"/>
            <w:shd w:fill="FFDCE0" w:val="clear"/>
          </w:tcPr>
          <w:p>
            <w:r>
              <w:rPr>
                <w:sz w:val="17"/>
              </w:rPr>
              <w:t>3,750</w:t>
            </w:r>
          </w:p>
        </w:tc>
        <w:tc>
          <w:tcPr>
            <w:tcW w:type="dxa" w:w="1440"/>
            <w:shd w:fill="FFDCE0" w:val="clear"/>
          </w:tcPr>
          <w:p>
            <w:r>
              <w:rPr>
                <w:b/>
                <w:color w:val="C00000"/>
                <w:sz w:val="17"/>
              </w:rPr>
              <w:t>-11.2%</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2,595</w:t>
            </w:r>
          </w:p>
        </w:tc>
        <w:tc>
          <w:tcPr>
            <w:tcW w:type="dxa" w:w="1440"/>
            <w:shd w:fill="FFDCE0" w:val="clear"/>
          </w:tcPr>
          <w:p>
            <w:r>
              <w:rPr>
                <w:b/>
                <w:sz w:val="17"/>
              </w:rPr>
              <w:t>3,172</w:t>
            </w:r>
          </w:p>
        </w:tc>
        <w:tc>
          <w:tcPr>
            <w:tcW w:type="dxa" w:w="1440"/>
            <w:shd w:fill="FFDCE0" w:val="clear"/>
          </w:tcPr>
          <w:p>
            <w:r>
              <w:rPr>
                <w:sz w:val="17"/>
              </w:rPr>
              <w:t>3,749</w:t>
            </w:r>
          </w:p>
        </w:tc>
        <w:tc>
          <w:tcPr>
            <w:tcW w:type="dxa" w:w="1440"/>
            <w:shd w:fill="FFDCE0" w:val="clear"/>
          </w:tcPr>
          <w:p>
            <w:r>
              <w:rPr>
                <w:b/>
                <w:color w:val="C00000"/>
                <w:sz w:val="17"/>
              </w:rPr>
              <w:t>-11.9%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117,28 milliards FCFA, ce qui en fait une valeur de taille moyenne sur la BRVM, représentative d'un leader national dans la distribution pétrolière. Le BPA de 208 FCFA indique que chaque action génère un bénéfice modeste, mais le PER de 17,3x se situe nettement au-dessus de la moyenne historique de la BRVM (8-12x), signalant que les investisseurs paient une prime substantielle pour la solidité de la marque et sa position dominante. Le P/B de 4,15x confirme cette valorisation exigeante, le marché valorisant le titre bien au-delà de sa valeur comptable, ce qui reflète des attentes élevées de rentabilité future. Enfin, l'EV/EBITDA de 7,3x, dans la fourchette raisonnable de 5-10x, tempère légèrement ce constat en indiquant que la valeur totale de l'entreprise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progression de +16,13%, avec une dernière séance stable à 3 600 FCFA. Le cours a évolué dans une fourchette large de 2 845 à 4 500 FCFA, démontrant une volatilité significative. La moyenne (3 440 FCFA) est supérieure à la médiane (3 365 FCFA), et le skewness positif de 0,914 indique une asymétrie avec plus de journées sous la moyenne, suggérant des épisodes de forte hausse ponctuels. L'écart-type de 371 FCFA (CV=10,8%) révèle une dispersion modérée autour de la moyenne, tandis que le kurtosis de 0,343 (mésokurtique) indique une distribution proche de la normale, sans risque de pics extrêmes. La volatilité annualisée de 50,1% classe le titre comme très volatil, un niveau élevé qui reflète les incertitudes du secteur pétrolier et les réactions du marché aux annonces réglementaires.</w:t>
      </w:r>
    </w:p>
    <w:p>
      <w:pPr>
        <w:spacing w:after="120" w:line="276" w:lineRule="auto" w:before="240"/>
      </w:pPr>
      <w:r>
        <w:rPr>
          <w:b/>
          <w:color w:val="003366"/>
          <w:sz w:val="24"/>
        </w:rPr>
        <w:t>**PARTIE 2 : ANALYSE TECHNIQUE DÉTAILLÉE**</w:t>
      </w:r>
    </w:p>
    <w:p>
      <w:pPr>
        <w:spacing w:after="120" w:line="276" w:lineRule="auto"/>
      </w:pPr>
      <w:r>
        <w:t>**Moyennes Mobiles** : Les MM20 (3 750,75 FCFA) et MM50 (3 720,3 FCFA) sont toutes deux supérieures au cours actuel de 3 600 FCFA, indiquant une pression baissière à court terme. Cependant, la MM20 étant au-dessus de la MM50, la tendance de fond reste haussière, d'où une décision d'achat qui suggère que le repli actuel pourrait être une opportunité d'entrée.</w:t>
      </w:r>
    </w:p>
    <w:p>
      <w:pPr>
        <w:spacing w:after="120" w:line="276" w:lineRule="auto"/>
      </w:pPr>
      <w:r>
        <w:t>**Bandes de Bollinger** : Le cours se situe entre la borne inférieure (3 308,11 FCFA) et la borne supérieure (4 193,39 FCFA), plus proche de la borne inférieure, ce qui indique une phase de consolidation après une baisse. La décision neutre reflète l'absence de signal directionnel fort, le marché attendant une sortie de cette zone de range.</w:t>
      </w:r>
    </w:p>
    <w:p>
      <w:pPr>
        <w:spacing w:after="120" w:line="276" w:lineRule="auto"/>
      </w:pPr>
      <w:r>
        <w:t>**MACD** : Le MACD (-67,28) est négatif et inférieur à sa ligne de signal (-36,98), confirmant une dynamique baissière à moyen terme. Cette configuration, bien que non extrême, suggère que le momentum vendeur est encore présent, justifiant la décision de vente.</w:t>
      </w:r>
    </w:p>
    <w:p>
      <w:pPr>
        <w:spacing w:after="120" w:line="276" w:lineRule="auto"/>
      </w:pPr>
      <w:r>
        <w:t>**RSI** : À 41,62, le RSI se situe en zone neutre, ni suracheté ni survendu. Cette valeur indique que le marché n'est pas encore dans une situation de stress extrême, mais la faiblesse relative suggère une pression vendeuse modérée, d'où une décision neutre.</w:t>
      </w:r>
    </w:p>
    <w:p>
      <w:pPr>
        <w:spacing w:after="120" w:line="276" w:lineRule="auto"/>
      </w:pPr>
      <w:r>
        <w:t>**Stochastique** : Le %K (33,33) est supérieur au %D (22,22), indiquant un croisement haussier potentiel en zone de survente. Cette configuration pourrait signaler un début de rebond technique, mais la prudence reste de mise tant que le %K ne dépasse pas 50, justifiant la décision neutre.</w:t>
      </w:r>
    </w:p>
    <w:p>
      <w:pPr>
        <w:spacing w:after="120" w:line="276" w:lineRule="auto"/>
      </w:pPr>
      <w:r>
        <w:t>**Conclusion technique** : Les indicateurs sont globalement mitigés, avec des signaux baissiers à court terme (MACD, position sous les MM) contrebalancés par des signaux de stabilisation (RSI neutre, stochastique en croisement haussier). La tendance de fond reste positive grâce aux MM, mais le marché semble chercher un point d'équilibre. Une confirmation haussière serait nécessaire pour valider un rebond durable.</w:t>
      </w:r>
    </w:p>
    <w:p>
      <w:pPr>
        <w:spacing w:after="120" w:line="276" w:lineRule="auto" w:before="240"/>
      </w:pPr>
      <w:r>
        <w:rPr>
          <w:b/>
          <w:color w:val="003366"/>
          <w:sz w:val="24"/>
        </w:rPr>
        <w:t>**PARTIE 3 : ANALYSE FONDAMENTALE (SECTION CRITIQUE)**</w:t>
      </w:r>
    </w:p>
    <w:p>
      <w:pPr>
        <w:spacing w:after="120" w:line="276" w:lineRule="auto"/>
      </w:pPr>
      <w:r>
        <w:t>En 2025, TTLS affiche un chiffre d'affaires de 455,209 milliards FCFA, en baisse de 6,1% par rapport à 2024 (484,945 milliards), principalement due à l'arrêt stratégique de la commercialisation du fuel lourd. Le résultat net s'établit à 6,779 milliards FCFA, en repli de 5,1% par rapport à 2024 (7,140 milliards), avec une marge nette de 1,49%. La rentabilité des fonds propres (ROE) est excellente à 24%, tandis que le ROA s'établit à 3,95%. Le BFR négatif de -36,9 milliards FCFA est un signal très favorable, indiquant que l'entreprise finance son exploitation grâce aux délais fournisseurs (97,76 jours) supérieurs aux délais clients (47,43 jours). La trésorerie nette positive de 13,94 milliards FCFA et la capacité de remboursement de 0,94 an renforcent la solidité financière. Sur la base du rapport T1 2026 (CA de 99,9 milliards FCFA, -10% mais résultat net en hausse de +5% à 1,585 milliards), on estime que l'exercice 2026 pourrait voir une stabilisation du résultat net autour de 6,5-7 milliards FCFA, grâce à l'amélioration des marges sur les lubrifiants et la maîtrise des coûts opérationnels. Les rapports de 2025 confirment la résilience opérationnelle avec un résultat d'exploitation en hausse de 28% au T1 2026, malgré la pression réglementaire sur les prix.</w:t>
      </w:r>
    </w:p>
    <w:p>
      <w:pPr>
        <w:spacing w:after="120" w:line="276" w:lineRule="auto" w:before="240"/>
      </w:pPr>
      <w:r>
        <w:rPr>
          <w:b/>
          <w:color w:val="003366"/>
          <w:sz w:val="24"/>
        </w:rPr>
        <w:t>**PARTIE 4 : CONCLUSION D'INVESTISSEMENT**</w:t>
      </w:r>
    </w:p>
    <w:p>
      <w:pPr>
        <w:spacing w:after="120" w:line="276" w:lineRule="auto"/>
      </w:pPr>
      <w:r>
        <w:t>La valorisation de TTLS apparaît exigeante avec un PER de 17,3x et un P/B de 4,15x, nettement supérieurs aux moyennes BRVM, ce qui reflète une prime de qualité pour ce leader du marché sénégalais. Le comportement du cours sur 100 jours montre une tendance haussière de +16% mais avec une volatilité élevée (50,1%) et une asymétrie positive, indiquant des mouvements erratiques. Les signaux techniques sont mitigés, avec une tendance de fond positive (MM) mais un momentum baissier à court terme (MACD), suggérant une phase de consolidation. Les fondamentaux restent solides avec un ROE de 24%, un BFR négatif favorable et une trésorerie nette positive, malgré une baisse du CA et du résultat net en 2025. Les prédictions IA (3 485 à 3 316 FCFA sur 10 jours) confirment la tendance baissière à court terme, en cohérence avec les signaux techniques. La synthèse globale indique une divergence entre la solidité fondamentale et la pression technique à court terme. **Recommandation finale : CONSERVER**, avec un niveau de confiance **Moyen** et un risque global **Élevé** en raison de la volatilité et de la dépendance réglementaire. L'horizon d'investissement optimal est le **moyen terme (3-12 mois)**, en attendant une clarification sur la politique de dividende et une stabilisation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517.03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 titres</w:t>
            </w:r>
          </w:p>
        </w:tc>
        <w:tc>
          <w:tcPr>
            <w:tcW w:type="dxa" w:w="2268"/>
            <w:shd w:fill="FFF2CC" w:val="clear"/>
          </w:tcPr>
          <w:p>
            <w:r>
              <w:rPr>
                <w:b/>
                <w:color w:val="503200"/>
                <w:sz w:val="16"/>
              </w:rPr>
              <w:t xml:space="preserve">Cours actuel : </w:t>
            </w:r>
            <w:r>
              <w:rPr>
                <w:color w:val="000000"/>
                <w:sz w:val="17"/>
              </w:rPr>
              <w:t>56,300 FCFA</w:t>
            </w:r>
          </w:p>
          <w:p>
            <w:r>
              <w:rPr>
                <w:b/>
                <w:color w:val="503200"/>
                <w:sz w:val="16"/>
              </w:rPr>
              <w:t xml:space="preserve">Var. 100 jours : </w:t>
            </w:r>
            <w:r>
              <w:rPr>
                <w:b/>
                <w:color w:val="B40000"/>
                <w:sz w:val="17"/>
              </w:rPr>
              <w:t>-21.81%</w:t>
            </w:r>
          </w:p>
          <w:p>
            <w:r>
              <w:rPr>
                <w:b/>
                <w:color w:val="503200"/>
                <w:sz w:val="16"/>
              </w:rPr>
              <w:t xml:space="preserve">Plus haut 100j : </w:t>
            </w:r>
            <w:r>
              <w:rPr>
                <w:color w:val="000000"/>
                <w:sz w:val="17"/>
              </w:rPr>
              <w:t>72,000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7.55% (Moyenne) — μ=57,278 FCFA, σ=4,326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β=2.1032 (Très agressif) — Cov=0.000076, Var(idx)=0.000036, ρ=0.293,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28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σ_j=4.30%/j (Modérée) — Vol. annualisée≈68.3%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53/100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2026-08-12</w:t>
            </w:r>
          </w:p>
        </w:tc>
        <w:tc>
          <w:tcPr>
            <w:tcW w:type="dxa" w:w="1440"/>
            <w:shd w:fill="FAFAFA" w:val="clear"/>
          </w:tcPr>
          <w:p>
            <w:r>
              <w:rPr>
                <w:sz w:val="17"/>
              </w:rPr>
              <w:t>53,063</w:t>
            </w:r>
          </w:p>
        </w:tc>
        <w:tc>
          <w:tcPr>
            <w:tcW w:type="dxa" w:w="1440"/>
            <w:shd w:fill="FAFAFA" w:val="clear"/>
          </w:tcPr>
          <w:p>
            <w:r>
              <w:rPr>
                <w:b/>
                <w:sz w:val="17"/>
              </w:rPr>
              <w:t>56,505</w:t>
            </w:r>
          </w:p>
        </w:tc>
        <w:tc>
          <w:tcPr>
            <w:tcW w:type="dxa" w:w="1440"/>
            <w:shd w:fill="FAFAFA" w:val="clear"/>
          </w:tcPr>
          <w:p>
            <w:r>
              <w:rPr>
                <w:sz w:val="17"/>
              </w:rPr>
              <w:t>59,947</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2026-08-13</w:t>
            </w:r>
          </w:p>
        </w:tc>
        <w:tc>
          <w:tcPr>
            <w:tcW w:type="dxa" w:w="1440"/>
            <w:shd w:fill="FAFAFA" w:val="clear"/>
          </w:tcPr>
          <w:p>
            <w:r>
              <w:rPr>
                <w:sz w:val="17"/>
              </w:rPr>
              <w:t>52,246</w:t>
            </w:r>
          </w:p>
        </w:tc>
        <w:tc>
          <w:tcPr>
            <w:tcW w:type="dxa" w:w="1440"/>
            <w:shd w:fill="FAFAFA" w:val="clear"/>
          </w:tcPr>
          <w:p>
            <w:r>
              <w:rPr>
                <w:b/>
                <w:sz w:val="17"/>
              </w:rPr>
              <w:t>57,171</w:t>
            </w:r>
          </w:p>
        </w:tc>
        <w:tc>
          <w:tcPr>
            <w:tcW w:type="dxa" w:w="1440"/>
            <w:shd w:fill="FAFAFA" w:val="clear"/>
          </w:tcPr>
          <w:p>
            <w:r>
              <w:rPr>
                <w:sz w:val="17"/>
              </w:rPr>
              <w:t>62,095</w:t>
            </w:r>
          </w:p>
        </w:tc>
        <w:tc>
          <w:tcPr>
            <w:tcW w:type="dxa" w:w="1440"/>
            <w:shd w:fill="FAFAFA" w:val="clear"/>
          </w:tcPr>
          <w:p>
            <w:r>
              <w:rPr>
                <w:b/>
                <w:color w:val="008000"/>
                <w:sz w:val="17"/>
              </w:rPr>
              <w:t>+1.5%</w:t>
            </w:r>
          </w:p>
        </w:tc>
      </w:tr>
      <w:tr>
        <w:tc>
          <w:tcPr>
            <w:tcW w:type="dxa" w:w="1440"/>
            <w:shd w:fill="C6EFCE" w:val="clear"/>
          </w:tcPr>
          <w:p>
            <w:r>
              <w:rPr>
                <w:sz w:val="17"/>
              </w:rPr>
              <w:t>J+3  ⭐</w:t>
            </w:r>
          </w:p>
        </w:tc>
        <w:tc>
          <w:tcPr>
            <w:tcW w:type="dxa" w:w="1440"/>
            <w:shd w:fill="C6EFCE" w:val="clear"/>
          </w:tcPr>
          <w:p>
            <w:r>
              <w:rPr>
                <w:sz w:val="17"/>
              </w:rPr>
              <w:t>2026-08-14</w:t>
            </w:r>
          </w:p>
        </w:tc>
        <w:tc>
          <w:tcPr>
            <w:tcW w:type="dxa" w:w="1440"/>
            <w:shd w:fill="C6EFCE" w:val="clear"/>
          </w:tcPr>
          <w:p>
            <w:r>
              <w:rPr>
                <w:sz w:val="17"/>
              </w:rPr>
              <w:t>51,719</w:t>
            </w:r>
          </w:p>
        </w:tc>
        <w:tc>
          <w:tcPr>
            <w:tcW w:type="dxa" w:w="1440"/>
            <w:shd w:fill="C6EFCE" w:val="clear"/>
          </w:tcPr>
          <w:p>
            <w:r>
              <w:rPr>
                <w:b/>
                <w:sz w:val="17"/>
              </w:rPr>
              <w:t>57,819</w:t>
            </w:r>
          </w:p>
        </w:tc>
        <w:tc>
          <w:tcPr>
            <w:tcW w:type="dxa" w:w="1440"/>
            <w:shd w:fill="C6EFCE" w:val="clear"/>
          </w:tcPr>
          <w:p>
            <w:r>
              <w:rPr>
                <w:sz w:val="17"/>
              </w:rPr>
              <w:t>63,920</w:t>
            </w:r>
          </w:p>
        </w:tc>
        <w:tc>
          <w:tcPr>
            <w:tcW w:type="dxa" w:w="1440"/>
            <w:shd w:fill="C6EFCE" w:val="clear"/>
          </w:tcPr>
          <w:p>
            <w:r>
              <w:rPr>
                <w:b/>
                <w:color w:val="008000"/>
                <w:sz w:val="17"/>
              </w:rPr>
              <w:t>+2.7%</w:t>
            </w:r>
          </w:p>
        </w:tc>
      </w:tr>
      <w:tr>
        <w:tc>
          <w:tcPr>
            <w:tcW w:type="dxa" w:w="1440"/>
            <w:shd w:fill="C6EFCE" w:val="clear"/>
          </w:tcPr>
          <w:p>
            <w:r>
              <w:rPr>
                <w:sz w:val="17"/>
              </w:rPr>
              <w:t>J+4  ⭐</w:t>
            </w:r>
          </w:p>
        </w:tc>
        <w:tc>
          <w:tcPr>
            <w:tcW w:type="dxa" w:w="1440"/>
            <w:shd w:fill="C6EFCE" w:val="clear"/>
          </w:tcPr>
          <w:p>
            <w:r>
              <w:rPr>
                <w:sz w:val="17"/>
              </w:rPr>
              <w:t>2026-08-17</w:t>
            </w:r>
          </w:p>
        </w:tc>
        <w:tc>
          <w:tcPr>
            <w:tcW w:type="dxa" w:w="1440"/>
            <w:shd w:fill="C6EFCE" w:val="clear"/>
          </w:tcPr>
          <w:p>
            <w:r>
              <w:rPr>
                <w:sz w:val="17"/>
              </w:rPr>
              <w:t>51,345</w:t>
            </w:r>
          </w:p>
        </w:tc>
        <w:tc>
          <w:tcPr>
            <w:tcW w:type="dxa" w:w="1440"/>
            <w:shd w:fill="C6EFCE" w:val="clear"/>
          </w:tcPr>
          <w:p>
            <w:r>
              <w:rPr>
                <w:b/>
                <w:sz w:val="17"/>
              </w:rPr>
              <w:t>58,468</w:t>
            </w:r>
          </w:p>
        </w:tc>
        <w:tc>
          <w:tcPr>
            <w:tcW w:type="dxa" w:w="1440"/>
            <w:shd w:fill="C6EFCE" w:val="clear"/>
          </w:tcPr>
          <w:p>
            <w:r>
              <w:rPr>
                <w:sz w:val="17"/>
              </w:rPr>
              <w:t>65,591</w:t>
            </w:r>
          </w:p>
        </w:tc>
        <w:tc>
          <w:tcPr>
            <w:tcW w:type="dxa" w:w="1440"/>
            <w:shd w:fill="C6EFCE" w:val="clear"/>
          </w:tcPr>
          <w:p>
            <w:r>
              <w:rPr>
                <w:b/>
                <w:color w:val="008000"/>
                <w:sz w:val="17"/>
              </w:rPr>
              <w:t>+3.9%</w:t>
            </w:r>
          </w:p>
        </w:tc>
      </w:tr>
      <w:tr>
        <w:tc>
          <w:tcPr>
            <w:tcW w:type="dxa" w:w="1440"/>
            <w:shd w:fill="C6EFCE" w:val="clear"/>
          </w:tcPr>
          <w:p>
            <w:r>
              <w:rPr>
                <w:sz w:val="17"/>
              </w:rPr>
              <w:t>J+5  ⭐</w:t>
            </w:r>
          </w:p>
        </w:tc>
        <w:tc>
          <w:tcPr>
            <w:tcW w:type="dxa" w:w="1440"/>
            <w:shd w:fill="C6EFCE" w:val="clear"/>
          </w:tcPr>
          <w:p>
            <w:r>
              <w:rPr>
                <w:sz w:val="17"/>
              </w:rPr>
              <w:t>2026-08-18</w:t>
            </w:r>
          </w:p>
        </w:tc>
        <w:tc>
          <w:tcPr>
            <w:tcW w:type="dxa" w:w="1440"/>
            <w:shd w:fill="C6EFCE" w:val="clear"/>
          </w:tcPr>
          <w:p>
            <w:r>
              <w:rPr>
                <w:sz w:val="17"/>
              </w:rPr>
              <w:t>51,066</w:t>
            </w:r>
          </w:p>
        </w:tc>
        <w:tc>
          <w:tcPr>
            <w:tcW w:type="dxa" w:w="1440"/>
            <w:shd w:fill="C6EFCE" w:val="clear"/>
          </w:tcPr>
          <w:p>
            <w:r>
              <w:rPr>
                <w:b/>
                <w:sz w:val="17"/>
              </w:rPr>
              <w:t>59,118</w:t>
            </w:r>
          </w:p>
        </w:tc>
        <w:tc>
          <w:tcPr>
            <w:tcW w:type="dxa" w:w="1440"/>
            <w:shd w:fill="C6EFCE" w:val="clear"/>
          </w:tcPr>
          <w:p>
            <w:r>
              <w:rPr>
                <w:sz w:val="17"/>
              </w:rPr>
              <w:t>67,171</w:t>
            </w:r>
          </w:p>
        </w:tc>
        <w:tc>
          <w:tcPr>
            <w:tcW w:type="dxa" w:w="1440"/>
            <w:shd w:fill="C6EFCE" w:val="clear"/>
          </w:tcPr>
          <w:p>
            <w:r>
              <w:rPr>
                <w:b/>
                <w:color w:val="008000"/>
                <w:sz w:val="17"/>
              </w:rPr>
              <w:t>+5.0%</w:t>
            </w:r>
          </w:p>
        </w:tc>
      </w:tr>
      <w:tr>
        <w:tc>
          <w:tcPr>
            <w:tcW w:type="dxa" w:w="1440"/>
            <w:shd w:fill="C6EFCE" w:val="clear"/>
          </w:tcPr>
          <w:p>
            <w:r>
              <w:rPr>
                <w:sz w:val="17"/>
              </w:rPr>
              <w:t>J+6  ⭐</w:t>
            </w:r>
          </w:p>
        </w:tc>
        <w:tc>
          <w:tcPr>
            <w:tcW w:type="dxa" w:w="1440"/>
            <w:shd w:fill="C6EFCE" w:val="clear"/>
          </w:tcPr>
          <w:p>
            <w:r>
              <w:rPr>
                <w:sz w:val="17"/>
              </w:rPr>
              <w:t>2026-08-19</w:t>
            </w:r>
          </w:p>
        </w:tc>
        <w:tc>
          <w:tcPr>
            <w:tcW w:type="dxa" w:w="1440"/>
            <w:shd w:fill="C6EFCE" w:val="clear"/>
          </w:tcPr>
          <w:p>
            <w:r>
              <w:rPr>
                <w:sz w:val="17"/>
              </w:rPr>
              <w:t>50,853</w:t>
            </w:r>
          </w:p>
        </w:tc>
        <w:tc>
          <w:tcPr>
            <w:tcW w:type="dxa" w:w="1440"/>
            <w:shd w:fill="C6EFCE" w:val="clear"/>
          </w:tcPr>
          <w:p>
            <w:r>
              <w:rPr>
                <w:b/>
                <w:sz w:val="17"/>
              </w:rPr>
              <w:t>59,771</w:t>
            </w:r>
          </w:p>
        </w:tc>
        <w:tc>
          <w:tcPr>
            <w:tcW w:type="dxa" w:w="1440"/>
            <w:shd w:fill="C6EFCE" w:val="clear"/>
          </w:tcPr>
          <w:p>
            <w:r>
              <w:rPr>
                <w:sz w:val="17"/>
              </w:rPr>
              <w:t>68,690</w:t>
            </w:r>
          </w:p>
        </w:tc>
        <w:tc>
          <w:tcPr>
            <w:tcW w:type="dxa" w:w="1440"/>
            <w:shd w:fill="C6EFCE" w:val="clear"/>
          </w:tcPr>
          <w:p>
            <w:r>
              <w:rPr>
                <w:b/>
                <w:color w:val="008000"/>
                <w:sz w:val="17"/>
              </w:rPr>
              <w:t>+6.2%</w:t>
            </w:r>
          </w:p>
        </w:tc>
      </w:tr>
      <w:tr>
        <w:tc>
          <w:tcPr>
            <w:tcW w:type="dxa" w:w="1440"/>
            <w:shd w:fill="C6EFCE" w:val="clear"/>
          </w:tcPr>
          <w:p>
            <w:r>
              <w:rPr>
                <w:sz w:val="17"/>
              </w:rPr>
              <w:t>J+7  ⭐</w:t>
            </w:r>
          </w:p>
        </w:tc>
        <w:tc>
          <w:tcPr>
            <w:tcW w:type="dxa" w:w="1440"/>
            <w:shd w:fill="C6EFCE" w:val="clear"/>
          </w:tcPr>
          <w:p>
            <w:r>
              <w:rPr>
                <w:sz w:val="17"/>
              </w:rPr>
              <w:t>2026-08-20</w:t>
            </w:r>
          </w:p>
        </w:tc>
        <w:tc>
          <w:tcPr>
            <w:tcW w:type="dxa" w:w="1440"/>
            <w:shd w:fill="C6EFCE" w:val="clear"/>
          </w:tcPr>
          <w:p>
            <w:r>
              <w:rPr>
                <w:sz w:val="17"/>
              </w:rPr>
              <w:t>50,688</w:t>
            </w:r>
          </w:p>
        </w:tc>
        <w:tc>
          <w:tcPr>
            <w:tcW w:type="dxa" w:w="1440"/>
            <w:shd w:fill="C6EFCE" w:val="clear"/>
          </w:tcPr>
          <w:p>
            <w:r>
              <w:rPr>
                <w:b/>
                <w:sz w:val="17"/>
              </w:rPr>
              <w:t>60,427</w:t>
            </w:r>
          </w:p>
        </w:tc>
        <w:tc>
          <w:tcPr>
            <w:tcW w:type="dxa" w:w="1440"/>
            <w:shd w:fill="C6EFCE" w:val="clear"/>
          </w:tcPr>
          <w:p>
            <w:r>
              <w:rPr>
                <w:sz w:val="17"/>
              </w:rPr>
              <w:t>70,165</w:t>
            </w:r>
          </w:p>
        </w:tc>
        <w:tc>
          <w:tcPr>
            <w:tcW w:type="dxa" w:w="1440"/>
            <w:shd w:fill="C6EFCE" w:val="clear"/>
          </w:tcPr>
          <w:p>
            <w:r>
              <w:rPr>
                <w:b/>
                <w:color w:val="008000"/>
                <w:sz w:val="17"/>
              </w:rPr>
              <w:t>+7.3%</w:t>
            </w:r>
          </w:p>
        </w:tc>
      </w:tr>
      <w:tr>
        <w:tc>
          <w:tcPr>
            <w:tcW w:type="dxa" w:w="1440"/>
            <w:shd w:fill="C6EFCE" w:val="clear"/>
          </w:tcPr>
          <w:p>
            <w:r>
              <w:rPr>
                <w:sz w:val="17"/>
              </w:rPr>
              <w:t>J+8  ⭐</w:t>
            </w:r>
          </w:p>
        </w:tc>
        <w:tc>
          <w:tcPr>
            <w:tcW w:type="dxa" w:w="1440"/>
            <w:shd w:fill="C6EFCE" w:val="clear"/>
          </w:tcPr>
          <w:p>
            <w:r>
              <w:rPr>
                <w:sz w:val="17"/>
              </w:rPr>
              <w:t>2026-08-21</w:t>
            </w:r>
          </w:p>
        </w:tc>
        <w:tc>
          <w:tcPr>
            <w:tcW w:type="dxa" w:w="1440"/>
            <w:shd w:fill="C6EFCE" w:val="clear"/>
          </w:tcPr>
          <w:p>
            <w:r>
              <w:rPr>
                <w:sz w:val="17"/>
              </w:rPr>
              <w:t>50,560</w:t>
            </w:r>
          </w:p>
        </w:tc>
        <w:tc>
          <w:tcPr>
            <w:tcW w:type="dxa" w:w="1440"/>
            <w:shd w:fill="C6EFCE" w:val="clear"/>
          </w:tcPr>
          <w:p>
            <w:r>
              <w:rPr>
                <w:b/>
                <w:sz w:val="17"/>
              </w:rPr>
              <w:t>61,083</w:t>
            </w:r>
          </w:p>
        </w:tc>
        <w:tc>
          <w:tcPr>
            <w:tcW w:type="dxa" w:w="1440"/>
            <w:shd w:fill="C6EFCE" w:val="clear"/>
          </w:tcPr>
          <w:p>
            <w:r>
              <w:rPr>
                <w:sz w:val="17"/>
              </w:rPr>
              <w:t>71,607</w:t>
            </w:r>
          </w:p>
        </w:tc>
        <w:tc>
          <w:tcPr>
            <w:tcW w:type="dxa" w:w="1440"/>
            <w:shd w:fill="C6EFCE" w:val="clear"/>
          </w:tcPr>
          <w:p>
            <w:r>
              <w:rPr>
                <w:b/>
                <w:color w:val="008000"/>
                <w:sz w:val="17"/>
              </w:rPr>
              <w:t>+8.5%</w:t>
            </w:r>
          </w:p>
        </w:tc>
      </w:tr>
      <w:tr>
        <w:tc>
          <w:tcPr>
            <w:tcW w:type="dxa" w:w="1440"/>
            <w:shd w:fill="C6EFCE" w:val="clear"/>
          </w:tcPr>
          <w:p>
            <w:r>
              <w:rPr>
                <w:sz w:val="17"/>
              </w:rPr>
              <w:t>J+9  ⭐</w:t>
            </w:r>
          </w:p>
        </w:tc>
        <w:tc>
          <w:tcPr>
            <w:tcW w:type="dxa" w:w="1440"/>
            <w:shd w:fill="C6EFCE" w:val="clear"/>
          </w:tcPr>
          <w:p>
            <w:r>
              <w:rPr>
                <w:sz w:val="17"/>
              </w:rPr>
              <w:t>2026-08-24</w:t>
            </w:r>
          </w:p>
        </w:tc>
        <w:tc>
          <w:tcPr>
            <w:tcW w:type="dxa" w:w="1440"/>
            <w:shd w:fill="C6EFCE" w:val="clear"/>
          </w:tcPr>
          <w:p>
            <w:r>
              <w:rPr>
                <w:sz w:val="17"/>
              </w:rPr>
              <w:t>50,459</w:t>
            </w:r>
          </w:p>
        </w:tc>
        <w:tc>
          <w:tcPr>
            <w:tcW w:type="dxa" w:w="1440"/>
            <w:shd w:fill="C6EFCE" w:val="clear"/>
          </w:tcPr>
          <w:p>
            <w:r>
              <w:rPr>
                <w:b/>
                <w:sz w:val="17"/>
              </w:rPr>
              <w:t>61,742</w:t>
            </w:r>
          </w:p>
        </w:tc>
        <w:tc>
          <w:tcPr>
            <w:tcW w:type="dxa" w:w="1440"/>
            <w:shd w:fill="C6EFCE" w:val="clear"/>
          </w:tcPr>
          <w:p>
            <w:r>
              <w:rPr>
                <w:sz w:val="17"/>
              </w:rPr>
              <w:t>73,024</w:t>
            </w:r>
          </w:p>
        </w:tc>
        <w:tc>
          <w:tcPr>
            <w:tcW w:type="dxa" w:w="1440"/>
            <w:shd w:fill="C6EFCE" w:val="clear"/>
          </w:tcPr>
          <w:p>
            <w:r>
              <w:rPr>
                <w:b/>
                <w:color w:val="008000"/>
                <w:sz w:val="17"/>
              </w:rPr>
              <w:t>+9.7%</w:t>
            </w:r>
          </w:p>
        </w:tc>
      </w:tr>
      <w:tr>
        <w:tc>
          <w:tcPr>
            <w:tcW w:type="dxa" w:w="1440"/>
            <w:shd w:fill="C6EFCE" w:val="clear"/>
          </w:tcPr>
          <w:p>
            <w:r>
              <w:rPr>
                <w:sz w:val="17"/>
              </w:rPr>
              <w:t>J+10  ⭐</w:t>
            </w:r>
          </w:p>
        </w:tc>
        <w:tc>
          <w:tcPr>
            <w:tcW w:type="dxa" w:w="1440"/>
            <w:shd w:fill="C6EFCE" w:val="clear"/>
          </w:tcPr>
          <w:p>
            <w:r>
              <w:rPr>
                <w:sz w:val="17"/>
              </w:rPr>
              <w:t>2026-08-25</w:t>
            </w:r>
          </w:p>
        </w:tc>
        <w:tc>
          <w:tcPr>
            <w:tcW w:type="dxa" w:w="1440"/>
            <w:shd w:fill="C6EFCE" w:val="clear"/>
          </w:tcPr>
          <w:p>
            <w:r>
              <w:rPr>
                <w:sz w:val="17"/>
              </w:rPr>
              <w:t>50,382</w:t>
            </w:r>
          </w:p>
        </w:tc>
        <w:tc>
          <w:tcPr>
            <w:tcW w:type="dxa" w:w="1440"/>
            <w:shd w:fill="C6EFCE" w:val="clear"/>
          </w:tcPr>
          <w:p>
            <w:r>
              <w:rPr>
                <w:b/>
                <w:sz w:val="17"/>
              </w:rPr>
              <w:t>62,402</w:t>
            </w:r>
          </w:p>
        </w:tc>
        <w:tc>
          <w:tcPr>
            <w:tcW w:type="dxa" w:w="1440"/>
            <w:shd w:fill="C6EFCE" w:val="clear"/>
          </w:tcPr>
          <w:p>
            <w:r>
              <w:rPr>
                <w:sz w:val="17"/>
              </w:rPr>
              <w:t>74,422</w:t>
            </w:r>
          </w:p>
        </w:tc>
        <w:tc>
          <w:tcPr>
            <w:tcW w:type="dxa" w:w="1440"/>
            <w:shd w:fill="C6EFCE" w:val="clear"/>
          </w:tcPr>
          <w:p>
            <w:r>
              <w:rPr>
                <w:b/>
                <w:color w:val="008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517,03 milliards FCFA, ce qui positionne la société parmi les valeurs moyennes du marché de la BRVM, reflétant une présence significative mais non dominante dans l'écosystème boursier régional. Les ratios de valorisation traditionnels (BPA, PER, P/B, EV/EBITDA) ne sont pas calculables en raison de l'absence de données financières structurées récentes dans la base, ce qui constitue une limite importante pour évaluer le caractère attractif ou non du titre par rapport aux bénéfices générés. Cette absence de ratios comparables est d'autant plus dommageable que le PER moyen de la BRVM se situe historiquement entre 8 et 12 fois, une référence qui aurait permis de situer UNLC par rapport à ses pairs. En l'état, l'investisseur doit se tourner vers les données fondamentales historiques disponibles et l'analyse technique pour se forger une opinion, en gardant à l'esprit que la valorisation actuelle intègre probablement des anticipations de redressement.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-21,81%, passant d'un plus haut de 72 000 FCFA à un plus bas de 49 630 FCFA, illustrant une tendance baissière marquée malgré un rebond de +3,12% lors de la dernière séance qui ramène le cours à 56 300 FCFA. La moyenne du cours sur la période s'établit à 57 278 FCFA, très proche de la médiane de 57 000 FCFA, ce qui indique une distribution relativement symétrique des prix autour de ces valeurs centrales, tandis que le mode de 58 000 FCFA confirme une concentration des échanges dans cette zone. L'écart-type de 4 348 FCFA, associé à un coefficient de variation de 7,6%, révèle une dispersion modérée du cours autour de sa moyenne, mais le kurtosis de 1,529 (leptokurtique) signale des queues de distribution épaisses, donc un risque de mouvements extrêmes plus élevé que la normale. Le skewness positif de 0,983 indique une asymétrie vers la gauche, signifiant que les journées de baisse ont été plus fréquentes mais de moindre ampleur que les rares fortes hausses. La volatilité annualisée de 68,3% classe UNLC comme un titre à très haute volatilité, bien au-delà du seuil de 30% considéré comme élevé, ce qui implique un risque substantiel pour les investisseurs non avertis.</w:t>
      </w:r>
    </w:p>
    <w:p>
      <w:pPr>
        <w:spacing w:after="120" w:line="276" w:lineRule="auto" w:before="240"/>
      </w:pPr>
      <w:r>
        <w:rPr>
          <w:b/>
          <w:color w:val="003366"/>
          <w:sz w:val="24"/>
        </w:rPr>
        <w:t>**PARTIE 2 : ANALYSE TECHNIQUE DÉTAILLÉE**</w:t>
      </w:r>
    </w:p>
    <w:p>
      <w:pPr>
        <w:spacing w:after="120" w:line="276" w:lineRule="auto"/>
      </w:pPr>
      <w:r>
        <w:t>Les moyennes mobiles sur 20 et 50 jours s'établissent respectivement à 53 256 FCFA et 54 819 FCFA, toutes deux inférieures au cours actuel de 56 300 FCFA, ce qui suggère un potentiel de retournement haussier à court terme. Cependant, la décision technique globale reste à la vente, car le titre évolue encore sous sa tendance de moyen terme, et la configuration des MM20 et MM50 ne montre pas encore de croisement haussier confirmé.</w:t>
      </w:r>
    </w:p>
    <w:p>
      <w:pPr>
        <w:spacing w:after="120" w:line="276" w:lineRule="auto"/>
      </w:pPr>
      <w:r>
        <w:t>Les bandes de Bollinger encadrent le prix entre une borne supérieure de 56 807 FCFA et une borne inférieure de 49 705 FCFA, avec le cours actuel proche de la borne supérieure, indiquant une pression acheteuse récente. La décision neutre suggère que le titre n'est ni suracheté ni survendu, mais la proximité de la borne supérieure pourrait limiter le potentiel de hausse immédiat à moins d'une expansion des bandes.</w:t>
      </w:r>
    </w:p>
    <w:p>
      <w:pPr>
        <w:spacing w:after="120" w:line="276" w:lineRule="auto"/>
      </w:pPr>
      <w:r>
        <w:t>Le MACD affiche une valeur positive de 73,922 contre un signal négatif de -444,742, créant une divergence haussière significative qui traduit un momentum positif en cours de formation. Cette configuration, bien que précoce, signale un retour de la dynamique acheteuse après une période de faiblesse, justifiant la décision d'achat générée par cet indicateur.</w:t>
      </w:r>
    </w:p>
    <w:p>
      <w:pPr>
        <w:spacing w:after="120" w:line="276" w:lineRule="auto"/>
      </w:pPr>
      <w:r>
        <w:t>Le RSI à 66,329 se situe en zone neutre, en dessous du seuil de surachat de 70, ce qui laisse une marge de progression avant une éventuelle correction. Cette valeur reflète un intérêt acheteur modéré sans excès, cohérent avec la décision neutre associée à cet indicateur.</w:t>
      </w:r>
    </w:p>
    <w:p>
      <w:pPr>
        <w:spacing w:after="120" w:line="276" w:lineRule="auto"/>
      </w:pPr>
      <w:r>
        <w:t>Le stochastique montre un %K à 100 et un %D à 84,124, plaçant le titre en zone de surachat extrême, ce qui suggère un risque de retournement baissier imminent. La décision de vente associée à cet indicateur contraste avec le signal du MACD, illustrant la divergence des signaux techniques à court terme.</w:t>
      </w:r>
    </w:p>
    <w:p>
      <w:pPr>
        <w:spacing w:after="120" w:line="276" w:lineRule="auto"/>
      </w:pPr>
      <w:r>
        <w:t>En conclusion technique, les indicateurs présentent un tableau mitigé : le MACD et la position du cours par rapport aux moyennes mobiles plaident pour un rebond, tandis que le stochastique suracheté et la tendance baissière de fond tempèrent cet optimisme. La configuration globale suggère une phase de consolidation avec un biais haussier à très court terme, mais la prudence reste de mise tant que le titre n'aura pas confirmé un franchissement durable des 57 000 FCFA.</w:t>
      </w:r>
    </w:p>
    <w:p>
      <w:pPr>
        <w:spacing w:after="120" w:line="276" w:lineRule="auto" w:before="240"/>
      </w:pPr>
      <w:r>
        <w:rPr>
          <w:b/>
          <w:color w:val="003366"/>
          <w:sz w:val="24"/>
        </w:rPr>
        <w:t>**PARTIE 3 : ANALYSE FONDAMENTALE (SECTION CRITIQUE)**</w:t>
      </w:r>
    </w:p>
    <w:p>
      <w:pPr>
        <w:spacing w:after="120" w:line="276" w:lineRule="auto"/>
      </w:pPr>
      <w:r>
        <w:t>Les données financières structurées pour UNLC ne sont pas disponibles dans la base, mais les rapports narratifs fournissent des informations essentielles sur l'exercice 2023 (rapport daté du 31 décembre 2024). En 2023, UNLC a réalisé un chiffre d'affaires de 24 336 010 000 FCFA, stable par rapport à 2022, avec un bénéfice net de 640 334 855 FCFA, en nette amélioration par rapport à la perte de 6 908 362 002 FCFA enregistrée en 2022, soit une marge nette de 2,63% contre -28,4% l'année précédente. Le résultat d'exploitation est passé de -6 258 millions FCFA en 2022 à +3 340 millions FCFA en 2023, démontrant un redressement opérationnel significatif, mais les capitaux propres restent négatifs à -10 658 millions FCFA, fragilisant la structure financière. Les rapports de 2022 (datés du 31 décembre 2023) font état d'une perte nette de 6 382,6 millions FCFA pour un chiffre d'affaires de 24 336 millions FCFA, tandis que le rapport 2021 mentionne un bénéfice de 6 090 millions FCFA, illustrant une forte volatilité des résultats. En tant qu'entreprise industrielle, UNLC doit surveiller son besoin en fonds de roulement, ses délais clients et fournisseurs, ainsi que sa rotation des stocks, mais ces données détaillées ne sont pas disponibles dans les rapports. La dette financière de 4 379 millions FCFA en 2023, associée à une trésorerie passive de 14 874 millions FCFA, indique un risque de liquidité à surveiller. Les perspectives de redressement sont réelles mais conditionnées à une amélioration durable de la rentabilité et à une reconstitution des capitaux propres, ce qui justifie une recommandation fondamentale de conservation avec vigilance.</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UNLC : la valorisation boursière ne peut être appréciée faute de ratios disponibles, mais la capitalisation de 517 milliards FCFA semble élevée au regard des fondamentaux historiques fragiles. Le comportement du cours sur 100 jours est préoccupant avec une baisse de 21,81%, une volatilité annualisée de 68,3% et un skewness positif indiquant des journées de baisse fréquentes, même si le rebond récent de +3,12% et la proximité du cours avec sa moyenne suggèrent une stabilisation possible. Les signaux techniques sont divergents : le MACD et les moyennes mobiles plaident pour un retour haussier, tandis que le stochastique suracheté et la tendance de fond baissière incitent à la prudence. Les fondamentaux montrent un redressement en 2023 après une année 2022 catastrophique, mais les capitaux propres négatifs et l'absence de dividendes limitent l'attractivité du titre. Les prédictions IA sur 10 jours indiquent une progression régulière de 56 505 à 59 118 FCFA, confirmant le potentiel de rebond technique à court terme. Au vu de ces éléments, la recommandation finale est **CONSERVER** avec un niveau de confiance **Moyen**, un risque global **Élevé**, et un horizon d'investissement optimal à **moyen terme (3-12 mois)**. Les investisseurs devraient surveiller l'évolution des résultats semestriels et la capacité de la société à confirmer son redressement avant d'envisager un renforcement de position.</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12,175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B40000"/>
                <w:sz w:val="17"/>
              </w:rPr>
              <w:t>-5.00%</w:t>
            </w:r>
          </w:p>
          <w:p>
            <w:r>
              <w:rPr>
                <w:b/>
                <w:color w:val="503200"/>
                <w:sz w:val="16"/>
              </w:rPr>
              <w:t xml:space="preserve">Plus haut 100j : </w:t>
            </w:r>
            <w:r>
              <w:rPr>
                <w:color w:val="000000"/>
                <w:sz w:val="17"/>
              </w:rPr>
              <w:t>2,095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18.0/100 → Faible</w:t>
      </w:r>
    </w:p>
    <w:p>
      <w:pPr>
        <w:spacing w:before="40" w:after="80"/>
      </w:pPr>
      <w:r>
        <w:rPr>
          <w:rFonts w:ascii="Courier New" w:hAnsi="Courier New"/>
          <w:color w:val="006400"/>
          <w:sz w:val="18"/>
        </w:rPr>
        <w:t>███░░░░░░░░░░░░░░░░░  18.0/100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8.90% (Moyenne) — μ=1,865 FCFA, σ=166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β=-0.8270 (Contre-cyclique) — Cov=-0.000030, Var(idx)=0.000036, ρ=-0.162,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12,175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σ_j=3.06%/j (Modérée) — Vol. annualisée≈48.6%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2026-08-12</w:t>
            </w:r>
          </w:p>
        </w:tc>
        <w:tc>
          <w:tcPr>
            <w:tcW w:type="dxa" w:w="1440"/>
            <w:shd w:fill="FAFAFA" w:val="clear"/>
          </w:tcPr>
          <w:p>
            <w:r>
              <w:rPr>
                <w:sz w:val="17"/>
              </w:rPr>
              <w:t>1,748</w:t>
            </w:r>
          </w:p>
        </w:tc>
        <w:tc>
          <w:tcPr>
            <w:tcW w:type="dxa" w:w="1440"/>
            <w:shd w:fill="FAFAFA" w:val="clear"/>
          </w:tcPr>
          <w:p>
            <w:r>
              <w:rPr>
                <w:b/>
                <w:sz w:val="17"/>
              </w:rPr>
              <w:t>1,890</w:t>
            </w:r>
          </w:p>
        </w:tc>
        <w:tc>
          <w:tcPr>
            <w:tcW w:type="dxa" w:w="1440"/>
            <w:shd w:fill="FAFAFA" w:val="clear"/>
          </w:tcPr>
          <w:p>
            <w:r>
              <w:rPr>
                <w:sz w:val="17"/>
              </w:rPr>
              <w:t>2,031</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2026-08-13</w:t>
            </w:r>
          </w:p>
        </w:tc>
        <w:tc>
          <w:tcPr>
            <w:tcW w:type="dxa" w:w="1440"/>
            <w:shd w:fill="FAFAFA" w:val="clear"/>
          </w:tcPr>
          <w:p>
            <w:r>
              <w:rPr>
                <w:sz w:val="17"/>
              </w:rPr>
              <w:t>1,678</w:t>
            </w:r>
          </w:p>
        </w:tc>
        <w:tc>
          <w:tcPr>
            <w:tcW w:type="dxa" w:w="1440"/>
            <w:shd w:fill="FAFAFA" w:val="clear"/>
          </w:tcPr>
          <w:p>
            <w:r>
              <w:rPr>
                <w:b/>
                <w:sz w:val="17"/>
              </w:rPr>
              <w:t>1,880</w:t>
            </w:r>
          </w:p>
        </w:tc>
        <w:tc>
          <w:tcPr>
            <w:tcW w:type="dxa" w:w="1440"/>
            <w:shd w:fill="FAFAFA" w:val="clear"/>
          </w:tcPr>
          <w:p>
            <w:r>
              <w:rPr>
                <w:sz w:val="17"/>
              </w:rPr>
              <w:t>2,083</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2026-08-14</w:t>
            </w:r>
          </w:p>
        </w:tc>
        <w:tc>
          <w:tcPr>
            <w:tcW w:type="dxa" w:w="1440"/>
            <w:shd w:fill="FAFAFA" w:val="clear"/>
          </w:tcPr>
          <w:p>
            <w:r>
              <w:rPr>
                <w:sz w:val="17"/>
              </w:rPr>
              <w:t>1,624</w:t>
            </w:r>
          </w:p>
        </w:tc>
        <w:tc>
          <w:tcPr>
            <w:tcW w:type="dxa" w:w="1440"/>
            <w:shd w:fill="FAFAFA" w:val="clear"/>
          </w:tcPr>
          <w:p>
            <w:r>
              <w:rPr>
                <w:b/>
                <w:sz w:val="17"/>
              </w:rPr>
              <w:t>1,871</w:t>
            </w:r>
          </w:p>
        </w:tc>
        <w:tc>
          <w:tcPr>
            <w:tcW w:type="dxa" w:w="1440"/>
            <w:shd w:fill="FAFAFA" w:val="clear"/>
          </w:tcPr>
          <w:p>
            <w:r>
              <w:rPr>
                <w:sz w:val="17"/>
              </w:rPr>
              <w:t>2,118</w:t>
            </w:r>
          </w:p>
        </w:tc>
        <w:tc>
          <w:tcPr>
            <w:tcW w:type="dxa" w:w="1440"/>
            <w:shd w:fill="FAFAFA" w:val="clear"/>
          </w:tcPr>
          <w:p>
            <w:r>
              <w:rPr>
                <w:b/>
                <w:color w:val="C00000"/>
                <w:sz w:val="17"/>
              </w:rPr>
              <w:t>-1.5%</w:t>
            </w:r>
          </w:p>
        </w:tc>
      </w:tr>
      <w:tr>
        <w:tc>
          <w:tcPr>
            <w:tcW w:type="dxa" w:w="1440"/>
            <w:shd w:fill="FFDCE0" w:val="clear"/>
          </w:tcPr>
          <w:p>
            <w:r>
              <w:rPr>
                <w:sz w:val="17"/>
              </w:rPr>
              <w:t>J+4  ⭐</w:t>
            </w:r>
          </w:p>
        </w:tc>
        <w:tc>
          <w:tcPr>
            <w:tcW w:type="dxa" w:w="1440"/>
            <w:shd w:fill="FFDCE0" w:val="clear"/>
          </w:tcPr>
          <w:p>
            <w:r>
              <w:rPr>
                <w:sz w:val="17"/>
              </w:rPr>
              <w:t>2026-08-17</w:t>
            </w:r>
          </w:p>
        </w:tc>
        <w:tc>
          <w:tcPr>
            <w:tcW w:type="dxa" w:w="1440"/>
            <w:shd w:fill="FFDCE0" w:val="clear"/>
          </w:tcPr>
          <w:p>
            <w:r>
              <w:rPr>
                <w:sz w:val="17"/>
              </w:rPr>
              <w:t>1,577</w:t>
            </w:r>
          </w:p>
        </w:tc>
        <w:tc>
          <w:tcPr>
            <w:tcW w:type="dxa" w:w="1440"/>
            <w:shd w:fill="FFDCE0" w:val="clear"/>
          </w:tcPr>
          <w:p>
            <w:r>
              <w:rPr>
                <w:b/>
                <w:sz w:val="17"/>
              </w:rPr>
              <w:t>1,861</w:t>
            </w:r>
          </w:p>
        </w:tc>
        <w:tc>
          <w:tcPr>
            <w:tcW w:type="dxa" w:w="1440"/>
            <w:shd w:fill="FFDCE0" w:val="clear"/>
          </w:tcPr>
          <w:p>
            <w:r>
              <w:rPr>
                <w:sz w:val="17"/>
              </w:rPr>
              <w:t>2,145</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2026-08-18</w:t>
            </w:r>
          </w:p>
        </w:tc>
        <w:tc>
          <w:tcPr>
            <w:tcW w:type="dxa" w:w="1440"/>
            <w:shd w:fill="FFDCE0" w:val="clear"/>
          </w:tcPr>
          <w:p>
            <w:r>
              <w:rPr>
                <w:sz w:val="17"/>
              </w:rPr>
              <w:t>1,536</w:t>
            </w:r>
          </w:p>
        </w:tc>
        <w:tc>
          <w:tcPr>
            <w:tcW w:type="dxa" w:w="1440"/>
            <w:shd w:fill="FFDCE0" w:val="clear"/>
          </w:tcPr>
          <w:p>
            <w:r>
              <w:rPr>
                <w:b/>
                <w:sz w:val="17"/>
              </w:rPr>
              <w:t>1,852</w:t>
            </w:r>
          </w:p>
        </w:tc>
        <w:tc>
          <w:tcPr>
            <w:tcW w:type="dxa" w:w="1440"/>
            <w:shd w:fill="FFDCE0" w:val="clear"/>
          </w:tcPr>
          <w:p>
            <w:r>
              <w:rPr>
                <w:sz w:val="17"/>
              </w:rPr>
              <w:t>2,168</w:t>
            </w:r>
          </w:p>
        </w:tc>
        <w:tc>
          <w:tcPr>
            <w:tcW w:type="dxa" w:w="1440"/>
            <w:shd w:fill="FFDCE0" w:val="clear"/>
          </w:tcPr>
          <w:p>
            <w:r>
              <w:rPr>
                <w:b/>
                <w:color w:val="C00000"/>
                <w:sz w:val="17"/>
              </w:rPr>
              <w:t>-2.5%</w:t>
            </w:r>
          </w:p>
        </w:tc>
      </w:tr>
      <w:tr>
        <w:tc>
          <w:tcPr>
            <w:tcW w:type="dxa" w:w="1440"/>
            <w:shd w:fill="FFDCE0" w:val="clear"/>
          </w:tcPr>
          <w:p>
            <w:r>
              <w:rPr>
                <w:sz w:val="17"/>
              </w:rPr>
              <w:t>J+6  ⭐</w:t>
            </w:r>
          </w:p>
        </w:tc>
        <w:tc>
          <w:tcPr>
            <w:tcW w:type="dxa" w:w="1440"/>
            <w:shd w:fill="FFDCE0" w:val="clear"/>
          </w:tcPr>
          <w:p>
            <w:r>
              <w:rPr>
                <w:sz w:val="17"/>
              </w:rPr>
              <w:t>2026-08-19</w:t>
            </w:r>
          </w:p>
        </w:tc>
        <w:tc>
          <w:tcPr>
            <w:tcW w:type="dxa" w:w="1440"/>
            <w:shd w:fill="FFDCE0" w:val="clear"/>
          </w:tcPr>
          <w:p>
            <w:r>
              <w:rPr>
                <w:sz w:val="17"/>
              </w:rPr>
              <w:t>1,499</w:t>
            </w:r>
          </w:p>
        </w:tc>
        <w:tc>
          <w:tcPr>
            <w:tcW w:type="dxa" w:w="1440"/>
            <w:shd w:fill="FFDCE0" w:val="clear"/>
          </w:tcPr>
          <w:p>
            <w:r>
              <w:rPr>
                <w:b/>
                <w:sz w:val="17"/>
              </w:rPr>
              <w:t>1,843</w:t>
            </w:r>
          </w:p>
        </w:tc>
        <w:tc>
          <w:tcPr>
            <w:tcW w:type="dxa" w:w="1440"/>
            <w:shd w:fill="FFDCE0" w:val="clear"/>
          </w:tcPr>
          <w:p>
            <w:r>
              <w:rPr>
                <w:sz w:val="17"/>
              </w:rPr>
              <w:t>2,187</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2026-08-20</w:t>
            </w:r>
          </w:p>
        </w:tc>
        <w:tc>
          <w:tcPr>
            <w:tcW w:type="dxa" w:w="1440"/>
            <w:shd w:fill="FFDCE0" w:val="clear"/>
          </w:tcPr>
          <w:p>
            <w:r>
              <w:rPr>
                <w:sz w:val="17"/>
              </w:rPr>
              <w:t>1,464</w:t>
            </w:r>
          </w:p>
        </w:tc>
        <w:tc>
          <w:tcPr>
            <w:tcW w:type="dxa" w:w="1440"/>
            <w:shd w:fill="FFDCE0" w:val="clear"/>
          </w:tcPr>
          <w:p>
            <w:r>
              <w:rPr>
                <w:b/>
                <w:sz w:val="17"/>
              </w:rPr>
              <w:t>1,834</w:t>
            </w:r>
          </w:p>
        </w:tc>
        <w:tc>
          <w:tcPr>
            <w:tcW w:type="dxa" w:w="1440"/>
            <w:shd w:fill="FFDCE0" w:val="clear"/>
          </w:tcPr>
          <w:p>
            <w:r>
              <w:rPr>
                <w:sz w:val="17"/>
              </w:rPr>
              <w:t>2,204</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2026-08-21</w:t>
            </w:r>
          </w:p>
        </w:tc>
        <w:tc>
          <w:tcPr>
            <w:tcW w:type="dxa" w:w="1440"/>
            <w:shd w:fill="FFDCE0" w:val="clear"/>
          </w:tcPr>
          <w:p>
            <w:r>
              <w:rPr>
                <w:sz w:val="17"/>
              </w:rPr>
              <w:t>1,431</w:t>
            </w:r>
          </w:p>
        </w:tc>
        <w:tc>
          <w:tcPr>
            <w:tcW w:type="dxa" w:w="1440"/>
            <w:shd w:fill="FFDCE0" w:val="clear"/>
          </w:tcPr>
          <w:p>
            <w:r>
              <w:rPr>
                <w:b/>
                <w:sz w:val="17"/>
              </w:rPr>
              <w:t>1,825</w:t>
            </w:r>
          </w:p>
        </w:tc>
        <w:tc>
          <w:tcPr>
            <w:tcW w:type="dxa" w:w="1440"/>
            <w:shd w:fill="FFDCE0" w:val="clear"/>
          </w:tcPr>
          <w:p>
            <w:r>
              <w:rPr>
                <w:sz w:val="17"/>
              </w:rPr>
              <w:t>2,219</w:t>
            </w:r>
          </w:p>
        </w:tc>
        <w:tc>
          <w:tcPr>
            <w:tcW w:type="dxa" w:w="1440"/>
            <w:shd w:fill="FFDCE0" w:val="clear"/>
          </w:tcPr>
          <w:p>
            <w:r>
              <w:rPr>
                <w:b/>
                <w:color w:val="C00000"/>
                <w:sz w:val="17"/>
              </w:rPr>
              <w:t>-3.9%</w:t>
            </w:r>
          </w:p>
        </w:tc>
      </w:tr>
      <w:tr>
        <w:tc>
          <w:tcPr>
            <w:tcW w:type="dxa" w:w="1440"/>
            <w:shd w:fill="FFDCE0" w:val="clear"/>
          </w:tcPr>
          <w:p>
            <w:r>
              <w:rPr>
                <w:sz w:val="17"/>
              </w:rPr>
              <w:t>J+9  ⭐</w:t>
            </w:r>
          </w:p>
        </w:tc>
        <w:tc>
          <w:tcPr>
            <w:tcW w:type="dxa" w:w="1440"/>
            <w:shd w:fill="FFDCE0" w:val="clear"/>
          </w:tcPr>
          <w:p>
            <w:r>
              <w:rPr>
                <w:sz w:val="17"/>
              </w:rPr>
              <w:t>2026-08-24</w:t>
            </w:r>
          </w:p>
        </w:tc>
        <w:tc>
          <w:tcPr>
            <w:tcW w:type="dxa" w:w="1440"/>
            <w:shd w:fill="FFDCE0" w:val="clear"/>
          </w:tcPr>
          <w:p>
            <w:r>
              <w:rPr>
                <w:sz w:val="17"/>
              </w:rPr>
              <w:t>1,400</w:t>
            </w:r>
          </w:p>
        </w:tc>
        <w:tc>
          <w:tcPr>
            <w:tcW w:type="dxa" w:w="1440"/>
            <w:shd w:fill="FFDCE0" w:val="clear"/>
          </w:tcPr>
          <w:p>
            <w:r>
              <w:rPr>
                <w:b/>
                <w:sz w:val="17"/>
              </w:rPr>
              <w:t>1,816</w:t>
            </w:r>
          </w:p>
        </w:tc>
        <w:tc>
          <w:tcPr>
            <w:tcW w:type="dxa" w:w="1440"/>
            <w:shd w:fill="FFDCE0" w:val="clear"/>
          </w:tcPr>
          <w:p>
            <w:r>
              <w:rPr>
                <w:sz w:val="17"/>
              </w:rPr>
              <w:t>2,232</w:t>
            </w:r>
          </w:p>
        </w:tc>
        <w:tc>
          <w:tcPr>
            <w:tcW w:type="dxa" w:w="1440"/>
            <w:shd w:fill="FFDCE0" w:val="clear"/>
          </w:tcPr>
          <w:p>
            <w:r>
              <w:rPr>
                <w:b/>
                <w:color w:val="C00000"/>
                <w:sz w:val="17"/>
              </w:rPr>
              <w:t>-4.4%</w:t>
            </w:r>
          </w:p>
        </w:tc>
      </w:tr>
      <w:tr>
        <w:tc>
          <w:tcPr>
            <w:tcW w:type="dxa" w:w="1440"/>
            <w:shd w:fill="FFDCE0" w:val="clear"/>
          </w:tcPr>
          <w:p>
            <w:r>
              <w:rPr>
                <w:sz w:val="17"/>
              </w:rPr>
              <w:t>J+10  ⭐</w:t>
            </w:r>
          </w:p>
        </w:tc>
        <w:tc>
          <w:tcPr>
            <w:tcW w:type="dxa" w:w="1440"/>
            <w:shd w:fill="FFDCE0" w:val="clear"/>
          </w:tcPr>
          <w:p>
            <w:r>
              <w:rPr>
                <w:sz w:val="17"/>
              </w:rPr>
              <w:t>2026-08-25</w:t>
            </w:r>
          </w:p>
        </w:tc>
        <w:tc>
          <w:tcPr>
            <w:tcW w:type="dxa" w:w="1440"/>
            <w:shd w:fill="FFDCE0" w:val="clear"/>
          </w:tcPr>
          <w:p>
            <w:r>
              <w:rPr>
                <w:sz w:val="17"/>
              </w:rPr>
              <w:t>1,371</w:t>
            </w:r>
          </w:p>
        </w:tc>
        <w:tc>
          <w:tcPr>
            <w:tcW w:type="dxa" w:w="1440"/>
            <w:shd w:fill="FFDCE0" w:val="clear"/>
          </w:tcPr>
          <w:p>
            <w:r>
              <w:rPr>
                <w:b/>
                <w:sz w:val="17"/>
              </w:rPr>
              <w:t>1,807</w:t>
            </w:r>
          </w:p>
        </w:tc>
        <w:tc>
          <w:tcPr>
            <w:tcW w:type="dxa" w:w="1440"/>
            <w:shd w:fill="FFDCE0" w:val="clear"/>
          </w:tcPr>
          <w:p>
            <w:r>
              <w:rPr>
                <w:sz w:val="17"/>
              </w:rPr>
              <w:t>2,243</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39,42 milliards FCFA, un niveau intermédiaire sur la BRVM qui reflète une société de taille moyenne dans le secteur industriel. Le BPA est négatif à -105 FCFA, ce qui traduit une perte nette par action et rend le PER non significatif (-18,0x) ; les investisseurs ne peuvent donc pas s'appuyer sur ce multiple pour juger du prix relatif, d'autant que la référence sectorielle se situe entre 8 et 12x. Le P/B de 2,53x indique que le marché valorise l'actif net comptable avec une prime substantielle, signe que les investisseurs anticipent une amélioration future de la rentabilité. Le ratio EV/EBITDA n'est pas calculable en raison de l'EBITDA négatif, ce qui confirme la situation déficitaire de l'entreprise. Ces éléments suggèrent une valorisation fondée sur des anticipations de redressement plutôt que sur les performances actuelles.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 enregistré une baisse de 5,00 %, avec une dernière séance en repli de 1,81 % à 1 900 FCFA. Le titre a évolué dans une fourchette large de 1 250 à 2 095 FCFA, illustrant une volatilité marquée. La moyenne (1 865 FCFA) est très proche de la médiane et du mode (1 900 FCFA), ce qui indique une distribution relativement symétrique autour de ces valeurs, mais l'écart-type de 167 FCFA (CV = 8,9 %) révèle une dispersion modérée. Le kurtosis excédentaire de 3,553 signale des queues de distribution épaisses, donc un risque de mouvements extrêmes, tandis que le skewness de -1,797 montre une asymétrie négative : les journées de forte baisse sont plus fréquentes que les hausses équivalentes. La volatilité annualisée de 48,6 % classe le titre comme très risqué, bien au-dessus du seuil de 30 % considéré comme élevé, ce qui exige une grande prudence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La MM20 (1 861,75 FCFA) et la MM50 (1 812,1 FCFA) sont toutes deux inférieures au cours actuel de 1 900 FCFA, ce qui indique une dynamique haussière à court et moyen terme. Le croisement positif et la position du prix au-dessus de ces moyennes confirment un signal d'achat, même si la marge reste étroite.</w:t>
      </w:r>
    </w:p>
    <w:p>
      <w:pPr>
        <w:spacing w:after="120" w:line="276" w:lineRule="auto"/>
      </w:pPr>
      <w:r>
        <w:t>**Bandes de Bollinger** : Le prix se situe à 1 900 FCFA, entre la borne inférieure (1 660,90 FCFA) et la borne supérieure (2 062,60 FCFA), proche de la moyenne de la bande. Cette position neutre suggère une volatilité modérée sans pression directionnelle forte ; le marché attend un catalyseur pour sortir de cette zone.</w:t>
      </w:r>
    </w:p>
    <w:p>
      <w:pPr>
        <w:spacing w:after="120" w:line="276" w:lineRule="auto"/>
      </w:pPr>
      <w:r>
        <w:t>**MACD** : Le MACD (48,304) est supérieur à son signal (43,441), avec un écart positif qui indique un momentum haussier en cours. Cette configuration, bien que modeste, soutient la poursuite d'une tendance à la hausse à court terme.</w:t>
      </w:r>
    </w:p>
    <w:p>
      <w:pPr>
        <w:spacing w:after="120" w:line="276" w:lineRule="auto"/>
      </w:pPr>
      <w:r>
        <w:t>**RSI** : Le RSI s'établit à 52,688, dans la zone neutre (30-70), ce qui reflète un équilibre entre acheteurs et vendeurs. Aucune condition de surachat ou de survente n'est détectée, laissant place à une évolution directionnelle sans contrainte technique.</w:t>
      </w:r>
    </w:p>
    <w:p>
      <w:pPr>
        <w:spacing w:after="120" w:line="276" w:lineRule="auto"/>
      </w:pPr>
      <w:r>
        <w:t>**Stochastique** : Le %K (50,0) est inférieur au %D (58,333), indiquant un croisement baissier potentiel, mais les deux restent en zone neutre. Ce signal est ambigu et ne fournit pas d'orientation claire, d'où une décision neutre.</w:t>
      </w:r>
    </w:p>
    <w:p>
      <w:pPr>
        <w:spacing w:after="120" w:line="276" w:lineRule="auto"/>
      </w:pPr>
      <w:r>
        <w:t>**Conclusion technique** : Les indicateurs sont partagés entre un signal d'achat (MM, MACD) et des positions neutres (Bollinger, RSI, Stochastique). La tendance de fond reste positive, mais l'absence de confirmation forte sur les oscillateurs suggère une consolidation avant une possible reprise. La prudence est de mise, avec un biais légèrement haussier.</w:t>
      </w:r>
    </w:p>
    <w:p>
      <w:pPr>
        <w:spacing w:after="120" w:line="276" w:lineRule="auto" w:before="240"/>
      </w:pPr>
      <w:r>
        <w:rPr>
          <w:b/>
          <w:color w:val="003366"/>
          <w:sz w:val="24"/>
        </w:rPr>
        <w:t>**PARTIE 3 : ANALYSE FONDAMENTALE (SECTION CRITIQUE)**</w:t>
      </w:r>
    </w:p>
    <w:p>
      <w:pPr>
        <w:spacing w:after="120" w:line="276" w:lineRule="auto"/>
      </w:pPr>
      <w:r>
        <w:t>En 2024, les états financiers annuels d'UNXC montrent un chiffre d'affaires de 27,333 milliards FCFA, en hausse de 15,4 % par rapport à 2023, mais un résultat net de -2,189 milliards FCFA, contre un bénéfice de 4,188 milliards en 2023 (selon le rapport des états financiers 2024). Le ROE est négatif à -14,04 % et le ROA à -6,39 %, traduisant une destruction de valeur. La marge nette est de -8,01 %, et le coefficient d'exploitation atteint 106,99 %, indiquant que les charges dépassent les revenus. Le BFR est positif à 2,149 milliards FCFA, avec un délai clients de 51 jours et un délai fournisseurs de 267,82 jours, ce qui est favorable pour la trésorerie, mais la durée de stockage de 254,72 jours immobilise du capital. Les rapports trimestriels 2025 révèlent une amélioration : le CA S1 2025 atteint 15,711 milliards (+12,5 %), mais le résultat net de 8,217 milliards est artificiellement gonflé par une cession-bail de terrain (produit exceptionnel de 9,994 milliards). Le résultat d'exploitation reste déficitaire à -314 millions au S1 2025, mais le rapport T3 2025 indique une absence de perte au T3 seul, et le rapport S1 2026 confirme un retour à l'équilibre avec un résultat d'exploitation positif de 771 millions et un résultat net de 771 millions. Sur la base de ces données, on estime que l'exercice 2026 pourrait voir une rentabilité opérationnelle positive durable, avec un CA annuel projeté autour de 30 milliards FCFA, si la tendance se confirme. La société reste néanmoins fragile, avec des pertes cumulées de -5,54 milliards au 31/12/2025, mais le désendettement et l'amélioration opérationnelle sont des signaux positifs.</w:t>
      </w:r>
    </w:p>
    <w:p>
      <w:pPr>
        <w:spacing w:after="120" w:line="276" w:lineRule="auto" w:before="240"/>
      </w:pPr>
      <w:r>
        <w:rPr>
          <w:b/>
          <w:color w:val="003366"/>
          <w:sz w:val="24"/>
        </w:rPr>
        <w:t>**PARTIE 4 : CONCLUSION D'INVESTISSEMENT**</w:t>
      </w:r>
    </w:p>
    <w:p>
      <w:pPr>
        <w:spacing w:after="120" w:line="276" w:lineRule="auto"/>
      </w:pPr>
      <w:r>
        <w:t>La valorisation d'UNXC est délicate : le PER négatif et le P/B de 2,53x indiquent que le marché paie une prime pour un redressement anticipé, ce qui est risqué. Le comportement du cours montre une baisse de 5 % sur 100 jours, avec une volatilité élevée (48,6 %) et une asymétrie négative, signalant des risques de chocs baissiers. Les signaux techniques sont mitigés, avec un biais haussier sur les moyennes mobiles et le MACD, mais des oscillateurs neutres, suggérant une consolidation. Les fondamentaux, bien qu'en amélioration nette en 2025-2026 (EBE positif, résultat d'exploitation positif au S1 2026), restent marqués par un historique de pertes et une dépendance à des éléments exceptionnels. Les prédictions IA prévoient une baisse progressive de 1 890 à 1 852 FCFA sur 10 jours, contredisant les signaux techniques haussiers. En synthèse, la convergence est faible entre une valorisation exigeante, des fondamentaux en convalescence et des prédictions baissières. Je recommande donc **CONSERVER** avec un niveau de confiance **Moyen**, un risque global **Élevé**, et un horizon d'investissement **moyen terme (3-12 mois)** pour observer la confirmation d'une rentabilité récurrente avant d'envisager un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