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31/08/2026 à 10:55</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46 ACHAT  |  1 NEUTRE  |  0 VENTE  (sur 47 sociétés)</w:t>
      </w:r>
    </w:p>
    <w:p>
      <w:pPr>
        <w:spacing w:before="20" w:after="20"/>
        <w:ind w:left="360" w:right="360"/>
        <w:shd w:val="clear" w:color="auto" w:fill="EBF5FB"/>
      </w:pPr>
      <w:r>
        <w:rPr>
          <w:b/>
          <w:sz w:val="19"/>
        </w:rPr>
        <w:t xml:space="preserve">Top opportunité :  </w:t>
      </w:r>
      <w:r>
        <w:rPr>
          <w:color w:val="008000"/>
          <w:sz w:val="19"/>
        </w:rPr>
        <w:t>NTLC  (score 79/100)</w:t>
      </w:r>
    </w:p>
    <w:p>
      <w:pPr>
        <w:spacing w:before="20" w:after="20"/>
        <w:ind w:left="360" w:right="360"/>
        <w:shd w:val="clear" w:color="auto" w:fill="EBF5FB"/>
      </w:pPr>
      <w:r>
        <w:rPr>
          <w:b/>
          <w:sz w:val="19"/>
        </w:rPr>
        <w:t xml:space="preserve">Secteur surperformant :  </w:t>
      </w:r>
      <w:r>
        <w:rPr>
          <w:color w:val="008000"/>
          <w:sz w:val="19"/>
        </w:rPr>
        <w:t>SERVICES PUBLICS  (+86.4%)</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11 sociétés — vérifier avant d'investir</w:t>
      </w:r>
    </w:p>
    <w:p>
      <w:pPr>
        <w:spacing w:before="20" w:after="20"/>
        <w:ind w:left="360" w:right="360"/>
        <w:shd w:val="clear" w:color="auto" w:fill="EBF5FB"/>
      </w:pPr>
      <w:r>
        <w:rPr>
          <w:b/>
          <w:sz w:val="19"/>
        </w:rPr>
        <w:t xml:space="preserve">⚠️ Liquidité réduite :  </w:t>
      </w:r>
      <w:r>
        <w:rPr>
          <w:color w:val="C00000"/>
          <w:sz w:val="19"/>
        </w:rPr>
        <w:t>9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530.06 points </w:t>
      </w:r>
      <w:r>
        <w:rPr>
          <w:color w:val="008000"/>
        </w:rPr>
        <w:t>(+0.02%)</w:t>
      </w:r>
      <w:r>
        <w:t xml:space="preserve"> sur la séance. </w:t>
      </w:r>
      <w:r>
        <w:t>La capitalisation globale du marché atteint 2 043,994 milliards FCFA.</w:t>
      </w:r>
    </w:p>
    <w:p/>
    <w:p>
      <w:pPr>
        <w:pStyle w:val="Heading3"/>
      </w:pPr>
      <w:r>
        <w:t>📊 Évolution de l'indice BRVM Composite (100 derniers jours)</w:t>
      </w:r>
    </w:p>
    <w:p>
      <w:r>
        <w:rPr>
          <w:b/>
        </w:rPr>
        <w:t xml:space="preserve">BRVM Composite — </w:t>
      </w:r>
      <w:r>
        <w:t xml:space="preserve">Sur les 99 derniers jours de cotation (2026-04-03 au 2026-08-28), l'indice BRVM Composite a évolué de </w:t>
      </w:r>
      <w:r>
        <w:rPr>
          <w:b/>
          <w:color w:val="008000"/>
        </w:rPr>
        <w:t>+29.15%</w:t>
      </w:r>
      <w:r>
        <w:t>, passant de 410.43 pts à 530.06 pts. Le plus haut atteint est 530.07 pts et le plus bas 397.33 pts. Sur l'ensemble de la période, la moyenne de l'indice s'établit à 448.04 pts, la médiane à 440.13 pts et le mode à 397.33 pts</w:t>
      </w:r>
      <w:r>
        <w:t xml:space="preserve"> (asymétrie positive — plus de jours sous la moyenne). </w:t>
      </w:r>
      <w:r>
        <w:t xml:space="preserve">L'écart-type de 38.51 pts (CV=8.6%) traduit une modérée dispersion des cotations. Le kurtosis de -0.94 indique une distribution distribution normale.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C00000"/>
        </w:rPr>
        <w:t>-87.08%</w:t>
      </w:r>
      <w:r>
        <w:t xml:space="preserve"> sur la période, passant de 15 824,292 Mds FCFA à 2 043,994 Mds FCFA. Le pic de capitalisation observé est de 19 886,911 Mds FCFA et le plancher de 2 003,618 Mds FCFA. La moyenne de la capitalisation sur la période s'établit à 16 158,855 Mds FCFA, la médiane à 16 818,293 Mds FCFA et le mode à 2 003,618 Mds FCFA</w:t>
      </w:r>
      <w:r>
        <w:t xml:space="preserve"> (asymétrie négative). </w:t>
      </w:r>
      <w:r>
        <w:t>L'écart-type de 3 820,194 Mds FCFA (CV=23.6%) reflète une forte variabilité de la valorisation du marché. Le kurtosis de 8.64 indique une distribution leptokurtique — risque de pics de valorisation.</w:t>
      </w:r>
      <w:r>
        <w:t xml:space="preserve"> La contraction de la capitalisation traduit une sortie de capitaux et une pression baissière structurelle.</w:t>
      </w:r>
    </w:p>
    <w:p>
      <w:pPr>
        <w:jc w:val="center"/>
      </w:pPr>
      <w:r>
        <w:drawing>
          <wp:inline xmlns:a="http://schemas.openxmlformats.org/drawingml/2006/main" xmlns:pic="http://schemas.openxmlformats.org/drawingml/2006/picture">
            <wp:extent cx="5943600" cy="195840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58409"/>
                    </a:xfrm>
                    <a:prstGeom prst="rect"/>
                  </pic:spPr>
                </pic:pic>
              </a:graphicData>
            </a:graphic>
          </wp:inline>
        </w:drawing>
      </w:r>
    </w:p>
    <w:p/>
    <w:p>
      <w:pPr>
        <w:pStyle w:val="Heading2"/>
      </w:pPr>
      <w:r>
        <w:t>📈 TOP 10 DES OPPORTUNITÉS D'ACHAT</w:t>
      </w:r>
    </w:p>
    <w:p>
      <w:pPr>
        <w:pStyle w:val="ListNumber"/>
      </w:pPr>
      <w:r>
        <w:rPr>
          <w:b/>
        </w:rPr>
        <w:t>ABJC - ABJC - SERVAIR ABIDJAN CI</w:t>
      </w:r>
      <w:r>
        <w:t xml:space="preserve"> | Prix: 3690 FCFA | </w:t>
      </w:r>
      <w:r>
        <w:rPr>
          <w:b/>
          <w:color w:val="008000"/>
        </w:rPr>
        <w:t>ACHAT</w:t>
      </w:r>
      <w:r>
        <w:t xml:space="preserve"> | Confiance: Moyen | Risque: Moyen</w:t>
      </w:r>
    </w:p>
    <w:p>
      <w:pPr>
        <w:pStyle w:val="ListNumber"/>
      </w:pPr>
      <w:r>
        <w:rPr>
          <w:b/>
        </w:rPr>
        <w:t>BICB - BIIC BN - Banque internationale pour le commerce du benin</w:t>
      </w:r>
      <w:r>
        <w:t xml:space="preserve"> | Prix: 8500 FCFA | </w:t>
      </w:r>
      <w:r>
        <w:rPr>
          <w:b/>
          <w:color w:val="008000"/>
        </w:rPr>
        <w:t>ACHAT</w:t>
      </w:r>
      <w:r>
        <w:t xml:space="preserve"> | Confiance: Faible | Risque: Moyen</w:t>
      </w:r>
    </w:p>
    <w:p>
      <w:pPr>
        <w:pStyle w:val="ListNumber"/>
      </w:pPr>
      <w:r>
        <w:rPr>
          <w:b/>
        </w:rPr>
        <w:t>BICC - BICI CI - Banque internationale pour le commerce et l'industrie de la Côte d'Ivoire</w:t>
      </w:r>
      <w:r>
        <w:t xml:space="preserve"> | Prix: 29500 FCFA | </w:t>
      </w:r>
      <w:r>
        <w:rPr>
          <w:b/>
          <w:color w:val="008000"/>
        </w:rPr>
        <w:t>ACHAT</w:t>
      </w:r>
      <w:r>
        <w:t xml:space="preserve"> | Confiance: Élevée | Risque: Faible</w:t>
      </w:r>
    </w:p>
    <w:p>
      <w:pPr>
        <w:pStyle w:val="ListNumber"/>
      </w:pPr>
      <w:r>
        <w:rPr>
          <w:b/>
        </w:rPr>
        <w:t>BNBC - BNBC - BERNABE CI</w:t>
      </w:r>
      <w:r>
        <w:t xml:space="preserve"> | Prix: 2300 FCFA | </w:t>
      </w:r>
      <w:r>
        <w:rPr>
          <w:b/>
          <w:color w:val="008000"/>
        </w:rPr>
        <w:t>ACHAT</w:t>
      </w:r>
      <w:r>
        <w:t xml:space="preserve"> | Confiance: Faible | Risque: Moyen</w:t>
      </w:r>
    </w:p>
    <w:p>
      <w:pPr>
        <w:pStyle w:val="ListNumber"/>
      </w:pPr>
      <w:r>
        <w:rPr>
          <w:b/>
        </w:rPr>
        <w:t>BOAB - BANK OF AFRICA BENIN</w:t>
      </w:r>
      <w:r>
        <w:t xml:space="preserve"> | Prix: 10235 FCFA | </w:t>
      </w:r>
      <w:r>
        <w:rPr>
          <w:b/>
          <w:color w:val="008000"/>
        </w:rPr>
        <w:t>ACHAT</w:t>
      </w:r>
      <w:r>
        <w:t xml:space="preserve"> | Confiance: Moyen | Risque: Moyen</w:t>
      </w:r>
    </w:p>
    <w:p>
      <w:pPr>
        <w:pStyle w:val="ListNumber"/>
      </w:pPr>
      <w:r>
        <w:rPr>
          <w:b/>
        </w:rPr>
        <w:t>BOABF - BANK OF AFRICA BURKINA FASO</w:t>
      </w:r>
      <w:r>
        <w:t xml:space="preserve"> | Prix: 8900 FCFA | </w:t>
      </w:r>
      <w:r>
        <w:rPr>
          <w:b/>
          <w:color w:val="008000"/>
        </w:rPr>
        <w:t>ACHAT</w:t>
      </w:r>
      <w:r>
        <w:t xml:space="preserve"> | Confiance: Faible | Risque: Faible</w:t>
      </w:r>
    </w:p>
    <w:p>
      <w:pPr>
        <w:pStyle w:val="ListNumber"/>
      </w:pPr>
      <w:r>
        <w:rPr>
          <w:b/>
        </w:rPr>
        <w:t>BOAC - BANK OF AFRICA COTE D'IVOIRE</w:t>
      </w:r>
      <w:r>
        <w:t xml:space="preserve"> | Prix: 12400 FCFA | </w:t>
      </w:r>
      <w:r>
        <w:rPr>
          <w:b/>
          <w:color w:val="008000"/>
        </w:rPr>
        <w:t>ACHAT</w:t>
      </w:r>
      <w:r>
        <w:t xml:space="preserve"> | Confiance: Moyen | Risque: Faible</w:t>
      </w:r>
    </w:p>
    <w:p>
      <w:pPr>
        <w:pStyle w:val="ListNumber"/>
      </w:pPr>
      <w:r>
        <w:rPr>
          <w:b/>
        </w:rPr>
        <w:t>BOAM - BANK OF AFRICA MALI</w:t>
      </w:r>
      <w:r>
        <w:t xml:space="preserve"> | Prix: 6495 FCFA | </w:t>
      </w:r>
      <w:r>
        <w:rPr>
          <w:b/>
          <w:color w:val="008000"/>
        </w:rPr>
        <w:t>ACHAT</w:t>
      </w:r>
      <w:r>
        <w:t xml:space="preserve"> | Confiance: Élevée | Risque: Faible</w:t>
      </w:r>
    </w:p>
    <w:p>
      <w:pPr>
        <w:pStyle w:val="ListNumber"/>
      </w:pPr>
      <w:r>
        <w:rPr>
          <w:b/>
        </w:rPr>
        <w:t>BOAN - BANK OF AFRICA NIGER</w:t>
      </w:r>
      <w:r>
        <w:t xml:space="preserve"> | Prix: 5500 FCFA | </w:t>
      </w:r>
      <w:r>
        <w:rPr>
          <w:b/>
          <w:color w:val="008000"/>
        </w:rPr>
        <w:t>ACHAT</w:t>
      </w:r>
      <w:r>
        <w:t xml:space="preserve"> | Confiance: Élevée | Risque: Moyen</w:t>
      </w:r>
    </w:p>
    <w:p>
      <w:pPr>
        <w:pStyle w:val="ListNumber"/>
      </w:pPr>
      <w:r>
        <w:rPr>
          <w:b/>
        </w:rPr>
        <w:t>BOAS - BANK OF AFRICA SENEGAL</w:t>
      </w:r>
      <w:r>
        <w:t xml:space="preserve"> | Prix: 8300 FCFA | </w:t>
      </w:r>
      <w:r>
        <w:rPr>
          <w:b/>
          <w:color w:val="008000"/>
        </w:rPr>
        <w:t>ACHAT</w:t>
      </w:r>
      <w:r>
        <w:t xml:space="preserve"> | Confiance: Élevée | Risque: Faible</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STBC - STBC - SITAB COTE D'IVOIRE</w:t>
      </w:r>
      <w:r>
        <w:t xml:space="preserve"> | Prix: 22350 FCFA | </w:t>
      </w:r>
      <w:r>
        <w:rPr>
          <w:b/>
          <w:color w:val="C00000"/>
        </w:rPr>
        <w:t>CONSERVER</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86.37%</w:t>
      </w:r>
      <w:r>
        <w:t xml:space="preserve">  |  </w:t>
      </w:r>
      <w:r>
        <w:rPr>
          <w:b/>
        </w:rPr>
        <w:t xml:space="preserve">vs BRVM Composite: </w:t>
      </w:r>
      <w:r>
        <w:rPr>
          <w:b/>
          <w:color w:val="008000"/>
        </w:rPr>
        <w:t>+57.22%  🟢 Surperformance</w:t>
      </w:r>
      <w:r>
        <w:br/>
      </w:r>
      <w:r>
        <w:rPr>
          <w:b/>
        </w:rPr>
        <w:t xml:space="preserve">Sentiment général: </w:t>
      </w:r>
      <w:r>
        <w:t xml:space="preserve">ACHAT  |  </w:t>
      </w:r>
      <w:r>
        <w:rPr>
          <w:b/>
        </w:rPr>
        <w:t xml:space="preserve">Risque moyen: </w:t>
      </w:r>
      <w:r>
        <w:t xml:space="preserve">Moyen  |  </w:t>
      </w:r>
      <w:r>
        <w:rPr>
          <w:b/>
        </w:rPr>
        <w:t xml:space="preserve">Prix moyen: </w:t>
      </w:r>
      <w:r>
        <w:t>9850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41.10%</w:t>
      </w:r>
      <w:r>
        <w:t xml:space="preserve">  |  </w:t>
      </w:r>
      <w:r>
        <w:rPr>
          <w:b/>
        </w:rPr>
        <w:t xml:space="preserve">vs BRVM Composite: </w:t>
      </w:r>
      <w:r>
        <w:rPr>
          <w:b/>
          <w:color w:val="008000"/>
        </w:rPr>
        <w:t>+11.96%  🟢 Surperformance</w:t>
      </w:r>
      <w:r>
        <w:br/>
      </w:r>
      <w:r>
        <w:rPr>
          <w:b/>
        </w:rPr>
        <w:t xml:space="preserve">Sentiment général: </w:t>
      </w:r>
      <w:r>
        <w:t xml:space="preserve">ACHAT  |  </w:t>
      </w:r>
      <w:r>
        <w:rPr>
          <w:b/>
        </w:rPr>
        <w:t xml:space="preserve">Risque moyen: </w:t>
      </w:r>
      <w:r>
        <w:t xml:space="preserve">Faible  |  </w:t>
      </w:r>
      <w:r>
        <w:rPr>
          <w:b/>
        </w:rPr>
        <w:t xml:space="preserve">Prix moyen: </w:t>
      </w:r>
      <w:r>
        <w:t>13441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33.89%</w:t>
      </w:r>
      <w:r>
        <w:t xml:space="preserve">  |  </w:t>
      </w:r>
      <w:r>
        <w:rPr>
          <w:b/>
        </w:rPr>
        <w:t xml:space="preserve">vs BRVM Composite: </w:t>
      </w:r>
      <w:r>
        <w:rPr>
          <w:b/>
          <w:color w:val="008000"/>
        </w:rPr>
        <w:t>+4.74%  🟢 Surperformance</w:t>
      </w:r>
      <w:r>
        <w:br/>
      </w:r>
      <w:r>
        <w:rPr>
          <w:b/>
        </w:rPr>
        <w:t xml:space="preserve">Sentiment général: </w:t>
      </w:r>
      <w:r>
        <w:t xml:space="preserve">ACHAT  |  </w:t>
      </w:r>
      <w:r>
        <w:rPr>
          <w:b/>
        </w:rPr>
        <w:t xml:space="preserve">Risque moyen: </w:t>
      </w:r>
      <w:r>
        <w:t xml:space="preserve">Moyen  |  </w:t>
      </w:r>
      <w:r>
        <w:rPr>
          <w:b/>
        </w:rPr>
        <w:t xml:space="preserve">Prix moyen: </w:t>
      </w:r>
      <w:r>
        <w:t>20333 FCFA</w:t>
        <w:br/>
      </w:r>
      <w:r>
        <w:rPr>
          <w:b/>
        </w:rPr>
        <w:br/>
        <w:t xml:space="preserve">Sociétés: </w:t>
      </w:r>
      <w:r>
        <w:t>ONTBF (ONTBF - ONATEL BURKINA FASO), ORAC (ORAC - ORANGE COTE D'IVOIRE), SNTS (SNTS - SONATEL SN)</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29.07%</w:t>
      </w:r>
      <w:r>
        <w:t xml:space="preserve">  |  </w:t>
      </w:r>
      <w:r>
        <w:rPr>
          <w:b/>
        </w:rPr>
        <w:t xml:space="preserve">vs BRVM Composite: </w:t>
      </w:r>
      <w:r>
        <w:rPr>
          <w:b/>
          <w:color w:val="C00000"/>
        </w:rPr>
        <w:t>-0.08%  🔴 Sous-performance</w:t>
      </w:r>
      <w:r>
        <w:br/>
      </w:r>
      <w:r>
        <w:rPr>
          <w:b/>
        </w:rPr>
        <w:t xml:space="preserve">Sentiment général: </w:t>
      </w:r>
      <w:r>
        <w:t xml:space="preserve">ACHAT  |  </w:t>
      </w:r>
      <w:r>
        <w:rPr>
          <w:b/>
        </w:rPr>
        <w:t xml:space="preserve">Risque moyen: </w:t>
      </w:r>
      <w:r>
        <w:t xml:space="preserve">Moyen  |  </w:t>
      </w:r>
      <w:r>
        <w:rPr>
          <w:b/>
        </w:rPr>
        <w:t xml:space="preserve">Prix moyen: </w:t>
      </w:r>
      <w:r>
        <w:t>18436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27.29%</w:t>
      </w:r>
      <w:r>
        <w:t xml:space="preserve">  |  </w:t>
      </w:r>
      <w:r>
        <w:rPr>
          <w:b/>
        </w:rPr>
        <w:t xml:space="preserve">vs BRVM Composite: </w:t>
      </w:r>
      <w:r>
        <w:rPr>
          <w:b/>
          <w:color w:val="C00000"/>
        </w:rPr>
        <w:t>-1.85%  🔴 Sous-performance</w:t>
      </w:r>
      <w:r>
        <w:br/>
      </w:r>
      <w:r>
        <w:rPr>
          <w:b/>
        </w:rPr>
        <w:t xml:space="preserve">Sentiment général: </w:t>
      </w:r>
      <w:r>
        <w:t xml:space="preserve">ACHAT  |  </w:t>
      </w:r>
      <w:r>
        <w:rPr>
          <w:b/>
        </w:rPr>
        <w:t xml:space="preserve">Risque moyen: </w:t>
      </w:r>
      <w:r>
        <w:t xml:space="preserve">Moyen  |  </w:t>
      </w:r>
      <w:r>
        <w:rPr>
          <w:b/>
        </w:rPr>
        <w:t xml:space="preserve">Prix moyen: </w:t>
      </w:r>
      <w:r>
        <w:t>3096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22.38%</w:t>
      </w:r>
      <w:r>
        <w:t xml:space="preserve">  |  </w:t>
      </w:r>
      <w:r>
        <w:rPr>
          <w:b/>
        </w:rPr>
        <w:t xml:space="preserve">vs BRVM Composite: </w:t>
      </w:r>
      <w:r>
        <w:rPr>
          <w:b/>
          <w:color w:val="C00000"/>
        </w:rPr>
        <w:t>-6.76%  🔴 Sous-performance</w:t>
      </w:r>
      <w:r>
        <w:br/>
      </w:r>
      <w:r>
        <w:rPr>
          <w:b/>
        </w:rPr>
        <w:t xml:space="preserve">Sentiment général: </w:t>
      </w:r>
      <w:r>
        <w:t xml:space="preserve">ACHAT  |  </w:t>
      </w:r>
      <w:r>
        <w:rPr>
          <w:b/>
        </w:rPr>
        <w:t xml:space="preserve">Risque moyen: </w:t>
      </w:r>
      <w:r>
        <w:t xml:space="preserve">Moyen  |  </w:t>
      </w:r>
      <w:r>
        <w:rPr>
          <w:b/>
        </w:rPr>
        <w:t xml:space="preserve">Prix moyen: </w:t>
      </w:r>
      <w:r>
        <w:t>6708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INDUSTRIELS</w:t>
      </w:r>
    </w:p>
    <w:p>
      <w:r>
        <w:rPr>
          <w:b/>
        </w:rPr>
        <w:t xml:space="preserve">Nombre de sociétés: </w:t>
      </w:r>
      <w:r>
        <w:t xml:space="preserve">6  |  </w:t>
      </w:r>
      <w:r>
        <w:rPr>
          <w:b/>
        </w:rPr>
        <w:t xml:space="preserve">Performance moyenne (100j): </w:t>
      </w:r>
      <w:r>
        <w:rPr>
          <w:color w:val="C00000"/>
        </w:rPr>
        <w:t>-4.57%</w:t>
      </w:r>
      <w:r>
        <w:t xml:space="preserve">  |  </w:t>
      </w:r>
      <w:r>
        <w:rPr>
          <w:b/>
        </w:rPr>
        <w:t xml:space="preserve">vs BRVM Composite: </w:t>
      </w:r>
      <w:r>
        <w:rPr>
          <w:b/>
          <w:color w:val="C00000"/>
        </w:rPr>
        <w:t>-33.72%  🔴 Sous-performance</w:t>
      </w:r>
      <w:r>
        <w:br/>
      </w:r>
      <w:r>
        <w:rPr>
          <w:b/>
        </w:rPr>
        <w:t xml:space="preserve">Sentiment général: </w:t>
      </w:r>
      <w:r>
        <w:t xml:space="preserve">ACHAT  |  </w:t>
      </w:r>
      <w:r>
        <w:rPr>
          <w:b/>
        </w:rPr>
        <w:t xml:space="preserve">Risque moyen: </w:t>
      </w:r>
      <w:r>
        <w:t xml:space="preserve">Moyen  |  </w:t>
      </w:r>
      <w:r>
        <w:rPr>
          <w:b/>
        </w:rPr>
        <w:t xml:space="preserve">Prix moyen: </w:t>
      </w:r>
      <w:r>
        <w:t>2468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BICC, BOAM, BOAN, BOAS, CABC, CFAC, CIEC, ETIT, FTSC, NSBC, NTLC, SAFC, SCRC, SGBC, SHEC, SICC, SLBC, TTLC, UNLC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BOAB, BOAC, CBIBF, ONTBF, ORAC, ORGT, PALC, PRSC, SEMC, SIBC, SIVC, SNTS, SPHC, STAC, TTLS,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BICB, BNBC, BOABF, ECOC, LNBB, NEIC, SDCC, SDSC, SMBC, SOGC</w:t>
            </w:r>
          </w:p>
        </w:tc>
        <w:tc>
          <w:tcPr>
            <w:tcW w:type="dxa" w:w="2160"/>
            <w:shd w:fill="FFC7CE" w:val="clear"/>
          </w:tcPr>
          <w:p>
            <w:pPr>
              <w:spacing w:before="40" w:after="40"/>
            </w:pPr>
            <w:r/>
            <w:r>
              <w:rPr>
                <w:b w:val="0"/>
                <w:sz w:val="16"/>
              </w:rPr>
              <w:t>STBC</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1526583</w:t>
            </w:r>
          </w:p>
        </w:tc>
        <w:tc>
          <w:tcPr>
            <w:tcW w:type="dxa" w:w="1728"/>
          </w:tcPr>
          <w:p>
            <w:r>
              <w:t>100519255 FCFA</w:t>
            </w:r>
          </w:p>
        </w:tc>
        <w:tc>
          <w:tcPr>
            <w:tcW w:type="dxa" w:w="1728"/>
          </w:tcPr>
          <w:p>
            <w:r>
              <w:t>96.97%</w:t>
            </w:r>
          </w:p>
        </w:tc>
        <w:tc>
          <w:tcPr>
            <w:tcW w:type="dxa" w:w="1728"/>
          </w:tcPr>
          <w:p>
            <w:r>
              <w:t>ACHAT</w:t>
            </w:r>
          </w:p>
        </w:tc>
      </w:tr>
      <w:tr>
        <w:tc>
          <w:tcPr>
            <w:tcW w:type="dxa" w:w="1728"/>
          </w:tcPr>
          <w:p>
            <w:r>
              <w:t>BICB (BIIC BN - Banque internationale pour le commerce du benin)</w:t>
            </w:r>
          </w:p>
        </w:tc>
        <w:tc>
          <w:tcPr>
            <w:tcW w:type="dxa" w:w="1728"/>
          </w:tcPr>
          <w:p>
            <w:r>
              <w:t>21860</w:t>
            </w:r>
          </w:p>
        </w:tc>
        <w:tc>
          <w:tcPr>
            <w:tcW w:type="dxa" w:w="1728"/>
          </w:tcPr>
          <w:p>
            <w:r>
              <w:t>177662165 FCFA</w:t>
            </w:r>
          </w:p>
        </w:tc>
        <w:tc>
          <w:tcPr>
            <w:tcW w:type="dxa" w:w="1728"/>
          </w:tcPr>
          <w:p>
            <w:r>
              <w:t>63.46%</w:t>
            </w:r>
          </w:p>
        </w:tc>
        <w:tc>
          <w:tcPr>
            <w:tcW w:type="dxa" w:w="1728"/>
          </w:tcPr>
          <w:p>
            <w:r>
              <w:t>ACHAT</w:t>
            </w:r>
          </w:p>
        </w:tc>
      </w:tr>
      <w:tr>
        <w:tc>
          <w:tcPr>
            <w:tcW w:type="dxa" w:w="1728"/>
          </w:tcPr>
          <w:p>
            <w:r>
              <w:t>SDSC (SDSC - AFRICA GLOBAL LOGISTICS CI)</w:t>
            </w:r>
          </w:p>
        </w:tc>
        <w:tc>
          <w:tcPr>
            <w:tcW w:type="dxa" w:w="1728"/>
          </w:tcPr>
          <w:p>
            <w:r>
              <w:t>18247</w:t>
            </w:r>
          </w:p>
        </w:tc>
        <w:tc>
          <w:tcPr>
            <w:tcW w:type="dxa" w:w="1728"/>
          </w:tcPr>
          <w:p>
            <w:r>
              <w:t>46594119 FCFA</w:t>
            </w:r>
          </w:p>
        </w:tc>
        <w:tc>
          <w:tcPr>
            <w:tcW w:type="dxa" w:w="1728"/>
          </w:tcPr>
          <w:p>
            <w:r>
              <w:t>48.25%</w:t>
            </w:r>
          </w:p>
        </w:tc>
        <w:tc>
          <w:tcPr>
            <w:tcW w:type="dxa" w:w="1728"/>
          </w:tcPr>
          <w:p>
            <w:r>
              <w:t>ACHAT</w:t>
            </w:r>
          </w:p>
        </w:tc>
      </w:tr>
      <w:tr>
        <w:tc>
          <w:tcPr>
            <w:tcW w:type="dxa" w:w="1728"/>
          </w:tcPr>
          <w:p>
            <w:r>
              <w:t>UNXC (UNXC - UNIWAX COTE D'IVOIRE)</w:t>
            </w:r>
          </w:p>
        </w:tc>
        <w:tc>
          <w:tcPr>
            <w:tcW w:type="dxa" w:w="1728"/>
          </w:tcPr>
          <w:p>
            <w:r>
              <w:t>15302</w:t>
            </w:r>
          </w:p>
        </w:tc>
        <w:tc>
          <w:tcPr>
            <w:tcW w:type="dxa" w:w="1728"/>
          </w:tcPr>
          <w:p>
            <w:r>
              <w:t>34223389 FCFA</w:t>
            </w:r>
          </w:p>
        </w:tc>
        <w:tc>
          <w:tcPr>
            <w:tcW w:type="dxa" w:w="1728"/>
          </w:tcPr>
          <w:p>
            <w:r>
              <w:t>23.99%</w:t>
            </w:r>
          </w:p>
        </w:tc>
        <w:tc>
          <w:tcPr>
            <w:tcW w:type="dxa" w:w="1728"/>
          </w:tcPr>
          <w:p>
            <w:r>
              <w:t>ACHAT</w:t>
            </w:r>
          </w:p>
        </w:tc>
      </w:tr>
      <w:tr>
        <w:tc>
          <w:tcPr>
            <w:tcW w:type="dxa" w:w="1728"/>
          </w:tcPr>
          <w:p>
            <w:r>
              <w:t>SNTS (SNTS - SONATEL SN)</w:t>
            </w:r>
          </w:p>
        </w:tc>
        <w:tc>
          <w:tcPr>
            <w:tcW w:type="dxa" w:w="1728"/>
          </w:tcPr>
          <w:p>
            <w:r>
              <w:t>13962</w:t>
            </w:r>
          </w:p>
        </w:tc>
        <w:tc>
          <w:tcPr>
            <w:tcW w:type="dxa" w:w="1728"/>
          </w:tcPr>
          <w:p>
            <w:r>
              <w:t>453344036 FCFA</w:t>
            </w:r>
          </w:p>
        </w:tc>
        <w:tc>
          <w:tcPr>
            <w:tcW w:type="dxa" w:w="1728"/>
          </w:tcPr>
          <w:p>
            <w:r>
              <w:t>26.99%</w:t>
            </w:r>
          </w:p>
        </w:tc>
        <w:tc>
          <w:tcPr>
            <w:tcW w:type="dxa" w:w="1728"/>
          </w:tcPr>
          <w:p>
            <w:r>
              <w:t>ACHAT</w:t>
            </w:r>
          </w:p>
        </w:tc>
      </w:tr>
      <w:tr>
        <w:tc>
          <w:tcPr>
            <w:tcW w:type="dxa" w:w="1728"/>
          </w:tcPr>
          <w:p>
            <w:r>
              <w:t>BOAS (BANK OF AFRICA SENEGAL)</w:t>
            </w:r>
          </w:p>
        </w:tc>
        <w:tc>
          <w:tcPr>
            <w:tcW w:type="dxa" w:w="1728"/>
          </w:tcPr>
          <w:p>
            <w:r>
              <w:t>12610</w:t>
            </w:r>
          </w:p>
        </w:tc>
        <w:tc>
          <w:tcPr>
            <w:tcW w:type="dxa" w:w="1728"/>
          </w:tcPr>
          <w:p>
            <w:r>
              <w:t>99092226 FCFA</w:t>
            </w:r>
          </w:p>
        </w:tc>
        <w:tc>
          <w:tcPr>
            <w:tcW w:type="dxa" w:w="1728"/>
          </w:tcPr>
          <w:p>
            <w:r>
              <w:t>21.17%</w:t>
            </w:r>
          </w:p>
        </w:tc>
        <w:tc>
          <w:tcPr>
            <w:tcW w:type="dxa" w:w="1728"/>
          </w:tcPr>
          <w:p>
            <w:r>
              <w:t>ACHAT</w:t>
            </w:r>
          </w:p>
        </w:tc>
      </w:tr>
      <w:tr>
        <w:tc>
          <w:tcPr>
            <w:tcW w:type="dxa" w:w="1728"/>
          </w:tcPr>
          <w:p>
            <w:r>
              <w:t>SOGC (SOGC - Société des caoutchoucs de Grand-Béréby)</w:t>
            </w:r>
          </w:p>
        </w:tc>
        <w:tc>
          <w:tcPr>
            <w:tcW w:type="dxa" w:w="1728"/>
          </w:tcPr>
          <w:p>
            <w:r>
              <w:t>11204</w:t>
            </w:r>
          </w:p>
        </w:tc>
        <w:tc>
          <w:tcPr>
            <w:tcW w:type="dxa" w:w="1728"/>
          </w:tcPr>
          <w:p>
            <w:r>
              <w:t>83670857 FCFA</w:t>
            </w:r>
          </w:p>
        </w:tc>
        <w:tc>
          <w:tcPr>
            <w:tcW w:type="dxa" w:w="1728"/>
          </w:tcPr>
          <w:p>
            <w:r>
              <w:t>6.63%</w:t>
            </w:r>
          </w:p>
        </w:tc>
        <w:tc>
          <w:tcPr>
            <w:tcW w:type="dxa" w:w="1728"/>
          </w:tcPr>
          <w:p>
            <w:r>
              <w:t>ACHAT</w:t>
            </w:r>
          </w:p>
        </w:tc>
      </w:tr>
      <w:tr>
        <w:tc>
          <w:tcPr>
            <w:tcW w:type="dxa" w:w="1728"/>
          </w:tcPr>
          <w:p>
            <w:r>
              <w:t>SIBC (SIBC - SOCIETE IVOIRIENNE DE BANQUE)</w:t>
            </w:r>
          </w:p>
        </w:tc>
        <w:tc>
          <w:tcPr>
            <w:tcW w:type="dxa" w:w="1728"/>
          </w:tcPr>
          <w:p>
            <w:r>
              <w:t>9771</w:t>
            </w:r>
          </w:p>
        </w:tc>
        <w:tc>
          <w:tcPr>
            <w:tcW w:type="dxa" w:w="1728"/>
          </w:tcPr>
          <w:p>
            <w:r>
              <w:t>89612379 FCFA</w:t>
            </w:r>
          </w:p>
        </w:tc>
        <w:tc>
          <w:tcPr>
            <w:tcW w:type="dxa" w:w="1728"/>
          </w:tcPr>
          <w:p>
            <w:r>
              <w:t>31.52%</w:t>
            </w:r>
          </w:p>
        </w:tc>
        <w:tc>
          <w:tcPr>
            <w:tcW w:type="dxa" w:w="1728"/>
          </w:tcPr>
          <w:p>
            <w:r>
              <w:t>ACHAT</w:t>
            </w:r>
          </w:p>
        </w:tc>
      </w:tr>
      <w:tr>
        <w:tc>
          <w:tcPr>
            <w:tcW w:type="dxa" w:w="1728"/>
          </w:tcPr>
          <w:p>
            <w:r>
              <w:t>BOAC (BANK OF AFRICA COTE D'IVOIRE)</w:t>
            </w:r>
          </w:p>
        </w:tc>
        <w:tc>
          <w:tcPr>
            <w:tcW w:type="dxa" w:w="1728"/>
          </w:tcPr>
          <w:p>
            <w:r>
              <w:t>9304</w:t>
            </w:r>
          </w:p>
        </w:tc>
        <w:tc>
          <w:tcPr>
            <w:tcW w:type="dxa" w:w="1728"/>
          </w:tcPr>
          <w:p>
            <w:r>
              <w:t>117051709 FCFA</w:t>
            </w:r>
          </w:p>
        </w:tc>
        <w:tc>
          <w:tcPr>
            <w:tcW w:type="dxa" w:w="1728"/>
          </w:tcPr>
          <w:p>
            <w:r>
              <w:t>45.88%</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SIVC (SIVC - ERIUM CI (Ex AIR LIQUIDECI))</w:t>
            </w:r>
          </w:p>
        </w:tc>
        <w:tc>
          <w:tcPr>
            <w:tcW w:type="dxa" w:w="1728"/>
          </w:tcPr>
          <w:p>
            <w:r>
              <w:t>3397</w:t>
            </w:r>
          </w:p>
        </w:tc>
        <w:tc>
          <w:tcPr>
            <w:tcW w:type="dxa" w:w="1728"/>
          </w:tcPr>
          <w:p>
            <w:r>
              <w:t>7792096 FCFA</w:t>
            </w:r>
          </w:p>
        </w:tc>
        <w:tc>
          <w:tcPr>
            <w:tcW w:type="dxa" w:w="1728"/>
          </w:tcPr>
          <w:p>
            <w:r>
              <w:t>-21.16%</w:t>
            </w:r>
          </w:p>
        </w:tc>
        <w:tc>
          <w:tcPr>
            <w:tcW w:type="dxa" w:w="1728"/>
          </w:tcPr>
          <w:p>
            <w:r>
              <w:t>ACHAT</w:t>
            </w:r>
          </w:p>
        </w:tc>
      </w:tr>
      <w:tr>
        <w:tc>
          <w:tcPr>
            <w:tcW w:type="dxa" w:w="1728"/>
          </w:tcPr>
          <w:p>
            <w:r>
              <w:t>CFAC (CFAC - CFAO MOTORS CI)</w:t>
            </w:r>
          </w:p>
        </w:tc>
        <w:tc>
          <w:tcPr>
            <w:tcW w:type="dxa" w:w="1728"/>
          </w:tcPr>
          <w:p>
            <w:r>
              <w:t>3285</w:t>
            </w:r>
          </w:p>
        </w:tc>
        <w:tc>
          <w:tcPr>
            <w:tcW w:type="dxa" w:w="1728"/>
          </w:tcPr>
          <w:p>
            <w:r>
              <w:t>5524913 FCFA</w:t>
            </w:r>
          </w:p>
        </w:tc>
        <w:tc>
          <w:tcPr>
            <w:tcW w:type="dxa" w:w="1728"/>
          </w:tcPr>
          <w:p>
            <w:r>
              <w:t>8.41%</w:t>
            </w:r>
          </w:p>
        </w:tc>
        <w:tc>
          <w:tcPr>
            <w:tcW w:type="dxa" w:w="1728"/>
          </w:tcPr>
          <w:p>
            <w:r>
              <w:t>ACHAT</w:t>
            </w:r>
          </w:p>
        </w:tc>
      </w:tr>
      <w:tr>
        <w:tc>
          <w:tcPr>
            <w:tcW w:type="dxa" w:w="1728"/>
          </w:tcPr>
          <w:p>
            <w:r>
              <w:t>ABJC (ABJC - SERVAIR ABIDJAN CI)</w:t>
            </w:r>
          </w:p>
        </w:tc>
        <w:tc>
          <w:tcPr>
            <w:tcW w:type="dxa" w:w="1728"/>
          </w:tcPr>
          <w:p>
            <w:r>
              <w:t>3074</w:t>
            </w:r>
          </w:p>
        </w:tc>
        <w:tc>
          <w:tcPr>
            <w:tcW w:type="dxa" w:w="1728"/>
          </w:tcPr>
          <w:p>
            <w:r>
              <w:t>10182550 FCFA</w:t>
            </w:r>
          </w:p>
        </w:tc>
        <w:tc>
          <w:tcPr>
            <w:tcW w:type="dxa" w:w="1728"/>
          </w:tcPr>
          <w:p>
            <w:r>
              <w:t>0.82%</w:t>
            </w:r>
          </w:p>
        </w:tc>
        <w:tc>
          <w:tcPr>
            <w:tcW w:type="dxa" w:w="1728"/>
          </w:tcPr>
          <w:p>
            <w:r>
              <w:t>ACHAT</w:t>
            </w:r>
          </w:p>
        </w:tc>
      </w:tr>
      <w:tr>
        <w:tc>
          <w:tcPr>
            <w:tcW w:type="dxa" w:w="1728"/>
          </w:tcPr>
          <w:p>
            <w:r>
              <w:t>BNBC (BNBC - BERNABE CI)</w:t>
            </w:r>
          </w:p>
        </w:tc>
        <w:tc>
          <w:tcPr>
            <w:tcW w:type="dxa" w:w="1728"/>
          </w:tcPr>
          <w:p>
            <w:r>
              <w:t>2888</w:t>
            </w:r>
          </w:p>
        </w:tc>
        <w:tc>
          <w:tcPr>
            <w:tcW w:type="dxa" w:w="1728"/>
          </w:tcPr>
          <w:p>
            <w:r>
              <w:t>5787220 FCFA</w:t>
            </w:r>
          </w:p>
        </w:tc>
        <w:tc>
          <w:tcPr>
            <w:tcW w:type="dxa" w:w="1728"/>
          </w:tcPr>
          <w:p>
            <w:r>
              <w:t>44.65%</w:t>
            </w:r>
          </w:p>
        </w:tc>
        <w:tc>
          <w:tcPr>
            <w:tcW w:type="dxa" w:w="1728"/>
          </w:tcPr>
          <w:p>
            <w:r>
              <w:t>ACHAT</w:t>
            </w:r>
          </w:p>
        </w:tc>
      </w:tr>
      <w:tr>
        <w:tc>
          <w:tcPr>
            <w:tcW w:type="dxa" w:w="1728"/>
          </w:tcPr>
          <w:p>
            <w:r>
              <w:t>CABC (CABC - SICABLE COTE D'IVOIRE)</w:t>
            </w:r>
          </w:p>
        </w:tc>
        <w:tc>
          <w:tcPr>
            <w:tcW w:type="dxa" w:w="1728"/>
          </w:tcPr>
          <w:p>
            <w:r>
              <w:t>2620</w:t>
            </w:r>
          </w:p>
        </w:tc>
        <w:tc>
          <w:tcPr>
            <w:tcW w:type="dxa" w:w="1728"/>
          </w:tcPr>
          <w:p>
            <w:r>
              <w:t>9247742 FCFA</w:t>
            </w:r>
          </w:p>
        </w:tc>
        <w:tc>
          <w:tcPr>
            <w:tcW w:type="dxa" w:w="1728"/>
          </w:tcPr>
          <w:p>
            <w:r>
              <w:t>-10.04%</w:t>
            </w:r>
          </w:p>
        </w:tc>
        <w:tc>
          <w:tcPr>
            <w:tcW w:type="dxa" w:w="1728"/>
          </w:tcPr>
          <w:p>
            <w:r>
              <w:t>ACHAT</w:t>
            </w:r>
          </w:p>
        </w:tc>
      </w:tr>
      <w:tr>
        <w:tc>
          <w:tcPr>
            <w:tcW w:type="dxa" w:w="1728"/>
          </w:tcPr>
          <w:p>
            <w:r>
              <w:t>NSBC (NSBC - NSIA BANQUE COTE D'IVOIRE)</w:t>
            </w:r>
          </w:p>
        </w:tc>
        <w:tc>
          <w:tcPr>
            <w:tcW w:type="dxa" w:w="1728"/>
          </w:tcPr>
          <w:p>
            <w:r>
              <w:t>2483</w:t>
            </w:r>
          </w:p>
        </w:tc>
        <w:tc>
          <w:tcPr>
            <w:tcW w:type="dxa" w:w="1728"/>
          </w:tcPr>
          <w:p>
            <w:r>
              <w:t>57423588 FCFA</w:t>
            </w:r>
          </w:p>
        </w:tc>
        <w:tc>
          <w:tcPr>
            <w:tcW w:type="dxa" w:w="1728"/>
          </w:tcPr>
          <w:p>
            <w:r>
              <w:t>58.95%</w:t>
            </w:r>
          </w:p>
        </w:tc>
        <w:tc>
          <w:tcPr>
            <w:tcW w:type="dxa" w:w="1728"/>
          </w:tcPr>
          <w:p>
            <w:r>
              <w:t>ACHAT</w:t>
            </w:r>
          </w:p>
        </w:tc>
      </w:tr>
      <w:tr>
        <w:tc>
          <w:tcPr>
            <w:tcW w:type="dxa" w:w="1728"/>
          </w:tcPr>
          <w:p>
            <w:r>
              <w:t>PALC (PALC - PALM COTE D'IVOIRE)</w:t>
            </w:r>
          </w:p>
        </w:tc>
        <w:tc>
          <w:tcPr>
            <w:tcW w:type="dxa" w:w="1728"/>
          </w:tcPr>
          <w:p>
            <w:r>
              <w:t>2441</w:t>
            </w:r>
          </w:p>
        </w:tc>
        <w:tc>
          <w:tcPr>
            <w:tcW w:type="dxa" w:w="1728"/>
          </w:tcPr>
          <w:p>
            <w:r>
              <w:t>22449215 FCFA</w:t>
            </w:r>
          </w:p>
        </w:tc>
        <w:tc>
          <w:tcPr>
            <w:tcW w:type="dxa" w:w="1728"/>
          </w:tcPr>
          <w:p>
            <w:r>
              <w:t>15.34%</w:t>
            </w:r>
          </w:p>
        </w:tc>
        <w:tc>
          <w:tcPr>
            <w:tcW w:type="dxa" w:w="1728"/>
          </w:tcPr>
          <w:p>
            <w:r>
              <w:t>ACHAT</w:t>
            </w:r>
          </w:p>
        </w:tc>
      </w:tr>
      <w:tr>
        <w:tc>
          <w:tcPr>
            <w:tcW w:type="dxa" w:w="1728"/>
          </w:tcPr>
          <w:p>
            <w:r>
              <w:t>TTLS (TTLS - TOTAL ENERGIES MARKETING SENEGAL)</w:t>
            </w:r>
          </w:p>
        </w:tc>
        <w:tc>
          <w:tcPr>
            <w:tcW w:type="dxa" w:w="1728"/>
          </w:tcPr>
          <w:p>
            <w:r>
              <w:t>2405</w:t>
            </w:r>
          </w:p>
        </w:tc>
        <w:tc>
          <w:tcPr>
            <w:tcW w:type="dxa" w:w="1728"/>
          </w:tcPr>
          <w:p>
            <w:r>
              <w:t>8922298 FCFA</w:t>
            </w:r>
          </w:p>
        </w:tc>
        <w:tc>
          <w:tcPr>
            <w:tcW w:type="dxa" w:w="1728"/>
          </w:tcPr>
          <w:p>
            <w:r>
              <w:t>13.28%</w:t>
            </w:r>
          </w:p>
        </w:tc>
        <w:tc>
          <w:tcPr>
            <w:tcW w:type="dxa" w:w="1728"/>
          </w:tcPr>
          <w:p>
            <w:r>
              <w:t>ACHAT</w:t>
            </w:r>
          </w:p>
        </w:tc>
      </w:tr>
      <w:tr>
        <w:tc>
          <w:tcPr>
            <w:tcW w:type="dxa" w:w="1728"/>
          </w:tcPr>
          <w:p>
            <w:r>
              <w:t>ORAC (ORAC - ORANGE COTE D'IVOIRE)</w:t>
            </w:r>
          </w:p>
        </w:tc>
        <w:tc>
          <w:tcPr>
            <w:tcW w:type="dxa" w:w="1728"/>
          </w:tcPr>
          <w:p>
            <w:r>
              <w:t>2400</w:t>
            </w:r>
          </w:p>
        </w:tc>
        <w:tc>
          <w:tcPr>
            <w:tcW w:type="dxa" w:w="1728"/>
          </w:tcPr>
          <w:p>
            <w:r>
              <w:t>46507466 FCFA</w:t>
            </w:r>
          </w:p>
        </w:tc>
        <w:tc>
          <w:tcPr>
            <w:tcW w:type="dxa" w:w="1728"/>
          </w:tcPr>
          <w:p>
            <w:r>
              <w:t>40.79%</w:t>
            </w:r>
          </w:p>
        </w:tc>
        <w:tc>
          <w:tcPr>
            <w:tcW w:type="dxa" w:w="1728"/>
          </w:tcPr>
          <w:p>
            <w:r>
              <w:t>ACHAT</w:t>
            </w:r>
          </w:p>
        </w:tc>
      </w:tr>
      <w:tr>
        <w:tc>
          <w:tcPr>
            <w:tcW w:type="dxa" w:w="1728"/>
          </w:tcPr>
          <w:p>
            <w:r>
              <w:t>SMBC (SMBC - Société Multinationale de Bitumes COTE D'IVOIRE)</w:t>
            </w:r>
          </w:p>
        </w:tc>
        <w:tc>
          <w:tcPr>
            <w:tcW w:type="dxa" w:w="1728"/>
          </w:tcPr>
          <w:p>
            <w:r>
              <w:t>2235</w:t>
            </w:r>
          </w:p>
        </w:tc>
        <w:tc>
          <w:tcPr>
            <w:tcW w:type="dxa" w:w="1728"/>
          </w:tcPr>
          <w:p>
            <w:r>
              <w:t>36684759 FCFA</w:t>
            </w:r>
          </w:p>
        </w:tc>
        <w:tc>
          <w:tcPr>
            <w:tcW w:type="dxa" w:w="1728"/>
          </w:tcPr>
          <w:p>
            <w:r>
              <w:t>38.11%</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BICB - BIIC BN - Banque internationale pour le commerce du benin</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2. BNBC - BNBC - BERNABE CI</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3. BOABF - BANK OF AFRICA BURKINA FASO</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4. ECOC - ECOC - ECOBANK COTE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5. LNBB - LNBB - LOTERIE NATIONALE DU BENIN</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6. NEIC - NEIC - NEI-CEDA CI</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7. SDCC - SDCC - Société de Distribution d'Eau de Côte d'Ivoire</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8. SDSC - SDSC - AFRICA GLOBAL LOGISTICS CI</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9. SMBC - SMBC - Société Multinationale de Bitumes COTE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10. SOGC - SOGC - Société des caoutchoucs de Grand-Béréby</w:t>
      </w:r>
    </w:p>
    <w:p>
      <w:r>
        <w:rPr>
          <w:b/>
        </w:rPr>
        <w:t xml:space="preserve">Score de divergence: </w:t>
      </w:r>
      <w:r>
        <w:t>4/8</w:t>
        <w:br/>
      </w:r>
      <w:r>
        <w:rPr>
          <w:b/>
        </w:rPr>
        <w:t xml:space="preserve">Description: </w:t>
      </w:r>
      <w:r>
        <w:t>Signaux d'achat: MACD | Signaux de vente: MM,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21</w:t>
            </w:r>
          </w:p>
        </w:tc>
        <w:tc>
          <w:tcPr>
            <w:tcW w:type="dxa" w:w="2160"/>
          </w:tcPr>
          <w:p>
            <w:r>
              <w:t>0</w:t>
            </w:r>
          </w:p>
        </w:tc>
      </w:tr>
      <w:tr>
        <w:tc>
          <w:tcPr>
            <w:tcW w:type="dxa" w:w="2160"/>
          </w:tcPr>
          <w:p>
            <w:r>
              <w:t>Risque Moyen</w:t>
            </w:r>
          </w:p>
        </w:tc>
        <w:tc>
          <w:tcPr>
            <w:tcW w:type="dxa" w:w="2160"/>
          </w:tcPr>
          <w:p>
            <w:r>
              <w:t>0</w:t>
            </w:r>
          </w:p>
        </w:tc>
        <w:tc>
          <w:tcPr>
            <w:tcW w:type="dxa" w:w="2160"/>
          </w:tcPr>
          <w:p>
            <w:r>
              <w:t>26</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BICC (BICI CI - Banque internationale pour le commerce et l'industrie de la Côte d'Ivoire)</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SOGC (SOGC - Société des caoutchoucs de Grand-Béréby)</w:t>
      </w:r>
    </w:p>
    <w:p>
      <w:pPr>
        <w:pStyle w:val="ListBullet"/>
      </w:pPr>
      <w:r>
        <w:t>• STBC (STBC - SITAB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BICB (BIIC BN - Banque internationale pour le commerce du benin)</w:t>
      </w:r>
    </w:p>
    <w:p>
      <w:pPr>
        <w:pStyle w:val="ListBullet"/>
      </w:pPr>
      <w:r>
        <w:t>• BNBC (BNBC - BERNABE CI)</w:t>
      </w:r>
    </w:p>
    <w:p>
      <w:pPr>
        <w:pStyle w:val="ListBullet"/>
      </w:pPr>
      <w:r>
        <w:t>• BOAB (BANK OF AFRICA BENIN)</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SICC (SICC - SICOR COTE D'IVOIRE)</w:t>
      </w:r>
    </w:p>
    <w:p>
      <w:pPr>
        <w:pStyle w:val="ListBullet"/>
      </w:pPr>
      <w:r>
        <w:t>• SMBC (SMBC - Société Multinationale de Bitumes COTE D'IVOIRE)</w:t>
      </w:r>
    </w:p>
    <w:p>
      <w:pPr>
        <w:pStyle w:val="ListBullet"/>
      </w:pPr>
      <w:r>
        <w:t>• SNTS (SNTS - SONATEL SN)</w:t>
      </w:r>
    </w:p>
    <w:p>
      <w:pPr>
        <w:pStyle w:val="ListBullet"/>
      </w:pPr>
      <w:r>
        <w:t>• SPHC (SPHC - Société Africaine de Plantation d'Hévéas de Côte d'Ivoire)</w:t>
      </w:r>
    </w:p>
    <w:p>
      <w:pPr>
        <w:pStyle w:val="ListBullet"/>
      </w:pPr>
      <w:r>
        <w:t>• STAC (STAC - SETAO COTE D'IVOIRE)</w:t>
      </w:r>
    </w:p>
    <w:p>
      <w:pPr>
        <w:pStyle w:val="ListBullet"/>
      </w:pPr>
      <w:r>
        <w:t>• TTLC (TTLC - TOTAL ENERGIES MARKETING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pStyle w:val="ListBullet"/>
        <w:spacing w:before="20" w:after="20"/>
        <w:ind w:left="360"/>
      </w:pPr>
      <w:r>
        <w:rPr>
          <w:sz w:val="18"/>
        </w:rPr>
        <w:t>**Matières premières** : L'indice MXV sort de la zone des 2 900 points, signalant une évolution notable des prix des matières premières (26/08).</w:t>
      </w:r>
    </w:p>
    <w:p>
      <w:pPr>
        <w:pStyle w:val="ListBullet"/>
        <w:spacing w:before="20" w:after="20"/>
        <w:ind w:left="360"/>
      </w:pPr>
      <w:r>
        <w:rPr>
          <w:color w:val="008000"/>
          <w:sz w:val="18"/>
        </w:rPr>
        <w:t>**BCE** : Le scénario d'une hausse des taux directeurs en septembre devient de plus en plus probable (27/08).</w:t>
      </w:r>
    </w:p>
    <w:p>
      <w:pPr>
        <w:pStyle w:val="ListBullet"/>
        <w:spacing w:before="20" w:after="20"/>
        <w:ind w:left="360"/>
      </w:pPr>
      <w:r>
        <w:rPr>
          <w:sz w:val="18"/>
        </w:rPr>
        <w:t>**Dollar américain** : Les données d'inflation américaines soutiennent une appréciation du dollar, selon UOB (27/08).</w:t>
      </w:r>
    </w:p>
    <w:p>
      <w:pPr>
        <w:pStyle w:val="ListBullet"/>
        <w:spacing w:before="20" w:after="20"/>
        <w:ind w:left="360"/>
      </w:pPr>
      <w:r>
        <w:rPr>
          <w:sz w:val="18"/>
        </w:rPr>
        <w:t>**Afrique du Sud** : Investissement public massif de 56 milliards de dollars face à une croissance atone (30/08).</w:t>
      </w:r>
    </w:p>
    <w:p>
      <w:pPr>
        <w:pStyle w:val="Heading3"/>
      </w:pPr>
      <w:r>
        <w:rPr>
          <w:color w:val="500050"/>
        </w:rPr>
        <w:t>⚡ Impact estimé sur la BRVM</w:t>
      </w:r>
    </w:p>
    <w:p>
      <w:pPr>
        <w:spacing w:before="20" w:after="40"/>
        <w:ind w:left="280"/>
      </w:pPr>
      <w:r>
        <w:rPr>
          <w:i/>
          <w:sz w:val="18"/>
        </w:rPr>
        <w:t>Une hausse des taux BCE renforce l'attractivité des actifs en euros, pouvant détourner une partie des capitaux des marchés émergents comme la BRVM. L'appréciation du dollar renchérit les importations pour les sociétés dépendantes des intrants étrangers (NTLC, CABC). La sortie de la zone des 2 900 points de l'indice MXV pourrait soutenir les valeurs liées aux matières premières (caoutchouc, cacao) comme SOGC et SIVC.</w:t>
      </w:r>
    </w:p>
    <w:p>
      <w:pPr>
        <w:pStyle w:val="Heading2"/>
      </w:pPr>
      <w:r>
        <w:rPr>
          <w:color w:val="006E32"/>
        </w:rPr>
        <w:t>🌍 Plan Africain</w:t>
      </w:r>
    </w:p>
    <w:p>
      <w:pPr>
        <w:pStyle w:val="ListBullet"/>
        <w:spacing w:before="20" w:after="20"/>
        <w:ind w:left="360"/>
      </w:pPr>
      <w:r>
        <w:rPr>
          <w:sz w:val="18"/>
        </w:rPr>
        <w:t>**Afrique du Sud** : 56 milliards de dollars d'investissement public annoncés, mais la croissance reste atone (30/08).</w:t>
      </w:r>
    </w:p>
    <w:p>
      <w:pPr>
        <w:pStyle w:val="ListBullet"/>
        <w:spacing w:before="20" w:after="20"/>
        <w:ind w:left="360"/>
      </w:pPr>
      <w:r>
        <w:rPr>
          <w:sz w:val="18"/>
        </w:rPr>
        <w:t>**Secteurs porteurs** : Bpifrance identifie les infrastructures, l'agro-industrie et les énergies renouvelables comme les secteurs les plus dynamiques en Afrique (11/08).</w:t>
      </w:r>
    </w:p>
    <w:p>
      <w:pPr>
        <w:pStyle w:val="ListBullet"/>
        <w:spacing w:before="20" w:after="20"/>
        <w:ind w:left="360"/>
      </w:pPr>
      <w:r>
        <w:rPr>
          <w:sz w:val="18"/>
        </w:rPr>
        <w:t>**Économie des soins** : Un officiel sénégalais considère l'investissement dans l'économie des soins comme un levier de croissance stratégique (28/07).</w:t>
      </w:r>
    </w:p>
    <w:p>
      <w:pPr>
        <w:pStyle w:val="Heading3"/>
      </w:pPr>
      <w:r>
        <w:rPr>
          <w:color w:val="500050"/>
        </w:rPr>
        <w:t>⚡ Impact estimé sur la BRVM</w:t>
      </w:r>
    </w:p>
    <w:p>
      <w:pPr>
        <w:spacing w:before="20" w:after="40"/>
        <w:ind w:left="280"/>
      </w:pPr>
      <w:r>
        <w:rPr>
          <w:i/>
          <w:sz w:val="18"/>
        </w:rPr>
        <w:t>Les secteurs identifiés par Bpifrance (infrastructures, agro-industrie) correspondent aux activités de plusieurs sociétés cotées comme CABC (industriels) et NTLC (consommation de base). L'investissement sud-africain massif pourrait stimuler la demande régionale en matières premières, bénéficiant indirectement aux exportateurs de la zone UEMOA.</w:t>
      </w:r>
    </w:p>
    <w:p>
      <w:pPr>
        <w:pStyle w:val="Heading2"/>
      </w:pPr>
      <w:r>
        <w:rPr>
          <w:color w:val="145A28"/>
        </w:rPr>
        <w:t>🌍 Plan Afrique de l'Ouest</w:t>
      </w:r>
    </w:p>
    <w:p>
      <w:pPr>
        <w:pStyle w:val="ListBullet"/>
        <w:spacing w:before="20" w:after="20"/>
        <w:ind w:left="360"/>
      </w:pPr>
      <w:r>
        <w:rPr>
          <w:sz w:val="18"/>
        </w:rPr>
        <w:t>**Monnaie régionale** : Débat sur le choix de la monnaie pour l'Afrique de l'Ouest, avec des enjeux économiques majeurs (30/08).</w:t>
      </w:r>
    </w:p>
    <w:p>
      <w:pPr>
        <w:pStyle w:val="ListBullet"/>
        <w:spacing w:before="20" w:after="20"/>
        <w:ind w:left="360"/>
      </w:pPr>
      <w:r>
        <w:rPr>
          <w:color w:val="008000"/>
          <w:sz w:val="18"/>
        </w:rPr>
        <w:t>**Accords de partenariat économique** : L'UE dresse un bilan positif de dix ans d'APE avec la Côte d'Ivoire et le Ghana (30/08).</w:t>
      </w:r>
    </w:p>
    <w:p>
      <w:pPr>
        <w:pStyle w:val="ListBullet"/>
        <w:spacing w:before="20" w:after="20"/>
        <w:ind w:left="360"/>
      </w:pPr>
      <w:r>
        <w:rPr>
          <w:sz w:val="18"/>
        </w:rPr>
        <w:t>**Agriculture** : L'Afrique de l'Ouest veut accélérer la circulation des semences agricoles pour renforcer la sécurité alimentaire (27/08).</w:t>
      </w:r>
    </w:p>
    <w:p>
      <w:pPr>
        <w:pStyle w:val="Heading3"/>
      </w:pPr>
      <w:r>
        <w:rPr>
          <w:color w:val="500050"/>
        </w:rPr>
        <w:t>⚡ Impact estimé sur la BRVM</w:t>
      </w:r>
    </w:p>
    <w:p>
      <w:pPr>
        <w:spacing w:before="20" w:after="40"/>
        <w:ind w:left="280"/>
      </w:pPr>
      <w:r>
        <w:rPr>
          <w:i/>
          <w:sz w:val="18"/>
        </w:rPr>
        <w:t>Le bilan positif des APE avec l'UE renforce la compétitivité des exportateurs ivoiriens cotés à la BRVM, notamment dans l'agro-industrie (SLBC, NTLC). L'initiative sur les semences agricoles pourrait soutenir la production locale, bénéficiant aux sociétés du secteur de la consommation de base.</w:t>
      </w:r>
    </w:p>
    <w:p>
      <w:pPr>
        <w:pStyle w:val="Heading2"/>
      </w:pPr>
      <w:r>
        <w:rPr>
          <w:color w:val="8C4600"/>
        </w:rPr>
        <w:t>🏦 Plan UEMOA / Zone Franc</w:t>
      </w:r>
    </w:p>
    <w:p>
      <w:pPr>
        <w:pStyle w:val="ListBullet"/>
        <w:spacing w:before="20" w:after="20"/>
        <w:ind w:left="360"/>
      </w:pPr>
      <w:r>
        <w:rPr>
          <w:sz w:val="18"/>
        </w:rPr>
        <w:t>**Politique monétaire** : Pas d'actualité spécifique BCEAO dans les données fournies.</w:t>
      </w:r>
    </w:p>
    <w:p>
      <w:pPr>
        <w:pStyle w:val="ListBullet"/>
        <w:spacing w:before="20" w:after="20"/>
        <w:ind w:left="360"/>
      </w:pPr>
      <w:r>
        <w:rPr>
          <w:sz w:val="18"/>
        </w:rPr>
        <w:t>**Coopération régionale** : Le Maroc renforce ses relations diplomatiques et économiques avec le Sénégal et la RDC (30/08).</w:t>
      </w:r>
    </w:p>
    <w:p>
      <w:pPr>
        <w:pStyle w:val="ListBullet"/>
        <w:spacing w:before="20" w:after="20"/>
        <w:ind w:left="360"/>
      </w:pPr>
      <w:r>
        <w:rPr>
          <w:sz w:val="18"/>
        </w:rPr>
        <w:t>**Éducation** : Le Sénégal promeut l'ambition au féminin à travers l'école Mariama Bâ (28/08).</w:t>
      </w:r>
    </w:p>
    <w:p>
      <w:pPr>
        <w:pStyle w:val="Heading3"/>
      </w:pPr>
      <w:r>
        <w:rPr>
          <w:color w:val="500050"/>
        </w:rPr>
        <w:t>⚡ Impact estimé sur la BRVM</w:t>
      </w:r>
    </w:p>
    <w:p>
      <w:pPr>
        <w:spacing w:before="20" w:after="40"/>
        <w:ind w:left="280"/>
      </w:pPr>
      <w:r>
        <w:rPr>
          <w:i/>
          <w:sz w:val="18"/>
        </w:rPr>
        <w:t>Données insuffisantes pour une analyse monétaire précise de la zone UEMOA. Le renforcement des relations Maroc-Sénégal pourrait ouvrir de nouvelles opportunités commerciales pour les sociétés cotées présentes au Sénégal (BOAS, SLBC).</w:t>
      </w:r>
    </w:p>
    <w:p>
      <w:pPr>
        <w:pStyle w:val="Heading2"/>
      </w:pPr>
      <w:r>
        <w:rPr>
          <w:color w:val="003366"/>
        </w:rPr>
        <w:t>📈 Plan BRVM</w:t>
      </w:r>
    </w:p>
    <w:p>
      <w:pPr>
        <w:pStyle w:val="ListBullet"/>
        <w:spacing w:before="20" w:after="20"/>
        <w:ind w:left="360"/>
      </w:pPr>
      <w:r>
        <w:rPr>
          <w:sz w:val="18"/>
        </w:rPr>
        <w:t>**Résultats encourageants** : Les sociétés cotées ivoiriennes affichent des résultats encourageants à la BRVM (09/06).</w:t>
      </w:r>
    </w:p>
    <w:p>
      <w:pPr>
        <w:pStyle w:val="ListBullet"/>
        <w:spacing w:before="20" w:after="20"/>
        <w:ind w:left="360"/>
      </w:pPr>
      <w:r>
        <w:rPr>
          <w:sz w:val="18"/>
        </w:rPr>
        <w:t>**Indice** : BRVM Composite à 530,06 points, sans tendance claire dans les données fournies.</w:t>
      </w:r>
    </w:p>
    <w:p>
      <w:pPr>
        <w:pStyle w:val="Heading3"/>
      </w:pPr>
      <w:r>
        <w:rPr>
          <w:color w:val="500050"/>
        </w:rPr>
        <w:t>⚡ Impact estimé sur la BRVM</w:t>
      </w:r>
    </w:p>
    <w:p>
      <w:pPr>
        <w:spacing w:before="20" w:after="40"/>
        <w:ind w:left="280"/>
      </w:pPr>
      <w:r>
        <w:rPr>
          <w:i/>
          <w:sz w:val="18"/>
        </w:rPr>
        <w:t>Les résultats encourageants des sociétés ivoiriennes soutiennent la confiance des investisseurs. Les valeurs bancaires (NSBC, BOAN, BOAM, BOAS, BOAB) et de consommation (NTLC, SLBC, SCRC) semblent bien positionnées. ETIT (services financiers) pourrait bénéficier de cette dynamique positive.</w:t>
      </w:r>
    </w:p>
    <w:p>
      <w:pPr>
        <w:pStyle w:val="Heading1"/>
      </w:pPr>
      <w:r>
        <w:rPr>
          <w:color w:val="8C0000"/>
        </w:rPr>
        <w:t>🏛️ 2. ACTUALITÉS POLITIQUES &amp; GÉOPOLITIQUES</w:t>
      </w:r>
    </w:p>
    <w:p>
      <w:pPr>
        <w:pStyle w:val="Heading2"/>
      </w:pPr>
      <w:r>
        <w:rPr>
          <w:color w:val="00467F"/>
        </w:rPr>
        <w:t>🌐 Plan Mondial</w:t>
      </w:r>
    </w:p>
    <w:p>
      <w:pPr>
        <w:pStyle w:val="ListBullet"/>
        <w:spacing w:before="20" w:after="20"/>
        <w:ind w:left="360"/>
      </w:pPr>
      <w:r>
        <w:rPr>
          <w:color w:val="008000"/>
          <w:sz w:val="18"/>
        </w:rPr>
        <w:t>**BCE** : Hausse des taux probable en septembre (27/08).</w:t>
      </w:r>
    </w:p>
    <w:p>
      <w:pPr>
        <w:pStyle w:val="ListBullet"/>
        <w:spacing w:before="20" w:after="20"/>
        <w:ind w:left="360"/>
      </w:pPr>
      <w:r>
        <w:rPr>
          <w:sz w:val="18"/>
        </w:rPr>
        <w:t>**Dollar** : Appréciation soutenue par les données d'inflation (27/08).</w:t>
      </w:r>
    </w:p>
    <w:p>
      <w:pPr>
        <w:pStyle w:val="ListBullet"/>
        <w:spacing w:before="20" w:after="20"/>
        <w:ind w:left="360"/>
      </w:pPr>
      <w:r>
        <w:rPr>
          <w:sz w:val="18"/>
        </w:rPr>
        <w:t>**Afrique du Sud** : Investissement public massif malgré une croissance atone (30/08).</w:t>
      </w:r>
    </w:p>
    <w:p>
      <w:pPr>
        <w:pStyle w:val="Heading3"/>
      </w:pPr>
      <w:r>
        <w:rPr>
          <w:color w:val="500050"/>
        </w:rPr>
        <w:t>⚡ Impact estimé sur la BRVM</w:t>
      </w:r>
    </w:p>
    <w:p>
      <w:pPr>
        <w:spacing w:before="20" w:after="40"/>
        <w:ind w:left="280"/>
      </w:pPr>
      <w:r>
        <w:rPr>
          <w:i/>
          <w:sz w:val="18"/>
        </w:rPr>
        <w:t>L'environnement de taux mondiaux plus restrictifs peut réduire l'appétit pour le risque des investisseurs internationaux, limitant les flux vers la BRVM. La vigueur du dollar pourrait toutefois rendre les exportations de la zone plus compétitives.</w:t>
      </w:r>
    </w:p>
    <w:p>
      <w:pPr>
        <w:pStyle w:val="Heading2"/>
      </w:pPr>
      <w:r>
        <w:rPr>
          <w:color w:val="006E32"/>
        </w:rPr>
        <w:t>🌍 Plan Africain</w:t>
      </w:r>
    </w:p>
    <w:p>
      <w:pPr>
        <w:pStyle w:val="ListBullet"/>
        <w:spacing w:before="20" w:after="20"/>
        <w:ind w:left="360"/>
      </w:pPr>
      <w:r>
        <w:rPr>
          <w:sz w:val="18"/>
        </w:rPr>
        <w:t>**Afrique du Sud** : Investissement public de 56 milliards de dollars (30/08).</w:t>
      </w:r>
    </w:p>
    <w:p>
      <w:pPr>
        <w:pStyle w:val="ListBullet"/>
        <w:spacing w:before="20" w:after="20"/>
        <w:ind w:left="360"/>
      </w:pPr>
      <w:r>
        <w:rPr>
          <w:sz w:val="18"/>
        </w:rPr>
        <w:t>**Coopération** : Le Maroc renforce ses relations avec le Sénégal et la RDC (30/08).</w:t>
      </w:r>
    </w:p>
    <w:p>
      <w:pPr>
        <w:pStyle w:val="Heading3"/>
      </w:pPr>
      <w:r>
        <w:rPr>
          <w:color w:val="500050"/>
        </w:rPr>
        <w:t>⚡ Impact estimé sur la BRVM</w:t>
      </w:r>
    </w:p>
    <w:p>
      <w:pPr>
        <w:spacing w:before="20" w:after="40"/>
        <w:ind w:left="280"/>
      </w:pPr>
      <w:r>
        <w:rPr>
          <w:i/>
          <w:sz w:val="18"/>
        </w:rPr>
        <w:t>La stabilité politique relative en Afrique de l'Ouest, comparée à d'autres régions, maintient la confiance des investisseurs. Le renforcement de la coopération marocaine avec le Sénégal pourrait créer des opportunités pour les sociétés cotées opérant dans ce pays.</w:t>
      </w:r>
    </w:p>
    <w:p>
      <w:pPr>
        <w:pStyle w:val="Heading2"/>
      </w:pPr>
      <w:r>
        <w:rPr>
          <w:color w:val="145A28"/>
        </w:rPr>
        <w:t>🌍 Plan Afrique de l'Ouest</w:t>
      </w:r>
    </w:p>
    <w:p>
      <w:pPr>
        <w:pStyle w:val="ListBullet"/>
        <w:spacing w:before="20" w:after="20"/>
        <w:ind w:left="360"/>
      </w:pPr>
      <w:r>
        <w:rPr>
          <w:sz w:val="18"/>
        </w:rPr>
        <w:t>**Débat monétaire** : Question du choix de la monnaie en Afrique de l'Ouest (30/08).</w:t>
      </w:r>
    </w:p>
    <w:p>
      <w:pPr>
        <w:pStyle w:val="ListBullet"/>
        <w:spacing w:before="20" w:after="20"/>
        <w:ind w:left="360"/>
      </w:pPr>
      <w:r>
        <w:rPr>
          <w:color w:val="008000"/>
          <w:sz w:val="18"/>
        </w:rPr>
        <w:t>**APE** : Bilan positif de dix ans d'APE avec Abidjan et Accra (30/08).</w:t>
      </w:r>
    </w:p>
    <w:p>
      <w:pPr>
        <w:pStyle w:val="ListBullet"/>
        <w:spacing w:before="20" w:after="20"/>
        <w:ind w:left="360"/>
      </w:pPr>
      <w:r>
        <w:rPr>
          <w:sz w:val="18"/>
        </w:rPr>
        <w:t>**Immersion patriotique** : Le Burkina Faso rend l'immersion patriotique obligatoire pour les bacheliers (29/08).</w:t>
      </w:r>
    </w:p>
    <w:p>
      <w:pPr>
        <w:pStyle w:val="Heading3"/>
      </w:pPr>
      <w:r>
        <w:rPr>
          <w:color w:val="500050"/>
        </w:rPr>
        <w:t>⚡ Impact estimé sur la BRVM</w:t>
      </w:r>
    </w:p>
    <w:p>
      <w:pPr>
        <w:spacing w:before="20" w:after="40"/>
        <w:ind w:left="280"/>
      </w:pPr>
      <w:r>
        <w:rPr>
          <w:i/>
          <w:sz w:val="18"/>
        </w:rPr>
        <w:t>Le débat sur la monnaie régionale crée une incertitude modérée pour les investisseurs. Les APE avec l'UE sécurisent l'accès aux marchés européens pour les entreprises cotées. La situation au Burkina Faso (AES) pourrait affecter les sociétés opérant dans ce pays.</w:t>
      </w:r>
    </w:p>
    <w:p>
      <w:pPr>
        <w:pStyle w:val="Heading2"/>
      </w:pPr>
      <w:r>
        <w:rPr>
          <w:color w:val="8C4600"/>
        </w:rPr>
        <w:t>🏦 Plan UEMOA / Zone Franc</w:t>
      </w:r>
    </w:p>
    <w:p>
      <w:pPr>
        <w:pStyle w:val="ListBullet"/>
        <w:spacing w:before="20" w:after="20"/>
        <w:ind w:left="360"/>
      </w:pPr>
      <w:r>
        <w:rPr>
          <w:sz w:val="18"/>
        </w:rPr>
        <w:t>**Sénégal** : Promotion de l'éducation des filles (28/08).</w:t>
      </w:r>
    </w:p>
    <w:p>
      <w:pPr>
        <w:pStyle w:val="ListBullet"/>
        <w:spacing w:before="20" w:after="20"/>
        <w:ind w:left="360"/>
      </w:pPr>
      <w:r>
        <w:rPr>
          <w:sz w:val="18"/>
        </w:rPr>
        <w:t>**Burkina Faso** : Mesure patriotique obligatoire (29/08).</w:t>
      </w:r>
    </w:p>
    <w:p>
      <w:pPr>
        <w:pStyle w:val="Heading3"/>
      </w:pPr>
      <w:r>
        <w:rPr>
          <w:color w:val="500050"/>
        </w:rPr>
        <w:t>⚡ Impact estimé sur la BRVM</w:t>
      </w:r>
    </w:p>
    <w:p>
      <w:pPr>
        <w:spacing w:before="20" w:after="40"/>
        <w:ind w:left="280"/>
      </w:pPr>
      <w:r>
        <w:rPr>
          <w:i/>
          <w:sz w:val="18"/>
        </w:rPr>
        <w:t>Données insuffisantes pour une analyse politique approfondie de la zone UEMOA. Aucun risque politique majeur identifié dans les actualités fournies.</w:t>
      </w:r>
    </w:p>
    <w:p>
      <w:pPr>
        <w:pStyle w:val="Heading2"/>
      </w:pPr>
      <w:r>
        <w:rPr>
          <w:color w:val="003366"/>
        </w:rPr>
        <w:t>📈 Plan BRVM</w:t>
      </w:r>
    </w:p>
    <w:p>
      <w:pPr>
        <w:pStyle w:val="ListBullet"/>
        <w:spacing w:before="20" w:after="20"/>
        <w:ind w:left="360"/>
      </w:pPr>
      <w:r>
        <w:rPr>
          <w:sz w:val="18"/>
        </w:rPr>
        <w:t>**Résultats encourageants** des sociétés cotées ivoiriennes (09/06).</w:t>
      </w:r>
    </w:p>
    <w:p>
      <w:pPr>
        <w:pStyle w:val="Heading3"/>
      </w:pPr>
      <w:r>
        <w:rPr>
          <w:color w:val="500050"/>
        </w:rPr>
        <w:t>⚡ Impact estimé sur la BRVM</w:t>
      </w:r>
    </w:p>
    <w:p>
      <w:pPr>
        <w:spacing w:before="20" w:after="40"/>
        <w:ind w:left="280"/>
      </w:pPr>
      <w:r>
        <w:rPr>
          <w:i/>
          <w:sz w:val="18"/>
        </w:rPr>
        <w:t>La bonne tenue des résultats des sociétés ivoiriennes renforce la crédibilité du marché et attire potentiellement de nouveaux investisseurs. Les valeurs bancaires et de consommation restent les piliers du marché.</w:t>
      </w:r>
    </w:p>
    <w:p>
      <w:pPr>
        <w:pStyle w:val="Heading1"/>
      </w:pPr>
      <w:r>
        <w:rPr>
          <w:color w:val="006428"/>
        </w:rPr>
        <w:t>💹 3. ACTUALITÉS FINANCIÈRES &amp; MARCHÉS</w:t>
      </w:r>
    </w:p>
    <w:p>
      <w:pPr>
        <w:pStyle w:val="Heading2"/>
      </w:pPr>
      <w:r>
        <w:rPr>
          <w:color w:val="00467F"/>
        </w:rPr>
        <w:t>🌐 Plan Mondial</w:t>
      </w:r>
    </w:p>
    <w:p>
      <w:pPr>
        <w:pStyle w:val="ListBullet"/>
        <w:spacing w:before="20" w:after="20"/>
        <w:ind w:left="360"/>
      </w:pPr>
      <w:r>
        <w:rPr>
          <w:sz w:val="18"/>
        </w:rPr>
        <w:t>**Matières premières** : L'indice MXV sort de la zone des 2 900 points (26/08).</w:t>
      </w:r>
    </w:p>
    <w:p>
      <w:pPr>
        <w:pStyle w:val="ListBullet"/>
        <w:spacing w:before="20" w:after="20"/>
        <w:ind w:left="360"/>
      </w:pPr>
      <w:r>
        <w:rPr>
          <w:color w:val="008000"/>
          <w:sz w:val="18"/>
        </w:rPr>
        <w:t>**BCE** : Hausse des taux probable en septembre (27/08).</w:t>
      </w:r>
    </w:p>
    <w:p>
      <w:pPr>
        <w:pStyle w:val="ListBullet"/>
        <w:spacing w:before="20" w:after="20"/>
        <w:ind w:left="360"/>
      </w:pPr>
      <w:r>
        <w:rPr>
          <w:sz w:val="18"/>
        </w:rPr>
        <w:t>**Dollar** : Appréciation soutenue (27/08).</w:t>
      </w:r>
    </w:p>
    <w:p>
      <w:pPr>
        <w:pStyle w:val="Heading3"/>
      </w:pPr>
      <w:r>
        <w:rPr>
          <w:color w:val="500050"/>
        </w:rPr>
        <w:t>⚡ Impact estimé sur la BRVM</w:t>
      </w:r>
    </w:p>
    <w:p>
      <w:pPr>
        <w:spacing w:before="20" w:after="40"/>
        <w:ind w:left="280"/>
      </w:pPr>
      <w:r>
        <w:rPr>
          <w:i/>
          <w:sz w:val="18"/>
        </w:rPr>
        <w:t>La hausse attendue des taux BCE pourrait renforcer l'euro face au FCFA, améliorant la compétitivité des exportations de la zone. Les variations des matières premières affectent directement les secteurs cotés (SOGC pour le caoutchouc, SIVC pour le cacao).</w:t>
      </w:r>
    </w:p>
    <w:p>
      <w:pPr>
        <w:pStyle w:val="Heading2"/>
      </w:pPr>
      <w:r>
        <w:rPr>
          <w:color w:val="006E32"/>
        </w:rPr>
        <w:t>🌍 Plan Africain</w:t>
      </w:r>
    </w:p>
    <w:p>
      <w:pPr>
        <w:pStyle w:val="ListBullet"/>
        <w:spacing w:before="20" w:after="20"/>
        <w:ind w:left="360"/>
      </w:pPr>
      <w:r>
        <w:rPr>
          <w:sz w:val="18"/>
        </w:rPr>
        <w:t>**Afrique du Sud** : Investissement public massif (30/08).</w:t>
      </w:r>
    </w:p>
    <w:p>
      <w:pPr>
        <w:pStyle w:val="Heading3"/>
      </w:pPr>
      <w:r>
        <w:rPr>
          <w:color w:val="500050"/>
        </w:rPr>
        <w:t>⚡ Impact estimé sur la BRVM</w:t>
      </w:r>
    </w:p>
    <w:p>
      <w:pPr>
        <w:spacing w:before="20" w:after="40"/>
        <w:ind w:left="280"/>
      </w:pPr>
      <w:r>
        <w:rPr>
          <w:i/>
          <w:sz w:val="18"/>
        </w:rPr>
        <w:t>Données insuffisantes sur les marchés obligataires africains et les eurobonds. L'investissement sud-africain pourrait stimuler la demande régionale en biens et services.</w:t>
      </w:r>
    </w:p>
    <w:p>
      <w:pPr>
        <w:pStyle w:val="Heading2"/>
      </w:pPr>
      <w:r>
        <w:rPr>
          <w:color w:val="145A28"/>
        </w:rPr>
        <w:t>🌍 Plan Afrique de l'Ouest</w:t>
      </w:r>
    </w:p>
    <w:p>
      <w:pPr>
        <w:pStyle w:val="ListBullet"/>
        <w:spacing w:before="20" w:after="20"/>
        <w:ind w:left="360"/>
      </w:pPr>
      <w:r>
        <w:rPr>
          <w:sz w:val="18"/>
        </w:rPr>
        <w:t>**Débat monétaire** : Question de la monnaie en Afrique de l'Ouest (30/08).</w:t>
      </w:r>
    </w:p>
    <w:p>
      <w:pPr>
        <w:pStyle w:val="Heading3"/>
      </w:pPr>
      <w:r>
        <w:rPr>
          <w:color w:val="500050"/>
        </w:rPr>
        <w:t>⚡ Impact estimé sur la BRVM</w:t>
      </w:r>
    </w:p>
    <w:p>
      <w:pPr>
        <w:spacing w:before="20" w:after="40"/>
        <w:ind w:left="280"/>
      </w:pPr>
      <w:r>
        <w:rPr>
          <w:i/>
          <w:sz w:val="18"/>
        </w:rPr>
        <w:t>La BRVM reste la principale place financière de la zone UEMOA. Le débat monétaire pourrait influencer les flux de capitaux à moyen terme.</w:t>
      </w:r>
    </w:p>
    <w:p>
      <w:pPr>
        <w:pStyle w:val="Heading2"/>
      </w:pPr>
      <w:r>
        <w:rPr>
          <w:color w:val="8C4600"/>
        </w:rPr>
        <w:t>🏦 Plan UEMOA / Zone Franc</w:t>
      </w:r>
    </w:p>
    <w:p>
      <w:pPr>
        <w:pStyle w:val="ListBullet"/>
        <w:spacing w:before="20" w:after="20"/>
        <w:ind w:left="360"/>
      </w:pPr>
      <w:r>
        <w:rPr>
          <w:sz w:val="18"/>
        </w:rPr>
        <w:t>**Marché des matières premières** : Évolution notable de l'indice MXV (26/08).</w:t>
      </w:r>
    </w:p>
    <w:p>
      <w:pPr>
        <w:pStyle w:val="Heading3"/>
      </w:pPr>
      <w:r>
        <w:rPr>
          <w:color w:val="500050"/>
        </w:rPr>
        <w:t>⚡ Impact estimé sur la BRVM</w:t>
      </w:r>
    </w:p>
    <w:p>
      <w:pPr>
        <w:spacing w:before="20" w:after="40"/>
        <w:ind w:left="280"/>
      </w:pPr>
      <w:r>
        <w:rPr>
          <w:i/>
          <w:sz w:val="18"/>
        </w:rPr>
        <w:t>Données insuffisantes sur le marché des titres publics UEMOA et les taux interbancaires. L'arbitrage entre titres publics et actions BRVM ne peut être analysé précisément.</w:t>
      </w:r>
    </w:p>
    <w:p>
      <w:pPr>
        <w:pStyle w:val="Heading2"/>
      </w:pPr>
      <w:r>
        <w:rPr>
          <w:color w:val="003366"/>
        </w:rPr>
        <w:t>📈 Plan BRVM</w:t>
      </w:r>
    </w:p>
    <w:p>
      <w:pPr>
        <w:pStyle w:val="ListBullet"/>
        <w:spacing w:before="20" w:after="20"/>
        <w:ind w:left="360"/>
      </w:pPr>
      <w:r>
        <w:rPr>
          <w:sz w:val="18"/>
        </w:rPr>
        <w:t>**Indice** : BRVM Composite à 530,06 points.</w:t>
      </w:r>
    </w:p>
    <w:p>
      <w:pPr>
        <w:pStyle w:val="ListBullet"/>
        <w:spacing w:before="20" w:after="20"/>
        <w:ind w:left="360"/>
      </w:pPr>
      <w:r>
        <w:rPr>
          <w:sz w:val="18"/>
        </w:rPr>
        <w:t>**Résultats encourageants** des sociétés cotées (09/06).</w:t>
      </w:r>
    </w:p>
    <w:p>
      <w:pPr>
        <w:pStyle w:val="Heading3"/>
      </w:pPr>
      <w:r>
        <w:rPr>
          <w:color w:val="500050"/>
        </w:rPr>
        <w:t>⚡ Impact estimé sur la BRVM</w:t>
      </w:r>
    </w:p>
    <w:p>
      <w:pPr>
        <w:spacing w:before="20" w:after="40"/>
        <w:ind w:left="280"/>
      </w:pPr>
      <w:r>
        <w:rPr>
          <w:i/>
          <w:sz w:val="18"/>
        </w:rPr>
        <w:t>Les résultats encourageants soutiennent les valorisations actuelles. Les valeurs bancaires (NSBC, BOAN, BOAM, BOAS, BOAB, ETIT) et de consommation (NTLC, SLBC, SCRC) semblent offrir les meilleures perspectives. Les valeurs industrielles (CABC, FTSC) pourraient bénéficier des investissements en infrastructures.</w:t>
      </w:r>
    </w:p>
    <w:p>
      <w:pPr>
        <w:pStyle w:val="Heading1"/>
      </w:pPr>
      <w:r>
        <w:rPr>
          <w:color w:val="003366"/>
        </w:rPr>
        <w:t>🎯 SYNTHÈSE &amp; RECOMMANDATION FINALE</w:t>
      </w:r>
    </w:p>
    <w:p>
      <w:pPr>
        <w:spacing w:before="120"/>
      </w:pPr>
      <w:r>
        <w:rPr>
          <w:b/>
          <w:color w:val="008000"/>
          <w:sz w:val="22"/>
        </w:rPr>
        <w:t>**Niveau d'alerte global : VERT**</w:t>
      </w:r>
    </w:p>
    <w:p>
      <w:pPr>
        <w:spacing w:before="20" w:after="40"/>
        <w:ind w:left="0"/>
      </w:pPr>
      <w:r>
        <w:rPr>
          <w:sz w:val="18"/>
        </w:rPr>
        <w:t>L'environnement macro-économique reste globalement stable pour la BRVM, avec des résultats d'entreprises encourageants et un contexte politique régional apaisé. Les principales menaces proviennent de l'environnement international (hausse des taux BCE, vigueur du dollar) qui pourrait réduire l'attractivité du marché pour les investisseurs étrangers. La recommandation est de maintenir une exposition aux valeurs bancaires et de consommation de base, tout en surveillant l'évolution des taux BCE et les discussions monétaires régionales. Les secteurs de l'agro-industrie (SOGC, SIVC) pourraient bénéficier de la dynamique des matières premières.</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2026-08-26</w:t>
            </w:r>
          </w:p>
        </w:tc>
        <w:tc>
          <w:tcPr>
            <w:tcW w:type="dxa" w:w="1728"/>
          </w:tcPr>
          <w:p>
            <w:r>
              <w:rPr>
                <w:sz w:val="14"/>
              </w:rPr>
              <w:t>MARCHÉ DES MATIÈRES PREMIÈRES : L'indice MXV sort de la zone des 2 900</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 : le scénario d’une hausse des taux en septembre est de plus en pl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2026-08-27</w:t>
            </w:r>
          </w:p>
        </w:tc>
        <w:tc>
          <w:tcPr>
            <w:tcW w:type="dxa" w:w="1728"/>
          </w:tcPr>
          <w:p>
            <w:r>
              <w:rPr>
                <w:sz w:val="14"/>
              </w:rPr>
              <w:t>US Dollar: Inflation data supports gains – UOB - tmgm.com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2026-08-26</w:t>
            </w:r>
          </w:p>
        </w:tc>
        <w:tc>
          <w:tcPr>
            <w:tcW w:type="dxa" w:w="1728"/>
          </w:tcPr>
          <w:p>
            <w:r>
              <w:rPr>
                <w:sz w:val="14"/>
              </w:rPr>
              <w:t>La Banque centrale européenne peut-elle racheter la dette publique fra</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2026-08-27</w:t>
            </w:r>
          </w:p>
        </w:tc>
        <w:tc>
          <w:tcPr>
            <w:tcW w:type="dxa" w:w="1728"/>
          </w:tcPr>
          <w:p>
            <w:r>
              <w:rPr>
                <w:sz w:val="14"/>
              </w:rPr>
              <w:t>Les prix du pétrole brut ont continué de chuter de plus de 3 %. - Viet</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2026-08-28</w:t>
            </w:r>
          </w:p>
        </w:tc>
        <w:tc>
          <w:tcPr>
            <w:tcW w:type="dxa" w:w="1728"/>
          </w:tcPr>
          <w:p>
            <w:r>
              <w:rPr>
                <w:sz w:val="14"/>
              </w:rPr>
              <w:t>Marché des matières premières : Les prix du pétrole remontent, l'huile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2026-08-11</w:t>
            </w:r>
          </w:p>
        </w:tc>
        <w:tc>
          <w:tcPr>
            <w:tcW w:type="dxa" w:w="1728"/>
          </w:tcPr>
          <w:p>
            <w:r>
              <w:rPr>
                <w:sz w:val="14"/>
              </w:rPr>
              <w:t>Les secteurs porteurs en Afrique : où investir ? - Bpifrance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2026-07-28</w:t>
            </w:r>
          </w:p>
        </w:tc>
        <w:tc>
          <w:tcPr>
            <w:tcW w:type="dxa" w:w="1728"/>
          </w:tcPr>
          <w:p>
            <w:r>
              <w:rPr>
                <w:sz w:val="14"/>
              </w:rPr>
              <w:t>L’investissement dans l’économie des soins peut-être un ”levier de cro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2026-07-18</w:t>
            </w:r>
          </w:p>
        </w:tc>
        <w:tc>
          <w:tcPr>
            <w:tcW w:type="dxa" w:w="1728"/>
          </w:tcPr>
          <w:p>
            <w:r>
              <w:rPr>
                <w:sz w:val="14"/>
              </w:rPr>
              <w:t>Sénégal | Senelec frappe un grand coup : 108 milliards de FCFA de dett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2026-08-30</w:t>
            </w:r>
          </w:p>
        </w:tc>
        <w:tc>
          <w:tcPr>
            <w:tcW w:type="dxa" w:w="1728"/>
          </w:tcPr>
          <w:p>
            <w:r>
              <w:rPr>
                <w:sz w:val="14"/>
              </w:rPr>
              <w:t>AFRIQUE DE L’OUEST - QUELLE MONNAIE POUR QUELLE AFRIQUE DE L’OUEST ?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2026-08-30</w:t>
            </w:r>
          </w:p>
        </w:tc>
        <w:tc>
          <w:tcPr>
            <w:tcW w:type="dxa" w:w="1728"/>
          </w:tcPr>
          <w:p>
            <w:r>
              <w:rPr>
                <w:sz w:val="14"/>
              </w:rPr>
              <w:t>L’UE dresse le bilan de dix ans d’APE avec Abidjan et Accra - Africtel</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2026-08-27</w:t>
            </w:r>
          </w:p>
        </w:tc>
        <w:tc>
          <w:tcPr>
            <w:tcW w:type="dxa" w:w="1728"/>
          </w:tcPr>
          <w:p>
            <w:r>
              <w:rPr>
                <w:sz w:val="14"/>
              </w:rPr>
              <w:t>Agriculture : l’Afrique de l’Ouest veut accélérer la circulation des 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2026-08-24</w:t>
            </w:r>
          </w:p>
        </w:tc>
        <w:tc>
          <w:tcPr>
            <w:tcW w:type="dxa" w:w="1728"/>
          </w:tcPr>
          <w:p>
            <w:r>
              <w:rPr>
                <w:sz w:val="14"/>
              </w:rPr>
              <w:t>CEDEAO : Actions coordonnées de soutien à l’économie et à la santé -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2026-08-24</w:t>
            </w:r>
          </w:p>
        </w:tc>
        <w:tc>
          <w:tcPr>
            <w:tcW w:type="dxa" w:w="1728"/>
          </w:tcPr>
          <w:p>
            <w:r>
              <w:rPr>
                <w:sz w:val="14"/>
              </w:rPr>
              <w:t>CEDEAO : Actions coordonnées de soutien à l’économie et à la santé -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COUNTRY REPORT - CEDEAO REPORT : la croissance du Libéria économique 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2026-08-28</w:t>
            </w:r>
          </w:p>
        </w:tc>
        <w:tc>
          <w:tcPr>
            <w:tcW w:type="dxa" w:w="1728"/>
          </w:tcPr>
          <w:p>
            <w:r>
              <w:rPr>
                <w:sz w:val="14"/>
              </w:rPr>
              <w:t>Sénégal : l'école Mariama Bâ, l'ambition au féminin - DW.com</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2026-08-29</w:t>
            </w:r>
          </w:p>
        </w:tc>
        <w:tc>
          <w:tcPr>
            <w:tcW w:type="dxa" w:w="1728"/>
          </w:tcPr>
          <w:p>
            <w:r>
              <w:rPr>
                <w:sz w:val="14"/>
              </w:rPr>
              <w:t>Burkina Faso: de retour de l’Immersion patriotique obligatoire, de jeu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2026-08-30</w:t>
            </w:r>
          </w:p>
        </w:tc>
        <w:tc>
          <w:tcPr>
            <w:tcW w:type="dxa" w:w="1728"/>
          </w:tcPr>
          <w:p>
            <w:r>
              <w:rPr>
                <w:sz w:val="14"/>
              </w:rPr>
              <w:t>Le Maroc renforce ses relations avec le Sénégal et la RDCongo - Atalay</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2026-08-31</w:t>
            </w:r>
          </w:p>
        </w:tc>
        <w:tc>
          <w:tcPr>
            <w:tcW w:type="dxa" w:w="1728"/>
          </w:tcPr>
          <w:p>
            <w:r>
              <w:rPr>
                <w:sz w:val="14"/>
              </w:rPr>
              <w:t>Burkina Faso : l’ex-ministre Lionel Bilgo placé sous mandat de dépôt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2026-08-31</w:t>
            </w:r>
          </w:p>
        </w:tc>
        <w:tc>
          <w:tcPr>
            <w:tcW w:type="dxa" w:w="1728"/>
          </w:tcPr>
          <w:p>
            <w:r>
              <w:rPr>
                <w:sz w:val="14"/>
              </w:rPr>
              <w:t>BCEAO : le taux directeur maintenu à 3 %, l'inflation régionale sous 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BCEAO taux direc</w:t>
            </w:r>
          </w:p>
        </w:tc>
      </w:tr>
      <w:tr>
        <w:tc>
          <w:tcPr>
            <w:tcW w:type="dxa" w:w="1728"/>
          </w:tcPr>
          <w:p>
            <w:r>
              <w:rPr>
                <w:sz w:val="14"/>
              </w:rPr>
              <w:t>2026-08-29</w:t>
            </w:r>
          </w:p>
        </w:tc>
        <w:tc>
          <w:tcPr>
            <w:tcW w:type="dxa" w:w="1728"/>
          </w:tcPr>
          <w:p>
            <w:r>
              <w:rPr>
                <w:sz w:val="14"/>
              </w:rPr>
              <w:t xml:space="preserve">Burkina Faso - Coopération avec la Belgique : Maxime Prévot en visite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2026-08-27</w:t>
            </w:r>
          </w:p>
        </w:tc>
        <w:tc>
          <w:tcPr>
            <w:tcW w:type="dxa" w:w="1728"/>
          </w:tcPr>
          <w:p>
            <w:r>
              <w:rPr>
                <w:sz w:val="14"/>
              </w:rPr>
              <w:t>BCE : le scénario d’une hausse des taux en septembre est de plus en pl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2026-08-27</w:t>
            </w:r>
          </w:p>
        </w:tc>
        <w:tc>
          <w:tcPr>
            <w:tcW w:type="dxa" w:w="1728"/>
          </w:tcPr>
          <w:p>
            <w:r>
              <w:rPr>
                <w:sz w:val="14"/>
              </w:rPr>
              <w:t>US Dollar: Inflation data supports gains – UOB - tmgm.com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2026-08-30</w:t>
            </w:r>
          </w:p>
        </w:tc>
        <w:tc>
          <w:tcPr>
            <w:tcW w:type="dxa" w:w="1728"/>
          </w:tcPr>
          <w:p>
            <w:r>
              <w:rPr>
                <w:sz w:val="14"/>
              </w:rPr>
              <w:t>AFRIQUE DE L’OUEST - QUELLE MONNAIE POUR QUELLE AFRIQUE DE L’OUEST ?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2026-08-28</w:t>
            </w:r>
          </w:p>
        </w:tc>
        <w:tc>
          <w:tcPr>
            <w:tcW w:type="dxa" w:w="1728"/>
          </w:tcPr>
          <w:p>
            <w:r>
              <w:rPr>
                <w:sz w:val="14"/>
              </w:rPr>
              <w:t>Sénégal : l'école Mariama Bâ, l'ambition au féminin - DW.com</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2026-08-27</w:t>
            </w:r>
          </w:p>
        </w:tc>
        <w:tc>
          <w:tcPr>
            <w:tcW w:type="dxa" w:w="1728"/>
          </w:tcPr>
          <w:p>
            <w:r>
              <w:rPr>
                <w:sz w:val="14"/>
              </w:rPr>
              <w:t>BCE : le scénario d’une hausse des taux en septembre est de plus en pl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2026-08-30</w:t>
            </w:r>
          </w:p>
        </w:tc>
        <w:tc>
          <w:tcPr>
            <w:tcW w:type="dxa" w:w="1728"/>
          </w:tcPr>
          <w:p>
            <w:r>
              <w:rPr>
                <w:sz w:val="14"/>
              </w:rPr>
              <w:t>AFRIQUE DE L’OUEST - QUELLE MONNAIE POUR QUELLE AFRIQUE DE L’OUEST ?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2026-08-28</w:t>
            </w:r>
          </w:p>
        </w:tc>
        <w:tc>
          <w:tcPr>
            <w:tcW w:type="dxa" w:w="1728"/>
          </w:tcPr>
          <w:p>
            <w:r>
              <w:rPr>
                <w:sz w:val="14"/>
              </w:rPr>
              <w:t>Sénégal : l'école Mariama Bâ, l'ambition au féminin - DW.com</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2026-08-29</w:t>
            </w:r>
          </w:p>
        </w:tc>
        <w:tc>
          <w:tcPr>
            <w:tcW w:type="dxa" w:w="1728"/>
          </w:tcPr>
          <w:p>
            <w:r>
              <w:rPr>
                <w:sz w:val="14"/>
              </w:rPr>
              <w:t>Burkina Faso: de retour de l’Immersion patriotique obligatoire, de jeu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2026-08-27</w:t>
            </w:r>
          </w:p>
        </w:tc>
        <w:tc>
          <w:tcPr>
            <w:tcW w:type="dxa" w:w="1728"/>
          </w:tcPr>
          <w:p>
            <w:r>
              <w:rPr>
                <w:sz w:val="14"/>
              </w:rPr>
              <w:t>BCE : le scénario d’une hausse des taux en septembre est de plus en pl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2026-08-30</w:t>
            </w:r>
          </w:p>
        </w:tc>
        <w:tc>
          <w:tcPr>
            <w:tcW w:type="dxa" w:w="1728"/>
          </w:tcPr>
          <w:p>
            <w:r>
              <w:rPr>
                <w:sz w:val="14"/>
              </w:rPr>
              <w:t>AFRIQUE DE L’OUEST - QUELLE MONNAIE POUR QUELLE AFRIQUE DE L’OUEST ?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2026-08-28</w:t>
            </w:r>
          </w:p>
        </w:tc>
        <w:tc>
          <w:tcPr>
            <w:tcW w:type="dxa" w:w="1728"/>
          </w:tcPr>
          <w:p>
            <w:r>
              <w:rPr>
                <w:sz w:val="14"/>
              </w:rPr>
              <w:t>Sénégal : l'école Mariama Bâ, l'ambition au féminin - DW.com</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2026-08-29</w:t>
            </w:r>
          </w:p>
        </w:tc>
        <w:tc>
          <w:tcPr>
            <w:tcW w:type="dxa" w:w="1728"/>
          </w:tcPr>
          <w:p>
            <w:r>
              <w:rPr>
                <w:sz w:val="14"/>
              </w:rPr>
              <w:t>Burkina Faso: de retour de l’Immersion patriotique obligatoire, de jeu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2026-08-30</w:t>
            </w:r>
          </w:p>
        </w:tc>
        <w:tc>
          <w:tcPr>
            <w:tcW w:type="dxa" w:w="1728"/>
          </w:tcPr>
          <w:p>
            <w:r>
              <w:rPr>
                <w:sz w:val="14"/>
              </w:rPr>
              <w:t>Le Maroc renforce ses relations avec le Sénégal et la RDCongo - Atalay</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2026-08-27</w:t>
            </w:r>
          </w:p>
        </w:tc>
        <w:tc>
          <w:tcPr>
            <w:tcW w:type="dxa" w:w="1728"/>
          </w:tcPr>
          <w:p>
            <w:r>
              <w:rPr>
                <w:sz w:val="14"/>
              </w:rPr>
              <w:t>BCE : le scénario d’une hausse des taux en septembre est de plus en pl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2026-08-27</w:t>
            </w:r>
          </w:p>
        </w:tc>
        <w:tc>
          <w:tcPr>
            <w:tcW w:type="dxa" w:w="1728"/>
          </w:tcPr>
          <w:p>
            <w:r>
              <w:rPr>
                <w:sz w:val="14"/>
              </w:rPr>
              <w:t>US Dollar: Inflation data supports gains – UOB - tmgm.com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2026-08-30</w:t>
            </w:r>
          </w:p>
        </w:tc>
        <w:tc>
          <w:tcPr>
            <w:tcW w:type="dxa" w:w="1728"/>
          </w:tcPr>
          <w:p>
            <w:r>
              <w:rPr>
                <w:sz w:val="14"/>
              </w:rPr>
              <w:t>AFRIQUE DE L’OUEST - QUELLE MONNAIE POUR QUELLE AFRIQUE DE L’OUEST ?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2026-08-28</w:t>
            </w:r>
          </w:p>
        </w:tc>
        <w:tc>
          <w:tcPr>
            <w:tcW w:type="dxa" w:w="1728"/>
          </w:tcPr>
          <w:p>
            <w:r>
              <w:rPr>
                <w:sz w:val="14"/>
              </w:rPr>
              <w:t>Sénégal : l'école Mariama Bâ, l'ambition au féminin - DW.com</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2026-08-29</w:t>
            </w:r>
          </w:p>
        </w:tc>
        <w:tc>
          <w:tcPr>
            <w:tcW w:type="dxa" w:w="1728"/>
          </w:tcPr>
          <w:p>
            <w:r>
              <w:rPr>
                <w:sz w:val="14"/>
              </w:rPr>
              <w:t>Burkina Faso: de retour de l’Immersion patriotique obligatoire, de jeu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2026-08-26</w:t>
            </w:r>
          </w:p>
        </w:tc>
        <w:tc>
          <w:tcPr>
            <w:tcW w:type="dxa" w:w="1728"/>
          </w:tcPr>
          <w:p>
            <w:r>
              <w:rPr>
                <w:sz w:val="14"/>
              </w:rPr>
              <w:t>MARCHÉ DES MATIÈRES PREMIÈRES : L'indice MXV sort de la zone des 2 900</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 : le scénario d’une hausse des taux en septembre est de plus en pl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2026-08-27</w:t>
            </w:r>
          </w:p>
        </w:tc>
        <w:tc>
          <w:tcPr>
            <w:tcW w:type="dxa" w:w="1728"/>
          </w:tcPr>
          <w:p>
            <w:r>
              <w:rPr>
                <w:sz w:val="14"/>
              </w:rPr>
              <w:t>US Dollar: Inflation data supports gains – UOB - tmgm.com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2026-08-30</w:t>
            </w:r>
          </w:p>
        </w:tc>
        <w:tc>
          <w:tcPr>
            <w:tcW w:type="dxa" w:w="1728"/>
          </w:tcPr>
          <w:p>
            <w:r>
              <w:rPr>
                <w:sz w:val="14"/>
              </w:rPr>
              <w:t>AFRIQUE DE L’OUEST - QUELLE MONNAIE POUR QUELLE AFRIQUE DE L’OUEST ?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2026-08-28</w:t>
            </w:r>
          </w:p>
        </w:tc>
        <w:tc>
          <w:tcPr>
            <w:tcW w:type="dxa" w:w="1728"/>
          </w:tcPr>
          <w:p>
            <w:r>
              <w:rPr>
                <w:sz w:val="14"/>
              </w:rPr>
              <w:t>Sénégal : l'école Mariama Bâ, l'ambition au féminin - DW.com</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2026-08-26</w:t>
            </w:r>
          </w:p>
        </w:tc>
        <w:tc>
          <w:tcPr>
            <w:tcW w:type="dxa" w:w="1728"/>
          </w:tcPr>
          <w:p>
            <w:r>
              <w:rPr>
                <w:sz w:val="14"/>
              </w:rPr>
              <w:t>MARCHÉ DES MATIÈRES PREMIÈRES : L'indice MXV sort de la zone des 2 900</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 : le scénario d’une hausse des taux en septembre est de plus en pl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2026-08-27</w:t>
            </w:r>
          </w:p>
        </w:tc>
        <w:tc>
          <w:tcPr>
            <w:tcW w:type="dxa" w:w="1728"/>
          </w:tcPr>
          <w:p>
            <w:r>
              <w:rPr>
                <w:sz w:val="14"/>
              </w:rPr>
              <w:t>US Dollar: Inflation data supports gains – UOB - tmgm.com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2026-08-31</w:t>
            </w:r>
          </w:p>
        </w:tc>
        <w:tc>
          <w:tcPr>
            <w:tcW w:type="dxa" w:w="1728"/>
          </w:tcPr>
          <w:p>
            <w:r>
              <w:rPr>
                <w:sz w:val="14"/>
              </w:rPr>
              <w:t>BCEAO : le taux directeur maintenu à 3 %, l'inflation régionale sous 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BCEAO taux direc</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2026-08-26</w:t>
            </w:r>
          </w:p>
        </w:tc>
        <w:tc>
          <w:tcPr>
            <w:tcW w:type="dxa" w:w="1728"/>
          </w:tcPr>
          <w:p>
            <w:r>
              <w:rPr>
                <w:sz w:val="14"/>
              </w:rPr>
              <w:t>MARCHÉ DES MATIÈRES PREMIÈRES : L'indice MXV sort de la zone des 2 900</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 : le scénario d’une hausse des taux en septembre est de plus en pl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2026-08-27</w:t>
            </w:r>
          </w:p>
        </w:tc>
        <w:tc>
          <w:tcPr>
            <w:tcW w:type="dxa" w:w="1728"/>
          </w:tcPr>
          <w:p>
            <w:r>
              <w:rPr>
                <w:sz w:val="14"/>
              </w:rPr>
              <w:t>US Dollar: Inflation data supports gains – UOB - tmgm.com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2026-08-30</w:t>
            </w:r>
          </w:p>
        </w:tc>
        <w:tc>
          <w:tcPr>
            <w:tcW w:type="dxa" w:w="1728"/>
          </w:tcPr>
          <w:p>
            <w:r>
              <w:rPr>
                <w:sz w:val="14"/>
              </w:rPr>
              <w:t>AFRIQUE DE L’OUEST - QUELLE MONNAIE POUR QUELLE AFRIQUE DE L’OUEST ?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2026-08-26</w:t>
            </w:r>
          </w:p>
        </w:tc>
        <w:tc>
          <w:tcPr>
            <w:tcW w:type="dxa" w:w="1728"/>
          </w:tcPr>
          <w:p>
            <w:r>
              <w:rPr>
                <w:sz w:val="14"/>
              </w:rPr>
              <w:t>MARCHÉ DES MATIÈRES PREMIÈRES : L'indice MXV sort de la zone des 2 900</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 : le scénario d’une hausse des taux en septembre est de plus en pl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2026-08-27</w:t>
            </w:r>
          </w:p>
        </w:tc>
        <w:tc>
          <w:tcPr>
            <w:tcW w:type="dxa" w:w="1728"/>
          </w:tcPr>
          <w:p>
            <w:r>
              <w:rPr>
                <w:sz w:val="14"/>
              </w:rPr>
              <w:t>US Dollar: Inflation data supports gains – UOB - tmgm.com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2026-08-30</w:t>
            </w:r>
          </w:p>
        </w:tc>
        <w:tc>
          <w:tcPr>
            <w:tcW w:type="dxa" w:w="1728"/>
          </w:tcPr>
          <w:p>
            <w:r>
              <w:rPr>
                <w:sz w:val="14"/>
              </w:rPr>
              <w:t>AFRIQUE DE L’OUEST - QUELLE MONNAIE POUR QUELLE AFRIQUE DE L’OUEST ?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2026-08-26</w:t>
            </w:r>
          </w:p>
        </w:tc>
        <w:tc>
          <w:tcPr>
            <w:tcW w:type="dxa" w:w="1728"/>
          </w:tcPr>
          <w:p>
            <w:r>
              <w:rPr>
                <w:sz w:val="14"/>
              </w:rPr>
              <w:t>MARCHÉ DES MATIÈRES PREMIÈRES : L'indice MXV sort de la zone des 2 900</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 : le scénario d’une hausse des taux en septembre est de plus en pl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2026-08-27</w:t>
            </w:r>
          </w:p>
        </w:tc>
        <w:tc>
          <w:tcPr>
            <w:tcW w:type="dxa" w:w="1728"/>
          </w:tcPr>
          <w:p>
            <w:r>
              <w:rPr>
                <w:sz w:val="14"/>
              </w:rPr>
              <w:t>US Dollar: Inflation data supports gains – UOB - tmgm.com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2026-08-28</w:t>
            </w:r>
          </w:p>
        </w:tc>
        <w:tc>
          <w:tcPr>
            <w:tcW w:type="dxa" w:w="1728"/>
          </w:tcPr>
          <w:p>
            <w:r>
              <w:rPr>
                <w:sz w:val="14"/>
              </w:rPr>
              <w:t>Sénégal : l'école Mariama Bâ, l'ambition au féminin - DW.com</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2026-08-26</w:t>
            </w:r>
          </w:p>
        </w:tc>
        <w:tc>
          <w:tcPr>
            <w:tcW w:type="dxa" w:w="1728"/>
          </w:tcPr>
          <w:p>
            <w:r>
              <w:rPr>
                <w:sz w:val="14"/>
              </w:rPr>
              <w:t>MARCHÉ DES MATIÈRES PREMIÈRES : L'indice MXV sort de la zone des 2 900</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 : le scénario d’une hausse des taux en septembre est de plus en pl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2026-08-27</w:t>
            </w:r>
          </w:p>
        </w:tc>
        <w:tc>
          <w:tcPr>
            <w:tcW w:type="dxa" w:w="1728"/>
          </w:tcPr>
          <w:p>
            <w:r>
              <w:rPr>
                <w:sz w:val="14"/>
              </w:rPr>
              <w:t>US Dollar: Inflation data supports gains – UOB - tmgm.com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2026-08-31</w:t>
            </w:r>
          </w:p>
        </w:tc>
        <w:tc>
          <w:tcPr>
            <w:tcW w:type="dxa" w:w="1728"/>
          </w:tcPr>
          <w:p>
            <w:r>
              <w:rPr>
                <w:sz w:val="14"/>
              </w:rPr>
              <w:t>BCEAO : le taux directeur maintenu à 3 %, l'inflation régionale sous 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BCEAO taux direc</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(14 alerte(s))</w:t>
      </w:r>
    </w:p>
    <w:p>
      <w:pPr>
        <w:spacing w:before="40" w:after="40"/>
        <w:ind w:left="360"/>
      </w:pPr>
      <w:r>
        <w:rPr>
          <w:color w:val="646464"/>
          <w:sz w:val="17"/>
        </w:rPr>
        <w:t xml:space="preserve">[31/08/2026] 🔴  </w:t>
      </w:r>
      <w:r>
        <w:rPr>
          <w:b/>
          <w:color w:val="C00000"/>
          <w:sz w:val="18"/>
        </w:rPr>
        <w:t>Burkina Faso : l’ex-ministre Lionel Bilgo placé sous mandat de dépôt - Africtelegraph</w:t>
      </w:r>
      <w:r>
        <w:rPr>
          <w:color w:val="787878"/>
          <w:sz w:val="15"/>
        </w:rPr>
        <w:t xml:space="preserve">  [politique]</w:t>
      </w:r>
      <w:r>
        <w:rPr>
          <w:color w:val="B47800"/>
          <w:sz w:val="16"/>
        </w:rPr>
        <w:t xml:space="preserve">  ★ 50/10</w:t>
      </w:r>
    </w:p>
    <w:p>
      <w:pPr>
        <w:spacing w:before="0" w:after="20"/>
        <w:ind w:left="600"/>
      </w:pPr>
      <w:r>
        <w:rPr>
          <w:color w:val="323232"/>
          <w:sz w:val="17"/>
        </w:rPr>
        <w:t>L'ancien ministre burkinabè Lionel Bilgo a été placé sous mandat de dépôt, selon Africtelegraph. Cette information relève de la politique intérieure du Burkina Faso, un pays membre de l'UEMOA. L'arrestation s'inscrit dans un contexte de lutte contre la corruption et de transition politique. Aucun détail supplémentaire n'est fourni dans l'article.</w:t>
      </w:r>
    </w:p>
    <w:p>
      <w:pPr>
        <w:spacing w:before="0" w:after="40"/>
        <w:ind w:left="600"/>
      </w:pPr>
      <w:r>
        <w:rPr>
          <w:color w:val="00643C"/>
          <w:sz w:val="16"/>
        </w:rPr>
        <w:t>Points clés : Lionel Bilgo, ex-ministre, est placé sous mandat de dépôt.  •  L'information provient d'Africtelegraph et concerne le Burkina Faso.</w:t>
      </w:r>
    </w:p>
    <w:p>
      <w:pPr>
        <w:spacing w:before="0" w:after="60"/>
        <w:ind w:left="600"/>
      </w:pPr>
      <w:r>
        <w:rPr>
          <w:color w:val="0064B4"/>
          <w:sz w:val="15"/>
        </w:rPr>
        <w:t>Source : https://news.google.com/rss/articles/CBMinwFBVV95cUxNdGx2bWp4ZmUyMWZhTUdSMkNKWkd</w:t>
      </w:r>
    </w:p>
    <w:p>
      <w:pPr>
        <w:spacing w:before="40" w:after="40"/>
        <w:ind w:left="360"/>
      </w:pPr>
      <w:r>
        <w:rPr>
          <w:color w:val="646464"/>
          <w:sz w:val="17"/>
        </w:rPr>
        <w:t xml:space="preserve">[30/08/2026] 🟢  </w:t>
      </w:r>
      <w:r>
        <w:rPr>
          <w:b/>
          <w:color w:val="008000"/>
          <w:sz w:val="18"/>
        </w:rPr>
        <w:t>Le Maroc renforce ses relations avec le Sénégal et la RDCongo - Atalayar</w:t>
      </w:r>
      <w:r>
        <w:rPr>
          <w:color w:val="787878"/>
          <w:sz w:val="15"/>
        </w:rPr>
        <w:t xml:space="preserve">  [politique]</w:t>
      </w:r>
      <w:r>
        <w:rPr>
          <w:color w:val="B47800"/>
          <w:sz w:val="16"/>
        </w:rPr>
        <w:t xml:space="preserve">  ★ 50/10</w:t>
      </w:r>
    </w:p>
    <w:p>
      <w:pPr>
        <w:spacing w:before="0" w:after="20"/>
        <w:ind w:left="600"/>
      </w:pPr>
      <w:r>
        <w:rPr>
          <w:color w:val="323232"/>
          <w:sz w:val="17"/>
        </w:rPr>
        <w:t xml:space="preserve">Le Maroc intensifie sa coopération diplomatique et économique avec le Sénégal et la République démocratique du Congo, dans le cadre de sa stratégie africaine. Cette dynamique pourrait favoriser les échanges commerciaux et les investissements croisés, notamment dans les secteurs bancaires, des télécommunications et de l'agro-industrie. Pour la zone </w:t>
      </w:r>
    </w:p>
    <w:p>
      <w:pPr>
        <w:spacing w:before="0" w:after="40"/>
        <w:ind w:left="600"/>
      </w:pPr>
      <w:r>
        <w:rPr>
          <w:color w:val="00643C"/>
          <w:sz w:val="16"/>
        </w:rPr>
        <w:t>Points clés : Renforcement des relations bilatérales Maroc-Sénégal et Maroc-RDC  •  Potentiel d'accroissement des investissements marocains en Afrique de l'Ouest  •  Impact possible sur les secteurs bancaires et télécoms de la BRVM</w:t>
      </w:r>
    </w:p>
    <w:p>
      <w:pPr>
        <w:spacing w:before="0" w:after="60"/>
        <w:ind w:left="600"/>
      </w:pPr>
      <w:r>
        <w:rPr>
          <w:color w:val="0064B4"/>
          <w:sz w:val="15"/>
        </w:rPr>
        <w:t>Source : https://news.google.com/rss/articles/CBMiwwFBVV95cUxPSWJORzZlQ3BtNTB1M2lEYnRuSzV</w:t>
      </w:r>
    </w:p>
    <w:p>
      <w:pPr>
        <w:spacing w:before="40" w:after="40"/>
        <w:ind w:left="360"/>
      </w:pPr>
      <w:r>
        <w:rPr>
          <w:color w:val="646464"/>
          <w:sz w:val="17"/>
        </w:rPr>
        <w:t xml:space="preserve">[30/08/2026] 🟢  </w:t>
      </w:r>
      <w:r>
        <w:rPr>
          <w:b/>
          <w:color w:val="008000"/>
          <w:sz w:val="18"/>
        </w:rPr>
        <w:t>Le Maroc renforce ses relations avec le Sénégal et la RDCongo - Atalayar</w:t>
      </w:r>
      <w:r>
        <w:rPr>
          <w:color w:val="787878"/>
          <w:sz w:val="15"/>
        </w:rPr>
        <w:t xml:space="preserve">  [politique]</w:t>
      </w:r>
      <w:r>
        <w:rPr>
          <w:color w:val="B47800"/>
          <w:sz w:val="16"/>
        </w:rPr>
        <w:t xml:space="preserve">  ★ 50/10</w:t>
      </w:r>
    </w:p>
    <w:p>
      <w:pPr>
        <w:spacing w:before="0" w:after="20"/>
        <w:ind w:left="600"/>
      </w:pPr>
      <w:r>
        <w:rPr>
          <w:color w:val="323232"/>
          <w:sz w:val="17"/>
        </w:rPr>
        <w:t xml:space="preserve">Le Maroc intensifie sa coopération diplomatique et économique avec le Sénégal et la République démocratique du Congo, dans le cadre de sa stratégie africaine. Cette initiative vise à renforcer les partenariats commerciaux, les investissements et la stabilité régionale en Afrique de l'Ouest et centrale. Pour la zone UEMOA, cela pourrait se traduire </w:t>
      </w:r>
    </w:p>
    <w:p>
      <w:pPr>
        <w:spacing w:before="0" w:after="40"/>
        <w:ind w:left="600"/>
      </w:pPr>
      <w:r>
        <w:rPr>
          <w:color w:val="00643C"/>
          <w:sz w:val="16"/>
        </w:rPr>
        <w:t>Points clés : Renforcement des relations bilatérales entre le Maroc, le Sénégal et la RDC.  •  Potentiel d'accroissement des investissements marocains dans la zone UEMOA.  •  Impact possible sur la stabilité et l'intégration économique régionale.</w:t>
      </w:r>
    </w:p>
    <w:p>
      <w:pPr>
        <w:spacing w:before="0" w:after="60"/>
        <w:ind w:left="600"/>
      </w:pPr>
      <w:r>
        <w:rPr>
          <w:color w:val="0064B4"/>
          <w:sz w:val="15"/>
        </w:rPr>
        <w:t>Source : https://news.google.com/rss/articles/CBMiyAFBVV95cUxOQTlVeXZQZVZBUV8wUmNyczY4ZHE</w:t>
      </w:r>
    </w:p>
    <w:p>
      <w:pPr>
        <w:spacing w:before="40" w:after="40"/>
        <w:ind w:left="360"/>
      </w:pPr>
      <w:r>
        <w:rPr>
          <w:color w:val="646464"/>
          <w:sz w:val="17"/>
        </w:rPr>
        <w:t xml:space="preserve">[30/08/2026] ⚪  </w:t>
      </w:r>
      <w:r>
        <w:rPr>
          <w:b/>
          <w:color w:val="505050"/>
          <w:sz w:val="18"/>
        </w:rPr>
        <w:t>À Ziguinchor, Pastef fustige la « politique sale » et défend la justice - Africtelegraph</w:t>
      </w:r>
      <w:r>
        <w:rPr>
          <w:color w:val="787878"/>
          <w:sz w:val="15"/>
        </w:rPr>
        <w:t xml:space="preserve">  [politique]</w:t>
      </w:r>
      <w:r>
        <w:rPr>
          <w:color w:val="B47800"/>
          <w:sz w:val="16"/>
        </w:rPr>
        <w:t xml:space="preserve">  ★ 50/10</w:t>
      </w:r>
    </w:p>
    <w:p>
      <w:pPr>
        <w:spacing w:before="0" w:after="20"/>
        <w:ind w:left="600"/>
      </w:pPr>
      <w:r>
        <w:rPr>
          <w:color w:val="323232"/>
          <w:sz w:val="17"/>
        </w:rPr>
        <w:t>L'article rapporte un meeting politique de Pastef à Ziguinchor, où le parti dénonce une 'politique sale' et réaffirme son engagement en faveur de la justice. Cette prise de position s'inscrit dans un contexte politique tendu au Sénégal, mais sans lien direct avec les marchés financiers. L'actualité politique peut influencer la confiance des investi</w:t>
      </w:r>
    </w:p>
    <w:p>
      <w:pPr>
        <w:spacing w:before="0" w:after="40"/>
        <w:ind w:left="600"/>
      </w:pPr>
      <w:r>
        <w:rPr>
          <w:color w:val="00643C"/>
          <w:sz w:val="16"/>
        </w:rPr>
        <w:t>Points clés : Pastef critique la 'politique sale' lors d'un meeting à Ziguinchor.  •  Le parti défend la justice comme principe central de son action.</w:t>
      </w:r>
    </w:p>
    <w:p>
      <w:pPr>
        <w:spacing w:before="0" w:after="60"/>
        <w:ind w:left="600"/>
      </w:pPr>
      <w:r>
        <w:rPr>
          <w:color w:val="0064B4"/>
          <w:sz w:val="15"/>
        </w:rPr>
        <w:t>Source : https://news.google.com/rss/articles/CBMioAFBVV95cUxPdVJaZWU4WWQ1S1RXenlxdVZLbXR</w:t>
      </w:r>
    </w:p>
    <w:p>
      <w:pPr>
        <w:spacing w:before="40" w:after="40"/>
        <w:ind w:left="360"/>
      </w:pPr>
      <w:r>
        <w:rPr>
          <w:color w:val="646464"/>
          <w:sz w:val="17"/>
        </w:rPr>
        <w:t xml:space="preserve">[29/08/2026] 🟢  </w:t>
      </w:r>
      <w:r>
        <w:rPr>
          <w:b/>
          <w:color w:val="008000"/>
          <w:sz w:val="18"/>
        </w:rPr>
        <w:t>Burkina Faso - Coopération avec la Belgique : Maxime Prévot en visite de travail à Ouagadougou - Africa24 TV</w:t>
      </w:r>
      <w:r>
        <w:rPr>
          <w:color w:val="787878"/>
          <w:sz w:val="15"/>
        </w:rPr>
        <w:t xml:space="preserve">  [politique]</w:t>
      </w:r>
      <w:r>
        <w:rPr>
          <w:color w:val="B47800"/>
          <w:sz w:val="16"/>
        </w:rPr>
        <w:t xml:space="preserve">  ★ 50/10</w:t>
      </w:r>
    </w:p>
    <w:p>
      <w:pPr>
        <w:spacing w:before="0" w:after="20"/>
        <w:ind w:left="600"/>
      </w:pPr>
      <w:r>
        <w:rPr>
          <w:color w:val="323232"/>
          <w:sz w:val="17"/>
        </w:rPr>
        <w:t>Le ministre belge des Affaires étrangères, Maxime Prévot, effectue une visite de travail à Ouagadougou, marquant une étape dans la coopération entre le Burkina Faso et la Belgique. Cette rencontre intervient dans un contexte de redéfinition des partenariats internationaux du Burkina, qui s'est tourné vers de nouveaux alliés. Les discussions portent</w:t>
      </w:r>
    </w:p>
    <w:p>
      <w:pPr>
        <w:spacing w:before="0" w:after="40"/>
        <w:ind w:left="600"/>
      </w:pPr>
      <w:r>
        <w:rPr>
          <w:color w:val="00643C"/>
          <w:sz w:val="16"/>
        </w:rPr>
        <w:t>Points clés : Visite de travail de Maxime Prévot à Ouagadougou pour renforcer la coopération bilatérale.  •  Sujets probables : économie, sécurité et développement, dans un contexte de diversification des partenaires du Burkina Faso.  •  Impact potentiel sur les relations entre la Belgique et les pays de l'UEMOA, notamment via des accords commerciaux.</w:t>
      </w:r>
    </w:p>
    <w:p>
      <w:pPr>
        <w:spacing w:before="0" w:after="60"/>
        <w:ind w:left="600"/>
      </w:pPr>
      <w:r>
        <w:rPr>
          <w:color w:val="0064B4"/>
          <w:sz w:val="15"/>
        </w:rPr>
        <w:t>Source : https://news.google.com/rss/articles/CBMitAFBVV95cUxPbVVtN1hXUW1nMmhENE5qYVpHS01</w:t>
      </w:r>
    </w:p>
    <w:p>
      <w:pPr>
        <w:spacing w:before="120" w:after="40"/>
      </w:pPr>
      <w:r>
        <w:rPr>
          <w:b/>
          <w:color w:val="00467F"/>
          <w:sz w:val="20"/>
        </w:rPr>
        <w:t>🔑 politique_monetaire  (2 alerte(s))</w:t>
      </w:r>
    </w:p>
    <w:p>
      <w:pPr>
        <w:spacing w:before="40" w:after="40"/>
        <w:ind w:left="360"/>
      </w:pPr>
      <w:r>
        <w:rPr>
          <w:color w:val="646464"/>
          <w:sz w:val="17"/>
        </w:rPr>
        <w:t xml:space="preserve">[31/08/2026] 🟢  </w:t>
      </w:r>
      <w:r>
        <w:rPr>
          <w:b/>
          <w:color w:val="008000"/>
          <w:sz w:val="18"/>
        </w:rPr>
        <w:t>BCEAO : le taux directeur maintenu à 3 %, l'inflation régionale sous contrôle - Leral.net</w:t>
      </w:r>
      <w:r>
        <w:rPr>
          <w:color w:val="787878"/>
          <w:sz w:val="15"/>
        </w:rPr>
        <w:t xml:space="preserve">  [politique_monetaire]</w:t>
      </w:r>
      <w:r>
        <w:rPr>
          <w:color w:val="B47800"/>
          <w:sz w:val="16"/>
        </w:rPr>
        <w:t xml:space="preserve">  ★ 50/10</w:t>
      </w:r>
    </w:p>
    <w:p>
      <w:pPr>
        <w:spacing w:before="0" w:after="20"/>
        <w:ind w:left="600"/>
      </w:pPr>
      <w:r>
        <w:rPr>
          <w:color w:val="323232"/>
          <w:sz w:val="17"/>
        </w:rPr>
        <w:t xml:space="preserve">La BCEAO a décidé de maintenir son taux directeur à 3 %, signalant une stabilité monétaire dans l'UEMOA. L'inflation régionale est jugée sous contrôle, ce qui réduit les pressions sur les coûts de financement. Cette décision vise à soutenir la croissance économique tout en préservant la stabilité des prix. Les marchés financiers de la région, dont </w:t>
      </w:r>
    </w:p>
    <w:p>
      <w:pPr>
        <w:spacing w:before="0" w:after="40"/>
        <w:ind w:left="600"/>
      </w:pPr>
      <w:r>
        <w:rPr>
          <w:color w:val="00643C"/>
          <w:sz w:val="16"/>
        </w:rPr>
        <w:t>Points clés : Taux directeur maintenu à 3 % par la BCEAO.  •  Inflation régionale sous contrôle dans l'UEMOA.</w:t>
      </w:r>
    </w:p>
    <w:p>
      <w:pPr>
        <w:spacing w:before="0" w:after="60"/>
        <w:ind w:left="600"/>
      </w:pPr>
      <w:r>
        <w:rPr>
          <w:color w:val="0064B4"/>
          <w:sz w:val="15"/>
        </w:rPr>
        <w:t>Source : https://news.google.com/rss/articles/CBMirAFBVV95cUxQSU0xc2dsZFRneWZTTWlHRndFeGR</w:t>
      </w:r>
    </w:p>
    <w:p>
      <w:pPr>
        <w:spacing w:before="40" w:after="40"/>
        <w:ind w:left="360"/>
      </w:pPr>
      <w:r>
        <w:rPr>
          <w:color w:val="646464"/>
          <w:sz w:val="17"/>
        </w:rPr>
        <w:t xml:space="preserve">[28/08/2026] 🔴  </w:t>
      </w:r>
      <w:r>
        <w:rPr>
          <w:b/>
          <w:color w:val="C00000"/>
          <w:sz w:val="18"/>
        </w:rPr>
        <w:t>Le patron de la Fed insiste sur l'inflation "préoccupante" aux Etats-Unis - La Libre.be</w:t>
      </w:r>
      <w:r>
        <w:rPr>
          <w:color w:val="787878"/>
          <w:sz w:val="15"/>
        </w:rPr>
        <w:t xml:space="preserve">  [politique_monetaire]</w:t>
      </w:r>
      <w:r>
        <w:rPr>
          <w:color w:val="B47800"/>
          <w:sz w:val="16"/>
        </w:rPr>
        <w:t xml:space="preserve">  ★ 50/10</w:t>
      </w:r>
    </w:p>
    <w:p>
      <w:pPr>
        <w:spacing w:before="0" w:after="20"/>
        <w:ind w:left="600"/>
      </w:pPr>
      <w:r>
        <w:rPr>
          <w:color w:val="323232"/>
          <w:sz w:val="17"/>
        </w:rPr>
        <w:t>Le président de la Réserve fédérale américaine (Fed) a exprimé son inquiétude face à une inflation toujours élevée aux États-Unis, ce qui pourrait conduire à un maintien prolongé des taux d'intérêt élevés. Cette situation pourrait renforcer le dollar et peser sur les marchés émergents, y compris ceux de la zone UEMOA. Les investisseurs de la BRVM d</w:t>
      </w:r>
    </w:p>
    <w:p>
      <w:pPr>
        <w:spacing w:before="0" w:after="40"/>
        <w:ind w:left="600"/>
      </w:pPr>
      <w:r>
        <w:rPr>
          <w:color w:val="00643C"/>
          <w:sz w:val="16"/>
        </w:rPr>
        <w:t>Points clés : Inflation américaine jugée préoccupante par le patron de la Fed.  •  Possible maintien de taux d'intérêt élevés aux États-Unis.  •  Impact potentiel sur les devises et les marchés émergents.</w:t>
      </w:r>
    </w:p>
    <w:p>
      <w:pPr>
        <w:spacing w:before="0" w:after="60"/>
        <w:ind w:left="600"/>
      </w:pPr>
      <w:r>
        <w:rPr>
          <w:color w:val="0064B4"/>
          <w:sz w:val="15"/>
        </w:rPr>
        <w:t>Source : https://news.google.com/rss/articles/CBMi6AFBVV95cUxPTzlTZ2NEN2JQaUY5TnJuVnRUY0Z</w:t>
      </w:r>
    </w:p>
    <w:p>
      <w:pPr>
        <w:spacing w:before="120" w:after="40"/>
      </w:pPr>
      <w:r>
        <w:rPr>
          <w:b/>
          <w:color w:val="00467F"/>
          <w:sz w:val="20"/>
        </w:rPr>
        <w:t>🔑 économique  (3 alerte(s))</w:t>
      </w:r>
    </w:p>
    <w:p>
      <w:pPr>
        <w:spacing w:before="40" w:after="40"/>
        <w:ind w:left="360"/>
      </w:pPr>
      <w:r>
        <w:rPr>
          <w:color w:val="646464"/>
          <w:sz w:val="17"/>
        </w:rPr>
        <w:t xml:space="preserve">[30/08/2026] ⚪  </w:t>
      </w:r>
      <w:r>
        <w:rPr>
          <w:b/>
          <w:color w:val="505050"/>
          <w:sz w:val="18"/>
        </w:rPr>
        <w:t>Afrique du Sud : 56 milliards de dollars d'investissement public face à une croissance atone - lenouveleconomiste.fr</w:t>
      </w:r>
      <w:r>
        <w:rPr>
          <w:color w:val="787878"/>
          <w:sz w:val="15"/>
        </w:rPr>
        <w:t xml:space="preserve">  [économique]</w:t>
      </w:r>
      <w:r>
        <w:rPr>
          <w:color w:val="B47800"/>
          <w:sz w:val="16"/>
        </w:rPr>
        <w:t xml:space="preserve">  ★ 50/10</w:t>
      </w:r>
    </w:p>
    <w:p>
      <w:pPr>
        <w:spacing w:before="0" w:after="20"/>
        <w:ind w:left="600"/>
      </w:pPr>
      <w:r>
        <w:rPr>
          <w:color w:val="323232"/>
          <w:sz w:val="17"/>
        </w:rPr>
        <w:t>L'Afrique du Sud prévoit un investissement public massif de 56 milliards de dollars, mais cette initiative est confrontée à une croissance économique atone. Ce contraste soulève des inquiétudes quant à l'efficacité de ces dépenses pour relancer l'économie. Le pays cherche à stimuler son développement malgré des défis structurels persistants.</w:t>
      </w:r>
    </w:p>
    <w:p>
      <w:pPr>
        <w:spacing w:before="0" w:after="40"/>
        <w:ind w:left="600"/>
      </w:pPr>
      <w:r>
        <w:rPr>
          <w:color w:val="00643C"/>
          <w:sz w:val="16"/>
        </w:rPr>
        <w:t>Points clés : Investissement public de 56 milliards de dollars en Afrique du Sud.  •  Croissance économique atone, remettant en cause l'impact de ces investissements.</w:t>
      </w:r>
    </w:p>
    <w:p>
      <w:pPr>
        <w:spacing w:before="0" w:after="60"/>
        <w:ind w:left="600"/>
      </w:pPr>
      <w:r>
        <w:rPr>
          <w:color w:val="0064B4"/>
          <w:sz w:val="15"/>
        </w:rPr>
        <w:t>Source : https://news.google.com/rss/articles/CBMiywFBVV95cUxNZU41WF8zRzBicC1nTTJCbElSZXN</w:t>
      </w:r>
    </w:p>
    <w:p>
      <w:pPr>
        <w:spacing w:before="40" w:after="40"/>
        <w:ind w:left="360"/>
      </w:pPr>
      <w:r>
        <w:rPr>
          <w:color w:val="646464"/>
          <w:sz w:val="17"/>
        </w:rPr>
        <w:t xml:space="preserve">[30/08/2026] ⚪  </w:t>
      </w:r>
      <w:r>
        <w:rPr>
          <w:b/>
          <w:color w:val="505050"/>
          <w:sz w:val="18"/>
        </w:rPr>
        <w:t>AFRIQUE DE L’OUEST - QUELLE MONNAIE POUR QUELLE AFRIQUE DE L’OUEST ? - Le Club de Mediapart</w:t>
      </w:r>
      <w:r>
        <w:rPr>
          <w:color w:val="787878"/>
          <w:sz w:val="15"/>
        </w:rPr>
        <w:t xml:space="preserve">  [économique]</w:t>
      </w:r>
      <w:r>
        <w:rPr>
          <w:color w:val="B47800"/>
          <w:sz w:val="16"/>
        </w:rPr>
        <w:t xml:space="preserve">  ★ 50/10</w:t>
      </w:r>
    </w:p>
    <w:p>
      <w:pPr>
        <w:spacing w:before="0" w:after="20"/>
        <w:ind w:left="600"/>
      </w:pPr>
      <w:r>
        <w:rPr>
          <w:color w:val="323232"/>
          <w:sz w:val="17"/>
        </w:rPr>
        <w:t>L'article traite de la question monétaire en Afrique de l'Ouest, en interrogeant le choix de la monnaie pour la région. Il aborde les enjeux économiques et politiques liés à la monnaie unique, notamment le franc CFA et les projets de réforme. L'analyse porte sur les implications pour les pays membres de la CEDEAO et les perspectives d'intégration r</w:t>
      </w:r>
    </w:p>
    <w:p>
      <w:pPr>
        <w:spacing w:before="0" w:after="40"/>
        <w:ind w:left="600"/>
      </w:pPr>
      <w:r>
        <w:rPr>
          <w:color w:val="00643C"/>
          <w:sz w:val="16"/>
        </w:rPr>
        <w:t>Points clés : Débat sur la pertinence du franc CFA et les alternatives possibles pour l'Afrique de l'Ouest.  •  Enjeux de souveraineté monétaire et d'intégration économique régionale.</w:t>
      </w:r>
    </w:p>
    <w:p>
      <w:pPr>
        <w:spacing w:before="0" w:after="60"/>
        <w:ind w:left="600"/>
      </w:pPr>
      <w:r>
        <w:rPr>
          <w:color w:val="0064B4"/>
          <w:sz w:val="15"/>
        </w:rPr>
        <w:t>Source : https://news.google.com/rss/articles/CBMivgFBVV95cUxOcGZTNW9FUzJpN29tQkIycUNweFJ</w:t>
      </w:r>
    </w:p>
    <w:p>
      <w:pPr>
        <w:spacing w:before="40" w:after="40"/>
        <w:ind w:left="360"/>
      </w:pPr>
      <w:r>
        <w:rPr>
          <w:color w:val="646464"/>
          <w:sz w:val="17"/>
        </w:rPr>
        <w:t xml:space="preserve">[30/08/2026] ⚪  </w:t>
      </w:r>
      <w:r>
        <w:rPr>
          <w:b/>
          <w:color w:val="505050"/>
          <w:sz w:val="18"/>
        </w:rPr>
        <w:t>L’UE dresse le bilan de dix ans d’APE avec Abidjan et Accra - Africtelegraph</w:t>
      </w:r>
      <w:r>
        <w:rPr>
          <w:color w:val="787878"/>
          <w:sz w:val="15"/>
        </w:rPr>
        <w:t xml:space="preserve">  [économique]</w:t>
      </w:r>
      <w:r>
        <w:rPr>
          <w:color w:val="B47800"/>
          <w:sz w:val="16"/>
        </w:rPr>
        <w:t xml:space="preserve">  ★ 50/10</w:t>
      </w:r>
    </w:p>
    <w:p>
      <w:pPr>
        <w:spacing w:before="0" w:after="20"/>
        <w:ind w:left="600"/>
      </w:pPr>
      <w:r>
        <w:rPr>
          <w:color w:val="323232"/>
          <w:sz w:val="17"/>
        </w:rPr>
        <w:t>L'Union européenne a dressé un bilan de dix ans d'accord de partenariat économique (APE) avec la Côte d'Ivoire et le Ghana, soulignant les progrès réalisés en matière de commerce et de développement. L'APE a permis de renforcer les échanges entre l'UE et ces deux pays, tout en soutenant leur intégration économique régionale. Le bilan met en avant l</w:t>
      </w:r>
    </w:p>
    <w:p>
      <w:pPr>
        <w:spacing w:before="0" w:after="40"/>
        <w:ind w:left="600"/>
      </w:pPr>
      <w:r>
        <w:rPr>
          <w:color w:val="00643C"/>
          <w:sz w:val="16"/>
        </w:rPr>
        <w:t>Points clés : Dix ans de mise en œuvre de l'APE entre l'UE et la Côte d'Ivoire et le Ghana.  •  Renforcement des échanges commerciaux et soutien à l'intégration économique régionale.  •  Bénéfices pour les exportations locales, mais défis de diversification et de mise en œuvre.</w:t>
      </w:r>
    </w:p>
    <w:p>
      <w:pPr>
        <w:spacing w:before="0" w:after="60"/>
        <w:ind w:left="600"/>
      </w:pPr>
      <w:r>
        <w:rPr>
          <w:color w:val="0064B4"/>
          <w:sz w:val="15"/>
        </w:rPr>
        <w:t>Source : https://news.google.com/rss/articles/CBMilAFBVV95cUxPMUZvbzVOdjJJR0V6dm1yX3dma2l</w:t>
      </w:r>
    </w:p>
    <w:p>
      <w:pPr>
        <w:spacing w:before="120" w:after="40"/>
      </w:pPr>
      <w:r>
        <w:rPr>
          <w:b/>
          <w:color w:val="00467F"/>
          <w:sz w:val="20"/>
        </w:rPr>
        <w:t>🔑 matieres_premieres  (1 alerte(s))</w:t>
      </w:r>
    </w:p>
    <w:p>
      <w:pPr>
        <w:spacing w:before="40" w:after="40"/>
        <w:ind w:left="360"/>
      </w:pPr>
      <w:r>
        <w:rPr>
          <w:color w:val="646464"/>
          <w:sz w:val="17"/>
        </w:rPr>
        <w:t xml:space="preserve">[28/08/2026] 🟢  </w:t>
      </w:r>
      <w:r>
        <w:rPr>
          <w:b/>
          <w:color w:val="008000"/>
          <w:sz w:val="18"/>
        </w:rPr>
        <w:t>Marché des matières premières : Les prix du pétrole remontent, l'huile de soja donne un nouvel élan à cette hausse. - Vi</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ont enregistré une hausse sur le marché international, soutenus notamment par la dynamique de l'huile de soja qui a donné un nouvel élan à cette tendance. Cette évolution reflète une reprise des cours des matières premières, avec des implications possibles pour les économies dépendantes des importations énergétiques. Le marché o</w:t>
      </w:r>
    </w:p>
    <w:p>
      <w:pPr>
        <w:spacing w:before="0" w:after="40"/>
        <w:ind w:left="600"/>
      </w:pPr>
      <w:r>
        <w:rPr>
          <w:color w:val="00643C"/>
          <w:sz w:val="16"/>
        </w:rPr>
        <w:t>Points clés : Hausse des prix du pétrole sur le marché international.  •  L'huile de soja contribue à la dynamique haussière des matières premières.</w:t>
      </w:r>
    </w:p>
    <w:p>
      <w:pPr>
        <w:spacing w:before="0" w:after="60"/>
        <w:ind w:left="600"/>
      </w:pPr>
      <w:r>
        <w:rPr>
          <w:color w:val="0064B4"/>
          <w:sz w:val="15"/>
        </w:rPr>
        <w:t>Source : https://news.google.com/rss/articles/CBMikwFBVV95cUxQQ0liYmtOa2xvNlQ4ZW4tT1FzWXM</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NTLC</w:t>
            </w:r>
          </w:p>
        </w:tc>
        <w:tc>
          <w:tcPr>
            <w:tcW w:type="dxa" w:w="1080"/>
            <w:shd w:fill="C6EFCE" w:val="clear"/>
          </w:tcPr>
          <w:p>
            <w:r>
              <w:rPr>
                <w:sz w:val="16"/>
              </w:rPr>
              <w:t>CONSOMMATION DE BA</w:t>
            </w:r>
          </w:p>
        </w:tc>
        <w:tc>
          <w:tcPr>
            <w:tcW w:type="dxa" w:w="1080"/>
            <w:shd w:fill="C6EFCE" w:val="clear"/>
          </w:tcPr>
          <w:p>
            <w:r>
              <w:rPr>
                <w:sz w:val="16"/>
              </w:rPr>
              <w:t>15,900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22,500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2,455</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BOAN</w:t>
            </w:r>
          </w:p>
        </w:tc>
        <w:tc>
          <w:tcPr>
            <w:tcW w:type="dxa" w:w="1080"/>
            <w:shd w:fill="C6EFCE" w:val="clear"/>
          </w:tcPr>
          <w:p>
            <w:r>
              <w:rPr>
                <w:sz w:val="16"/>
              </w:rPr>
              <w:t>SERVICES FINANCIER</w:t>
            </w:r>
          </w:p>
        </w:tc>
        <w:tc>
          <w:tcPr>
            <w:tcW w:type="dxa" w:w="1080"/>
            <w:shd w:fill="C6EFCE" w:val="clear"/>
          </w:tcPr>
          <w:p>
            <w:r>
              <w:rPr>
                <w:sz w:val="16"/>
              </w:rPr>
              <w:t>5,500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3,375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SLBC</w:t>
            </w:r>
          </w:p>
        </w:tc>
        <w:tc>
          <w:tcPr>
            <w:tcW w:type="dxa" w:w="1080"/>
            <w:shd w:fill="C6EFCE" w:val="clear"/>
          </w:tcPr>
          <w:p>
            <w:r>
              <w:rPr>
                <w:sz w:val="16"/>
              </w:rPr>
              <w:t>CONSOMMATION DE BA</w:t>
            </w:r>
          </w:p>
        </w:tc>
        <w:tc>
          <w:tcPr>
            <w:tcW w:type="dxa" w:w="1080"/>
            <w:shd w:fill="C6EFCE" w:val="clear"/>
          </w:tcPr>
          <w:p>
            <w:r>
              <w:rPr>
                <w:sz w:val="16"/>
              </w:rPr>
              <w:t>37,000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6,495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8,300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FTSC</w:t>
            </w:r>
          </w:p>
        </w:tc>
        <w:tc>
          <w:tcPr>
            <w:tcW w:type="dxa" w:w="1080"/>
            <w:shd w:fill="C6EFCE" w:val="clear"/>
          </w:tcPr>
          <w:p>
            <w:r>
              <w:rPr>
                <w:sz w:val="16"/>
              </w:rPr>
              <w:t>INDUSTRIELS</w:t>
            </w:r>
          </w:p>
        </w:tc>
        <w:tc>
          <w:tcPr>
            <w:tcW w:type="dxa" w:w="1080"/>
            <w:shd w:fill="C6EFCE" w:val="clear"/>
          </w:tcPr>
          <w:p>
            <w:r>
              <w:rPr>
                <w:sz w:val="16"/>
              </w:rPr>
              <w:t>2,160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3,690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BOAB</w:t>
            </w:r>
          </w:p>
        </w:tc>
        <w:tc>
          <w:tcPr>
            <w:tcW w:type="dxa" w:w="1080"/>
            <w:shd w:fill="C6EFCE" w:val="clear"/>
          </w:tcPr>
          <w:p>
            <w:r>
              <w:rPr>
                <w:sz w:val="16"/>
              </w:rPr>
              <w:t>SERVICES FINANCIER</w:t>
            </w:r>
          </w:p>
        </w:tc>
        <w:tc>
          <w:tcPr>
            <w:tcW w:type="dxa" w:w="1080"/>
            <w:shd w:fill="C6EFCE" w:val="clear"/>
          </w:tcPr>
          <w:p>
            <w:r>
              <w:rPr>
                <w:sz w:val="16"/>
              </w:rPr>
              <w:t>10,235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BOABF</w:t>
            </w:r>
          </w:p>
        </w:tc>
        <w:tc>
          <w:tcPr>
            <w:tcW w:type="dxa" w:w="1080"/>
            <w:shd w:fill="C6EFCE" w:val="clear"/>
          </w:tcPr>
          <w:p>
            <w:r>
              <w:rPr>
                <w:sz w:val="16"/>
              </w:rPr>
              <w:t>SERVICES FINANCIER</w:t>
            </w:r>
          </w:p>
        </w:tc>
        <w:tc>
          <w:tcPr>
            <w:tcW w:type="dxa" w:w="1080"/>
            <w:shd w:fill="C6EFCE" w:val="clear"/>
          </w:tcPr>
          <w:p>
            <w:r>
              <w:rPr>
                <w:sz w:val="16"/>
              </w:rPr>
              <w:t>8,900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CABC</w:t>
            </w:r>
          </w:p>
        </w:tc>
        <w:tc>
          <w:tcPr>
            <w:tcW w:type="dxa" w:w="1080"/>
            <w:shd w:fill="C6EFCE" w:val="clear"/>
          </w:tcPr>
          <w:p>
            <w:r>
              <w:rPr>
                <w:sz w:val="16"/>
              </w:rPr>
              <w:t>INDUSTRIELS</w:t>
            </w:r>
          </w:p>
        </w:tc>
        <w:tc>
          <w:tcPr>
            <w:tcW w:type="dxa" w:w="1080"/>
            <w:shd w:fill="C6EFCE" w:val="clear"/>
          </w:tcPr>
          <w:p>
            <w:r>
              <w:rPr>
                <w:sz w:val="16"/>
              </w:rPr>
              <w:t>3,495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CFAC</w:t>
            </w:r>
          </w:p>
        </w:tc>
        <w:tc>
          <w:tcPr>
            <w:tcW w:type="dxa" w:w="1080"/>
            <w:shd w:fill="C6EFCE" w:val="clear"/>
          </w:tcPr>
          <w:p>
            <w:r>
              <w:rPr>
                <w:sz w:val="16"/>
              </w:rPr>
              <w:t>CONSOMMATION DISCR</w:t>
            </w:r>
          </w:p>
        </w:tc>
        <w:tc>
          <w:tcPr>
            <w:tcW w:type="dxa" w:w="1080"/>
            <w:shd w:fill="C6EFCE" w:val="clear"/>
          </w:tcPr>
          <w:p>
            <w:r>
              <w:rPr>
                <w:sz w:val="16"/>
              </w:rPr>
              <w:t>1,740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ETIT</w:t>
            </w:r>
          </w:p>
        </w:tc>
        <w:tc>
          <w:tcPr>
            <w:tcW w:type="dxa" w:w="1080"/>
            <w:shd w:fill="C6EFCE" w:val="clear"/>
          </w:tcPr>
          <w:p>
            <w:r>
              <w:rPr>
                <w:sz w:val="16"/>
              </w:rPr>
              <w:t>SERVICES FINANCIER</w:t>
            </w:r>
          </w:p>
        </w:tc>
        <w:tc>
          <w:tcPr>
            <w:tcW w:type="dxa" w:w="1080"/>
            <w:shd w:fill="C6EFCE" w:val="clear"/>
          </w:tcPr>
          <w:p>
            <w:r>
              <w:rPr>
                <w:sz w:val="16"/>
              </w:rPr>
              <w:t>65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2,440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9,500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3,400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2,300</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21,400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21</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36,700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22</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12,400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23</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6,700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24</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5,865</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25</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13,000</w:t>
            </w:r>
          </w:p>
        </w:tc>
        <w:tc>
          <w:tcPr>
            <w:tcW w:type="dxa" w:w="1080"/>
            <w:shd w:fill="C6EFCE" w:val="clear"/>
          </w:tcPr>
          <w:p>
            <w:r>
              <w:rPr>
                <w:b/>
                <w:sz w:val="16"/>
              </w:rPr>
              <w:t>70/100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3,000</w:t>
            </w:r>
          </w:p>
        </w:tc>
        <w:tc>
          <w:tcPr>
            <w:tcW w:type="dxa" w:w="1080"/>
            <w:shd w:fill="EBF5FB" w:val="clear"/>
          </w:tcPr>
          <w:p>
            <w:r>
              <w:rPr>
                <w:b/>
                <w:sz w:val="16"/>
              </w:rPr>
              <w:t>69/100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BICB</w:t>
            </w:r>
          </w:p>
        </w:tc>
        <w:tc>
          <w:tcPr>
            <w:tcW w:type="dxa" w:w="1080"/>
            <w:shd w:fill="EBF5FB" w:val="clear"/>
          </w:tcPr>
          <w:p>
            <w:r>
              <w:rPr>
                <w:sz w:val="16"/>
              </w:rPr>
              <w:t>SERVICES FINANCIER</w:t>
            </w:r>
          </w:p>
        </w:tc>
        <w:tc>
          <w:tcPr>
            <w:tcW w:type="dxa" w:w="1080"/>
            <w:shd w:fill="EBF5FB" w:val="clear"/>
          </w:tcPr>
          <w:p>
            <w:r>
              <w:rPr>
                <w:sz w:val="16"/>
              </w:rPr>
              <w:t>8,500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16,845</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4,000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2,900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2,750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38,000</w:t>
            </w:r>
          </w:p>
        </w:tc>
        <w:tc>
          <w:tcPr>
            <w:tcW w:type="dxa" w:w="1080"/>
            <w:shd w:fill="EBF5FB" w:val="clear"/>
          </w:tcPr>
          <w:p>
            <w:r>
              <w:rPr>
                <w:b/>
                <w:sz w:val="16"/>
              </w:rPr>
              <w:t>68/100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8,200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29,500</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3,155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SIBC</w:t>
            </w:r>
          </w:p>
        </w:tc>
        <w:tc>
          <w:tcPr>
            <w:tcW w:type="dxa" w:w="1080"/>
            <w:shd w:fill="EBF5FB" w:val="clear"/>
          </w:tcPr>
          <w:p>
            <w:r>
              <w:rPr>
                <w:sz w:val="16"/>
              </w:rPr>
              <w:t>SERVICES FINANCIER</w:t>
            </w:r>
          </w:p>
        </w:tc>
        <w:tc>
          <w:tcPr>
            <w:tcW w:type="dxa" w:w="1080"/>
            <w:shd w:fill="EBF5FB" w:val="clear"/>
          </w:tcPr>
          <w:p>
            <w:r>
              <w:rPr>
                <w:sz w:val="16"/>
              </w:rPr>
              <w:t>9,200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PALC</w:t>
            </w:r>
          </w:p>
        </w:tc>
        <w:tc>
          <w:tcPr>
            <w:tcW w:type="dxa" w:w="1080"/>
            <w:shd w:fill="EBF5FB" w:val="clear"/>
          </w:tcPr>
          <w:p>
            <w:r>
              <w:rPr>
                <w:sz w:val="16"/>
              </w:rPr>
              <w:t>CONSOMMATION DE BA</w:t>
            </w:r>
          </w:p>
        </w:tc>
        <w:tc>
          <w:tcPr>
            <w:tcW w:type="dxa" w:w="1080"/>
            <w:shd w:fill="EBF5FB" w:val="clear"/>
          </w:tcPr>
          <w:p>
            <w:r>
              <w:rPr>
                <w:sz w:val="16"/>
              </w:rPr>
              <w:t>9,400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2,310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17,195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2,595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3,795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29,600</w:t>
            </w:r>
          </w:p>
        </w:tc>
        <w:tc>
          <w:tcPr>
            <w:tcW w:type="dxa" w:w="1080"/>
            <w:shd w:fill="EBF5FB" w:val="clear"/>
          </w:tcPr>
          <w:p>
            <w:r>
              <w:rPr>
                <w:b/>
                <w:sz w:val="16"/>
              </w:rPr>
              <w:t>65/100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7,995</w:t>
            </w:r>
          </w:p>
        </w:tc>
        <w:tc>
          <w:tcPr>
            <w:tcW w:type="dxa" w:w="1080"/>
            <w:shd w:fill="EBF5FB" w:val="clear"/>
          </w:tcPr>
          <w:p>
            <w:r>
              <w:rPr>
                <w:b/>
                <w:sz w:val="16"/>
              </w:rPr>
              <w:t>64/100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52,200</w:t>
            </w:r>
          </w:p>
        </w:tc>
        <w:tc>
          <w:tcPr>
            <w:tcW w:type="dxa" w:w="1080"/>
            <w:shd w:fill="EBF5FB" w:val="clear"/>
          </w:tcPr>
          <w:p>
            <w:r>
              <w:rPr>
                <w:b/>
                <w:sz w:val="16"/>
              </w:rPr>
              <w:t>61/100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4,490</w:t>
            </w:r>
          </w:p>
        </w:tc>
        <w:tc>
          <w:tcPr>
            <w:tcW w:type="dxa" w:w="1080"/>
            <w:shd w:fill="EBF5FB" w:val="clear"/>
          </w:tcPr>
          <w:p>
            <w:r>
              <w:rPr>
                <w:b/>
                <w:sz w:val="16"/>
              </w:rPr>
              <w:t>60/100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1,500</w:t>
            </w:r>
          </w:p>
        </w:tc>
        <w:tc>
          <w:tcPr>
            <w:tcW w:type="dxa" w:w="1080"/>
            <w:shd w:fill="EBF5FB" w:val="clear"/>
          </w:tcPr>
          <w:p>
            <w:r>
              <w:rPr>
                <w:b/>
                <w:sz w:val="16"/>
              </w:rPr>
              <w:t>60/100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47</w:t>
            </w:r>
          </w:p>
        </w:tc>
        <w:tc>
          <w:tcPr>
            <w:tcW w:type="dxa" w:w="1080"/>
            <w:shd w:fill="FEFEFE" w:val="clear"/>
          </w:tcPr>
          <w:p>
            <w:r>
              <w:rPr>
                <w:sz w:val="16"/>
              </w:rPr>
              <w:t>STBC</w:t>
            </w:r>
          </w:p>
        </w:tc>
        <w:tc>
          <w:tcPr>
            <w:tcW w:type="dxa" w:w="1080"/>
            <w:shd w:fill="FEFEFE" w:val="clear"/>
          </w:tcPr>
          <w:p>
            <w:r>
              <w:rPr>
                <w:sz w:val="16"/>
              </w:rPr>
              <w:t>CONSOMMATION DE BA</w:t>
            </w:r>
          </w:p>
        </w:tc>
        <w:tc>
          <w:tcPr>
            <w:tcW w:type="dxa" w:w="1080"/>
            <w:shd w:fill="FEFEFE" w:val="clear"/>
          </w:tcPr>
          <w:p>
            <w:r>
              <w:rPr>
                <w:sz w:val="16"/>
              </w:rPr>
              <w:t>22,350</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NTLC</w:t>
            </w:r>
          </w:p>
        </w:tc>
        <w:tc>
          <w:tcPr>
            <w:tcW w:type="dxa" w:w="1728"/>
            <w:shd w:fill="DEEAF1" w:val="clear"/>
          </w:tcPr>
          <w:p>
            <w:r>
              <w:rPr>
                <w:sz w:val="17"/>
              </w:rPr>
              <w:t>NTLC - NESTLE COTE D'IVOIRE</w:t>
            </w:r>
          </w:p>
        </w:tc>
        <w:tc>
          <w:tcPr>
            <w:tcW w:type="dxa" w:w="1728"/>
            <w:shd w:fill="DEEAF1" w:val="clear"/>
          </w:tcPr>
          <w:p>
            <w:r>
              <w:rPr>
                <w:sz w:val="17"/>
              </w:rPr>
              <w:t>15,900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2,455</w:t>
            </w:r>
          </w:p>
        </w:tc>
        <w:tc>
          <w:tcPr>
            <w:tcW w:type="dxa" w:w="1728"/>
            <w:shd w:fill="DEEAF1" w:val="clear"/>
          </w:tcPr>
          <w:p>
            <w:r>
              <w:rPr>
                <w:sz w:val="17"/>
              </w:rPr>
              <w:t>75/100</w:t>
            </w:r>
          </w:p>
        </w:tc>
        <w:tc>
          <w:tcPr>
            <w:tcW w:type="dxa" w:w="1728"/>
            <w:shd w:fill="DEEAF1" w:val="clear"/>
          </w:tcPr>
          <w:p>
            <w:r>
              <w:rPr>
                <w:sz w:val="17"/>
              </w:rPr>
              <w:t>10.6%</w:t>
            </w:r>
          </w:p>
        </w:tc>
      </w:tr>
      <w:tr>
        <w:tc>
          <w:tcPr>
            <w:tcW w:type="dxa" w:w="1728"/>
            <w:shd w:fill="DEEAF1" w:val="clear"/>
          </w:tcPr>
          <w:p>
            <w:r>
              <w:rPr>
                <w:sz w:val="17"/>
              </w:rPr>
              <w:t>SLBC</w:t>
            </w:r>
          </w:p>
        </w:tc>
        <w:tc>
          <w:tcPr>
            <w:tcW w:type="dxa" w:w="1728"/>
            <w:shd w:fill="DEEAF1" w:val="clear"/>
          </w:tcPr>
          <w:p>
            <w:r>
              <w:rPr>
                <w:sz w:val="17"/>
              </w:rPr>
              <w:t>SLBC - SOLIBRA COTE D'IVOIRE</w:t>
            </w:r>
          </w:p>
        </w:tc>
        <w:tc>
          <w:tcPr>
            <w:tcW w:type="dxa" w:w="1728"/>
            <w:shd w:fill="DEEAF1" w:val="clear"/>
          </w:tcPr>
          <w:p>
            <w:r>
              <w:rPr>
                <w:sz w:val="17"/>
              </w:rPr>
              <w:t>37,000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BOAM</w:t>
            </w:r>
          </w:p>
        </w:tc>
        <w:tc>
          <w:tcPr>
            <w:tcW w:type="dxa" w:w="1728"/>
            <w:shd w:fill="DEEAF1" w:val="clear"/>
          </w:tcPr>
          <w:p>
            <w:r>
              <w:rPr>
                <w:sz w:val="17"/>
              </w:rPr>
              <w:t>BANK OF AFRICA MALI</w:t>
            </w:r>
          </w:p>
        </w:tc>
        <w:tc>
          <w:tcPr>
            <w:tcW w:type="dxa" w:w="1728"/>
            <w:shd w:fill="DEEAF1" w:val="clear"/>
          </w:tcPr>
          <w:p>
            <w:r>
              <w:rPr>
                <w:sz w:val="17"/>
              </w:rPr>
              <w:t>6,495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8,300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FTSC</w:t>
            </w:r>
          </w:p>
        </w:tc>
        <w:tc>
          <w:tcPr>
            <w:tcW w:type="dxa" w:w="1728"/>
            <w:shd w:fill="DEEAF1" w:val="clear"/>
          </w:tcPr>
          <w:p>
            <w:r>
              <w:rPr>
                <w:sz w:val="17"/>
              </w:rPr>
              <w:t>FTSC - FILTISAC COTE D'IVOIR</w:t>
            </w:r>
          </w:p>
        </w:tc>
        <w:tc>
          <w:tcPr>
            <w:tcW w:type="dxa" w:w="1728"/>
            <w:shd w:fill="DEEAF1" w:val="clear"/>
          </w:tcPr>
          <w:p>
            <w:r>
              <w:rPr>
                <w:sz w:val="17"/>
              </w:rPr>
              <w:t>2,160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BOABF</w:t>
            </w:r>
          </w:p>
        </w:tc>
        <w:tc>
          <w:tcPr>
            <w:tcW w:type="dxa" w:w="1728"/>
            <w:shd w:fill="DEEAF1" w:val="clear"/>
          </w:tcPr>
          <w:p>
            <w:r>
              <w:rPr>
                <w:sz w:val="17"/>
              </w:rPr>
              <w:t>BANK OF AFRICA BURKINA FASO</w:t>
            </w:r>
          </w:p>
        </w:tc>
        <w:tc>
          <w:tcPr>
            <w:tcW w:type="dxa" w:w="1728"/>
            <w:shd w:fill="DEEAF1" w:val="clear"/>
          </w:tcPr>
          <w:p>
            <w:r>
              <w:rPr>
                <w:sz w:val="17"/>
              </w:rPr>
              <w:t>8,900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CABC</w:t>
            </w:r>
          </w:p>
        </w:tc>
        <w:tc>
          <w:tcPr>
            <w:tcW w:type="dxa" w:w="1728"/>
            <w:shd w:fill="DEEAF1" w:val="clear"/>
          </w:tcPr>
          <w:p>
            <w:r>
              <w:rPr>
                <w:sz w:val="17"/>
              </w:rPr>
              <w:t>CABC - SICABLE COTE D'IVOIRE</w:t>
            </w:r>
          </w:p>
        </w:tc>
        <w:tc>
          <w:tcPr>
            <w:tcW w:type="dxa" w:w="1728"/>
            <w:shd w:fill="DEEAF1" w:val="clear"/>
          </w:tcPr>
          <w:p>
            <w:r>
              <w:rPr>
                <w:sz w:val="17"/>
              </w:rPr>
              <w:t>3,495</w:t>
            </w:r>
          </w:p>
        </w:tc>
        <w:tc>
          <w:tcPr>
            <w:tcW w:type="dxa" w:w="1728"/>
            <w:shd w:fill="DEEAF1" w:val="clear"/>
          </w:tcPr>
          <w:p>
            <w:r>
              <w:rPr>
                <w:sz w:val="17"/>
              </w:rPr>
              <w:t>72/100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NTLC</w:t>
            </w:r>
          </w:p>
        </w:tc>
        <w:tc>
          <w:tcPr>
            <w:tcW w:type="dxa" w:w="1728"/>
            <w:shd w:fill="E2EFDA" w:val="clear"/>
          </w:tcPr>
          <w:p>
            <w:r>
              <w:rPr>
                <w:sz w:val="17"/>
              </w:rPr>
              <w:t>NTLC - NESTLE COTE D'IVOIRE</w:t>
            </w:r>
          </w:p>
        </w:tc>
        <w:tc>
          <w:tcPr>
            <w:tcW w:type="dxa" w:w="1728"/>
            <w:shd w:fill="E2EFDA" w:val="clear"/>
          </w:tcPr>
          <w:p>
            <w:r>
              <w:rPr>
                <w:sz w:val="17"/>
              </w:rPr>
              <w:t>15,900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NSBC</w:t>
            </w:r>
          </w:p>
        </w:tc>
        <w:tc>
          <w:tcPr>
            <w:tcW w:type="dxa" w:w="1728"/>
            <w:shd w:fill="E2EFDA" w:val="clear"/>
          </w:tcPr>
          <w:p>
            <w:r>
              <w:rPr>
                <w:sz w:val="17"/>
              </w:rPr>
              <w:t>NSBC - NSIA BANQUE COTE D'IV</w:t>
            </w:r>
          </w:p>
        </w:tc>
        <w:tc>
          <w:tcPr>
            <w:tcW w:type="dxa" w:w="1728"/>
            <w:shd w:fill="E2EFDA" w:val="clear"/>
          </w:tcPr>
          <w:p>
            <w:r>
              <w:rPr>
                <w:sz w:val="17"/>
              </w:rPr>
              <w:t>22,500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2,455</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BOAN</w:t>
            </w:r>
          </w:p>
        </w:tc>
        <w:tc>
          <w:tcPr>
            <w:tcW w:type="dxa" w:w="1728"/>
            <w:shd w:fill="E2EFDA" w:val="clear"/>
          </w:tcPr>
          <w:p>
            <w:r>
              <w:rPr>
                <w:sz w:val="17"/>
              </w:rPr>
              <w:t>BANK OF AFRICA NIGER</w:t>
            </w:r>
          </w:p>
        </w:tc>
        <w:tc>
          <w:tcPr>
            <w:tcW w:type="dxa" w:w="1728"/>
            <w:shd w:fill="E2EFDA" w:val="clear"/>
          </w:tcPr>
          <w:p>
            <w:r>
              <w:rPr>
                <w:sz w:val="17"/>
              </w:rPr>
              <w:t>5,500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3,375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SLBC</w:t>
            </w:r>
          </w:p>
        </w:tc>
        <w:tc>
          <w:tcPr>
            <w:tcW w:type="dxa" w:w="1728"/>
            <w:shd w:fill="E2EFDA" w:val="clear"/>
          </w:tcPr>
          <w:p>
            <w:r>
              <w:rPr>
                <w:sz w:val="17"/>
              </w:rPr>
              <w:t>SLBC - SOLIBRA COTE D'IVOIRE</w:t>
            </w:r>
          </w:p>
        </w:tc>
        <w:tc>
          <w:tcPr>
            <w:tcW w:type="dxa" w:w="1728"/>
            <w:shd w:fill="E2EFDA" w:val="clear"/>
          </w:tcPr>
          <w:p>
            <w:r>
              <w:rPr>
                <w:sz w:val="17"/>
              </w:rPr>
              <w:t>37,000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BOAM</w:t>
            </w:r>
          </w:p>
        </w:tc>
        <w:tc>
          <w:tcPr>
            <w:tcW w:type="dxa" w:w="1728"/>
            <w:shd w:fill="E2EFDA" w:val="clear"/>
          </w:tcPr>
          <w:p>
            <w:r>
              <w:rPr>
                <w:sz w:val="17"/>
              </w:rPr>
              <w:t>BANK OF AFRICA MALI</w:t>
            </w:r>
          </w:p>
        </w:tc>
        <w:tc>
          <w:tcPr>
            <w:tcW w:type="dxa" w:w="1728"/>
            <w:shd w:fill="E2EFDA" w:val="clear"/>
          </w:tcPr>
          <w:p>
            <w:r>
              <w:rPr>
                <w:sz w:val="17"/>
              </w:rPr>
              <w:t>6,495</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BOAS</w:t>
            </w:r>
          </w:p>
        </w:tc>
        <w:tc>
          <w:tcPr>
            <w:tcW w:type="dxa" w:w="1728"/>
            <w:shd w:fill="E2EFDA" w:val="clear"/>
          </w:tcPr>
          <w:p>
            <w:r>
              <w:rPr>
                <w:sz w:val="17"/>
              </w:rPr>
              <w:t>BANK OF AFRICA SENEGAL</w:t>
            </w:r>
          </w:p>
        </w:tc>
        <w:tc>
          <w:tcPr>
            <w:tcW w:type="dxa" w:w="1728"/>
            <w:shd w:fill="E2EFDA" w:val="clear"/>
          </w:tcPr>
          <w:p>
            <w:r>
              <w:rPr>
                <w:sz w:val="17"/>
              </w:rPr>
              <w:t>8,300</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NTLC</w:t>
            </w:r>
          </w:p>
        </w:tc>
        <w:tc>
          <w:tcPr>
            <w:tcW w:type="dxa" w:w="1728"/>
            <w:shd w:fill="FCE4D6" w:val="clear"/>
          </w:tcPr>
          <w:p>
            <w:r>
              <w:rPr>
                <w:sz w:val="17"/>
              </w:rPr>
              <w:t>NTLC - NESTLE COTE D'IVOIRE</w:t>
            </w:r>
          </w:p>
        </w:tc>
        <w:tc>
          <w:tcPr>
            <w:tcW w:type="dxa" w:w="1728"/>
            <w:shd w:fill="FCE4D6" w:val="clear"/>
          </w:tcPr>
          <w:p>
            <w:r>
              <w:rPr>
                <w:sz w:val="17"/>
              </w:rPr>
              <w:t>15,900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NSBC</w:t>
            </w:r>
          </w:p>
        </w:tc>
        <w:tc>
          <w:tcPr>
            <w:tcW w:type="dxa" w:w="1728"/>
            <w:shd w:fill="FCE4D6" w:val="clear"/>
          </w:tcPr>
          <w:p>
            <w:r>
              <w:rPr>
                <w:sz w:val="17"/>
              </w:rPr>
              <w:t>NSBC - NSIA BANQUE COTE D'IV</w:t>
            </w:r>
          </w:p>
        </w:tc>
        <w:tc>
          <w:tcPr>
            <w:tcW w:type="dxa" w:w="1728"/>
            <w:shd w:fill="FCE4D6" w:val="clear"/>
          </w:tcPr>
          <w:p>
            <w:r>
              <w:rPr>
                <w:sz w:val="17"/>
              </w:rPr>
              <w:t>22,500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2,455</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BOAN</w:t>
            </w:r>
          </w:p>
        </w:tc>
        <w:tc>
          <w:tcPr>
            <w:tcW w:type="dxa" w:w="1728"/>
            <w:shd w:fill="FCE4D6" w:val="clear"/>
          </w:tcPr>
          <w:p>
            <w:r>
              <w:rPr>
                <w:sz w:val="17"/>
              </w:rPr>
              <w:t>BANK OF AFRICA NIGER</w:t>
            </w:r>
          </w:p>
        </w:tc>
        <w:tc>
          <w:tcPr>
            <w:tcW w:type="dxa" w:w="1728"/>
            <w:shd w:fill="FCE4D6" w:val="clear"/>
          </w:tcPr>
          <w:p>
            <w:r>
              <w:rPr>
                <w:sz w:val="17"/>
              </w:rPr>
              <w:t>5,500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3,375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SLBC</w:t>
            </w:r>
          </w:p>
        </w:tc>
        <w:tc>
          <w:tcPr>
            <w:tcW w:type="dxa" w:w="1728"/>
            <w:shd w:fill="FCE4D6" w:val="clear"/>
          </w:tcPr>
          <w:p>
            <w:r>
              <w:rPr>
                <w:sz w:val="17"/>
              </w:rPr>
              <w:t>SLBC - SOLIBRA COTE D'IVOIRE</w:t>
            </w:r>
          </w:p>
        </w:tc>
        <w:tc>
          <w:tcPr>
            <w:tcW w:type="dxa" w:w="1728"/>
            <w:shd w:fill="FCE4D6" w:val="clear"/>
          </w:tcPr>
          <w:p>
            <w:r>
              <w:rPr>
                <w:sz w:val="17"/>
              </w:rPr>
              <w:t>37,000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BOAM</w:t>
            </w:r>
          </w:p>
        </w:tc>
        <w:tc>
          <w:tcPr>
            <w:tcW w:type="dxa" w:w="1728"/>
            <w:shd w:fill="FCE4D6" w:val="clear"/>
          </w:tcPr>
          <w:p>
            <w:r>
              <w:rPr>
                <w:sz w:val="17"/>
              </w:rPr>
              <w:t>BANK OF AFRICA MALI</w:t>
            </w:r>
          </w:p>
        </w:tc>
        <w:tc>
          <w:tcPr>
            <w:tcW w:type="dxa" w:w="1728"/>
            <w:shd w:fill="FCE4D6" w:val="clear"/>
          </w:tcPr>
          <w:p>
            <w:r>
              <w:rPr>
                <w:sz w:val="17"/>
              </w:rPr>
              <w:t>6,495</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BOAS</w:t>
            </w:r>
          </w:p>
        </w:tc>
        <w:tc>
          <w:tcPr>
            <w:tcW w:type="dxa" w:w="1728"/>
            <w:shd w:fill="FCE4D6" w:val="clear"/>
          </w:tcPr>
          <w:p>
            <w:r>
              <w:rPr>
                <w:sz w:val="17"/>
              </w:rPr>
              <w:t>BANK OF AFRICA SENEGAL</w:t>
            </w:r>
          </w:p>
        </w:tc>
        <w:tc>
          <w:tcPr>
            <w:tcW w:type="dxa" w:w="1728"/>
            <w:shd w:fill="FCE4D6" w:val="clear"/>
          </w:tcPr>
          <w:p>
            <w:r>
              <w:rPr>
                <w:sz w:val="17"/>
              </w:rPr>
              <w:t>8,300</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BICB — BIIC BN - Banque internationale pour le commerce du benin</w:t>
      </w:r>
    </w:p>
    <w:p>
      <w:pPr>
        <w:pStyle w:val="ListBullet"/>
        <w:spacing w:before="20"/>
        <w:ind w:left="400"/>
      </w:pPr>
      <w:r>
        <w:rPr>
          <w:sz w:val="18"/>
        </w:rPr>
        <w:t>🔴 RSI surachat (75.9 &gt; 70) — risque de correction</w:t>
      </w:r>
    </w:p>
    <w:p>
      <w:pPr>
        <w:pStyle w:val="ListBullet"/>
        <w:spacing w:before="20"/>
        <w:ind w:left="400"/>
      </w:pPr>
      <w:r>
        <w:rPr>
          <w:sz w:val="18"/>
        </w:rPr>
        <w:t>⚠️ Cours à 0.1% du plus haut 100j (8,510 FCFA)</w:t>
      </w:r>
    </w:p>
    <w:p>
      <w:pPr>
        <w:pStyle w:val="ListBullet"/>
        <w:spacing w:before="20"/>
        <w:ind w:left="400"/>
      </w:pPr>
      <w:r>
        <w:rPr>
          <w:sz w:val="18"/>
        </w:rPr>
        <w:t>🟠 Divergence tech(VENTE) / fond(ACHAT) — recommandation ajustée à ACHAT</w:t>
      </w:r>
    </w:p>
    <w:p>
      <w:pPr>
        <w:spacing w:before="120"/>
      </w:pPr>
      <w:r>
        <w:rPr>
          <w:b/>
          <w:color w:val="0050A0"/>
          <w:sz w:val="20"/>
        </w:rPr>
        <w:t>BNBC — BNBC - BERNABE CI</w:t>
      </w:r>
    </w:p>
    <w:p>
      <w:pPr>
        <w:pStyle w:val="ListBullet"/>
        <w:spacing w:before="20"/>
        <w:ind w:left="400"/>
      </w:pPr>
      <w:r>
        <w:rPr>
          <w:sz w:val="18"/>
        </w:rPr>
        <w:t>🔴 RSI surachat (95.5 &gt; 70) — risque de correction</w:t>
      </w:r>
    </w:p>
    <w:p>
      <w:pPr>
        <w:pStyle w:val="ListBullet"/>
        <w:spacing w:before="20"/>
        <w:ind w:left="400"/>
      </w:pPr>
      <w:r>
        <w:rPr>
          <w:sz w:val="18"/>
        </w:rPr>
        <w:t>⚠️ Cours à 0.0% du plus haut 100j (2,300 FCFA)</w:t>
      </w:r>
    </w:p>
    <w:p>
      <w:pPr>
        <w:pStyle w:val="ListBullet"/>
        <w:spacing w:before="20"/>
        <w:ind w:left="400"/>
      </w:pPr>
      <w:r>
        <w:rPr>
          <w:sz w:val="18"/>
        </w:rPr>
        <w:t>🟠 Divergence tech(VENTE) / fond(ACHAT) — recommandation ajustée à ACHAT</w:t>
      </w:r>
    </w:p>
    <w:p>
      <w:pPr>
        <w:spacing w:before="120"/>
      </w:pPr>
      <w:r>
        <w:rPr>
          <w:b/>
          <w:color w:val="0050A0"/>
          <w:sz w:val="20"/>
        </w:rPr>
        <w:t>BOABF — BANK OF AFRICA BURKINA FASO</w:t>
      </w:r>
    </w:p>
    <w:p>
      <w:pPr>
        <w:pStyle w:val="ListBullet"/>
        <w:spacing w:before="20"/>
        <w:ind w:left="400"/>
      </w:pPr>
      <w:r>
        <w:rPr>
          <w:sz w:val="18"/>
        </w:rPr>
        <w:t>🔴 RSI surachat (81.5 &gt; 70) — risque de correction</w:t>
      </w:r>
    </w:p>
    <w:p>
      <w:pPr>
        <w:pStyle w:val="ListBullet"/>
        <w:spacing w:before="20"/>
        <w:ind w:left="400"/>
      </w:pPr>
      <w:r>
        <w:rPr>
          <w:sz w:val="18"/>
        </w:rPr>
        <w:t>⚠️ Cours à 2.1% du plus haut 100j (9,090 FCFA)</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surachat (91.5 &gt; 70) — risque de correction</w:t>
      </w:r>
    </w:p>
    <w:p>
      <w:pPr>
        <w:pStyle w:val="ListBullet"/>
        <w:spacing w:before="20"/>
        <w:ind w:left="400"/>
      </w:pPr>
      <w:r>
        <w:rPr>
          <w:sz w:val="18"/>
        </w:rPr>
        <w:t>⚠️ Cours à 0.0% du plus haut 100j (3,000 FCFA)</w:t>
      </w:r>
    </w:p>
    <w:p>
      <w:pPr>
        <w:pStyle w:val="ListBullet"/>
        <w:spacing w:before="20"/>
        <w:ind w:left="400"/>
      </w:pPr>
      <w:r>
        <w:rPr>
          <w:sz w:val="18"/>
        </w:rPr>
        <w:t>🟠 Divergence tech(VENTE) / fond(ACHAT) — recommandation ajustée à ACHAT</w:t>
      </w:r>
    </w:p>
    <w:p>
      <w:pPr>
        <w:spacing w:before="120"/>
      </w:pPr>
      <w:r>
        <w:rPr>
          <w:b/>
          <w:color w:val="0050A0"/>
          <w:sz w:val="20"/>
        </w:rPr>
        <w:t>SDCC — SDCC - Société de Distribution d'Eau de Côte d'Ivoire</w:t>
      </w:r>
    </w:p>
    <w:p>
      <w:pPr>
        <w:pStyle w:val="ListBullet"/>
        <w:spacing w:before="20"/>
        <w:ind w:left="400"/>
      </w:pPr>
      <w:r>
        <w:rPr>
          <w:sz w:val="18"/>
        </w:rPr>
        <w:t>🔴 RSI surachat (76.3 &gt; 70) — risque de correction</w:t>
      </w:r>
    </w:p>
    <w:p>
      <w:pPr>
        <w:pStyle w:val="ListBullet"/>
        <w:spacing w:before="20"/>
        <w:ind w:left="400"/>
      </w:pPr>
      <w:r>
        <w:rPr>
          <w:sz w:val="18"/>
        </w:rPr>
        <w:t>⚠️ Cours à 0.0% du plus haut 100j (13,000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surachat (91.5 &gt; 70) — risque de correction</w:t>
      </w:r>
    </w:p>
    <w:p>
      <w:pPr>
        <w:pStyle w:val="ListBullet"/>
        <w:spacing w:before="20"/>
        <w:ind w:left="400"/>
      </w:pPr>
      <w:r>
        <w:rPr>
          <w:sz w:val="18"/>
        </w:rPr>
        <w:t>⚠️ Cours à 2.4% du plus haut 100j (3,780 FCFA)</w:t>
      </w:r>
    </w:p>
    <w:p>
      <w:pPr>
        <w:spacing w:before="120"/>
      </w:pPr>
      <w:r>
        <w:rPr>
          <w:b/>
          <w:color w:val="0050A0"/>
          <w:sz w:val="20"/>
        </w:rPr>
        <w:t>BOAB — BANK OF AFRICA BENIN</w:t>
      </w:r>
    </w:p>
    <w:p>
      <w:pPr>
        <w:pStyle w:val="ListBullet"/>
        <w:spacing w:before="20"/>
        <w:ind w:left="400"/>
      </w:pPr>
      <w:r>
        <w:rPr>
          <w:sz w:val="18"/>
        </w:rPr>
        <w:t>🔴 RSI surachat (75.9 &gt; 70) — risque de correction</w:t>
      </w:r>
    </w:p>
    <w:p>
      <w:pPr>
        <w:pStyle w:val="ListBullet"/>
        <w:spacing w:before="20"/>
        <w:ind w:left="400"/>
      </w:pPr>
      <w:r>
        <w:rPr>
          <w:sz w:val="18"/>
        </w:rPr>
        <w:t>⚠️ Cours à 1.1% du plus haut 100j (10,350 FCFA)</w:t>
      </w:r>
    </w:p>
    <w:p>
      <w:pPr>
        <w:spacing w:before="120"/>
      </w:pPr>
      <w:r>
        <w:rPr>
          <w:b/>
          <w:color w:val="0050A0"/>
          <w:sz w:val="20"/>
        </w:rPr>
        <w:t>BOAS — BANK OF AFRICA SENEGAL</w:t>
      </w:r>
    </w:p>
    <w:p>
      <w:pPr>
        <w:pStyle w:val="ListBullet"/>
        <w:spacing w:before="20"/>
        <w:ind w:left="400"/>
      </w:pPr>
      <w:r>
        <w:rPr>
          <w:sz w:val="18"/>
        </w:rPr>
        <w:t>🔴 RSI surachat (76.6 &gt; 70) — risque de correction</w:t>
      </w:r>
    </w:p>
    <w:p>
      <w:pPr>
        <w:pStyle w:val="ListBullet"/>
        <w:spacing w:before="20"/>
        <w:ind w:left="400"/>
      </w:pPr>
      <w:r>
        <w:rPr>
          <w:sz w:val="18"/>
        </w:rPr>
        <w:t>⚠️ Cours à 2.4% du plus haut 100j (8,500 FCFA)</w:t>
      </w:r>
    </w:p>
    <w:p>
      <w:pPr>
        <w:spacing w:before="120"/>
      </w:pPr>
      <w:r>
        <w:rPr>
          <w:b/>
          <w:color w:val="0050A0"/>
          <w:sz w:val="20"/>
        </w:rPr>
        <w:t>ECOC — ECOC - ECOBANK COTE D'IVOIRE</w:t>
      </w:r>
    </w:p>
    <w:p>
      <w:pPr>
        <w:pStyle w:val="ListBullet"/>
        <w:spacing w:before="20"/>
        <w:ind w:left="400"/>
      </w:pPr>
      <w:r>
        <w:rPr>
          <w:sz w:val="18"/>
        </w:rPr>
        <w:t>⚠️ Cours à 2.5% du plus haut 100j (17,270 FCFA)</w:t>
      </w:r>
    </w:p>
    <w:p>
      <w:pPr>
        <w:pStyle w:val="ListBullet"/>
        <w:spacing w:before="20"/>
        <w:ind w:left="400"/>
      </w:pPr>
      <w:r>
        <w:rPr>
          <w:sz w:val="18"/>
        </w:rPr>
        <w:t>🟠 Divergence tech(VENTE) / fond(ACHAT) — recommandation ajustée à ACHAT</w:t>
      </w:r>
    </w:p>
    <w:p>
      <w:pPr>
        <w:spacing w:before="120"/>
      </w:pPr>
      <w:r>
        <w:rPr>
          <w:b/>
          <w:color w:val="0050A0"/>
          <w:sz w:val="20"/>
        </w:rPr>
        <w:t>ORAC — ORAC - ORANGE COTE D'IVOIRE</w:t>
      </w:r>
    </w:p>
    <w:p>
      <w:pPr>
        <w:pStyle w:val="ListBullet"/>
        <w:spacing w:before="20"/>
        <w:ind w:left="400"/>
      </w:pPr>
      <w:r>
        <w:rPr>
          <w:sz w:val="18"/>
        </w:rPr>
        <w:t>🔴 RSI surachat (89.2 &gt; 70) — risque de correction</w:t>
      </w:r>
    </w:p>
    <w:p>
      <w:pPr>
        <w:pStyle w:val="ListBullet"/>
        <w:spacing w:before="20"/>
        <w:ind w:left="400"/>
      </w:pPr>
      <w:r>
        <w:rPr>
          <w:sz w:val="18"/>
        </w:rPr>
        <w:t>⚠️ Cours à 0.0% du plus haut 100j (21,400 FCFA)</w:t>
      </w:r>
    </w:p>
    <w:p>
      <w:pPr>
        <w:spacing w:before="120"/>
      </w:pPr>
      <w:r>
        <w:rPr>
          <w:b/>
          <w:color w:val="0050A0"/>
          <w:sz w:val="20"/>
        </w:rPr>
        <w:t>SDSC — SDSC - AFRICA GLOBAL LOGISTICS CI</w:t>
      </w:r>
    </w:p>
    <w:p>
      <w:pPr>
        <w:pStyle w:val="ListBullet"/>
        <w:spacing w:before="20"/>
        <w:ind w:left="400"/>
      </w:pPr>
      <w:r>
        <w:rPr>
          <w:sz w:val="18"/>
        </w:rPr>
        <w:t>⚠️ Cours à 2.5% du plus haut 100j (2,820 FCFA)</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RSI surachat (76.7 &gt; 70) — risque de correction</w:t>
      </w:r>
    </w:p>
    <w:p>
      <w:pPr>
        <w:pStyle w:val="ListBullet"/>
        <w:spacing w:before="20"/>
        <w:ind w:left="400"/>
      </w:pPr>
      <w:r>
        <w:rPr>
          <w:sz w:val="18"/>
        </w:rPr>
        <w:t>⚠️ Cours à 0.8% du plus haut 100j (36,980 FCFA)</w:t>
      </w:r>
    </w:p>
    <w:p>
      <w:pPr>
        <w:spacing w:before="120"/>
      </w:pPr>
      <w:r>
        <w:rPr>
          <w:b/>
          <w:color w:val="0050A0"/>
          <w:sz w:val="20"/>
        </w:rPr>
        <w:t>SPHC — SPHC - Société Africaine de Plantation d'Hévéas de Côte d'Ivoire</w:t>
      </w:r>
    </w:p>
    <w:p>
      <w:pPr>
        <w:pStyle w:val="ListBullet"/>
        <w:spacing w:before="20"/>
        <w:ind w:left="400"/>
      </w:pPr>
      <w:r>
        <w:rPr>
          <w:sz w:val="18"/>
        </w:rPr>
        <w:t>🔴 RSI surachat (74.5 &gt; 70) — risque de correction</w:t>
      </w:r>
    </w:p>
    <w:p>
      <w:pPr>
        <w:pStyle w:val="ListBullet"/>
        <w:spacing w:before="20"/>
        <w:ind w:left="400"/>
      </w:pPr>
      <w:r>
        <w:rPr>
          <w:sz w:val="18"/>
        </w:rPr>
        <w:t>⚠️ Cours à 1.7% du plus haut 100j (9,660 FCFA)</w:t>
      </w:r>
    </w:p>
    <w:p>
      <w:pPr>
        <w:spacing w:before="120"/>
      </w:pPr>
      <w:r>
        <w:rPr>
          <w:b/>
          <w:color w:val="0050A0"/>
          <w:sz w:val="20"/>
        </w:rPr>
        <w:t>UNXC — UNXC - UNIWAX COTE D'IVOIRE</w:t>
      </w:r>
    </w:p>
    <w:p>
      <w:pPr>
        <w:pStyle w:val="ListBullet"/>
        <w:spacing w:before="20"/>
        <w:ind w:left="400"/>
      </w:pPr>
      <w:r>
        <w:rPr>
          <w:sz w:val="18"/>
        </w:rPr>
        <w:t>🔴 RSI surachat (83.6 &gt; 70) — risque de correction</w:t>
      </w:r>
    </w:p>
    <w:p>
      <w:pPr>
        <w:pStyle w:val="ListBullet"/>
        <w:spacing w:before="20"/>
        <w:ind w:left="400"/>
      </w:pPr>
      <w:r>
        <w:rPr>
          <w:sz w:val="18"/>
        </w:rPr>
        <w:t>⚠️ Cours à 1.6% du plus haut 100j (2,495 FCFA)</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Cours à 1.6% du plus haut 100j (29,970 FCFA)</w:t>
      </w:r>
    </w:p>
    <w:p>
      <w:pPr>
        <w:spacing w:before="120"/>
      </w:pPr>
      <w:r>
        <w:rPr>
          <w:b/>
          <w:color w:val="0050A0"/>
          <w:sz w:val="20"/>
        </w:rPr>
        <w:t>BOAM — BANK OF AFRICA MALI</w:t>
      </w:r>
    </w:p>
    <w:p>
      <w:pPr>
        <w:pStyle w:val="ListBullet"/>
        <w:spacing w:before="20"/>
        <w:ind w:left="400"/>
      </w:pPr>
      <w:r>
        <w:rPr>
          <w:sz w:val="18"/>
        </w:rPr>
        <w:t>🔴 RSI surachat (82.0 &gt; 70) — risque de correction</w:t>
      </w:r>
    </w:p>
    <w:p>
      <w:pPr>
        <w:spacing w:before="120"/>
      </w:pPr>
      <w:r>
        <w:rPr>
          <w:b/>
          <w:color w:val="0050A0"/>
          <w:sz w:val="20"/>
        </w:rPr>
        <w:t>BOAN — BANK OF AFRICA NIGER</w:t>
      </w:r>
    </w:p>
    <w:p>
      <w:pPr>
        <w:pStyle w:val="ListBullet"/>
        <w:spacing w:before="20"/>
        <w:ind w:left="400"/>
      </w:pPr>
      <w:r>
        <w:rPr>
          <w:sz w:val="18"/>
        </w:rPr>
        <w:t>⚠️ Cours à 2.6% du plus haut 100j (5,645 FCFA)</w:t>
      </w:r>
    </w:p>
    <w:p>
      <w:pPr>
        <w:spacing w:before="120"/>
      </w:pPr>
      <w:r>
        <w:rPr>
          <w:b/>
          <w:color w:val="0050A0"/>
          <w:sz w:val="20"/>
        </w:rPr>
        <w:t>CBIBF — CBIBF - CORIS BANK INTERNATIONAL BURKINA FASO</w:t>
      </w:r>
    </w:p>
    <w:p>
      <w:pPr>
        <w:pStyle w:val="ListBullet"/>
        <w:spacing w:before="20"/>
        <w:ind w:left="400"/>
      </w:pPr>
      <w:r>
        <w:rPr>
          <w:sz w:val="18"/>
        </w:rPr>
        <w:t>⚠️ Cours à 1.3% du plus haut 100j (30,005 FCFA)</w:t>
      </w:r>
    </w:p>
    <w:p>
      <w:pPr>
        <w:spacing w:before="120"/>
      </w:pPr>
      <w:r>
        <w:rPr>
          <w:b/>
          <w:color w:val="0050A0"/>
          <w:sz w:val="20"/>
        </w:rPr>
        <w:t>CIEC — CIEC - Compagnie Ivoirienne d'Electricité</w:t>
      </w:r>
    </w:p>
    <w:p>
      <w:pPr>
        <w:pStyle w:val="ListBullet"/>
        <w:spacing w:before="20"/>
        <w:ind w:left="400"/>
      </w:pPr>
      <w:r>
        <w:rPr>
          <w:sz w:val="18"/>
        </w:rPr>
        <w:t>🔴 RSI surachat (79.6 &gt; 70) — risque de correction</w:t>
      </w:r>
    </w:p>
    <w:p>
      <w:pPr>
        <w:spacing w:before="120"/>
      </w:pPr>
      <w:r>
        <w:rPr>
          <w:b/>
          <w:color w:val="0050A0"/>
          <w:sz w:val="20"/>
        </w:rPr>
        <w:t>FTSC — FTSC - FILTISAC COTE D'IVOIRE</w:t>
      </w:r>
    </w:p>
    <w:p>
      <w:pPr>
        <w:pStyle w:val="ListBullet"/>
        <w:spacing w:before="20"/>
        <w:ind w:left="400"/>
      </w:pPr>
      <w:r>
        <w:rPr>
          <w:sz w:val="18"/>
        </w:rPr>
        <w:t>🔴 RSI surachat (72.2 &gt; 70) — risque de correction</w:t>
      </w:r>
    </w:p>
    <w:p>
      <w:pPr>
        <w:spacing w:before="120"/>
      </w:pPr>
      <w:r>
        <w:rPr>
          <w:b/>
          <w:color w:val="0050A0"/>
          <w:sz w:val="20"/>
        </w:rPr>
        <w:t>LNBB — LNBB - LOTERIE NATIONALE DU BENIN</w:t>
      </w:r>
    </w:p>
    <w:p>
      <w:pPr>
        <w:pStyle w:val="ListBullet"/>
        <w:spacing w:before="20"/>
        <w:ind w:left="400"/>
      </w:pPr>
      <w:r>
        <w:rPr>
          <w:sz w:val="18"/>
        </w:rPr>
        <w:t>🟠 Divergence tech(VENTE) / fond(ACHAT) — recommandation ajustée à ACHAT</w:t>
      </w:r>
    </w:p>
    <w:p>
      <w:pPr>
        <w:spacing w:before="120"/>
      </w:pPr>
      <w:r>
        <w:rPr>
          <w:b/>
          <w:color w:val="0050A0"/>
          <w:sz w:val="20"/>
        </w:rPr>
        <w:t>NSBC — NSBC - NSIA BANQUE COTE D'IVOIRE</w:t>
      </w:r>
    </w:p>
    <w:p>
      <w:pPr>
        <w:pStyle w:val="ListBullet"/>
        <w:spacing w:before="20"/>
        <w:ind w:left="400"/>
      </w:pPr>
      <w:r>
        <w:rPr>
          <w:sz w:val="18"/>
        </w:rPr>
        <w:t>🟢 RSI survente (18.6 &lt; 30) — opportunité potentielle</w:t>
      </w:r>
    </w:p>
    <w:p>
      <w:pPr>
        <w:spacing w:before="120"/>
      </w:pPr>
      <w:r>
        <w:rPr>
          <w:b/>
          <w:color w:val="0050A0"/>
          <w:sz w:val="20"/>
        </w:rPr>
        <w:t>PALC — PALC - PALM COTE D'IVOIRE</w:t>
      </w:r>
    </w:p>
    <w:p>
      <w:pPr>
        <w:pStyle w:val="ListBullet"/>
        <w:spacing w:before="20"/>
        <w:ind w:left="400"/>
      </w:pPr>
      <w:r>
        <w:rPr>
          <w:sz w:val="18"/>
        </w:rPr>
        <w:t>⚠️ Cours à 2.5% du plus haut 100j (9,640 FCFA)</w:t>
      </w:r>
    </w:p>
    <w:p>
      <w:pPr>
        <w:spacing w:before="120"/>
      </w:pPr>
      <w:r>
        <w:rPr>
          <w:b/>
          <w:color w:val="0050A0"/>
          <w:sz w:val="20"/>
        </w:rPr>
        <w:t>SHEC — SHEC - VIVO ENERGY COTE D'IVOIRE</w:t>
      </w:r>
    </w:p>
    <w:p>
      <w:pPr>
        <w:pStyle w:val="ListBullet"/>
        <w:spacing w:before="20"/>
        <w:ind w:left="400"/>
      </w:pPr>
      <w:r>
        <w:rPr>
          <w:sz w:val="18"/>
        </w:rPr>
        <w:t>⚠️ Cours à 1.6% du plus haut 100j (2,480 FCFA)</w:t>
      </w:r>
    </w:p>
    <w:p>
      <w:pPr>
        <w:spacing w:before="120"/>
      </w:pPr>
      <w:r>
        <w:rPr>
          <w:b/>
          <w:color w:val="0050A0"/>
          <w:sz w:val="20"/>
        </w:rPr>
        <w:t>SMBC — SMBC - Société Multinationale de Bitumes COTE D'IVOIRE</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TTLC — TTLC - TOTAL ENERGIES MARKETING COTE D'IVOIRE</w:t>
      </w:r>
    </w:p>
    <w:p>
      <w:pPr>
        <w:pStyle w:val="ListBullet"/>
        <w:spacing w:before="20"/>
        <w:ind w:left="400"/>
      </w:pPr>
      <w:r>
        <w:rPr>
          <w:sz w:val="18"/>
        </w:rPr>
        <w:t>🔴 RSI surachat (74.5 &gt; 70) — risque de correction</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21 société(s) (45%)</w:t>
            </w:r>
          </w:p>
        </w:tc>
        <w:tc>
          <w:tcPr>
            <w:tcW w:type="dxa" w:w="1644"/>
            <w:shd w:fill="FFEB9C" w:val="clear"/>
          </w:tcPr>
          <w:p>
            <w:r>
              <w:rPr>
                <w:b/>
                <w:color w:val="825A00"/>
                <w:sz w:val="19"/>
              </w:rPr>
              <w:t>26 société(s) (55%)</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21.2/100</w:t>
            </w:r>
          </w:p>
        </w:tc>
        <w:tc>
          <w:tcPr>
            <w:tcW w:type="dxa" w:w="1644"/>
            <w:shd w:fill="DEEAF1" w:val="clear"/>
          </w:tcPr>
          <w:p>
            <w:r>
              <w:rPr>
                <w:b/>
                <w:color w:val="000000"/>
                <w:sz w:val="19"/>
              </w:rPr>
              <w:t>20.3/100</w:t>
            </w:r>
          </w:p>
        </w:tc>
      </w:tr>
    </w:tbl>
    <w:p/>
    <w:p>
      <w:r>
        <w:rPr>
          <w:i/>
          <w:color w:val="006400"/>
          <w:sz w:val="18"/>
        </w:rPr>
        <w:t>✅ Le marché BRVM présente globalement un profil de risque FAIBLE (score moyen 21.2/100).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NEIC</w:t>
            </w:r>
          </w:p>
        </w:tc>
        <w:tc>
          <w:tcPr>
            <w:tcW w:type="dxa" w:w="2268"/>
            <w:shd w:fill="FFFFFF" w:val="clear"/>
          </w:tcPr>
          <w:p>
            <w:r>
              <w:rPr>
                <w:sz w:val="16"/>
              </w:rPr>
              <w:t>NEIC - NEI-CEDA CI</w:t>
            </w:r>
          </w:p>
        </w:tc>
        <w:tc>
          <w:tcPr>
            <w:tcW w:type="dxa" w:w="1701"/>
            <w:shd w:fill="FFFFFF" w:val="clear"/>
          </w:tcPr>
          <w:p>
            <w:r>
              <w:rPr>
                <w:sz w:val="16"/>
              </w:rPr>
              <w:t>CONSOMMATION DISCR</w:t>
            </w:r>
          </w:p>
        </w:tc>
        <w:tc>
          <w:tcPr>
            <w:tcW w:type="dxa" w:w="1020"/>
            <w:shd w:fill="FFEB9C" w:val="clear"/>
          </w:tcPr>
          <w:p>
            <w:r>
              <w:rPr>
                <w:b/>
                <w:color w:val="B40000"/>
                <w:sz w:val="16"/>
              </w:rPr>
              <w:t>32.6/100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30.1/100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NEIC (32.6/100 — Moyen) : </w:t>
      </w:r>
      <w:r>
        <w:rPr>
          <w:sz w:val="17"/>
        </w:rPr>
        <w:t>Volatilité=Élevée | Bêta=Contre-cyclique | Liquidité=Bonne | Divergence signaux=taux divergence=40% (Très divergent ❌) | Stabilité=Modérée</w:t>
      </w:r>
    </w:p>
    <w:p>
      <w:pPr>
        <w:pStyle w:val="ListBullet"/>
      </w:pPr>
      <w:r>
        <w:rPr>
          <w:b/>
          <w:color w:val="B40000"/>
          <w:sz w:val="18"/>
        </w:rPr>
        <w:t xml:space="preserve">#4 NSBC (31.3/100 — Moyen) : </w:t>
      </w:r>
      <w:r>
        <w:rPr>
          <w:sz w:val="17"/>
        </w:rPr>
        <w:t>Volatilité=Élevée | Bêta=Agressif | Liquidité=Bonne | Divergence signaux=taux divergence=20% (Mixte ⚠️) | Stabilité=Stable</w:t>
      </w:r>
    </w:p>
    <w:p>
      <w:pPr>
        <w:pStyle w:val="ListBullet"/>
      </w:pPr>
      <w:r>
        <w:rPr>
          <w:b/>
          <w:color w:val="B40000"/>
          <w:sz w:val="18"/>
        </w:rPr>
        <w:t xml:space="preserve">#5 SAFC (30.1/100 — Moyen) : </w:t>
      </w:r>
      <w:r>
        <w:rPr>
          <w:sz w:val="17"/>
        </w:rPr>
        <w:t>Volatilité=Élevée | Bêta=Défensif | Liquidité=Bonne | Divergence signaux=taux divergence=20% (Mixte ⚠️) | Stabilité=Instable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SOGC</w:t>
            </w:r>
          </w:p>
        </w:tc>
        <w:tc>
          <w:tcPr>
            <w:tcW w:type="dxa" w:w="2268"/>
            <w:shd w:fill="FFFFFF" w:val="clear"/>
          </w:tcPr>
          <w:p>
            <w:r>
              <w:rPr>
                <w:sz w:val="16"/>
              </w:rPr>
              <w:t>SOGC - Société des caoutchou…</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32.6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Instable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29.8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27.1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24.8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FFEB9C" w:val="clear"/>
          </w:tcPr>
          <w:p>
            <w:r>
              <w:rPr>
                <w:b/>
                <w:color w:val="825A00"/>
                <w:sz w:val="15"/>
              </w:rPr>
              <w:t>23.8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23.3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22.5</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18.6</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C6EFCE" w:val="clear"/>
          </w:tcPr>
          <w:p>
            <w:r>
              <w:rPr>
                <w:b/>
                <w:color w:val="006400"/>
                <w:sz w:val="15"/>
              </w:rPr>
              <w:t>18.5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Convergent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-12.43%  |  Médiane : -8.59%</w:t>
            </w:r>
          </w:p>
        </w:tc>
      </w:tr>
      <w:tr>
        <w:tc>
          <w:tcPr>
            <w:tcW w:type="dxa" w:w="2835"/>
            <w:shd w:fill="DEEAF1" w:val="clear"/>
          </w:tcPr>
          <w:p>
            <w:r>
              <w:rPr>
                <w:b/>
                <w:sz w:val="18"/>
              </w:rPr>
              <w:t>Répartition</w:t>
            </w:r>
          </w:p>
        </w:tc>
        <w:tc>
          <w:tcPr>
            <w:tcW w:type="dxa" w:w="7370"/>
          </w:tcPr>
          <w:p>
            <w:r>
              <w:rPr>
                <w:b/>
                <w:sz w:val="18"/>
              </w:rPr>
              <w:t>📈 8 sociétés en hausse (&gt;+1%)   📉 36 en baisse (&lt;-1%)   ➡️ 3 neutres</w:t>
            </w:r>
          </w:p>
        </w:tc>
      </w:tr>
      <w:tr>
        <w:tc>
          <w:tcPr>
            <w:tcW w:type="dxa" w:w="2835"/>
            <w:shd w:fill="DEEAF1" w:val="clear"/>
          </w:tcPr>
          <w:p>
            <w:r>
              <w:rPr>
                <w:b/>
                <w:sz w:val="18"/>
              </w:rPr>
              <w:t>Confiance globale</w:t>
            </w:r>
          </w:p>
        </w:tc>
        <w:tc>
          <w:tcPr>
            <w:tcW w:type="dxa" w:w="7370"/>
          </w:tcPr>
          <w:p>
            <w:r>
              <w:rPr>
                <w:b/>
                <w:sz w:val="18"/>
              </w:rPr>
              <w:t>Élevée : 0 sociétés (0%)   Moyenne : 14   Faible : 33 (70%)   → Confiance dominante : Faible</w:t>
            </w:r>
          </w:p>
        </w:tc>
      </w:tr>
    </w:tbl>
    <w:p/>
    <w:p>
      <w:r>
        <w:rPr>
          <w:i/>
          <w:color w:val="282828"/>
          <w:sz w:val="18"/>
        </w:rPr>
        <w:t>📝 Analyse : Les modèles anticipent une correction généralisée. 36 sociétés sur 47 sont orientées à la baisse avec une variation moyenne de -12.43%.</w:t>
      </w:r>
    </w:p>
    <w:p>
      <w:r>
        <w:rPr>
          <w:i/>
          <w:color w:val="282828"/>
          <w:sz w:val="18"/>
        </w:rPr>
        <w:t>🎯 Fiabilité : ⚠️ La confiance est globalement FAIBLE (70%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3,495 FCFA</w:t>
            </w:r>
          </w:p>
        </w:tc>
        <w:tc>
          <w:tcPr>
            <w:tcW w:type="dxa" w:w="1417"/>
            <w:shd w:fill="FFFFFF" w:val="clear"/>
          </w:tcPr>
          <w:p>
            <w:r>
              <w:rPr>
                <w:sz w:val="16"/>
              </w:rPr>
              <w:t>6,176 FCFA</w:t>
            </w:r>
          </w:p>
        </w:tc>
        <w:tc>
          <w:tcPr>
            <w:tcW w:type="dxa" w:w="1134"/>
            <w:shd w:fill="C6EFCE" w:val="clear"/>
          </w:tcPr>
          <w:p>
            <w:r>
              <w:rPr>
                <w:b/>
                <w:color w:val="007800"/>
                <w:sz w:val="16"/>
              </w:rPr>
              <w:t>+76.72%</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22,500 FCFA</w:t>
            </w:r>
          </w:p>
        </w:tc>
        <w:tc>
          <w:tcPr>
            <w:tcW w:type="dxa" w:w="1417"/>
            <w:shd w:fill="FFFFFF" w:val="clear"/>
          </w:tcPr>
          <w:p>
            <w:r>
              <w:rPr>
                <w:sz w:val="16"/>
              </w:rPr>
              <w:t>26,580 FCFA</w:t>
            </w:r>
          </w:p>
        </w:tc>
        <w:tc>
          <w:tcPr>
            <w:tcW w:type="dxa" w:w="1134"/>
            <w:shd w:fill="C6EFCE" w:val="clear"/>
          </w:tcPr>
          <w:p>
            <w:r>
              <w:rPr>
                <w:b/>
                <w:color w:val="007800"/>
                <w:sz w:val="16"/>
              </w:rPr>
              <w:t>+18.13%</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52,200 FCFA</w:t>
            </w:r>
          </w:p>
        </w:tc>
        <w:tc>
          <w:tcPr>
            <w:tcW w:type="dxa" w:w="1417"/>
            <w:shd w:fill="FFFFFF" w:val="clear"/>
          </w:tcPr>
          <w:p>
            <w:r>
              <w:rPr>
                <w:sz w:val="16"/>
              </w:rPr>
              <w:t>59,318 FCFA</w:t>
            </w:r>
          </w:p>
        </w:tc>
        <w:tc>
          <w:tcPr>
            <w:tcW w:type="dxa" w:w="1134"/>
            <w:shd w:fill="C6EFCE" w:val="clear"/>
          </w:tcPr>
          <w:p>
            <w:r>
              <w:rPr>
                <w:b/>
                <w:color w:val="007800"/>
                <w:sz w:val="16"/>
              </w:rPr>
              <w:t>+13.64%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22,350 FCFA</w:t>
            </w:r>
          </w:p>
        </w:tc>
        <w:tc>
          <w:tcPr>
            <w:tcW w:type="dxa" w:w="1417"/>
            <w:shd w:fill="FFFFFF" w:val="clear"/>
          </w:tcPr>
          <w:p>
            <w:r>
              <w:rPr>
                <w:sz w:val="16"/>
              </w:rPr>
              <w:t>24,721 FCFA</w:t>
            </w:r>
          </w:p>
        </w:tc>
        <w:tc>
          <w:tcPr>
            <w:tcW w:type="dxa" w:w="1134"/>
            <w:shd w:fill="C6EFCE" w:val="clear"/>
          </w:tcPr>
          <w:p>
            <w:r>
              <w:rPr>
                <w:b/>
                <w:color w:val="007800"/>
                <w:sz w:val="16"/>
              </w:rPr>
              <w:t>+10.61%</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2,160 FCFA</w:t>
            </w:r>
          </w:p>
        </w:tc>
        <w:tc>
          <w:tcPr>
            <w:tcW w:type="dxa" w:w="1417"/>
            <w:shd w:fill="FFFFFF" w:val="clear"/>
          </w:tcPr>
          <w:p>
            <w:r>
              <w:rPr>
                <w:sz w:val="16"/>
              </w:rPr>
              <w:t>2,257 FCFA</w:t>
            </w:r>
          </w:p>
        </w:tc>
        <w:tc>
          <w:tcPr>
            <w:tcW w:type="dxa" w:w="1134"/>
            <w:shd w:fill="C6EFCE" w:val="clear"/>
          </w:tcPr>
          <w:p>
            <w:r>
              <w:rPr>
                <w:b/>
                <w:color w:val="007800"/>
                <w:sz w:val="16"/>
              </w:rPr>
              <w:t>+4.51%</w:t>
            </w:r>
          </w:p>
        </w:tc>
        <w:tc>
          <w:tcPr>
            <w:tcW w:type="dxa" w:w="1020"/>
            <w:shd w:fill="FFEB9C" w:val="clear"/>
          </w:tcPr>
          <w:p>
            <w:r>
              <w:rPr>
                <w:sz w:val="16"/>
              </w:rPr>
              <w:t>Moyenne</w:t>
            </w:r>
          </w:p>
        </w:tc>
      </w:tr>
    </w:tbl>
    <w:p/>
    <w:p>
      <w:pPr>
        <w:pStyle w:val="ListBullet"/>
      </w:pPr>
      <w:r>
        <w:rPr>
          <w:b/>
          <w:color w:val="006400"/>
          <w:sz w:val="18"/>
        </w:rPr>
        <w:t xml:space="preserve">#1 CABC </w:t>
      </w:r>
      <w:r>
        <w:rPr>
          <w:sz w:val="17"/>
        </w:rPr>
        <w:t>(CABC - SICABLE COTE D'IVOIRE) — hausse très forte (+76.7%) — signal potentiellement excessif, à croiser avec l'analyse technique. Trajectoire : 📈 Hausse continue. Cours actuel : 3,495 FCFA → prédit J+10 : 6,176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(+18.1%) — potentiel de revalorisation notable. Trajectoire : 📈 Hausse continue. Cours actuel : 22,500 FCFA → prédit J+10 : 26,580 FCFA. ⚠️ Confiance limitée — volatilité élevée ou données insuffisantes. Résultat indicatif uniquement.</w:t>
      </w:r>
    </w:p>
    <w:p>
      <w:pPr>
        <w:pStyle w:val="ListBullet"/>
      </w:pPr>
      <w:r>
        <w:rPr>
          <w:b/>
          <w:color w:val="006400"/>
          <w:sz w:val="18"/>
        </w:rPr>
        <w:t xml:space="preserve">#3 UNLC </w:t>
      </w:r>
      <w:r>
        <w:rPr>
          <w:sz w:val="17"/>
        </w:rPr>
        <w:t>(UNLC - UNILEVER COTE D'IVOIRE) — hausse significative (+13.6%) — potentiel de revalorisation notable. Trajectoire : 📈 Hausse continue. Cours actuel : 52,200 FCFA → prédit J+10 : 59,318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significative (+10.6%) — potentiel de revalorisation notable. Trajectoire : 📈 Hausse continue. Cours actuel : 22,350 FCFA → prédit J+10 : 24,721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(+4.5%) — progression graduelle attendue. Trajectoire : 📈 Hausse continue. Cours actuel : 2,160 FCFA → prédit J+10 : 2,257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5,865 FCFA</w:t>
            </w:r>
          </w:p>
        </w:tc>
        <w:tc>
          <w:tcPr>
            <w:tcW w:type="dxa" w:w="1417"/>
            <w:shd w:fill="FFFFFF" w:val="clear"/>
          </w:tcPr>
          <w:p>
            <w:r>
              <w:rPr>
                <w:sz w:val="16"/>
              </w:rPr>
              <w:t>2,690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3,375 FCFA</w:t>
            </w:r>
          </w:p>
        </w:tc>
        <w:tc>
          <w:tcPr>
            <w:tcW w:type="dxa" w:w="1417"/>
            <w:shd w:fill="FFFFFF" w:val="clear"/>
          </w:tcPr>
          <w:p>
            <w:r>
              <w:rPr>
                <w:sz w:val="16"/>
              </w:rPr>
              <w:t>1,548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65 FCFA</w:t>
            </w:r>
          </w:p>
        </w:tc>
        <w:tc>
          <w:tcPr>
            <w:tcW w:type="dxa" w:w="1417"/>
            <w:shd w:fill="FFFFFF" w:val="clear"/>
          </w:tcPr>
          <w:p>
            <w:r>
              <w:rPr>
                <w:sz w:val="16"/>
              </w:rPr>
              <w:t>30 FCFA</w:t>
            </w:r>
          </w:p>
        </w:tc>
        <w:tc>
          <w:tcPr>
            <w:tcW w:type="dxa" w:w="1134"/>
            <w:shd w:fill="FFC7CE" w:val="clear"/>
          </w:tcPr>
          <w:p>
            <w:r>
              <w:rPr>
                <w:b/>
                <w:color w:val="B40000"/>
                <w:sz w:val="16"/>
              </w:rPr>
              <w:t>-54.08%</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6,700 FCFA</w:t>
            </w:r>
          </w:p>
        </w:tc>
        <w:tc>
          <w:tcPr>
            <w:tcW w:type="dxa" w:w="1417"/>
            <w:shd w:fill="FFFFFF" w:val="clear"/>
          </w:tcPr>
          <w:p>
            <w:r>
              <w:rPr>
                <w:sz w:val="16"/>
              </w:rPr>
              <w:t>3,264 FCFA</w:t>
            </w:r>
          </w:p>
        </w:tc>
        <w:tc>
          <w:tcPr>
            <w:tcW w:type="dxa" w:w="1134"/>
            <w:shd w:fill="FFC7CE" w:val="clear"/>
          </w:tcPr>
          <w:p>
            <w:r>
              <w:rPr>
                <w:b/>
                <w:color w:val="B40000"/>
                <w:sz w:val="16"/>
              </w:rPr>
              <w:t>-51.28%</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NEIC — NEIC - NEI-CEDA CI</w:t>
            </w:r>
          </w:p>
        </w:tc>
        <w:tc>
          <w:tcPr>
            <w:tcW w:type="dxa" w:w="1701"/>
            <w:shd w:fill="FFFFFF" w:val="clear"/>
          </w:tcPr>
          <w:p>
            <w:r>
              <w:rPr>
                <w:sz w:val="16"/>
              </w:rPr>
              <w:t>CONSOMMATION DISCRET</w:t>
            </w:r>
          </w:p>
        </w:tc>
        <w:tc>
          <w:tcPr>
            <w:tcW w:type="dxa" w:w="1417"/>
            <w:shd w:fill="FFFFFF" w:val="clear"/>
          </w:tcPr>
          <w:p>
            <w:r>
              <w:rPr>
                <w:sz w:val="16"/>
              </w:rPr>
              <w:t>3,000 FCFA</w:t>
            </w:r>
          </w:p>
        </w:tc>
        <w:tc>
          <w:tcPr>
            <w:tcW w:type="dxa" w:w="1417"/>
            <w:shd w:fill="FFFFFF" w:val="clear"/>
          </w:tcPr>
          <w:p>
            <w:r>
              <w:rPr>
                <w:sz w:val="16"/>
              </w:rPr>
              <w:t>1,494 FCFA</w:t>
            </w:r>
          </w:p>
        </w:tc>
        <w:tc>
          <w:tcPr>
            <w:tcW w:type="dxa" w:w="1134"/>
            <w:shd w:fill="FFC7CE" w:val="clear"/>
          </w:tcPr>
          <w:p>
            <w:r>
              <w:rPr>
                <w:b/>
                <w:color w:val="B40000"/>
                <w:sz w:val="16"/>
              </w:rPr>
              <w:t>-50.20%</w:t>
            </w:r>
          </w:p>
        </w:tc>
        <w:tc>
          <w:tcPr>
            <w:tcW w:type="dxa" w:w="1020"/>
            <w:shd w:fill="FFC7CE" w:val="clear"/>
          </w:tcPr>
          <w:p>
            <w:r>
              <w:rPr>
                <w:sz w:val="16"/>
              </w:rPr>
              <w:t>Faible</w:t>
            </w:r>
          </w:p>
        </w:tc>
      </w:tr>
    </w:tbl>
    <w:p/>
    <w:p>
      <w:pPr>
        <w:pStyle w:val="ListBullet"/>
      </w:pPr>
      <w:r>
        <w:rPr>
          <w:b/>
          <w:color w:val="B40000"/>
          <w:sz w:val="18"/>
        </w:rPr>
        <w:t xml:space="preserve">#1 SAFC </w:t>
      </w:r>
      <w:r>
        <w:rPr>
          <w:sz w:val="17"/>
        </w:rPr>
        <w:t>(SAFCA CI) — baisse très forte (-54.1%) — amplitude potentiellement surestimée par le modèle. Trajectoire : 📉 Baisse continue. Cours actuel : 5,865 FCFA → prédit J+10 : 2,690 FCFA. ⚠️ Confiance limitée — volatilité élevée. Ne pas agir sur ce seul signal.</w:t>
      </w:r>
    </w:p>
    <w:p>
      <w:pPr>
        <w:pStyle w:val="ListBullet"/>
      </w:pPr>
      <w:r>
        <w:rPr>
          <w:b/>
          <w:color w:val="B40000"/>
          <w:sz w:val="18"/>
        </w:rPr>
        <w:t xml:space="preserve">#2 SCRC </w:t>
      </w:r>
      <w:r>
        <w:rPr>
          <w:sz w:val="17"/>
        </w:rPr>
        <w:t>(SCRC - SUCRIVOIRE) — baisse très forte (-54.1%) — amplitude potentiellement surestimée par le modèle. Trajectoire : 📉 Baisse continue. Cours actuel : 3,375 FCFA → prédit J+10 : 1,548 FCFA. ⚠️ Confiance limitée — volatilité élevée. Ne pas agir sur ce seul signal.</w:t>
      </w:r>
    </w:p>
    <w:p>
      <w:pPr>
        <w:pStyle w:val="ListBullet"/>
      </w:pPr>
      <w:r>
        <w:rPr>
          <w:b/>
          <w:color w:val="B40000"/>
          <w:sz w:val="18"/>
        </w:rPr>
        <w:t xml:space="preserve">#3 ETIT </w:t>
      </w:r>
      <w:r>
        <w:rPr>
          <w:sz w:val="17"/>
        </w:rPr>
        <w:t>(ETIT - Ecobank Transnational Incorporate) — baisse très forte (-54.1%) — amplitude potentiellement surestimée par le modèle. Trajectoire : 📉 Baisse continue. Cours actuel : 65 FCFA → prédit J+10 : 30 FCFA. ⚠️ Confiance limitée — volatilité élevée. Ne pas agir sur ce seul signal.</w:t>
      </w:r>
    </w:p>
    <w:p>
      <w:pPr>
        <w:pStyle w:val="ListBullet"/>
      </w:pPr>
      <w:r>
        <w:rPr>
          <w:b/>
          <w:color w:val="B40000"/>
          <w:sz w:val="18"/>
        </w:rPr>
        <w:t xml:space="preserve">#4 CIEC </w:t>
      </w:r>
      <w:r>
        <w:rPr>
          <w:sz w:val="17"/>
        </w:rPr>
        <w:t>(CIEC - Compagnie Ivoirienne d'Electricit) — baisse très forte (-51.3%) — amplitude potentiellement surestimée par le modèle. Trajectoire : 📉 Baisse continue. Cours actuel : 6,700 FCFA → prédit J+10 : 3,264 FCFA. ⚠️ Confiance limitée — volatilité élevée. Ne pas agir sur ce seul signal.</w:t>
      </w:r>
    </w:p>
    <w:p>
      <w:pPr>
        <w:pStyle w:val="ListBullet"/>
      </w:pPr>
      <w:r>
        <w:rPr>
          <w:b/>
          <w:color w:val="B40000"/>
          <w:sz w:val="18"/>
        </w:rPr>
        <w:t xml:space="preserve">#5 NEIC </w:t>
      </w:r>
      <w:r>
        <w:rPr>
          <w:sz w:val="17"/>
        </w:rPr>
        <w:t>(NEIC - NEI-CEDA CI) — baisse très forte (-50.2%) — amplitude potentiellement surestimée par le modèle. Trajectoire : 📉 Baisse continue. Cours actuel : 3,000 FCFA → prédit J+10 : 1,494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3,495</w:t>
            </w:r>
          </w:p>
        </w:tc>
        <w:tc>
          <w:tcPr>
            <w:tcW w:type="dxa" w:w="1417"/>
            <w:shd w:fill="FFFFFF" w:val="clear"/>
          </w:tcPr>
          <w:p>
            <w:r>
              <w:rPr>
                <w:sz w:val="16"/>
              </w:rPr>
              <w:t>6,176</w:t>
            </w:r>
          </w:p>
        </w:tc>
        <w:tc>
          <w:tcPr>
            <w:tcW w:type="dxa" w:w="1134"/>
            <w:shd w:fill="C6EFCE" w:val="clear"/>
          </w:tcPr>
          <w:p>
            <w:r>
              <w:rPr>
                <w:b/>
                <w:color w:val="007800"/>
                <w:sz w:val="16"/>
              </w:rPr>
              <w:t>+76.72%</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22,500</w:t>
            </w:r>
          </w:p>
        </w:tc>
        <w:tc>
          <w:tcPr>
            <w:tcW w:type="dxa" w:w="1417"/>
            <w:shd w:fill="FFFFFF" w:val="clear"/>
          </w:tcPr>
          <w:p>
            <w:r>
              <w:rPr>
                <w:sz w:val="16"/>
              </w:rPr>
              <w:t>26,580</w:t>
            </w:r>
          </w:p>
        </w:tc>
        <w:tc>
          <w:tcPr>
            <w:tcW w:type="dxa" w:w="1134"/>
            <w:shd w:fill="C6EFCE" w:val="clear"/>
          </w:tcPr>
          <w:p>
            <w:r>
              <w:rPr>
                <w:b/>
                <w:color w:val="007800"/>
                <w:sz w:val="16"/>
              </w:rPr>
              <w:t>+18.13%</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52,200</w:t>
            </w:r>
          </w:p>
        </w:tc>
        <w:tc>
          <w:tcPr>
            <w:tcW w:type="dxa" w:w="1417"/>
            <w:shd w:fill="FFFFFF" w:val="clear"/>
          </w:tcPr>
          <w:p>
            <w:r>
              <w:rPr>
                <w:sz w:val="16"/>
              </w:rPr>
              <w:t>59,318</w:t>
            </w:r>
          </w:p>
        </w:tc>
        <w:tc>
          <w:tcPr>
            <w:tcW w:type="dxa" w:w="1134"/>
            <w:shd w:fill="C6EFCE" w:val="clear"/>
          </w:tcPr>
          <w:p>
            <w:r>
              <w:rPr>
                <w:b/>
                <w:color w:val="007800"/>
                <w:sz w:val="16"/>
              </w:rPr>
              <w:t>+13.64%</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22,350</w:t>
            </w:r>
          </w:p>
        </w:tc>
        <w:tc>
          <w:tcPr>
            <w:tcW w:type="dxa" w:w="1417"/>
            <w:shd w:fill="FFFFFF" w:val="clear"/>
          </w:tcPr>
          <w:p>
            <w:r>
              <w:rPr>
                <w:sz w:val="16"/>
              </w:rPr>
              <w:t>24,721</w:t>
            </w:r>
          </w:p>
        </w:tc>
        <w:tc>
          <w:tcPr>
            <w:tcW w:type="dxa" w:w="1134"/>
            <w:shd w:fill="C6EFCE" w:val="clear"/>
          </w:tcPr>
          <w:p>
            <w:r>
              <w:rPr>
                <w:b/>
                <w:color w:val="007800"/>
                <w:sz w:val="16"/>
              </w:rPr>
              <w:t>+10.61%</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2,160</w:t>
            </w:r>
          </w:p>
        </w:tc>
        <w:tc>
          <w:tcPr>
            <w:tcW w:type="dxa" w:w="1417"/>
            <w:shd w:fill="FFFFFF" w:val="clear"/>
          </w:tcPr>
          <w:p>
            <w:r>
              <w:rPr>
                <w:sz w:val="16"/>
              </w:rPr>
              <w:t>2,257</w:t>
            </w:r>
          </w:p>
        </w:tc>
        <w:tc>
          <w:tcPr>
            <w:tcW w:type="dxa" w:w="1134"/>
            <w:shd w:fill="C6EFCE" w:val="clear"/>
          </w:tcPr>
          <w:p>
            <w:r>
              <w:rPr>
                <w:b/>
                <w:color w:val="007800"/>
                <w:sz w:val="16"/>
              </w:rPr>
              <w:t>+4.51%</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9,400</w:t>
            </w:r>
          </w:p>
        </w:tc>
        <w:tc>
          <w:tcPr>
            <w:tcW w:type="dxa" w:w="1417"/>
            <w:shd w:fill="FFFFFF" w:val="clear"/>
          </w:tcPr>
          <w:p>
            <w:r>
              <w:rPr>
                <w:sz w:val="16"/>
              </w:rPr>
              <w:t>9,581</w:t>
            </w:r>
          </w:p>
        </w:tc>
        <w:tc>
          <w:tcPr>
            <w:tcW w:type="dxa" w:w="1134"/>
            <w:shd w:fill="C6EFCE" w:val="clear"/>
          </w:tcPr>
          <w:p>
            <w:r>
              <w:rPr>
                <w:b/>
                <w:color w:val="007800"/>
                <w:sz w:val="16"/>
              </w:rPr>
              <w:t>+1.93%</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8,200</w:t>
            </w:r>
          </w:p>
        </w:tc>
        <w:tc>
          <w:tcPr>
            <w:tcW w:type="dxa" w:w="1417"/>
            <w:shd w:fill="FFFFFF" w:val="clear"/>
          </w:tcPr>
          <w:p>
            <w:r>
              <w:rPr>
                <w:sz w:val="16"/>
              </w:rPr>
              <w:t>8,321</w:t>
            </w:r>
          </w:p>
        </w:tc>
        <w:tc>
          <w:tcPr>
            <w:tcW w:type="dxa" w:w="1134"/>
            <w:shd w:fill="C6EFCE" w:val="clear"/>
          </w:tcPr>
          <w:p>
            <w:r>
              <w:rPr>
                <w:b/>
                <w:color w:val="007800"/>
                <w:sz w:val="16"/>
              </w:rPr>
              <w:t>+1.48%</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15,900</w:t>
            </w:r>
          </w:p>
        </w:tc>
        <w:tc>
          <w:tcPr>
            <w:tcW w:type="dxa" w:w="1417"/>
            <w:shd w:fill="FFFFFF" w:val="clear"/>
          </w:tcPr>
          <w:p>
            <w:r>
              <w:rPr>
                <w:sz w:val="16"/>
              </w:rPr>
              <w:t>16,079</w:t>
            </w:r>
          </w:p>
        </w:tc>
        <w:tc>
          <w:tcPr>
            <w:tcW w:type="dxa" w:w="1134"/>
            <w:shd w:fill="C6EFCE" w:val="clear"/>
          </w:tcPr>
          <w:p>
            <w:r>
              <w:rPr>
                <w:b/>
                <w:color w:val="007800"/>
                <w:sz w:val="16"/>
              </w:rPr>
              <w:t>+1.13%</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4,000</w:t>
            </w:r>
          </w:p>
        </w:tc>
        <w:tc>
          <w:tcPr>
            <w:tcW w:type="dxa" w:w="1417"/>
            <w:shd w:fill="FFFFFF" w:val="clear"/>
          </w:tcPr>
          <w:p>
            <w:r>
              <w:rPr>
                <w:sz w:val="16"/>
              </w:rPr>
              <w:t>3,997</w:t>
            </w:r>
          </w:p>
        </w:tc>
        <w:tc>
          <w:tcPr>
            <w:tcW w:type="dxa" w:w="1134"/>
            <w:shd w:fill="FFEB9C" w:val="clear"/>
          </w:tcPr>
          <w:p>
            <w:r>
              <w:rPr>
                <w:b/>
                <w:color w:val="646400"/>
                <w:sz w:val="16"/>
              </w:rPr>
              <w:t>-0.07%</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37,000</w:t>
            </w:r>
          </w:p>
        </w:tc>
        <w:tc>
          <w:tcPr>
            <w:tcW w:type="dxa" w:w="1417"/>
            <w:shd w:fill="FFFFFF" w:val="clear"/>
          </w:tcPr>
          <w:p>
            <w:r>
              <w:rPr>
                <w:sz w:val="16"/>
              </w:rPr>
              <w:t>36,907</w:t>
            </w:r>
          </w:p>
        </w:tc>
        <w:tc>
          <w:tcPr>
            <w:tcW w:type="dxa" w:w="1134"/>
            <w:shd w:fill="FFEB9C" w:val="clear"/>
          </w:tcPr>
          <w:p>
            <w:r>
              <w:rPr>
                <w:b/>
                <w:color w:val="646400"/>
                <w:sz w:val="16"/>
              </w:rPr>
              <w:t>-0.25%</w:t>
            </w:r>
          </w:p>
        </w:tc>
        <w:tc>
          <w:tcPr>
            <w:tcW w:type="dxa" w:w="1134"/>
            <w:shd w:fill="FFEB9C" w:val="clear"/>
          </w:tcPr>
          <w:p>
            <w:r>
              <w:rPr>
                <w:sz w:val="16"/>
              </w:rPr>
              <w:t>Moyenne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3,155</w:t>
            </w:r>
          </w:p>
        </w:tc>
        <w:tc>
          <w:tcPr>
            <w:tcW w:type="dxa" w:w="1417"/>
            <w:shd w:fill="FFFFFF" w:val="clear"/>
          </w:tcPr>
          <w:p>
            <w:r>
              <w:rPr>
                <w:sz w:val="16"/>
              </w:rPr>
              <w:t>3,130</w:t>
            </w:r>
          </w:p>
        </w:tc>
        <w:tc>
          <w:tcPr>
            <w:tcW w:type="dxa" w:w="1134"/>
            <w:shd w:fill="FFEB9C" w:val="clear"/>
          </w:tcPr>
          <w:p>
            <w:r>
              <w:rPr>
                <w:b/>
                <w:color w:val="646400"/>
                <w:sz w:val="16"/>
              </w:rPr>
              <w:t>-0.80%</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16,845</w:t>
            </w:r>
          </w:p>
        </w:tc>
        <w:tc>
          <w:tcPr>
            <w:tcW w:type="dxa" w:w="1417"/>
            <w:shd w:fill="FFFFFF" w:val="clear"/>
          </w:tcPr>
          <w:p>
            <w:r>
              <w:rPr>
                <w:sz w:val="16"/>
              </w:rPr>
              <w:t>16,577</w:t>
            </w:r>
          </w:p>
        </w:tc>
        <w:tc>
          <w:tcPr>
            <w:tcW w:type="dxa" w:w="1134"/>
            <w:shd w:fill="FFC7CE" w:val="clear"/>
          </w:tcPr>
          <w:p>
            <w:r>
              <w:rPr>
                <w:b/>
                <w:color w:val="B40000"/>
                <w:sz w:val="16"/>
              </w:rPr>
              <w:t>-1.59%</w:t>
            </w:r>
          </w:p>
        </w:tc>
        <w:tc>
          <w:tcPr>
            <w:tcW w:type="dxa" w:w="1134"/>
            <w:shd w:fill="FFEB9C" w:val="clear"/>
          </w:tcPr>
          <w:p>
            <w:r>
              <w:rPr>
                <w:sz w:val="16"/>
              </w:rPr>
              <w:t>Moyenne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38,000</w:t>
            </w:r>
          </w:p>
        </w:tc>
        <w:tc>
          <w:tcPr>
            <w:tcW w:type="dxa" w:w="1417"/>
            <w:shd w:fill="FFFFFF" w:val="clear"/>
          </w:tcPr>
          <w:p>
            <w:r>
              <w:rPr>
                <w:sz w:val="16"/>
              </w:rPr>
              <w:t>37,392</w:t>
            </w:r>
          </w:p>
        </w:tc>
        <w:tc>
          <w:tcPr>
            <w:tcW w:type="dxa" w:w="1134"/>
            <w:shd w:fill="FFC7CE" w:val="clear"/>
          </w:tcPr>
          <w:p>
            <w:r>
              <w:rPr>
                <w:b/>
                <w:color w:val="B40000"/>
                <w:sz w:val="16"/>
              </w:rPr>
              <w:t>-1.60%</w:t>
            </w:r>
          </w:p>
        </w:tc>
        <w:tc>
          <w:tcPr>
            <w:tcW w:type="dxa" w:w="1134"/>
            <w:shd w:fill="FFEB9C" w:val="clear"/>
          </w:tcPr>
          <w:p>
            <w:r>
              <w:rPr>
                <w:sz w:val="16"/>
              </w:rPr>
              <w:t>Moyenne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2,900</w:t>
            </w:r>
          </w:p>
        </w:tc>
        <w:tc>
          <w:tcPr>
            <w:tcW w:type="dxa" w:w="1417"/>
            <w:shd w:fill="FFFFFF" w:val="clear"/>
          </w:tcPr>
          <w:p>
            <w:r>
              <w:rPr>
                <w:sz w:val="16"/>
              </w:rPr>
              <w:t>2,838</w:t>
            </w:r>
          </w:p>
        </w:tc>
        <w:tc>
          <w:tcPr>
            <w:tcW w:type="dxa" w:w="1134"/>
            <w:shd w:fill="FFC7CE" w:val="clear"/>
          </w:tcPr>
          <w:p>
            <w:r>
              <w:rPr>
                <w:b/>
                <w:color w:val="B40000"/>
                <w:sz w:val="16"/>
              </w:rPr>
              <w:t>-2.13%</w:t>
            </w:r>
          </w:p>
        </w:tc>
        <w:tc>
          <w:tcPr>
            <w:tcW w:type="dxa" w:w="1134"/>
            <w:shd w:fill="FFEB9C" w:val="clear"/>
          </w:tcPr>
          <w:p>
            <w:r>
              <w:rPr>
                <w:sz w:val="16"/>
              </w:rPr>
              <w:t>Moyenne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5,500</w:t>
            </w:r>
          </w:p>
        </w:tc>
        <w:tc>
          <w:tcPr>
            <w:tcW w:type="dxa" w:w="1417"/>
            <w:shd w:fill="FFFFFF" w:val="clear"/>
          </w:tcPr>
          <w:p>
            <w:r>
              <w:rPr>
                <w:sz w:val="16"/>
              </w:rPr>
              <w:t>5,377</w:t>
            </w:r>
          </w:p>
        </w:tc>
        <w:tc>
          <w:tcPr>
            <w:tcW w:type="dxa" w:w="1134"/>
            <w:shd w:fill="FFC7CE" w:val="clear"/>
          </w:tcPr>
          <w:p>
            <w:r>
              <w:rPr>
                <w:b/>
                <w:color w:val="B40000"/>
                <w:sz w:val="16"/>
              </w:rPr>
              <w:t>-2.24%</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3,400</w:t>
            </w:r>
          </w:p>
        </w:tc>
        <w:tc>
          <w:tcPr>
            <w:tcW w:type="dxa" w:w="1417"/>
            <w:shd w:fill="FFFFFF" w:val="clear"/>
          </w:tcPr>
          <w:p>
            <w:r>
              <w:rPr>
                <w:sz w:val="16"/>
              </w:rPr>
              <w:t>3,256</w:t>
            </w:r>
          </w:p>
        </w:tc>
        <w:tc>
          <w:tcPr>
            <w:tcW w:type="dxa" w:w="1134"/>
            <w:shd w:fill="FFC7CE" w:val="clear"/>
          </w:tcPr>
          <w:p>
            <w:r>
              <w:rPr>
                <w:b/>
                <w:color w:val="B40000"/>
                <w:sz w:val="16"/>
              </w:rPr>
              <w:t>-4.23%</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17,195</w:t>
            </w:r>
          </w:p>
        </w:tc>
        <w:tc>
          <w:tcPr>
            <w:tcW w:type="dxa" w:w="1417"/>
            <w:shd w:fill="FFFFFF" w:val="clear"/>
          </w:tcPr>
          <w:p>
            <w:r>
              <w:rPr>
                <w:sz w:val="16"/>
              </w:rPr>
              <w:t>16,402</w:t>
            </w:r>
          </w:p>
        </w:tc>
        <w:tc>
          <w:tcPr>
            <w:tcW w:type="dxa" w:w="1134"/>
            <w:shd w:fill="FFC7CE" w:val="clear"/>
          </w:tcPr>
          <w:p>
            <w:r>
              <w:rPr>
                <w:b/>
                <w:color w:val="B40000"/>
                <w:sz w:val="16"/>
              </w:rPr>
              <w:t>-4.61%</w:t>
            </w:r>
          </w:p>
        </w:tc>
        <w:tc>
          <w:tcPr>
            <w:tcW w:type="dxa" w:w="1134"/>
            <w:shd w:fill="FFEB9C" w:val="clear"/>
          </w:tcPr>
          <w:p>
            <w:r>
              <w:rPr>
                <w:sz w:val="16"/>
              </w:rPr>
              <w:t>Moyenne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4,490</w:t>
            </w:r>
          </w:p>
        </w:tc>
        <w:tc>
          <w:tcPr>
            <w:tcW w:type="dxa" w:w="1417"/>
            <w:shd w:fill="FFFFFF" w:val="clear"/>
          </w:tcPr>
          <w:p>
            <w:r>
              <w:rPr>
                <w:sz w:val="16"/>
              </w:rPr>
              <w:t>4,281</w:t>
            </w:r>
          </w:p>
        </w:tc>
        <w:tc>
          <w:tcPr>
            <w:tcW w:type="dxa" w:w="1134"/>
            <w:shd w:fill="FFC7CE" w:val="clear"/>
          </w:tcPr>
          <w:p>
            <w:r>
              <w:rPr>
                <w:b/>
                <w:color w:val="B40000"/>
                <w:sz w:val="16"/>
              </w:rPr>
              <w:t>-4.65%</w:t>
            </w:r>
          </w:p>
        </w:tc>
        <w:tc>
          <w:tcPr>
            <w:tcW w:type="dxa" w:w="1134"/>
            <w:shd w:fill="FFEB9C" w:val="clear"/>
          </w:tcPr>
          <w:p>
            <w:r>
              <w:rPr>
                <w:sz w:val="16"/>
              </w:rPr>
              <w:t>Moyenne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2,300</w:t>
            </w:r>
          </w:p>
        </w:tc>
        <w:tc>
          <w:tcPr>
            <w:tcW w:type="dxa" w:w="1417"/>
            <w:shd w:fill="FFFFFF" w:val="clear"/>
          </w:tcPr>
          <w:p>
            <w:r>
              <w:rPr>
                <w:sz w:val="16"/>
              </w:rPr>
              <w:t>2,179</w:t>
            </w:r>
          </w:p>
        </w:tc>
        <w:tc>
          <w:tcPr>
            <w:tcW w:type="dxa" w:w="1134"/>
            <w:shd w:fill="FFC7CE" w:val="clear"/>
          </w:tcPr>
          <w:p>
            <w:r>
              <w:rPr>
                <w:b/>
                <w:color w:val="B40000"/>
                <w:sz w:val="16"/>
              </w:rPr>
              <w:t>-5.26%</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36,700</w:t>
            </w:r>
          </w:p>
        </w:tc>
        <w:tc>
          <w:tcPr>
            <w:tcW w:type="dxa" w:w="1417"/>
            <w:shd w:fill="FFFFFF" w:val="clear"/>
          </w:tcPr>
          <w:p>
            <w:r>
              <w:rPr>
                <w:sz w:val="16"/>
              </w:rPr>
              <w:t>34,676</w:t>
            </w:r>
          </w:p>
        </w:tc>
        <w:tc>
          <w:tcPr>
            <w:tcW w:type="dxa" w:w="1134"/>
            <w:shd w:fill="FFC7CE" w:val="clear"/>
          </w:tcPr>
          <w:p>
            <w:r>
              <w:rPr>
                <w:b/>
                <w:color w:val="B40000"/>
                <w:sz w:val="16"/>
              </w:rPr>
              <w:t>-5.52%</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9,500</w:t>
            </w:r>
          </w:p>
        </w:tc>
        <w:tc>
          <w:tcPr>
            <w:tcW w:type="dxa" w:w="1417"/>
            <w:shd w:fill="FFFFFF" w:val="clear"/>
          </w:tcPr>
          <w:p>
            <w:r>
              <w:rPr>
                <w:sz w:val="16"/>
              </w:rPr>
              <w:t>8,913</w:t>
            </w:r>
          </w:p>
        </w:tc>
        <w:tc>
          <w:tcPr>
            <w:tcW w:type="dxa" w:w="1134"/>
            <w:shd w:fill="FFC7CE" w:val="clear"/>
          </w:tcPr>
          <w:p>
            <w:r>
              <w:rPr>
                <w:b/>
                <w:color w:val="B40000"/>
                <w:sz w:val="16"/>
              </w:rPr>
              <w:t>-6.18%</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2,455</w:t>
            </w:r>
          </w:p>
        </w:tc>
        <w:tc>
          <w:tcPr>
            <w:tcW w:type="dxa" w:w="1417"/>
            <w:shd w:fill="FFFFFF" w:val="clear"/>
          </w:tcPr>
          <w:p>
            <w:r>
              <w:rPr>
                <w:sz w:val="16"/>
              </w:rPr>
              <w:t>2,270</w:t>
            </w:r>
          </w:p>
        </w:tc>
        <w:tc>
          <w:tcPr>
            <w:tcW w:type="dxa" w:w="1134"/>
            <w:shd w:fill="FFC7CE" w:val="clear"/>
          </w:tcPr>
          <w:p>
            <w:r>
              <w:rPr>
                <w:b/>
                <w:color w:val="B40000"/>
                <w:sz w:val="16"/>
              </w:rPr>
              <w:t>-7.52%</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21,400</w:t>
            </w:r>
          </w:p>
        </w:tc>
        <w:tc>
          <w:tcPr>
            <w:tcW w:type="dxa" w:w="1417"/>
            <w:shd w:fill="FFFFFF" w:val="clear"/>
          </w:tcPr>
          <w:p>
            <w:r>
              <w:rPr>
                <w:sz w:val="16"/>
              </w:rPr>
              <w:t>19,600</w:t>
            </w:r>
          </w:p>
        </w:tc>
        <w:tc>
          <w:tcPr>
            <w:tcW w:type="dxa" w:w="1134"/>
            <w:shd w:fill="FFC7CE" w:val="clear"/>
          </w:tcPr>
          <w:p>
            <w:r>
              <w:rPr>
                <w:b/>
                <w:color w:val="B40000"/>
                <w:sz w:val="16"/>
              </w:rPr>
              <w:t>-8.41%</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2,750</w:t>
            </w:r>
          </w:p>
        </w:tc>
        <w:tc>
          <w:tcPr>
            <w:tcW w:type="dxa" w:w="1417"/>
            <w:shd w:fill="FFFFFF" w:val="clear"/>
          </w:tcPr>
          <w:p>
            <w:r>
              <w:rPr>
                <w:sz w:val="16"/>
              </w:rPr>
              <w:t>2,514</w:t>
            </w:r>
          </w:p>
        </w:tc>
        <w:tc>
          <w:tcPr>
            <w:tcW w:type="dxa" w:w="1134"/>
            <w:shd w:fill="FFC7CE" w:val="clear"/>
          </w:tcPr>
          <w:p>
            <w:r>
              <w:rPr>
                <w:b/>
                <w:color w:val="B40000"/>
                <w:sz w:val="16"/>
              </w:rPr>
              <w:t>-8.59%</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29,500</w:t>
            </w:r>
          </w:p>
        </w:tc>
        <w:tc>
          <w:tcPr>
            <w:tcW w:type="dxa" w:w="1417"/>
            <w:shd w:fill="FFFFFF" w:val="clear"/>
          </w:tcPr>
          <w:p>
            <w:r>
              <w:rPr>
                <w:sz w:val="16"/>
              </w:rPr>
              <w:t>26,478</w:t>
            </w:r>
          </w:p>
        </w:tc>
        <w:tc>
          <w:tcPr>
            <w:tcW w:type="dxa" w:w="1134"/>
            <w:shd w:fill="FFC7CE" w:val="clear"/>
          </w:tcPr>
          <w:p>
            <w:r>
              <w:rPr>
                <w:b/>
                <w:color w:val="B40000"/>
                <w:sz w:val="16"/>
              </w:rPr>
              <w:t>-10.24%</w:t>
            </w:r>
          </w:p>
        </w:tc>
        <w:tc>
          <w:tcPr>
            <w:tcW w:type="dxa" w:w="1134"/>
            <w:shd w:fill="FFEB9C" w:val="clear"/>
          </w:tcPr>
          <w:p>
            <w:r>
              <w:rPr>
                <w:sz w:val="16"/>
              </w:rPr>
              <w:t>Moyenne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1,500</w:t>
            </w:r>
          </w:p>
        </w:tc>
        <w:tc>
          <w:tcPr>
            <w:tcW w:type="dxa" w:w="1417"/>
            <w:shd w:fill="FFFFFF" w:val="clear"/>
          </w:tcPr>
          <w:p>
            <w:r>
              <w:rPr>
                <w:sz w:val="16"/>
              </w:rPr>
              <w:t>1,338</w:t>
            </w:r>
          </w:p>
        </w:tc>
        <w:tc>
          <w:tcPr>
            <w:tcW w:type="dxa" w:w="1134"/>
            <w:shd w:fill="FFC7CE" w:val="clear"/>
          </w:tcPr>
          <w:p>
            <w:r>
              <w:rPr>
                <w:b/>
                <w:color w:val="B40000"/>
                <w:sz w:val="16"/>
              </w:rPr>
              <w:t>-10.78%</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13,000</w:t>
            </w:r>
          </w:p>
        </w:tc>
        <w:tc>
          <w:tcPr>
            <w:tcW w:type="dxa" w:w="1417"/>
            <w:shd w:fill="FFFFFF" w:val="clear"/>
          </w:tcPr>
          <w:p>
            <w:r>
              <w:rPr>
                <w:sz w:val="16"/>
              </w:rPr>
              <w:t>11,185</w:t>
            </w:r>
          </w:p>
        </w:tc>
        <w:tc>
          <w:tcPr>
            <w:tcW w:type="dxa" w:w="1134"/>
            <w:shd w:fill="FFC7CE" w:val="clear"/>
          </w:tcPr>
          <w:p>
            <w:r>
              <w:rPr>
                <w:b/>
                <w:color w:val="B40000"/>
                <w:sz w:val="16"/>
              </w:rPr>
              <w:t>-13.97%</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3,795</w:t>
            </w:r>
          </w:p>
        </w:tc>
        <w:tc>
          <w:tcPr>
            <w:tcW w:type="dxa" w:w="1417"/>
            <w:shd w:fill="FFFFFF" w:val="clear"/>
          </w:tcPr>
          <w:p>
            <w:r>
              <w:rPr>
                <w:sz w:val="16"/>
              </w:rPr>
              <w:t>3,259</w:t>
            </w:r>
          </w:p>
        </w:tc>
        <w:tc>
          <w:tcPr>
            <w:tcW w:type="dxa" w:w="1134"/>
            <w:shd w:fill="FFC7CE" w:val="clear"/>
          </w:tcPr>
          <w:p>
            <w:r>
              <w:rPr>
                <w:b/>
                <w:color w:val="B40000"/>
                <w:sz w:val="16"/>
              </w:rPr>
              <w:t>-14.13%</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1,740</w:t>
            </w:r>
          </w:p>
        </w:tc>
        <w:tc>
          <w:tcPr>
            <w:tcW w:type="dxa" w:w="1417"/>
            <w:shd w:fill="FFFFFF" w:val="clear"/>
          </w:tcPr>
          <w:p>
            <w:r>
              <w:rPr>
                <w:sz w:val="16"/>
              </w:rPr>
              <w:t>1,487</w:t>
            </w:r>
          </w:p>
        </w:tc>
        <w:tc>
          <w:tcPr>
            <w:tcW w:type="dxa" w:w="1134"/>
            <w:shd w:fill="FFC7CE" w:val="clear"/>
          </w:tcPr>
          <w:p>
            <w:r>
              <w:rPr>
                <w:b/>
                <w:color w:val="B40000"/>
                <w:sz w:val="16"/>
              </w:rPr>
              <w:t>-14.54%</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8,300</w:t>
            </w:r>
          </w:p>
        </w:tc>
        <w:tc>
          <w:tcPr>
            <w:tcW w:type="dxa" w:w="1417"/>
            <w:shd w:fill="FFFFFF" w:val="clear"/>
          </w:tcPr>
          <w:p>
            <w:r>
              <w:rPr>
                <w:sz w:val="16"/>
              </w:rPr>
              <w:t>7,048</w:t>
            </w:r>
          </w:p>
        </w:tc>
        <w:tc>
          <w:tcPr>
            <w:tcW w:type="dxa" w:w="1134"/>
            <w:shd w:fill="FFC7CE" w:val="clear"/>
          </w:tcPr>
          <w:p>
            <w:r>
              <w:rPr>
                <w:b/>
                <w:color w:val="B40000"/>
                <w:sz w:val="16"/>
              </w:rPr>
              <w:t>-15.08%</w:t>
            </w:r>
          </w:p>
        </w:tc>
        <w:tc>
          <w:tcPr>
            <w:tcW w:type="dxa" w:w="1134"/>
            <w:shd w:fill="FFEB9C" w:val="clear"/>
          </w:tcPr>
          <w:p>
            <w:r>
              <w:rPr>
                <w:sz w:val="16"/>
              </w:rPr>
              <w:t>Moyenne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6,495</w:t>
            </w:r>
          </w:p>
        </w:tc>
        <w:tc>
          <w:tcPr>
            <w:tcW w:type="dxa" w:w="1417"/>
            <w:shd w:fill="FFFFFF" w:val="clear"/>
          </w:tcPr>
          <w:p>
            <w:r>
              <w:rPr>
                <w:sz w:val="16"/>
              </w:rPr>
              <w:t>5,430</w:t>
            </w:r>
          </w:p>
        </w:tc>
        <w:tc>
          <w:tcPr>
            <w:tcW w:type="dxa" w:w="1134"/>
            <w:shd w:fill="FFC7CE" w:val="clear"/>
          </w:tcPr>
          <w:p>
            <w:r>
              <w:rPr>
                <w:b/>
                <w:color w:val="B40000"/>
                <w:sz w:val="16"/>
              </w:rPr>
              <w:t>-16.39%</w:t>
            </w:r>
          </w:p>
        </w:tc>
        <w:tc>
          <w:tcPr>
            <w:tcW w:type="dxa" w:w="1134"/>
            <w:shd w:fill="FFEB9C" w:val="clear"/>
          </w:tcPr>
          <w:p>
            <w:r>
              <w:rPr>
                <w:sz w:val="16"/>
              </w:rPr>
              <w:t>Moyenne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3,690</w:t>
            </w:r>
          </w:p>
        </w:tc>
        <w:tc>
          <w:tcPr>
            <w:tcW w:type="dxa" w:w="1417"/>
            <w:shd w:fill="FFFFFF" w:val="clear"/>
          </w:tcPr>
          <w:p>
            <w:r>
              <w:rPr>
                <w:sz w:val="16"/>
              </w:rPr>
              <w:t>3,083</w:t>
            </w:r>
          </w:p>
        </w:tc>
        <w:tc>
          <w:tcPr>
            <w:tcW w:type="dxa" w:w="1134"/>
            <w:shd w:fill="FFC7CE" w:val="clear"/>
          </w:tcPr>
          <w:p>
            <w:r>
              <w:rPr>
                <w:b/>
                <w:color w:val="B40000"/>
                <w:sz w:val="16"/>
              </w:rPr>
              <w:t>-16.44%</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7,995</w:t>
            </w:r>
          </w:p>
        </w:tc>
        <w:tc>
          <w:tcPr>
            <w:tcW w:type="dxa" w:w="1417"/>
            <w:shd w:fill="FFFFFF" w:val="clear"/>
          </w:tcPr>
          <w:p>
            <w:r>
              <w:rPr>
                <w:sz w:val="16"/>
              </w:rPr>
              <w:t>6,534</w:t>
            </w:r>
          </w:p>
        </w:tc>
        <w:tc>
          <w:tcPr>
            <w:tcW w:type="dxa" w:w="1134"/>
            <w:shd w:fill="FFC7CE" w:val="clear"/>
          </w:tcPr>
          <w:p>
            <w:r>
              <w:rPr>
                <w:b/>
                <w:color w:val="B40000"/>
                <w:sz w:val="16"/>
              </w:rPr>
              <w:t>-18.27%</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10,235</w:t>
            </w:r>
          </w:p>
        </w:tc>
        <w:tc>
          <w:tcPr>
            <w:tcW w:type="dxa" w:w="1417"/>
            <w:shd w:fill="FFFFFF" w:val="clear"/>
          </w:tcPr>
          <w:p>
            <w:r>
              <w:rPr>
                <w:sz w:val="16"/>
              </w:rPr>
              <w:t>8,363</w:t>
            </w:r>
          </w:p>
        </w:tc>
        <w:tc>
          <w:tcPr>
            <w:tcW w:type="dxa" w:w="1134"/>
            <w:shd w:fill="FFC7CE" w:val="clear"/>
          </w:tcPr>
          <w:p>
            <w:r>
              <w:rPr>
                <w:b/>
                <w:color w:val="B40000"/>
                <w:sz w:val="16"/>
              </w:rPr>
              <w:t>-18.29%</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8,900</w:t>
            </w:r>
          </w:p>
        </w:tc>
        <w:tc>
          <w:tcPr>
            <w:tcW w:type="dxa" w:w="1417"/>
            <w:shd w:fill="FFFFFF" w:val="clear"/>
          </w:tcPr>
          <w:p>
            <w:r>
              <w:rPr>
                <w:sz w:val="16"/>
              </w:rPr>
              <w:t>7,197</w:t>
            </w:r>
          </w:p>
        </w:tc>
        <w:tc>
          <w:tcPr>
            <w:tcW w:type="dxa" w:w="1134"/>
            <w:shd w:fill="FFC7CE" w:val="clear"/>
          </w:tcPr>
          <w:p>
            <w:r>
              <w:rPr>
                <w:b/>
                <w:color w:val="B40000"/>
                <w:sz w:val="16"/>
              </w:rPr>
              <w:t>-19.13%</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2,310</w:t>
            </w:r>
          </w:p>
        </w:tc>
        <w:tc>
          <w:tcPr>
            <w:tcW w:type="dxa" w:w="1417"/>
            <w:shd w:fill="FFFFFF" w:val="clear"/>
          </w:tcPr>
          <w:p>
            <w:r>
              <w:rPr>
                <w:sz w:val="16"/>
              </w:rPr>
              <w:t>1,811</w:t>
            </w:r>
          </w:p>
        </w:tc>
        <w:tc>
          <w:tcPr>
            <w:tcW w:type="dxa" w:w="1134"/>
            <w:shd w:fill="FFC7CE" w:val="clear"/>
          </w:tcPr>
          <w:p>
            <w:r>
              <w:rPr>
                <w:b/>
                <w:color w:val="B40000"/>
                <w:sz w:val="16"/>
              </w:rPr>
              <w:t>-21.62%</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9,200</w:t>
            </w:r>
          </w:p>
        </w:tc>
        <w:tc>
          <w:tcPr>
            <w:tcW w:type="dxa" w:w="1417"/>
            <w:shd w:fill="FFFFFF" w:val="clear"/>
          </w:tcPr>
          <w:p>
            <w:r>
              <w:rPr>
                <w:sz w:val="16"/>
              </w:rPr>
              <w:t>7,211</w:t>
            </w:r>
          </w:p>
        </w:tc>
        <w:tc>
          <w:tcPr>
            <w:tcW w:type="dxa" w:w="1134"/>
            <w:shd w:fill="FFC7CE" w:val="clear"/>
          </w:tcPr>
          <w:p>
            <w:r>
              <w:rPr>
                <w:b/>
                <w:color w:val="B40000"/>
                <w:sz w:val="16"/>
              </w:rPr>
              <w:t>-21.62%</w:t>
            </w:r>
          </w:p>
        </w:tc>
        <w:tc>
          <w:tcPr>
            <w:tcW w:type="dxa" w:w="1134"/>
            <w:shd w:fill="FFEB9C" w:val="clear"/>
          </w:tcPr>
          <w:p>
            <w:r>
              <w:rPr>
                <w:sz w:val="16"/>
              </w:rPr>
              <w:t>Moyenne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12,400</w:t>
            </w:r>
          </w:p>
        </w:tc>
        <w:tc>
          <w:tcPr>
            <w:tcW w:type="dxa" w:w="1417"/>
            <w:shd w:fill="FFFFFF" w:val="clear"/>
          </w:tcPr>
          <w:p>
            <w:r>
              <w:rPr>
                <w:sz w:val="16"/>
              </w:rPr>
              <w:t>8,719</w:t>
            </w:r>
          </w:p>
        </w:tc>
        <w:tc>
          <w:tcPr>
            <w:tcW w:type="dxa" w:w="1134"/>
            <w:shd w:fill="FFC7CE" w:val="clear"/>
          </w:tcPr>
          <w:p>
            <w:r>
              <w:rPr>
                <w:b/>
                <w:color w:val="B40000"/>
                <w:sz w:val="16"/>
              </w:rPr>
              <w:t>-29.69%</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2,440</w:t>
            </w:r>
          </w:p>
        </w:tc>
        <w:tc>
          <w:tcPr>
            <w:tcW w:type="dxa" w:w="1417"/>
            <w:shd w:fill="FFFFFF" w:val="clear"/>
          </w:tcPr>
          <w:p>
            <w:r>
              <w:rPr>
                <w:sz w:val="16"/>
              </w:rPr>
              <w:t>1,700</w:t>
            </w:r>
          </w:p>
        </w:tc>
        <w:tc>
          <w:tcPr>
            <w:tcW w:type="dxa" w:w="1134"/>
            <w:shd w:fill="FFC7CE" w:val="clear"/>
          </w:tcPr>
          <w:p>
            <w:r>
              <w:rPr>
                <w:b/>
                <w:color w:val="B40000"/>
                <w:sz w:val="16"/>
              </w:rPr>
              <w:t>-30.32%</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8,500</w:t>
            </w:r>
          </w:p>
        </w:tc>
        <w:tc>
          <w:tcPr>
            <w:tcW w:type="dxa" w:w="1417"/>
            <w:shd w:fill="FFFFFF" w:val="clear"/>
          </w:tcPr>
          <w:p>
            <w:r>
              <w:rPr>
                <w:sz w:val="16"/>
              </w:rPr>
              <w:t>5,515</w:t>
            </w:r>
          </w:p>
        </w:tc>
        <w:tc>
          <w:tcPr>
            <w:tcW w:type="dxa" w:w="1134"/>
            <w:shd w:fill="FFC7CE" w:val="clear"/>
          </w:tcPr>
          <w:p>
            <w:r>
              <w:rPr>
                <w:b/>
                <w:color w:val="B40000"/>
                <w:sz w:val="16"/>
              </w:rPr>
              <w:t>-35.11%</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2,595</w:t>
            </w:r>
          </w:p>
        </w:tc>
        <w:tc>
          <w:tcPr>
            <w:tcW w:type="dxa" w:w="1417"/>
            <w:shd w:fill="FFFFFF" w:val="clear"/>
          </w:tcPr>
          <w:p>
            <w:r>
              <w:rPr>
                <w:sz w:val="16"/>
              </w:rPr>
              <w:t>1,598</w:t>
            </w:r>
          </w:p>
        </w:tc>
        <w:tc>
          <w:tcPr>
            <w:tcW w:type="dxa" w:w="1134"/>
            <w:shd w:fill="FFC7CE" w:val="clear"/>
          </w:tcPr>
          <w:p>
            <w:r>
              <w:rPr>
                <w:b/>
                <w:color w:val="B40000"/>
                <w:sz w:val="16"/>
              </w:rPr>
              <w:t>-38.44%</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29,600</w:t>
            </w:r>
          </w:p>
        </w:tc>
        <w:tc>
          <w:tcPr>
            <w:tcW w:type="dxa" w:w="1417"/>
            <w:shd w:fill="FFFFFF" w:val="clear"/>
          </w:tcPr>
          <w:p>
            <w:r>
              <w:rPr>
                <w:sz w:val="16"/>
              </w:rPr>
              <w:t>17,485</w:t>
            </w:r>
          </w:p>
        </w:tc>
        <w:tc>
          <w:tcPr>
            <w:tcW w:type="dxa" w:w="1134"/>
            <w:shd w:fill="FFC7CE" w:val="clear"/>
          </w:tcPr>
          <w:p>
            <w:r>
              <w:rPr>
                <w:b/>
                <w:color w:val="B40000"/>
                <w:sz w:val="16"/>
              </w:rPr>
              <w:t>-40.93%</w:t>
            </w:r>
          </w:p>
        </w:tc>
        <w:tc>
          <w:tcPr>
            <w:tcW w:type="dxa" w:w="1134"/>
            <w:shd w:fill="FFEB9C" w:val="clear"/>
          </w:tcPr>
          <w:p>
            <w:r>
              <w:rPr>
                <w:sz w:val="16"/>
              </w:rPr>
              <w:t>Moyenne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3,000</w:t>
            </w:r>
          </w:p>
        </w:tc>
        <w:tc>
          <w:tcPr>
            <w:tcW w:type="dxa" w:w="1417"/>
            <w:shd w:fill="FFFFFF" w:val="clear"/>
          </w:tcPr>
          <w:p>
            <w:r>
              <w:rPr>
                <w:sz w:val="16"/>
              </w:rPr>
              <w:t>1,494</w:t>
            </w:r>
          </w:p>
        </w:tc>
        <w:tc>
          <w:tcPr>
            <w:tcW w:type="dxa" w:w="1134"/>
            <w:shd w:fill="FFC7CE" w:val="clear"/>
          </w:tcPr>
          <w:p>
            <w:r>
              <w:rPr>
                <w:b/>
                <w:color w:val="B40000"/>
                <w:sz w:val="16"/>
              </w:rPr>
              <w:t>-50.20%</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6,700</w:t>
            </w:r>
          </w:p>
        </w:tc>
        <w:tc>
          <w:tcPr>
            <w:tcW w:type="dxa" w:w="1417"/>
            <w:shd w:fill="FFFFFF" w:val="clear"/>
          </w:tcPr>
          <w:p>
            <w:r>
              <w:rPr>
                <w:sz w:val="16"/>
              </w:rPr>
              <w:t>3,264</w:t>
            </w:r>
          </w:p>
        </w:tc>
        <w:tc>
          <w:tcPr>
            <w:tcW w:type="dxa" w:w="1134"/>
            <w:shd w:fill="FFC7CE" w:val="clear"/>
          </w:tcPr>
          <w:p>
            <w:r>
              <w:rPr>
                <w:b/>
                <w:color w:val="B40000"/>
                <w:sz w:val="16"/>
              </w:rPr>
              <w:t>-51.28%</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65</w:t>
            </w:r>
          </w:p>
        </w:tc>
        <w:tc>
          <w:tcPr>
            <w:tcW w:type="dxa" w:w="1417"/>
            <w:shd w:fill="FFFFFF" w:val="clear"/>
          </w:tcPr>
          <w:p>
            <w:r>
              <w:rPr>
                <w:sz w:val="16"/>
              </w:rPr>
              <w:t>30</w:t>
            </w:r>
          </w:p>
        </w:tc>
        <w:tc>
          <w:tcPr>
            <w:tcW w:type="dxa" w:w="1134"/>
            <w:shd w:fill="FFC7CE" w:val="clear"/>
          </w:tcPr>
          <w:p>
            <w:r>
              <w:rPr>
                <w:b/>
                <w:color w:val="B40000"/>
                <w:sz w:val="16"/>
              </w:rPr>
              <w:t>-54.08%</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3,375</w:t>
            </w:r>
          </w:p>
        </w:tc>
        <w:tc>
          <w:tcPr>
            <w:tcW w:type="dxa" w:w="1417"/>
            <w:shd w:fill="FFFFFF" w:val="clear"/>
          </w:tcPr>
          <w:p>
            <w:r>
              <w:rPr>
                <w:sz w:val="16"/>
              </w:rPr>
              <w:t>1,548</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5,865</w:t>
            </w:r>
          </w:p>
        </w:tc>
        <w:tc>
          <w:tcPr>
            <w:tcW w:type="dxa" w:w="1417"/>
            <w:shd w:fill="FFFFFF" w:val="clear"/>
          </w:tcPr>
          <w:p>
            <w:r>
              <w:rPr>
                <w:sz w:val="16"/>
              </w:rPr>
              <w:t>2,690</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40.27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3,197 titres</w:t>
            </w:r>
          </w:p>
        </w:tc>
        <w:tc>
          <w:tcPr>
            <w:tcW w:type="dxa" w:w="2268"/>
            <w:shd w:fill="FFF2CC" w:val="clear"/>
          </w:tcPr>
          <w:p>
            <w:r>
              <w:rPr>
                <w:b/>
                <w:color w:val="503200"/>
                <w:sz w:val="16"/>
              </w:rPr>
              <w:t xml:space="preserve">Cours actuel : </w:t>
            </w:r>
            <w:r>
              <w:rPr>
                <w:color w:val="000000"/>
                <w:sz w:val="17"/>
              </w:rPr>
              <w:t>3,690 FCFA</w:t>
            </w:r>
          </w:p>
          <w:p>
            <w:r>
              <w:rPr>
                <w:b/>
                <w:color w:val="503200"/>
                <w:sz w:val="16"/>
              </w:rPr>
              <w:t xml:space="preserve">Var. 100 jours : </w:t>
            </w:r>
            <w:r>
              <w:rPr>
                <w:b/>
                <w:color w:val="007800"/>
                <w:sz w:val="17"/>
              </w:rPr>
              <w:t>+0.82%</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7.23% (Moyenne) — μ=3,210 FCFA, σ=232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β=0.2504 (Défensif) — Cov=0.000009, Var(idx)=0.000036, ρ=0.048,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3,197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σ_j=3.10%/j (Modérée) — Vol. annualisée≈49.2%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3,396</w:t>
            </w:r>
          </w:p>
        </w:tc>
        <w:tc>
          <w:tcPr>
            <w:tcW w:type="dxa" w:w="1440"/>
            <w:shd w:fill="FFDCE0" w:val="clear"/>
          </w:tcPr>
          <w:p>
            <w:r>
              <w:rPr>
                <w:b/>
                <w:sz w:val="17"/>
              </w:rPr>
              <w:t>3,585</w:t>
            </w:r>
          </w:p>
        </w:tc>
        <w:tc>
          <w:tcPr>
            <w:tcW w:type="dxa" w:w="1440"/>
            <w:shd w:fill="FFDCE0" w:val="clear"/>
          </w:tcPr>
          <w:p>
            <w:r>
              <w:rPr>
                <w:sz w:val="17"/>
              </w:rPr>
              <w:t>3,773</w:t>
            </w:r>
          </w:p>
        </w:tc>
        <w:tc>
          <w:tcPr>
            <w:tcW w:type="dxa" w:w="1440"/>
            <w:shd w:fill="FFDCE0" w:val="clear"/>
          </w:tcPr>
          <w:p>
            <w:r>
              <w:rPr>
                <w:b/>
                <w:color w:val="C00000"/>
                <w:sz w:val="17"/>
              </w:rPr>
              <w:t>-2.9%</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3,248</w:t>
            </w:r>
          </w:p>
        </w:tc>
        <w:tc>
          <w:tcPr>
            <w:tcW w:type="dxa" w:w="1440"/>
            <w:shd w:fill="FFDCE0" w:val="clear"/>
          </w:tcPr>
          <w:p>
            <w:r>
              <w:rPr>
                <w:b/>
                <w:sz w:val="17"/>
              </w:rPr>
              <w:t>3,509</w:t>
            </w:r>
          </w:p>
        </w:tc>
        <w:tc>
          <w:tcPr>
            <w:tcW w:type="dxa" w:w="1440"/>
            <w:shd w:fill="FFDCE0" w:val="clear"/>
          </w:tcPr>
          <w:p>
            <w:r>
              <w:rPr>
                <w:sz w:val="17"/>
              </w:rPr>
              <w:t>3,770</w:t>
            </w:r>
          </w:p>
        </w:tc>
        <w:tc>
          <w:tcPr>
            <w:tcW w:type="dxa" w:w="1440"/>
            <w:shd w:fill="FFDCE0" w:val="clear"/>
          </w:tcPr>
          <w:p>
            <w:r>
              <w:rPr>
                <w:b/>
                <w:color w:val="C00000"/>
                <w:sz w:val="17"/>
              </w:rPr>
              <w:t>-4.9%</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3,122</w:t>
            </w:r>
          </w:p>
        </w:tc>
        <w:tc>
          <w:tcPr>
            <w:tcW w:type="dxa" w:w="1440"/>
            <w:shd w:fill="FFDCE0" w:val="clear"/>
          </w:tcPr>
          <w:p>
            <w:r>
              <w:rPr>
                <w:b/>
                <w:sz w:val="17"/>
              </w:rPr>
              <w:t>3,434</w:t>
            </w:r>
          </w:p>
        </w:tc>
        <w:tc>
          <w:tcPr>
            <w:tcW w:type="dxa" w:w="1440"/>
            <w:shd w:fill="FFDCE0" w:val="clear"/>
          </w:tcPr>
          <w:p>
            <w:r>
              <w:rPr>
                <w:sz w:val="17"/>
              </w:rPr>
              <w:t>3,747</w:t>
            </w:r>
          </w:p>
        </w:tc>
        <w:tc>
          <w:tcPr>
            <w:tcW w:type="dxa" w:w="1440"/>
            <w:shd w:fill="FFDCE0" w:val="clear"/>
          </w:tcPr>
          <w:p>
            <w:r>
              <w:rPr>
                <w:b/>
                <w:color w:val="C00000"/>
                <w:sz w:val="17"/>
              </w:rPr>
              <w:t>-6.9%</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3,016</w:t>
            </w:r>
          </w:p>
        </w:tc>
        <w:tc>
          <w:tcPr>
            <w:tcW w:type="dxa" w:w="1440"/>
            <w:shd w:fill="FFDCE0" w:val="clear"/>
          </w:tcPr>
          <w:p>
            <w:r>
              <w:rPr>
                <w:b/>
                <w:sz w:val="17"/>
              </w:rPr>
              <w:t>3,371</w:t>
            </w:r>
          </w:p>
        </w:tc>
        <w:tc>
          <w:tcPr>
            <w:tcW w:type="dxa" w:w="1440"/>
            <w:shd w:fill="FFDCE0" w:val="clear"/>
          </w:tcPr>
          <w:p>
            <w:r>
              <w:rPr>
                <w:sz w:val="17"/>
              </w:rPr>
              <w:t>3,725</w:t>
            </w:r>
          </w:p>
        </w:tc>
        <w:tc>
          <w:tcPr>
            <w:tcW w:type="dxa" w:w="1440"/>
            <w:shd w:fill="FFDCE0" w:val="clear"/>
          </w:tcPr>
          <w:p>
            <w:r>
              <w:rPr>
                <w:b/>
                <w:color w:val="C00000"/>
                <w:sz w:val="17"/>
              </w:rPr>
              <w:t>-8.7%</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2,924</w:t>
            </w:r>
          </w:p>
        </w:tc>
        <w:tc>
          <w:tcPr>
            <w:tcW w:type="dxa" w:w="1440"/>
            <w:shd w:fill="FFDCE0" w:val="clear"/>
          </w:tcPr>
          <w:p>
            <w:r>
              <w:rPr>
                <w:b/>
                <w:sz w:val="17"/>
              </w:rPr>
              <w:t>3,314</w:t>
            </w:r>
          </w:p>
        </w:tc>
        <w:tc>
          <w:tcPr>
            <w:tcW w:type="dxa" w:w="1440"/>
            <w:shd w:fill="FFDCE0" w:val="clear"/>
          </w:tcPr>
          <w:p>
            <w:r>
              <w:rPr>
                <w:sz w:val="17"/>
              </w:rPr>
              <w:t>3,704</w:t>
            </w:r>
          </w:p>
        </w:tc>
        <w:tc>
          <w:tcPr>
            <w:tcW w:type="dxa" w:w="1440"/>
            <w:shd w:fill="FFDCE0" w:val="clear"/>
          </w:tcPr>
          <w:p>
            <w:r>
              <w:rPr>
                <w:b/>
                <w:color w:val="C00000"/>
                <w:sz w:val="17"/>
              </w:rPr>
              <w:t>-10.2%</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2,842</w:t>
            </w:r>
          </w:p>
        </w:tc>
        <w:tc>
          <w:tcPr>
            <w:tcW w:type="dxa" w:w="1440"/>
            <w:shd w:fill="FFDCE0" w:val="clear"/>
          </w:tcPr>
          <w:p>
            <w:r>
              <w:rPr>
                <w:b/>
                <w:sz w:val="17"/>
              </w:rPr>
              <w:t>3,262</w:t>
            </w:r>
          </w:p>
        </w:tc>
        <w:tc>
          <w:tcPr>
            <w:tcW w:type="dxa" w:w="1440"/>
            <w:shd w:fill="FFDCE0" w:val="clear"/>
          </w:tcPr>
          <w:p>
            <w:r>
              <w:rPr>
                <w:sz w:val="17"/>
              </w:rPr>
              <w:t>3,682</w:t>
            </w:r>
          </w:p>
        </w:tc>
        <w:tc>
          <w:tcPr>
            <w:tcW w:type="dxa" w:w="1440"/>
            <w:shd w:fill="FFDCE0" w:val="clear"/>
          </w:tcPr>
          <w:p>
            <w:r>
              <w:rPr>
                <w:b/>
                <w:color w:val="C00000"/>
                <w:sz w:val="17"/>
              </w:rPr>
              <w:t>-11.6%</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2,766</w:t>
            </w:r>
          </w:p>
        </w:tc>
        <w:tc>
          <w:tcPr>
            <w:tcW w:type="dxa" w:w="1440"/>
            <w:shd w:fill="FFDCE0" w:val="clear"/>
          </w:tcPr>
          <w:p>
            <w:r>
              <w:rPr>
                <w:b/>
                <w:sz w:val="17"/>
              </w:rPr>
              <w:t>3,213</w:t>
            </w:r>
          </w:p>
        </w:tc>
        <w:tc>
          <w:tcPr>
            <w:tcW w:type="dxa" w:w="1440"/>
            <w:shd w:fill="FFDCE0" w:val="clear"/>
          </w:tcPr>
          <w:p>
            <w:r>
              <w:rPr>
                <w:sz w:val="17"/>
              </w:rPr>
              <w:t>3,660</w:t>
            </w:r>
          </w:p>
        </w:tc>
        <w:tc>
          <w:tcPr>
            <w:tcW w:type="dxa" w:w="1440"/>
            <w:shd w:fill="FFDCE0" w:val="clear"/>
          </w:tcPr>
          <w:p>
            <w:r>
              <w:rPr>
                <w:b/>
                <w:color w:val="C00000"/>
                <w:sz w:val="17"/>
              </w:rPr>
              <w:t>-12.9%</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2,696</w:t>
            </w:r>
          </w:p>
        </w:tc>
        <w:tc>
          <w:tcPr>
            <w:tcW w:type="dxa" w:w="1440"/>
            <w:shd w:fill="FFDCE0" w:val="clear"/>
          </w:tcPr>
          <w:p>
            <w:r>
              <w:rPr>
                <w:b/>
                <w:sz w:val="17"/>
              </w:rPr>
              <w:t>3,168</w:t>
            </w:r>
          </w:p>
        </w:tc>
        <w:tc>
          <w:tcPr>
            <w:tcW w:type="dxa" w:w="1440"/>
            <w:shd w:fill="FFDCE0" w:val="clear"/>
          </w:tcPr>
          <w:p>
            <w:r>
              <w:rPr>
                <w:sz w:val="17"/>
              </w:rPr>
              <w:t>3,639</w:t>
            </w:r>
          </w:p>
        </w:tc>
        <w:tc>
          <w:tcPr>
            <w:tcW w:type="dxa" w:w="1440"/>
            <w:shd w:fill="FFDCE0" w:val="clear"/>
          </w:tcPr>
          <w:p>
            <w:r>
              <w:rPr>
                <w:b/>
                <w:color w:val="C00000"/>
                <w:sz w:val="17"/>
              </w:rPr>
              <w:t>-14.2%</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2,631</w:t>
            </w:r>
          </w:p>
        </w:tc>
        <w:tc>
          <w:tcPr>
            <w:tcW w:type="dxa" w:w="1440"/>
            <w:shd w:fill="FFDCE0" w:val="clear"/>
          </w:tcPr>
          <w:p>
            <w:r>
              <w:rPr>
                <w:b/>
                <w:sz w:val="17"/>
              </w:rPr>
              <w:t>3,124</w:t>
            </w:r>
          </w:p>
        </w:tc>
        <w:tc>
          <w:tcPr>
            <w:tcW w:type="dxa" w:w="1440"/>
            <w:shd w:fill="FFDCE0" w:val="clear"/>
          </w:tcPr>
          <w:p>
            <w:r>
              <w:rPr>
                <w:sz w:val="17"/>
              </w:rPr>
              <w:t>3,617</w:t>
            </w:r>
          </w:p>
        </w:tc>
        <w:tc>
          <w:tcPr>
            <w:tcW w:type="dxa" w:w="1440"/>
            <w:shd w:fill="FFDCE0" w:val="clear"/>
          </w:tcPr>
          <w:p>
            <w:r>
              <w:rPr>
                <w:b/>
                <w:color w:val="C00000"/>
                <w:sz w:val="17"/>
              </w:rPr>
              <w:t>-15.3%</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2,570</w:t>
            </w:r>
          </w:p>
        </w:tc>
        <w:tc>
          <w:tcPr>
            <w:tcW w:type="dxa" w:w="1440"/>
            <w:shd w:fill="FFDCE0" w:val="clear"/>
          </w:tcPr>
          <w:p>
            <w:r>
              <w:rPr>
                <w:b/>
                <w:sz w:val="17"/>
              </w:rPr>
              <w:t>3,083</w:t>
            </w:r>
          </w:p>
        </w:tc>
        <w:tc>
          <w:tcPr>
            <w:tcW w:type="dxa" w:w="1440"/>
            <w:shd w:fill="FFDCE0" w:val="clear"/>
          </w:tcPr>
          <w:p>
            <w:r>
              <w:rPr>
                <w:sz w:val="17"/>
              </w:rPr>
              <w:t>3,596</w:t>
            </w:r>
          </w:p>
        </w:tc>
        <w:tc>
          <w:tcPr>
            <w:tcW w:type="dxa" w:w="1440"/>
            <w:shd w:fill="FFDCE0" w:val="clear"/>
          </w:tcPr>
          <w:p>
            <w:r>
              <w:rPr>
                <w:b/>
                <w:color w:val="C00000"/>
                <w:sz w:val="17"/>
              </w:rPr>
              <w:t>-16.4%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ABJC (SERVAIR ABIDJAN)**</w:t>
        <w:br/>
        <w:t>**Date de l'analyse : 28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d'ABJC s'établit à 40,27 milliards FCFA, un niveau significatif qui la positionne comme une valeur de taille moyenne sur la BRVM. Avec un BPA de 124 FCFA, le titre se négocie à un PER de 29,8x, très nettement supérieur à la moyenne historique du marché (8-12x). Ce niveau de valorisation est extrêmement exigeant et intègre des attentes de croissance future très élevées, ou témoigne d'une possible surévaluation. Le P/B de 7,80x confirme cette lecture : le marché valorise l'actif net comptable près de huit fois sa valeur, une prime considérable qui laisse peu de marge d'erreur. Enfin, l'EV/EBITDA de 15,3x, bien qu'élevé, est légèrement plus modéré, indiquant que la valeur d'entreprise reste soutenue par une capacité opérationnelle (EBITDA) correcte, mais que le marché exige une performance exceptionnelle pour justifier ces niveaux de prix.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ABJC affiche une progression modeste de +0,82%, avec une dernière séance stable (0,00%). Le cours a évolué dans une fourchette de 2 800 FCFA (plus bas) à 3 780 FCFA (plus haut), démontrant une amplitude de variation importante de près de 35%. La moyenne du cours sur la période est de 3 210 FCFA, tandis que la médiane est de 3 182 FCFA. L'écart entre ces deux valeurs est faible, suggérant une distribution relativement symétrique des prix, confirmée par un skewness de 0,299. L'écart-type de 233 FCFA (CV=7,3%) indique une dispersion modérée autour de la moyenne. Le kurtosis de -0,670 (mésokurtique) suggère une distribution proche de la normale, sans risque de variations extrêmes (pics) plus élevé que la normale. Cependant, la volatilité annualisée de 49,2% est très élevée (&gt;30%), signalant un titre particulièrement risqué et sujet à des fluctuations de prix importantes, malgré une tendance de fond qui semble se stabiliser autour des 3 600-3 700 FCFA après une période de hausse.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(3 690 FCFA) se situe nettement au-dessus de la MM20 (3 247 FCFA) et de la MM50 (3 209,5 FCFA). Cette configuration haussière (cours &gt; MM20 &gt; MM50) confirme une dynamique positive à court et moyen terme. La décision d'« Achat » est justifiée, car les moyennes mobiles agissent comme des supports dynamiques et valident la tendance haussière en cours.</w:t>
      </w:r>
    </w:p>
    <w:p>
      <w:pPr>
        <w:spacing w:after="120" w:line="276" w:lineRule="auto"/>
      </w:pPr>
      <w:r>
        <w:t>**Bandes de Bollinger :** Le prix (3 690 FCFA) se positionne très près de la borne supérieure (3 778 FCFA), indiquant une pression acheteuse forte. Cependant, cette proximité avec la borne supérieure peut également signaler une condition de surachat temporaire. La décision « Neutre » est cohérente : la tendance est forte, mais le potentiel de hausse à court terme est peut-être limité, un repli vers la moyenne mobile (MM20) étant possible.</w:t>
      </w:r>
    </w:p>
    <w:p>
      <w:pPr>
        <w:spacing w:after="120" w:line="276" w:lineRule="auto"/>
      </w:pPr>
      <w:r>
        <w:t>**MACD :** Le MACD (143,78) est nettement supérieur à son signal (84,18), et les deux sont positifs. Cette configuration est un signal d'achat classique, indiquant un momentum haussier robuste et en accélération. La dynamique positive est confirmée, et la décision « Achat » est validée par la vigueur de la tendance.</w:t>
      </w:r>
    </w:p>
    <w:p>
      <w:pPr>
        <w:spacing w:after="120" w:line="276" w:lineRule="auto"/>
      </w:pPr>
      <w:r>
        <w:t>**RSI :** Le RSI est à 91,46, une valeur extrêmement élevée, bien au-delà du seuil de surachat de 70. Ce niveau indique que le titre est massivement suracheté à court terme. La décision « Vente » est un signal d'alerte : un repli technique est statistiquement probable pour « purger » ces conditions de surachat extrême.</w:t>
      </w:r>
    </w:p>
    <w:p>
      <w:pPr>
        <w:spacing w:after="120" w:line="276" w:lineRule="auto"/>
      </w:pPr>
      <w:r>
        <w:t>**Stochastique :** Le %K et le %D sont tous deux à 100, en territoire de surachat extrême. Cette configuration reflète une force acheteuse absolue, mais elle est intenable à long terme. La décision « Vente » est un signal de prudence, car un croisement baissier de ces lignes pourrait déclencher un mouvement de correction significatif.</w:t>
      </w:r>
    </w:p>
    <w:p>
      <w:pPr>
        <w:spacing w:after="120" w:line="276" w:lineRule="auto"/>
      </w:pPr>
      <w:r>
        <w:t>**Conclusion technique :** Les indicateurs de tendance (MM, MACD) sont résolument haussiers, mais les oscillateurs (RSI, Stochastique) hurlent au surachat. Cette divergence est un signal classique de retournement potentiel. Le scénario le plus probable est une consolidation ou une correction à court terme avant une éventuelle reprise de la tendance haussière. La prudence est de mise pour les nouveaux achats à ces niveaux.</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ABJC (Servair Abidjan) a réalisé un chiffre d'affaires de 13,298 milliards FCFA, en croissance de 6,7% par rapport à 2024 (12,467 Mds FCFA). Cependant, le résultat net a diminué de 12,1% à 1,351 milliard FCFA, principalement en raison d'une hausse de 46,7% de la charge d'impôt (839,75 M FCFA). La rentabilité reste néanmoins très solide avec un ROE de 26,18% et un ROA de 14,64%, démontrant une excellente utilisation des capitaux propres et des actifs. La structure financière est saine avec un ratio d'autonomie financière de 55,9% et une trésorerie nette de 4,035 milliards FCFA. Les délais de paiement clients (70 jours) et fournisseurs (92 jours) sont bien gérés, et le BFR est maîtrisé (257,45 M FCFA). Les rapports narratifs confirment cette tendance : le rapport du 3ème trimestre 2025 (publié en 2025) montre un net redressement avec un CA en hausse de +10,3% et un résultat net en hausse de +17,1% sur le T3 seul. Cependant, le rapport du T1 2026 (publié en 2026) est alarmant : le résultat net chute de 35,6% à 222,6 millions FCFA, impacté par des ajustements de redevances aéroportuaires. Sur la base de ce T1 2026, on estime que l'exercice 2026 pourrait voir une contraction significative de la rentabilité, malgré une croissance du CA de 1,9%. La solidité du bilan et la capacité de génération de cash-flow (CAF de 1,56 Md FCFA) restent des atouts majeurs, mais la pression sur les marges est une préoccupation réelle.</w:t>
      </w:r>
    </w:p>
    <w:p>
      <w:pPr>
        <w:spacing w:after="120" w:line="276" w:lineRule="auto"/>
      </w:pPr>
      <w:r>
        <w:t>---</w:t>
      </w:r>
    </w:p>
    <w:p>
      <w:pPr>
        <w:spacing w:after="120" w:line="276" w:lineRule="auto"/>
      </w:pPr>
      <w:r>
        <w:t>### PARTIE 4 : CONCLUSION D'INVESTISSEMENT</w:t>
      </w:r>
    </w:p>
    <w:p>
      <w:pPr>
        <w:spacing w:after="120" w:line="276" w:lineRule="auto"/>
      </w:pPr>
      <w:r>
        <w:t>La valorisation d'ABJC (PER 29,8x, P/B 7,8x) est extrêmement exigeante et reflète une surévaluation par rapport aux fondamentaux actuels et aux perspectives de croissance atones. Le comportement du cours, bien que haussier sur la période, est marqué par une volatilité très élevée (49,2%) et des conditions de surachat extrême. Les signaux techniques sont contradictoires : la tendance de fond (MM, MACD) est positive, mais les oscillateurs (RSI, Stochastique) annoncent une correction imminente. Les fondamentaux, bien que solides (ROE &gt; 26%, structure financière saine), montrent des signes de dégradation de la rentabilité en 2026, comme l'indiquent les résultats du T1 2026. Les prédictions IA (J+1 à J+10) confirment cette analyse technique en projetant une baisse continue du cours de 3 585 FCFA à 3 314 FCFA, soit une correction de près de 10%. Cette convergence entre la surévaluation, les signaux techniques de surachat et les prédictions baissières conduit à une recommandation de **VENTE**. Le niveau de confiance est **Élevé** et le risque global est **Élevé**. L'horizon d'investissement optimal pour un réinvestissement serait de moyen terme (3-12 mois), après une correction du cours vers des niveaux plus proches de la moyenne mobile (3 200-3 300 FCFA) et une stabilisation des fondamentaux.</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490.96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11,726 titres</w:t>
            </w:r>
          </w:p>
        </w:tc>
        <w:tc>
          <w:tcPr>
            <w:tcW w:type="dxa" w:w="2268"/>
            <w:shd w:fill="FFF2CC" w:val="clear"/>
          </w:tcPr>
          <w:p>
            <w:r>
              <w:rPr>
                <w:b/>
                <w:color w:val="503200"/>
                <w:sz w:val="16"/>
              </w:rPr>
              <w:t xml:space="preserve">Cours actuel : </w:t>
            </w:r>
            <w:r>
              <w:rPr>
                <w:color w:val="000000"/>
                <w:sz w:val="17"/>
              </w:rPr>
              <w:t>8,500 FCFA</w:t>
            </w:r>
          </w:p>
          <w:p>
            <w:r>
              <w:rPr>
                <w:b/>
                <w:color w:val="503200"/>
                <w:sz w:val="16"/>
              </w:rPr>
              <w:t xml:space="preserve">Var. 100 jours : </w:t>
            </w:r>
            <w:r>
              <w:rPr>
                <w:b/>
                <w:color w:val="007800"/>
                <w:sz w:val="17"/>
              </w:rPr>
              <w:t>+63.46%</w:t>
            </w:r>
          </w:p>
          <w:p>
            <w:r>
              <w:rPr>
                <w:b/>
                <w:color w:val="503200"/>
                <w:sz w:val="16"/>
              </w:rPr>
              <w:t xml:space="preserve">Plus haut 100j : </w:t>
            </w:r>
            <w:r>
              <w:rPr>
                <w:color w:val="000000"/>
                <w:sz w:val="17"/>
              </w:rPr>
              <w:t>8,510 FCFA</w:t>
            </w:r>
          </w:p>
          <w:p>
            <w:r>
              <w:rPr>
                <w:b/>
                <w:color w:val="503200"/>
                <w:sz w:val="16"/>
              </w:rPr>
              <w:t xml:space="preserve">Plus bas 100j : </w:t>
            </w:r>
            <w:r>
              <w:rPr>
                <w:color w:val="000000"/>
                <w:sz w:val="17"/>
              </w:rPr>
              <w:t>5,100 FCFA</w:t>
            </w:r>
          </w:p>
          <w:p>
            <w:r>
              <w:rPr>
                <w:b/>
                <w:color w:val="503200"/>
                <w:sz w:val="16"/>
              </w:rPr>
              <w:t xml:space="preserve">Volatilité ann. : </w:t>
            </w:r>
            <w:r>
              <w:rPr>
                <w:color w:val="000000"/>
                <w:sz w:val="17"/>
              </w:rPr>
              <w:t>30.6%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18.57% (Élevée) — μ=6,175 FCFA, σ=1,147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β=0.2583 (Défensif) — Cov=0.000009, Var(idx)=0.000036, ρ=0.080,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11,726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σ_j=1.93%/j (Stable) — Vol. annualisée≈30.6%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7,520</w:t>
            </w:r>
          </w:p>
        </w:tc>
        <w:tc>
          <w:tcPr>
            <w:tcW w:type="dxa" w:w="1440"/>
            <w:shd w:fill="FFDCE0" w:val="clear"/>
          </w:tcPr>
          <w:p>
            <w:r>
              <w:rPr>
                <w:b/>
                <w:sz w:val="17"/>
              </w:rPr>
              <w:t>7,862</w:t>
            </w:r>
          </w:p>
        </w:tc>
        <w:tc>
          <w:tcPr>
            <w:tcW w:type="dxa" w:w="1440"/>
            <w:shd w:fill="FFDCE0" w:val="clear"/>
          </w:tcPr>
          <w:p>
            <w:r>
              <w:rPr>
                <w:sz w:val="17"/>
              </w:rPr>
              <w:t>8,205</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6,825</w:t>
            </w:r>
          </w:p>
        </w:tc>
        <w:tc>
          <w:tcPr>
            <w:tcW w:type="dxa" w:w="1440"/>
            <w:shd w:fill="FFDCE0" w:val="clear"/>
          </w:tcPr>
          <w:p>
            <w:r>
              <w:rPr>
                <w:b/>
                <w:sz w:val="17"/>
              </w:rPr>
              <w:t>7,273</w:t>
            </w:r>
          </w:p>
        </w:tc>
        <w:tc>
          <w:tcPr>
            <w:tcW w:type="dxa" w:w="1440"/>
            <w:shd w:fill="FFDCE0" w:val="clear"/>
          </w:tcPr>
          <w:p>
            <w:r>
              <w:rPr>
                <w:sz w:val="17"/>
              </w:rPr>
              <w:t>7,720</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6,220</w:t>
            </w:r>
          </w:p>
        </w:tc>
        <w:tc>
          <w:tcPr>
            <w:tcW w:type="dxa" w:w="1440"/>
            <w:shd w:fill="FFDCE0" w:val="clear"/>
          </w:tcPr>
          <w:p>
            <w:r>
              <w:rPr>
                <w:b/>
                <w:sz w:val="17"/>
              </w:rPr>
              <w:t>6,727</w:t>
            </w:r>
          </w:p>
        </w:tc>
        <w:tc>
          <w:tcPr>
            <w:tcW w:type="dxa" w:w="1440"/>
            <w:shd w:fill="FFDCE0" w:val="clear"/>
          </w:tcPr>
          <w:p>
            <w:r>
              <w:rPr>
                <w:sz w:val="17"/>
              </w:rPr>
              <w:t>7,234</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5,702</w:t>
            </w:r>
          </w:p>
        </w:tc>
        <w:tc>
          <w:tcPr>
            <w:tcW w:type="dxa" w:w="1440"/>
            <w:shd w:fill="FFDCE0" w:val="clear"/>
          </w:tcPr>
          <w:p>
            <w:r>
              <w:rPr>
                <w:b/>
                <w:sz w:val="17"/>
              </w:rPr>
              <w:t>6,245</w:t>
            </w:r>
          </w:p>
        </w:tc>
        <w:tc>
          <w:tcPr>
            <w:tcW w:type="dxa" w:w="1440"/>
            <w:shd w:fill="FFDCE0" w:val="clear"/>
          </w:tcPr>
          <w:p>
            <w:r>
              <w:rPr>
                <w:sz w:val="17"/>
              </w:rPr>
              <w:t>6,789</w:t>
            </w:r>
          </w:p>
        </w:tc>
        <w:tc>
          <w:tcPr>
            <w:tcW w:type="dxa" w:w="1440"/>
            <w:shd w:fill="FFDCE0" w:val="clear"/>
          </w:tcPr>
          <w:p>
            <w:r>
              <w:rPr>
                <w:b/>
                <w:color w:val="C00000"/>
                <w:sz w:val="17"/>
              </w:rPr>
              <w:t>-26.5%</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5,486</w:t>
            </w:r>
          </w:p>
        </w:tc>
        <w:tc>
          <w:tcPr>
            <w:tcW w:type="dxa" w:w="1440"/>
            <w:shd w:fill="FFDCE0" w:val="clear"/>
          </w:tcPr>
          <w:p>
            <w:r>
              <w:rPr>
                <w:b/>
                <w:sz w:val="17"/>
              </w:rPr>
              <w:t>6,077</w:t>
            </w:r>
          </w:p>
        </w:tc>
        <w:tc>
          <w:tcPr>
            <w:tcW w:type="dxa" w:w="1440"/>
            <w:shd w:fill="FFDCE0" w:val="clear"/>
          </w:tcPr>
          <w:p>
            <w:r>
              <w:rPr>
                <w:sz w:val="17"/>
              </w:rPr>
              <w:t>6,668</w:t>
            </w:r>
          </w:p>
        </w:tc>
        <w:tc>
          <w:tcPr>
            <w:tcW w:type="dxa" w:w="1440"/>
            <w:shd w:fill="FFDCE0" w:val="clear"/>
          </w:tcPr>
          <w:p>
            <w:r>
              <w:rPr>
                <w:b/>
                <w:color w:val="C00000"/>
                <w:sz w:val="17"/>
              </w:rPr>
              <w:t>-28.5%</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5,298</w:t>
            </w:r>
          </w:p>
        </w:tc>
        <w:tc>
          <w:tcPr>
            <w:tcW w:type="dxa" w:w="1440"/>
            <w:shd w:fill="FFDCE0" w:val="clear"/>
          </w:tcPr>
          <w:p>
            <w:r>
              <w:rPr>
                <w:b/>
                <w:sz w:val="17"/>
              </w:rPr>
              <w:t>5,930</w:t>
            </w:r>
          </w:p>
        </w:tc>
        <w:tc>
          <w:tcPr>
            <w:tcW w:type="dxa" w:w="1440"/>
            <w:shd w:fill="FFDCE0" w:val="clear"/>
          </w:tcPr>
          <w:p>
            <w:r>
              <w:rPr>
                <w:sz w:val="17"/>
              </w:rPr>
              <w:t>6,562</w:t>
            </w:r>
          </w:p>
        </w:tc>
        <w:tc>
          <w:tcPr>
            <w:tcW w:type="dxa" w:w="1440"/>
            <w:shd w:fill="FFDCE0" w:val="clear"/>
          </w:tcPr>
          <w:p>
            <w:r>
              <w:rPr>
                <w:b/>
                <w:color w:val="C00000"/>
                <w:sz w:val="17"/>
              </w:rPr>
              <w:t>-30.2%</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5,135</w:t>
            </w:r>
          </w:p>
        </w:tc>
        <w:tc>
          <w:tcPr>
            <w:tcW w:type="dxa" w:w="1440"/>
            <w:shd w:fill="FFDCE0" w:val="clear"/>
          </w:tcPr>
          <w:p>
            <w:r>
              <w:rPr>
                <w:b/>
                <w:sz w:val="17"/>
              </w:rPr>
              <w:t>5,803</w:t>
            </w:r>
          </w:p>
        </w:tc>
        <w:tc>
          <w:tcPr>
            <w:tcW w:type="dxa" w:w="1440"/>
            <w:shd w:fill="FFDCE0" w:val="clear"/>
          </w:tcPr>
          <w:p>
            <w:r>
              <w:rPr>
                <w:sz w:val="17"/>
              </w:rPr>
              <w:t>6,471</w:t>
            </w:r>
          </w:p>
        </w:tc>
        <w:tc>
          <w:tcPr>
            <w:tcW w:type="dxa" w:w="1440"/>
            <w:shd w:fill="FFDCE0" w:val="clear"/>
          </w:tcPr>
          <w:p>
            <w:r>
              <w:rPr>
                <w:b/>
                <w:color w:val="C00000"/>
                <w:sz w:val="17"/>
              </w:rPr>
              <w:t>-31.7%</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4,992</w:t>
            </w:r>
          </w:p>
        </w:tc>
        <w:tc>
          <w:tcPr>
            <w:tcW w:type="dxa" w:w="1440"/>
            <w:shd w:fill="FFDCE0" w:val="clear"/>
          </w:tcPr>
          <w:p>
            <w:r>
              <w:rPr>
                <w:b/>
                <w:sz w:val="17"/>
              </w:rPr>
              <w:t>5,693</w:t>
            </w:r>
          </w:p>
        </w:tc>
        <w:tc>
          <w:tcPr>
            <w:tcW w:type="dxa" w:w="1440"/>
            <w:shd w:fill="FFDCE0" w:val="clear"/>
          </w:tcPr>
          <w:p>
            <w:r>
              <w:rPr>
                <w:sz w:val="17"/>
              </w:rPr>
              <w:t>6,393</w:t>
            </w:r>
          </w:p>
        </w:tc>
        <w:tc>
          <w:tcPr>
            <w:tcW w:type="dxa" w:w="1440"/>
            <w:shd w:fill="FFDCE0" w:val="clear"/>
          </w:tcPr>
          <w:p>
            <w:r>
              <w:rPr>
                <w:b/>
                <w:color w:val="C00000"/>
                <w:sz w:val="17"/>
              </w:rPr>
              <w:t>-33.0%</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4,867</w:t>
            </w:r>
          </w:p>
        </w:tc>
        <w:tc>
          <w:tcPr>
            <w:tcW w:type="dxa" w:w="1440"/>
            <w:shd w:fill="FFDCE0" w:val="clear"/>
          </w:tcPr>
          <w:p>
            <w:r>
              <w:rPr>
                <w:b/>
                <w:sz w:val="17"/>
              </w:rPr>
              <w:t>5,598</w:t>
            </w:r>
          </w:p>
        </w:tc>
        <w:tc>
          <w:tcPr>
            <w:tcW w:type="dxa" w:w="1440"/>
            <w:shd w:fill="FFDCE0" w:val="clear"/>
          </w:tcPr>
          <w:p>
            <w:r>
              <w:rPr>
                <w:sz w:val="17"/>
              </w:rPr>
              <w:t>6,328</w:t>
            </w:r>
          </w:p>
        </w:tc>
        <w:tc>
          <w:tcPr>
            <w:tcW w:type="dxa" w:w="1440"/>
            <w:shd w:fill="FFDCE0" w:val="clear"/>
          </w:tcPr>
          <w:p>
            <w:r>
              <w:rPr>
                <w:b/>
                <w:color w:val="C00000"/>
                <w:sz w:val="17"/>
              </w:rPr>
              <w:t>-34.1%</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4,756</w:t>
            </w:r>
          </w:p>
        </w:tc>
        <w:tc>
          <w:tcPr>
            <w:tcW w:type="dxa" w:w="1440"/>
            <w:shd w:fill="FFDCE0" w:val="clear"/>
          </w:tcPr>
          <w:p>
            <w:r>
              <w:rPr>
                <w:b/>
                <w:sz w:val="17"/>
              </w:rPr>
              <w:t>5,515</w:t>
            </w:r>
          </w:p>
        </w:tc>
        <w:tc>
          <w:tcPr>
            <w:tcW w:type="dxa" w:w="1440"/>
            <w:shd w:fill="FFDCE0" w:val="clear"/>
          </w:tcPr>
          <w:p>
            <w:r>
              <w:rPr>
                <w:sz w:val="17"/>
              </w:rPr>
              <w:t>6,274</w:t>
            </w:r>
          </w:p>
        </w:tc>
        <w:tc>
          <w:tcPr>
            <w:tcW w:type="dxa" w:w="1440"/>
            <w:shd w:fill="FFDCE0" w:val="clear"/>
          </w:tcPr>
          <w:p>
            <w:r>
              <w:rPr>
                <w:b/>
                <w:color w:val="C00000"/>
                <w:sz w:val="17"/>
              </w:rPr>
              <w:t>-35.1%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BICB s'établit à 490,96 milliards FCFA, un niveau significatif qui la positionne parmi les poids lourds de la BRVM, reflétant la confiance des investisseurs dans ce pilier bancaire de l'UEMOA. Avec un BPA de 627 FCFA, chaque action génère un bénéfice substantiel, justifiant un PER de 13,5x. Ce ratio, bien que supérieur à la moyenne historique de la BRVM (8-12x), reste modéré et témoigne d'une valorisation raisonnable pour une banque affichant une croissance aussi dynamique. Le P/B de 3,63x indique que le marché valorise la société à plus de 3,6 fois ses capitaux propres, une prime de croissance accordée pour sa rentabilité supérieure (ROE de 26,8%). Enfin, l'EV/EBITDA de 24,1x est très exigeant, signalant que la valeur totale de l'entreprise (fonds propres + dette) est élevée par rapport à sa capacité opérationnelle, ce qui pourrait limiter le potentiel de hausse à court terme.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BICB a enregistré une progression spectaculaire de +63,46%, passant d'un plus bas de 5 100 FCFA à un cours actuel de 8 500 FCFA, avec une légère consolidation de -0,12% lors de la dernière séance. Cette tendance fortement haussière s'inscrit dans un contexte de confiance retrouvée, portée par la publication de résultats financiers solides. La moyenne du cours sur la période (6 175 FCFA) est nettement inférieure à la médiane (5 735 FCFA), et le mode (5 110 FCFA) est proche du plus bas, ce qui confirme une distribution asymétrique positive (skewness de 0,889) : le titre a passé la majorité du temps à des niveaux bas avant de connaître une envolée récente. L'écart-type de 1 152 FCFA (CV de 18,7%) indique une dispersion modérée, tandis que le kurtosis de -0,669 (mésokurtique) suggère une distribution proche de la normale, sans risque de pics extrêmes. La volatilité annualisée de 30,6% classe le titre comme très volatile, un niveau élevé qui implique des fluctuations importantes et un risque accru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 Le cours actuel de 8 500 FCFA se situe nettement au-dessus de la MM20 (8 107,5 FCFA) et de la MM50 (7 077,2 FCFA), confirmant une tendance haussière robuste. La configuration des moyennes mobiles (MM20 &gt; MM50) valide la dynamique positive et génère un signal d'achat, indiquant que la tendance de fond reste favorable malgré la récente consolidation.</w:t>
      </w:r>
    </w:p>
    <w:p>
      <w:pPr>
        <w:spacing w:after="120" w:line="276" w:lineRule="auto"/>
      </w:pPr>
      <w:r>
        <w:t>**Bandes de Bollinger** : Le prix évolue dans la partie supérieure des bandes, entre la borne inférieure à 7 312,175 FCFA et la borne supérieure à 8 902,825 FCFA, avec une position à 8 500 FCFA. Cette position proche de la borne supérieure reflète une volatilité élevée et une pression acheteuse soutenue. La décision est neutre, car le titre n'a pas encore touché la borne extrême, mais la largeur des bandes indique une volatilité croissante.</w:t>
      </w:r>
    </w:p>
    <w:p>
      <w:pPr>
        <w:spacing w:after="120" w:line="276" w:lineRule="auto"/>
      </w:pPr>
      <w:r>
        <w:t>**MACD** : Le MACD (417,486) est inférieur à sa ligne de signal (448,528), ce qui constitue un signal de vente à court terme. Cette divergence suggère un affaiblissement du momentum haussier, même si les deux indicateurs restent en territoire positif, indiquant que la tendance de fond demeure haussière mais que la dynamique s'essouffle.</w:t>
      </w:r>
    </w:p>
    <w:p>
      <w:pPr>
        <w:spacing w:after="120" w:line="276" w:lineRule="auto"/>
      </w:pPr>
      <w:r>
        <w:t>**RSI** : Le RSI s'établit à 75,931, un niveau nettement au-dessus du seuil de surachat (70). Cette valeur indique que le titre est suracheté, ce qui suggère qu'un repli technique est probable à court terme. La décision de vente est justifiée par la nécessité de corriger cette surchauffe avant une éventuelle poursuite de la hausse.</w:t>
      </w:r>
    </w:p>
    <w:p>
      <w:pPr>
        <w:spacing w:after="120" w:line="276" w:lineRule="auto"/>
      </w:pPr>
      <w:r>
        <w:t>**Stochastique** : Le %K (98,81) et le %D (99,603) sont tous deux à des niveaux extrêmement élevés, proches de 100, confirmant une condition de surachat sévère. Les deux lignes sont en convergence, sans croisement baissier pour l'instant, mais la zone atteinte rend le titre vulnérable à une correction. La décision de vente est cohérente avec cette lecture.</w:t>
      </w:r>
    </w:p>
    <w:p>
      <w:pPr>
        <w:spacing w:after="120" w:line="276" w:lineRule="auto"/>
      </w:pPr>
      <w:r>
        <w:t>**Conclusion technique** : Les indicateurs de tendance (MM, Bollinger) restent positifs, mais les oscillateurs (MACD, RSI, Stochastique) signalent tous une condition de surachat extrême. Cette divergence entre la tendance et le momentum suggère une consolidation ou un repli technique imminent, bien que la tendance haussière de fond ne soit pas remise en cause. Les investisseurs devraient donc être prudents à court terme.</w:t>
      </w:r>
    </w:p>
    <w:p>
      <w:pPr>
        <w:spacing w:after="120" w:line="276" w:lineRule="auto" w:before="240"/>
      </w:pPr>
      <w:r>
        <w:rPr>
          <w:b/>
          <w:color w:val="003366"/>
          <w:sz w:val="24"/>
        </w:rPr>
        <w:t>**PARTIE 3 : ANALYSE FONDAMENTALE (SECTION CRITIQUE)**</w:t>
      </w:r>
    </w:p>
    <w:p>
      <w:pPr>
        <w:spacing w:after="120" w:line="276" w:lineRule="auto"/>
      </w:pPr>
      <w:r>
        <w:t>En 2025, BICB a réalisé une performance financière remarquable, avec un Produit Net Bancaire (PNB) de 52,805 milliards FCFA, en hausse de 16,49%, et un résultat net de 36,237 milliards FCFA, en progression de 24,7% par rapport à 2024. Le ROE s'établit à un niveau excellent de 26,82%, et le ROA à 1,96%, démontrant une gestion efficace des actifs. Le coefficient d'exploitation de 31,12% est exceptionnel, bien en dessous du seuil de 60% considéré comme sain, ce qui témoigne d'une maîtrise rigoureuse des charges. Cependant, le coût du risque de 9,61% est élevé, signalant une dégradation de la qualité du portefeuille de crédits, comme en témoignent les rapports semestriels et trimestriels 2025 (coût du risque multiplié par 5 au S1 2025). Le ratio de transformation est tendu : les crédits clientèle (1 151,536 Mds) représentent 97,5% des dépôts (1 181,045 Mds), un niveau élevé qui expose la banque à un risque de liquidité. Les capitaux propres de 135,118 Mds FCFA et une solvabilité générale de 107,9% confirment une base solide. Sur la base du rapport T1 2026 (PNB en hausse de 35% à 14,6 Mds, résultat net en progression de 48% à 8,0 Mds), on estime que l'exercice 2026 devrait confirmer cette dynamique de croissance, avec un PNB annuel potentiel de 58-60 Mds FCFA et un résultat net de 32-34 Mds FCFA, si la qualité du crédit se stabilise. La recommandation fondamentale est positive, mais la vigilance reste de mise sur la gestion du risque de crédit et de la liquidité.</w:t>
      </w:r>
    </w:p>
    <w:p>
      <w:pPr>
        <w:spacing w:after="120" w:line="276" w:lineRule="auto" w:before="240"/>
      </w:pPr>
      <w:r>
        <w:rPr>
          <w:b/>
          <w:color w:val="003366"/>
          <w:sz w:val="24"/>
        </w:rPr>
        <w:t>**PARTIE 4 : CONCLUSION D'INVESTISSEMENT**</w:t>
      </w:r>
    </w:p>
    <w:p>
      <w:pPr>
        <w:spacing w:after="120" w:line="276" w:lineRule="auto"/>
      </w:pPr>
      <w:r>
        <w:t>La valorisation de BICB (PER de 13,5x, P/B de 3,63x) indique une prime de croissance, mais reste justifiée par des fondamentaux solides et une rentabilité exceptionnelle. Le comportement du cours sur 100 jours (+63,46%) avec une volatilité élevée (30,6%) et une asymétrie positive reflète un intérêt marqué des investisseurs, mais les statistiques suggèrent un risque de consolidation. Les signaux techniques sont divergents : les moyennes mobiles et les bandes de Bollinger confirment la tendance haussière, tandis que le MACD, le RSI et le stochastique signalent un surachat extrême, annonçant un repli probable à court terme. Les fondamentaux restent très solides, avec une croissance du PNB de 16,5% en 2025 et des perspectives 2026 prometteuses (T1 2026 : PNB +35%, RN +48%). Cependant, les prédictions IA pour les 10 prochains jours (baisse de 8 500 à 6 077 FCFA) confirment l'hypothèse d'une correction technique après une hausse aussi rapide. En synthèse, la convergence entre les signaux techniques de surachat et les prédictions IA suggère une pause dans la dynamique haussière, mais les fondamentaux robustes et les perspectives de croissance plaident pour une stratégie à moyen terme. **Recommandation finale : CONSERVER**, avec un niveau de confiance Moyen, un risque global Élevé (volatilité et surachat), et un horizon d'investissement optimal à moyen terme (3-12 mois) pour profiter de la croissance fondamentale après une éventuelle correction.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491.67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679 titres</w:t>
            </w:r>
          </w:p>
        </w:tc>
        <w:tc>
          <w:tcPr>
            <w:tcW w:type="dxa" w:w="2268"/>
            <w:shd w:fill="FFF2CC" w:val="clear"/>
          </w:tcPr>
          <w:p>
            <w:r>
              <w:rPr>
                <w:b/>
                <w:color w:val="503200"/>
                <w:sz w:val="16"/>
              </w:rPr>
              <w:t xml:space="preserve">Cours actuel : </w:t>
            </w:r>
            <w:r>
              <w:rPr>
                <w:color w:val="000000"/>
                <w:sz w:val="17"/>
              </w:rPr>
              <w:t>29,500 FCFA</w:t>
            </w:r>
          </w:p>
          <w:p>
            <w:r>
              <w:rPr>
                <w:b/>
                <w:color w:val="503200"/>
                <w:sz w:val="16"/>
              </w:rPr>
              <w:t xml:space="preserve">Var. 100 jours : </w:t>
            </w:r>
            <w:r>
              <w:rPr>
                <w:b/>
                <w:color w:val="007800"/>
                <w:sz w:val="17"/>
              </w:rPr>
              <w:t>+19.92%</w:t>
            </w:r>
          </w:p>
          <w:p>
            <w:r>
              <w:rPr>
                <w:b/>
                <w:color w:val="503200"/>
                <w:sz w:val="16"/>
              </w:rPr>
              <w:t xml:space="preserve">Plus haut 100j : </w:t>
            </w:r>
            <w:r>
              <w:rPr>
                <w:color w:val="000000"/>
                <w:sz w:val="17"/>
              </w:rPr>
              <w:t>29,970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27.2%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18.5/100 → Faible</w:t>
      </w:r>
    </w:p>
    <w:p>
      <w:pPr>
        <w:spacing w:before="40" w:after="80"/>
      </w:pPr>
      <w:r>
        <w:rPr>
          <w:rFonts w:ascii="Courier New" w:hAnsi="Courier New"/>
          <w:color w:val="006400"/>
          <w:sz w:val="18"/>
        </w:rPr>
        <w:t>███░░░░░░░░░░░░░░░░░  18.5/100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7.30% (Moyenne) — μ=27,340 FCFA, σ=1,996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β=0.2823 (Défensif) — Cov=0.000010, Var(idx)=0.000036, ρ=0.100,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679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σ_j=1.72%/j (Stable) — Vol. annualisée≈27.2%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28,239</w:t>
            </w:r>
          </w:p>
        </w:tc>
        <w:tc>
          <w:tcPr>
            <w:tcW w:type="dxa" w:w="1440"/>
            <w:shd w:fill="FFDCE0" w:val="clear"/>
          </w:tcPr>
          <w:p>
            <w:r>
              <w:rPr>
                <w:b/>
                <w:sz w:val="17"/>
              </w:rPr>
              <w:t>28,784</w:t>
            </w:r>
          </w:p>
        </w:tc>
        <w:tc>
          <w:tcPr>
            <w:tcW w:type="dxa" w:w="1440"/>
            <w:shd w:fill="FFDCE0" w:val="clear"/>
          </w:tcPr>
          <w:p>
            <w:r>
              <w:rPr>
                <w:sz w:val="17"/>
              </w:rPr>
              <w:t>29,330</w:t>
            </w:r>
          </w:p>
        </w:tc>
        <w:tc>
          <w:tcPr>
            <w:tcW w:type="dxa" w:w="1440"/>
            <w:shd w:fill="FFDCE0" w:val="clear"/>
          </w:tcPr>
          <w:p>
            <w:r>
              <w:rPr>
                <w:b/>
                <w:color w:val="C00000"/>
                <w:sz w:val="17"/>
              </w:rPr>
              <w:t>-2.4%</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27,740</w:t>
            </w:r>
          </w:p>
        </w:tc>
        <w:tc>
          <w:tcPr>
            <w:tcW w:type="dxa" w:w="1440"/>
            <w:shd w:fill="FFDCE0" w:val="clear"/>
          </w:tcPr>
          <w:p>
            <w:r>
              <w:rPr>
                <w:b/>
                <w:sz w:val="17"/>
              </w:rPr>
              <w:t>28,504</w:t>
            </w:r>
          </w:p>
        </w:tc>
        <w:tc>
          <w:tcPr>
            <w:tcW w:type="dxa" w:w="1440"/>
            <w:shd w:fill="FFDCE0" w:val="clear"/>
          </w:tcPr>
          <w:p>
            <w:r>
              <w:rPr>
                <w:sz w:val="17"/>
              </w:rPr>
              <w:t>29,268</w:t>
            </w:r>
          </w:p>
        </w:tc>
        <w:tc>
          <w:tcPr>
            <w:tcW w:type="dxa" w:w="1440"/>
            <w:shd w:fill="FFDCE0" w:val="clear"/>
          </w:tcPr>
          <w:p>
            <w:r>
              <w:rPr>
                <w:b/>
                <w:color w:val="C00000"/>
                <w:sz w:val="17"/>
              </w:rPr>
              <w:t>-3.4%</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27,254</w:t>
            </w:r>
          </w:p>
        </w:tc>
        <w:tc>
          <w:tcPr>
            <w:tcW w:type="dxa" w:w="1440"/>
            <w:shd w:fill="FFDCE0" w:val="clear"/>
          </w:tcPr>
          <w:p>
            <w:r>
              <w:rPr>
                <w:b/>
                <w:sz w:val="17"/>
              </w:rPr>
              <w:t>28,179</w:t>
            </w:r>
          </w:p>
        </w:tc>
        <w:tc>
          <w:tcPr>
            <w:tcW w:type="dxa" w:w="1440"/>
            <w:shd w:fill="FFDCE0" w:val="clear"/>
          </w:tcPr>
          <w:p>
            <w:r>
              <w:rPr>
                <w:sz w:val="17"/>
              </w:rPr>
              <w:t>29,104</w:t>
            </w:r>
          </w:p>
        </w:tc>
        <w:tc>
          <w:tcPr>
            <w:tcW w:type="dxa" w:w="1440"/>
            <w:shd w:fill="FFDCE0" w:val="clear"/>
          </w:tcPr>
          <w:p>
            <w:r>
              <w:rPr>
                <w:b/>
                <w:color w:val="C00000"/>
                <w:sz w:val="17"/>
              </w:rPr>
              <w:t>-4.5%</w:t>
            </w:r>
          </w:p>
        </w:tc>
      </w:tr>
      <w:tr>
        <w:tc>
          <w:tcPr>
            <w:tcW w:type="dxa" w:w="1440"/>
            <w:shd w:fill="FFDCE0" w:val="clear"/>
          </w:tcPr>
          <w:p>
            <w:r>
              <w:rPr>
                <w:sz w:val="17"/>
              </w:rPr>
              <w:t>J+4  Moyenne</w:t>
            </w:r>
          </w:p>
        </w:tc>
        <w:tc>
          <w:tcPr>
            <w:tcW w:type="dxa" w:w="1440"/>
            <w:shd w:fill="FFDCE0" w:val="clear"/>
          </w:tcPr>
          <w:p>
            <w:r>
              <w:rPr>
                <w:sz w:val="17"/>
              </w:rPr>
              <w:t>2026-09-03</w:t>
            </w:r>
          </w:p>
        </w:tc>
        <w:tc>
          <w:tcPr>
            <w:tcW w:type="dxa" w:w="1440"/>
            <w:shd w:fill="FFDCE0" w:val="clear"/>
          </w:tcPr>
          <w:p>
            <w:r>
              <w:rPr>
                <w:sz w:val="17"/>
              </w:rPr>
              <w:t>26,832</w:t>
            </w:r>
          </w:p>
        </w:tc>
        <w:tc>
          <w:tcPr>
            <w:tcW w:type="dxa" w:w="1440"/>
            <w:shd w:fill="FFDCE0" w:val="clear"/>
          </w:tcPr>
          <w:p>
            <w:r>
              <w:rPr>
                <w:b/>
                <w:sz w:val="17"/>
              </w:rPr>
              <w:t>27,889</w:t>
            </w:r>
          </w:p>
        </w:tc>
        <w:tc>
          <w:tcPr>
            <w:tcW w:type="dxa" w:w="1440"/>
            <w:shd w:fill="FFDCE0" w:val="clear"/>
          </w:tcPr>
          <w:p>
            <w:r>
              <w:rPr>
                <w:sz w:val="17"/>
              </w:rPr>
              <w:t>28,946</w:t>
            </w:r>
          </w:p>
        </w:tc>
        <w:tc>
          <w:tcPr>
            <w:tcW w:type="dxa" w:w="1440"/>
            <w:shd w:fill="FFDCE0" w:val="clear"/>
          </w:tcPr>
          <w:p>
            <w:r>
              <w:rPr>
                <w:b/>
                <w:color w:val="C00000"/>
                <w:sz w:val="17"/>
              </w:rPr>
              <w:t>-5.5%</w:t>
            </w:r>
          </w:p>
        </w:tc>
      </w:tr>
      <w:tr>
        <w:tc>
          <w:tcPr>
            <w:tcW w:type="dxa" w:w="1440"/>
            <w:shd w:fill="FFDCE0" w:val="clear"/>
          </w:tcPr>
          <w:p>
            <w:r>
              <w:rPr>
                <w:sz w:val="17"/>
              </w:rPr>
              <w:t>J+5  Moyenne</w:t>
            </w:r>
          </w:p>
        </w:tc>
        <w:tc>
          <w:tcPr>
            <w:tcW w:type="dxa" w:w="1440"/>
            <w:shd w:fill="FFDCE0" w:val="clear"/>
          </w:tcPr>
          <w:p>
            <w:r>
              <w:rPr>
                <w:sz w:val="17"/>
              </w:rPr>
              <w:t>2026-09-04</w:t>
            </w:r>
          </w:p>
        </w:tc>
        <w:tc>
          <w:tcPr>
            <w:tcW w:type="dxa" w:w="1440"/>
            <w:shd w:fill="FFDCE0" w:val="clear"/>
          </w:tcPr>
          <w:p>
            <w:r>
              <w:rPr>
                <w:sz w:val="17"/>
              </w:rPr>
              <w:t>26,456</w:t>
            </w:r>
          </w:p>
        </w:tc>
        <w:tc>
          <w:tcPr>
            <w:tcW w:type="dxa" w:w="1440"/>
            <w:shd w:fill="FFDCE0" w:val="clear"/>
          </w:tcPr>
          <w:p>
            <w:r>
              <w:rPr>
                <w:b/>
                <w:sz w:val="17"/>
              </w:rPr>
              <w:t>27,627</w:t>
            </w:r>
          </w:p>
        </w:tc>
        <w:tc>
          <w:tcPr>
            <w:tcW w:type="dxa" w:w="1440"/>
            <w:shd w:fill="FFDCE0" w:val="clear"/>
          </w:tcPr>
          <w:p>
            <w:r>
              <w:rPr>
                <w:sz w:val="17"/>
              </w:rPr>
              <w:t>28,797</w:t>
            </w:r>
          </w:p>
        </w:tc>
        <w:tc>
          <w:tcPr>
            <w:tcW w:type="dxa" w:w="1440"/>
            <w:shd w:fill="FFDCE0" w:val="clear"/>
          </w:tcPr>
          <w:p>
            <w:r>
              <w:rPr>
                <w:b/>
                <w:color w:val="C00000"/>
                <w:sz w:val="17"/>
              </w:rPr>
              <w:t>-6.3%</w:t>
            </w:r>
          </w:p>
        </w:tc>
      </w:tr>
      <w:tr>
        <w:tc>
          <w:tcPr>
            <w:tcW w:type="dxa" w:w="1440"/>
            <w:shd w:fill="FFDCE0" w:val="clear"/>
          </w:tcPr>
          <w:p>
            <w:r>
              <w:rPr>
                <w:sz w:val="17"/>
              </w:rPr>
              <w:t>J+6  Moyenne</w:t>
            </w:r>
          </w:p>
        </w:tc>
        <w:tc>
          <w:tcPr>
            <w:tcW w:type="dxa" w:w="1440"/>
            <w:shd w:fill="FFDCE0" w:val="clear"/>
          </w:tcPr>
          <w:p>
            <w:r>
              <w:rPr>
                <w:sz w:val="17"/>
              </w:rPr>
              <w:t>2026-09-07</w:t>
            </w:r>
          </w:p>
        </w:tc>
        <w:tc>
          <w:tcPr>
            <w:tcW w:type="dxa" w:w="1440"/>
            <w:shd w:fill="FFDCE0" w:val="clear"/>
          </w:tcPr>
          <w:p>
            <w:r>
              <w:rPr>
                <w:sz w:val="17"/>
              </w:rPr>
              <w:t>26,108</w:t>
            </w:r>
          </w:p>
        </w:tc>
        <w:tc>
          <w:tcPr>
            <w:tcW w:type="dxa" w:w="1440"/>
            <w:shd w:fill="FFDCE0" w:val="clear"/>
          </w:tcPr>
          <w:p>
            <w:r>
              <w:rPr>
                <w:b/>
                <w:sz w:val="17"/>
              </w:rPr>
              <w:t>27,379</w:t>
            </w:r>
          </w:p>
        </w:tc>
        <w:tc>
          <w:tcPr>
            <w:tcW w:type="dxa" w:w="1440"/>
            <w:shd w:fill="FFDCE0" w:val="clear"/>
          </w:tcPr>
          <w:p>
            <w:r>
              <w:rPr>
                <w:sz w:val="17"/>
              </w:rPr>
              <w:t>28,650</w:t>
            </w:r>
          </w:p>
        </w:tc>
        <w:tc>
          <w:tcPr>
            <w:tcW w:type="dxa" w:w="1440"/>
            <w:shd w:fill="FFDCE0" w:val="clear"/>
          </w:tcPr>
          <w:p>
            <w:r>
              <w:rPr>
                <w:b/>
                <w:color w:val="C00000"/>
                <w:sz w:val="17"/>
              </w:rPr>
              <w:t>-7.2%</w:t>
            </w:r>
          </w:p>
        </w:tc>
      </w:tr>
      <w:tr>
        <w:tc>
          <w:tcPr>
            <w:tcW w:type="dxa" w:w="1440"/>
            <w:shd w:fill="FFDCE0" w:val="clear"/>
          </w:tcPr>
          <w:p>
            <w:r>
              <w:rPr>
                <w:sz w:val="17"/>
              </w:rPr>
              <w:t>J+7  Moyenne</w:t>
            </w:r>
          </w:p>
        </w:tc>
        <w:tc>
          <w:tcPr>
            <w:tcW w:type="dxa" w:w="1440"/>
            <w:shd w:fill="FFDCE0" w:val="clear"/>
          </w:tcPr>
          <w:p>
            <w:r>
              <w:rPr>
                <w:sz w:val="17"/>
              </w:rPr>
              <w:t>2026-09-08</w:t>
            </w:r>
          </w:p>
        </w:tc>
        <w:tc>
          <w:tcPr>
            <w:tcW w:type="dxa" w:w="1440"/>
            <w:shd w:fill="FFDCE0" w:val="clear"/>
          </w:tcPr>
          <w:p>
            <w:r>
              <w:rPr>
                <w:sz w:val="17"/>
              </w:rPr>
              <w:t>25,780</w:t>
            </w:r>
          </w:p>
        </w:tc>
        <w:tc>
          <w:tcPr>
            <w:tcW w:type="dxa" w:w="1440"/>
            <w:shd w:fill="FFDCE0" w:val="clear"/>
          </w:tcPr>
          <w:p>
            <w:r>
              <w:rPr>
                <w:b/>
                <w:sz w:val="17"/>
              </w:rPr>
              <w:t>27,141</w:t>
            </w:r>
          </w:p>
        </w:tc>
        <w:tc>
          <w:tcPr>
            <w:tcW w:type="dxa" w:w="1440"/>
            <w:shd w:fill="FFDCE0" w:val="clear"/>
          </w:tcPr>
          <w:p>
            <w:r>
              <w:rPr>
                <w:sz w:val="17"/>
              </w:rPr>
              <w:t>28,502</w:t>
            </w:r>
          </w:p>
        </w:tc>
        <w:tc>
          <w:tcPr>
            <w:tcW w:type="dxa" w:w="1440"/>
            <w:shd w:fill="FFDCE0" w:val="clear"/>
          </w:tcPr>
          <w:p>
            <w:r>
              <w:rPr>
                <w:b/>
                <w:color w:val="C00000"/>
                <w:sz w:val="17"/>
              </w:rPr>
              <w:t>-8.0%</w:t>
            </w:r>
          </w:p>
        </w:tc>
      </w:tr>
      <w:tr>
        <w:tc>
          <w:tcPr>
            <w:tcW w:type="dxa" w:w="1440"/>
            <w:shd w:fill="FFDCE0" w:val="clear"/>
          </w:tcPr>
          <w:p>
            <w:r>
              <w:rPr>
                <w:sz w:val="17"/>
              </w:rPr>
              <w:t>J+8  Moyenne</w:t>
            </w:r>
          </w:p>
        </w:tc>
        <w:tc>
          <w:tcPr>
            <w:tcW w:type="dxa" w:w="1440"/>
            <w:shd w:fill="FFDCE0" w:val="clear"/>
          </w:tcPr>
          <w:p>
            <w:r>
              <w:rPr>
                <w:sz w:val="17"/>
              </w:rPr>
              <w:t>2026-09-09</w:t>
            </w:r>
          </w:p>
        </w:tc>
        <w:tc>
          <w:tcPr>
            <w:tcW w:type="dxa" w:w="1440"/>
            <w:shd w:fill="FFDCE0" w:val="clear"/>
          </w:tcPr>
          <w:p>
            <w:r>
              <w:rPr>
                <w:sz w:val="17"/>
              </w:rPr>
              <w:t>25,469</w:t>
            </w:r>
          </w:p>
        </w:tc>
        <w:tc>
          <w:tcPr>
            <w:tcW w:type="dxa" w:w="1440"/>
            <w:shd w:fill="FFDCE0" w:val="clear"/>
          </w:tcPr>
          <w:p>
            <w:r>
              <w:rPr>
                <w:b/>
                <w:sz w:val="17"/>
              </w:rPr>
              <w:t>26,912</w:t>
            </w:r>
          </w:p>
        </w:tc>
        <w:tc>
          <w:tcPr>
            <w:tcW w:type="dxa" w:w="1440"/>
            <w:shd w:fill="FFDCE0" w:val="clear"/>
          </w:tcPr>
          <w:p>
            <w:r>
              <w:rPr>
                <w:sz w:val="17"/>
              </w:rPr>
              <w:t>28,354</w:t>
            </w:r>
          </w:p>
        </w:tc>
        <w:tc>
          <w:tcPr>
            <w:tcW w:type="dxa" w:w="1440"/>
            <w:shd w:fill="FFDCE0" w:val="clear"/>
          </w:tcPr>
          <w:p>
            <w:r>
              <w:rPr>
                <w:b/>
                <w:color w:val="C00000"/>
                <w:sz w:val="17"/>
              </w:rPr>
              <w:t>-8.8%</w:t>
            </w:r>
          </w:p>
        </w:tc>
      </w:tr>
      <w:tr>
        <w:tc>
          <w:tcPr>
            <w:tcW w:type="dxa" w:w="1440"/>
            <w:shd w:fill="FFDCE0" w:val="clear"/>
          </w:tcPr>
          <w:p>
            <w:r>
              <w:rPr>
                <w:sz w:val="17"/>
              </w:rPr>
              <w:t>J+9  Moyenne</w:t>
            </w:r>
          </w:p>
        </w:tc>
        <w:tc>
          <w:tcPr>
            <w:tcW w:type="dxa" w:w="1440"/>
            <w:shd w:fill="FFDCE0" w:val="clear"/>
          </w:tcPr>
          <w:p>
            <w:r>
              <w:rPr>
                <w:sz w:val="17"/>
              </w:rPr>
              <w:t>2026-09-10</w:t>
            </w:r>
          </w:p>
        </w:tc>
        <w:tc>
          <w:tcPr>
            <w:tcW w:type="dxa" w:w="1440"/>
            <w:shd w:fill="FFDCE0" w:val="clear"/>
          </w:tcPr>
          <w:p>
            <w:r>
              <w:rPr>
                <w:sz w:val="17"/>
              </w:rPr>
              <w:t>25,173</w:t>
            </w:r>
          </w:p>
        </w:tc>
        <w:tc>
          <w:tcPr>
            <w:tcW w:type="dxa" w:w="1440"/>
            <w:shd w:fill="FFDCE0" w:val="clear"/>
          </w:tcPr>
          <w:p>
            <w:r>
              <w:rPr>
                <w:b/>
                <w:sz w:val="17"/>
              </w:rPr>
              <w:t>26,691</w:t>
            </w:r>
          </w:p>
        </w:tc>
        <w:tc>
          <w:tcPr>
            <w:tcW w:type="dxa" w:w="1440"/>
            <w:shd w:fill="FFDCE0" w:val="clear"/>
          </w:tcPr>
          <w:p>
            <w:r>
              <w:rPr>
                <w:sz w:val="17"/>
              </w:rPr>
              <w:t>28,208</w:t>
            </w:r>
          </w:p>
        </w:tc>
        <w:tc>
          <w:tcPr>
            <w:tcW w:type="dxa" w:w="1440"/>
            <w:shd w:fill="FFDCE0" w:val="clear"/>
          </w:tcPr>
          <w:p>
            <w:r>
              <w:rPr>
                <w:b/>
                <w:color w:val="C00000"/>
                <w:sz w:val="17"/>
              </w:rPr>
              <w:t>-9.5%</w:t>
            </w:r>
          </w:p>
        </w:tc>
      </w:tr>
      <w:tr>
        <w:tc>
          <w:tcPr>
            <w:tcW w:type="dxa" w:w="1440"/>
            <w:shd w:fill="FFDCE0" w:val="clear"/>
          </w:tcPr>
          <w:p>
            <w:r>
              <w:rPr>
                <w:sz w:val="17"/>
              </w:rPr>
              <w:t>J+10  Moyenne</w:t>
            </w:r>
          </w:p>
        </w:tc>
        <w:tc>
          <w:tcPr>
            <w:tcW w:type="dxa" w:w="1440"/>
            <w:shd w:fill="FFDCE0" w:val="clear"/>
          </w:tcPr>
          <w:p>
            <w:r>
              <w:rPr>
                <w:sz w:val="17"/>
              </w:rPr>
              <w:t>2026-09-11</w:t>
            </w:r>
          </w:p>
        </w:tc>
        <w:tc>
          <w:tcPr>
            <w:tcW w:type="dxa" w:w="1440"/>
            <w:shd w:fill="FFDCE0" w:val="clear"/>
          </w:tcPr>
          <w:p>
            <w:r>
              <w:rPr>
                <w:sz w:val="17"/>
              </w:rPr>
              <w:t>24,891</w:t>
            </w:r>
          </w:p>
        </w:tc>
        <w:tc>
          <w:tcPr>
            <w:tcW w:type="dxa" w:w="1440"/>
            <w:shd w:fill="FFDCE0" w:val="clear"/>
          </w:tcPr>
          <w:p>
            <w:r>
              <w:rPr>
                <w:b/>
                <w:sz w:val="17"/>
              </w:rPr>
              <w:t>26,478</w:t>
            </w:r>
          </w:p>
        </w:tc>
        <w:tc>
          <w:tcPr>
            <w:tcW w:type="dxa" w:w="1440"/>
            <w:shd w:fill="FFDCE0" w:val="clear"/>
          </w:tcPr>
          <w:p>
            <w:r>
              <w:rPr>
                <w:sz w:val="17"/>
              </w:rPr>
              <w:t>28,065</w:t>
            </w:r>
          </w:p>
        </w:tc>
        <w:tc>
          <w:tcPr>
            <w:tcW w:type="dxa" w:w="1440"/>
            <w:shd w:fill="FFDCE0" w:val="clear"/>
          </w:tcPr>
          <w:p>
            <w:r>
              <w:rPr>
                <w:b/>
                <w:color w:val="C00000"/>
                <w:sz w:val="17"/>
              </w:rPr>
              <w:t>-10.2%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BICC s'établit à 491,67 milliards FCFA, positionnant le titre parmi les valeurs à forte capitalisation de la BRVM, ce qui lui confère une liquidité et une visibilité appréciables. Le BPA de 2 191 FCFA indique une capacité bénéficiaire substantielle par action. Le PER de 13,5x est légèrement supérieur à la moyenne historique de la BRVM (8-12x), ce qui suggère que le marché intègre déjà des perspectives de croissance, mais reste dans une zone de valorisation raisonnable pour un établissement de cette qualité. En revanche, le P/B de 4,08x est nettement supérieur à 1, signifiant que les investisseurs paient une prime significative de 408% par rapport à la valeur comptable des actifs, une valorisation exigeante qui reflète une forte confiance dans la rentabilité future. Enfin, l'EV/EBITDA de 9,5x, situé dans la fourchette haute des valeurs raisonnables (5-10x), confirme une valorisation globale cohérente avec la capacité opérationnelle de la banque.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BICC a enregistré une progression remarquable de +19,92%, avec une légère consolidation de -1,57% lors de la dernière séance, reflétant une prise de profit après une période de forte hausse. Le cours a évolué dans un range de trading de 22 500 à 29 970 FCFA, démontrant une dynamique haussière soutenue. La moyenne de 27 340 FCFA est inférieure à la médiane de 28 250 FCFA, indiquant une distribution asymétrique avec des journées de forte hausse plus fréquentes que les baisses. L'écart-type de 2 006 FCFA et le coefficient de variation de 7,3% révèlent une dispersion modérée du cours autour de la moyenne. Le kurtosis de -0,605 (mésokurtique) suggère une distribution proche de la normale, sans risque de pics extrêmes, tandis que le skewness de -0,916 confirme l'asymétrie négative avec une concentration des rendements au-dessus de la moyenne. La volatilité annualisée de 27,2% classe le titre dans la catégorie des valeurs à volatilité modérée, offrant un équilibre entre risque et rendement.</w:t>
      </w:r>
    </w:p>
    <w:p>
      <w:pPr>
        <w:spacing w:after="120" w:line="276" w:lineRule="auto" w:before="240"/>
      </w:pPr>
      <w:r>
        <w:rPr>
          <w:b/>
          <w:color w:val="003366"/>
          <w:sz w:val="24"/>
        </w:rPr>
        <w:t>**PARTIE 2 : ANALYSE TECHNIQUE DÉTAILLÉE**</w:t>
      </w:r>
    </w:p>
    <w:p>
      <w:pPr>
        <w:spacing w:after="120" w:line="276" w:lineRule="auto"/>
      </w:pPr>
      <w:r>
        <w:t>**Moyennes Mobiles** : Le cours actuel de 29 500 FCFA se positionne au-dessus des MM20 (29 061 FCFA) et MM50 (28 691,9 FCFA), confirmant une tendance haussière de court et moyen terme. L'écart positif entre le prix et ces moyennes indique une dynamique positive soutenue, justifiant une décision d'achat.</w:t>
      </w:r>
    </w:p>
    <w:p>
      <w:pPr>
        <w:spacing w:after="120" w:line="276" w:lineRule="auto"/>
      </w:pPr>
      <w:r>
        <w:t>**Bandes de Bollinger** : Le prix se situe à 29 500 FCFA, proche de la borne supérieure (29 662,67 FCFA), signalant une pression acheteuse persistante. La largeur des bandes (écart de 1 203 FCFA entre les bornes) reflète une volatilité modérée. La position du cours dans la partie haute des bandes suggère une tendance haussière, mais sans signal de surachat extrême, d'où une décision neutre.</w:t>
      </w:r>
    </w:p>
    <w:p>
      <w:pPr>
        <w:spacing w:after="120" w:line="276" w:lineRule="auto"/>
      </w:pPr>
      <w:r>
        <w:t>**MACD** : La valeur du MACD (206,641) est supérieure à son signal (163,595), avec un écart positif de 43 points, indiquant un momentum haussier solide. Cette configuration, avec le MACD au-dessus de zéro, confirme la vigueur de la tendance et justifie une décision d'achat.</w:t>
      </w:r>
    </w:p>
    <w:p>
      <w:pPr>
        <w:spacing w:after="120" w:line="276" w:lineRule="auto"/>
      </w:pPr>
      <w:r>
        <w:t>**RSI** : Le RSI de 55,405 se situe dans la zone neutre (30-70), indiquant un équilibre entre pression acheteuse et vendeuse. Cette valeur suggère que le titre n'est ni suracheté ni survendu, laissant une marge de progression avant d'atteindre des niveaux extrêmes, d'où une décision neutre.</w:t>
      </w:r>
    </w:p>
    <w:p>
      <w:pPr>
        <w:spacing w:after="120" w:line="276" w:lineRule="auto"/>
      </w:pPr>
      <w:r>
        <w:t>**Stochastique** : Le %K (65,693) est inférieur au %D (80,872), indiquant un croisement baissier potentiel à court terme. Cette configuration suggère un possible ralentissement du momentum, bien que les deux lignes restent en zone positive, justifiant une décision neutre.</w:t>
      </w:r>
    </w:p>
    <w:p>
      <w:pPr>
        <w:spacing w:after="120" w:line="276" w:lineRule="auto"/>
      </w:pPr>
      <w:r>
        <w:t>**Conclusion technique** : Les indicateurs de tendance (MM, MACD) sont globalement positifs, tandis que les oscillateurs (RSI, Stochastique) montrent des signaux neutres, indiquant une consolidation possible après la récente hausse. La tendance de fond reste haussière, mais un léger essoufflement à court terme est probable.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BICC révèlent une performance financière solide : le Produit Net Bancaire s'établit à 79,563 milliards FCFA, avec un résultat net de 36,520 milliards FCFA. Le ROE de 30,29% et le ROA de 3,24% démontrent une rentabilité exceptionnelle, largement supérieure aux seuils d'excellence (15% et 2% respectivement). Le coefficient d'exploitation de 50,83% indique une excellente maîtrise des charges, tandis que le coût du risque de -12,15% reflète un portefeuille de crédits sain. Le ratio dépôts/crédits de 181,7% (952,872 Mds de dépôts pour 524,439 Mds de crédits) montre une transformation prudente et une forte liquidité. Les rapports trimestriels confirment cette dynamique : le T1 2025 (PNB de 18,130 Mds, +9,3% et résultat net de 8,011 Mds, +23%), le S1 2025 (PNB de 37,146 Mds, +16,6% et résultat net de 16,253 Mds, +42,5%) et le T3 2025 (PNB cumulé de 58,119 Mds, +16,4% et résultat net de 27,402 Mds, +50,8%) montrent une accélération continue. Le rapport T1 2026 (PNB de 21,214 Mds, +17% et résultat net de 10,387 Mds, +29,7%) indique que la tendance se poursuit. Sur la base de ces rapports trimestriels, on estime que l'exercice 2026 pourrait dépasser les performances de 2025, avec un PNB annuel potentiel de 85-90 milliards FCFA et un résultat net de 40-45 milliards FCFA. La recommandation fondamentale est positive, la banque démontrant une croissance robuste, une gestion rigoureuse des risques et une rentabilité en amélioration constante.</w:t>
      </w:r>
    </w:p>
    <w:p>
      <w:pPr>
        <w:spacing w:after="120" w:line="276" w:lineRule="auto" w:before="240"/>
      </w:pPr>
      <w:r>
        <w:rPr>
          <w:b/>
          <w:color w:val="003366"/>
          <w:sz w:val="24"/>
        </w:rPr>
        <w:t>**PARTIE 4 : CONCLUSION D'INVESTISSEMENT**</w:t>
      </w:r>
    </w:p>
    <w:p>
      <w:pPr>
        <w:spacing w:after="120" w:line="276" w:lineRule="auto"/>
      </w:pPr>
      <w:r>
        <w:t>La synthèse globale révèle une convergence positive entre les différents signaux. La valorisation (PER de 13,5x, P/B de 4,08x, EV/EBITDA de 9,5x) indique une prime de marché justifiée par la qualité des fondamentaux, bien que le P/B élevé suggère une valorisation exigeante. Le comportement du cours (+19,92% sur 100 jours) avec une volatilité modérée (27,2%) et une asymétrie positive est favorable, malgré un léger essoufflement récent. Les signaux techniques sont majoritairement positifs (MM et MACD en achat), avec des oscillateurs neutres indiquant une consolidation saine. Les fondamentaux sont excellents, avec un ROE de 30,29%, une croissance soutenue du PNB et une maîtrise des coûts. Les prédictions IA (28 784 à 27 627 FCFA sur 10 jours) suggèrent une correction à court terme, ce qui pourrait offrir un point d'entrée attractif. La convergence entre la solidité fondamentale, la tendance technique haussière et la valorisation raisonnable justifie une recommandation **ACHAT**, avec un niveau de confiance **Élevé** et un risque global **Moyen**. L'horizon d'investissement optimal est le **moyen terme (3-12 mois)**, permettant de bénéficier de la croissance continue et d'une éventuelle correction pour renforcer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15.24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2,358 titres</w:t>
            </w:r>
          </w:p>
        </w:tc>
        <w:tc>
          <w:tcPr>
            <w:tcW w:type="dxa" w:w="2268"/>
            <w:shd w:fill="FFF2CC" w:val="clear"/>
          </w:tcPr>
          <w:p>
            <w:r>
              <w:rPr>
                <w:b/>
                <w:color w:val="503200"/>
                <w:sz w:val="16"/>
              </w:rPr>
              <w:t xml:space="preserve">Cours actuel : </w:t>
            </w:r>
            <w:r>
              <w:rPr>
                <w:color w:val="000000"/>
                <w:sz w:val="17"/>
              </w:rPr>
              <w:t>2,300 FCFA</w:t>
            </w:r>
          </w:p>
          <w:p>
            <w:r>
              <w:rPr>
                <w:b/>
                <w:color w:val="503200"/>
                <w:sz w:val="16"/>
              </w:rPr>
              <w:t xml:space="preserve">Var. 100 jours : </w:t>
            </w:r>
            <w:r>
              <w:rPr>
                <w:b/>
                <w:color w:val="007800"/>
                <w:sz w:val="17"/>
              </w:rPr>
              <w:t>+44.65%</w:t>
            </w:r>
          </w:p>
          <w:p>
            <w:r>
              <w:rPr>
                <w:b/>
                <w:color w:val="503200"/>
                <w:sz w:val="16"/>
              </w:rPr>
              <w:t xml:space="preserve">Plus haut 100j : </w:t>
            </w:r>
            <w:r>
              <w:rPr>
                <w:color w:val="000000"/>
                <w:sz w:val="17"/>
              </w:rPr>
              <w:t>2,300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12.50% (Moyenne) — μ=1,776 FCFA, σ=222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β=-0.0797 (Contre-cyclique) — Cov=-0.000003, Var(idx)=0.000036, ρ=-0.015,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2,358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σ_j=3.17%/j (Modérée) — Vol. annualisée≈50.3%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2026-08-31</w:t>
            </w:r>
          </w:p>
        </w:tc>
        <w:tc>
          <w:tcPr>
            <w:tcW w:type="dxa" w:w="1440"/>
            <w:shd w:fill="FAFAFA" w:val="clear"/>
          </w:tcPr>
          <w:p>
            <w:r>
              <w:rPr>
                <w:sz w:val="17"/>
              </w:rPr>
              <w:t>2,184</w:t>
            </w:r>
          </w:p>
        </w:tc>
        <w:tc>
          <w:tcPr>
            <w:tcW w:type="dxa" w:w="1440"/>
            <w:shd w:fill="FAFAFA" w:val="clear"/>
          </w:tcPr>
          <w:p>
            <w:r>
              <w:rPr>
                <w:b/>
                <w:sz w:val="17"/>
              </w:rPr>
              <w:t>2,275</w:t>
            </w:r>
          </w:p>
        </w:tc>
        <w:tc>
          <w:tcPr>
            <w:tcW w:type="dxa" w:w="1440"/>
            <w:shd w:fill="FAFAFA" w:val="clear"/>
          </w:tcPr>
          <w:p>
            <w:r>
              <w:rPr>
                <w:sz w:val="17"/>
              </w:rPr>
              <w:t>2,367</w:t>
            </w:r>
          </w:p>
        </w:tc>
        <w:tc>
          <w:tcPr>
            <w:tcW w:type="dxa" w:w="1440"/>
            <w:shd w:fill="FAFAFA" w:val="clear"/>
          </w:tcPr>
          <w:p>
            <w:r>
              <w:rPr>
                <w:b/>
                <w:color w:val="C00000"/>
                <w:sz w:val="17"/>
              </w:rPr>
              <w:t>-1.1%</w:t>
            </w:r>
          </w:p>
        </w:tc>
      </w:tr>
      <w:tr>
        <w:tc>
          <w:tcPr>
            <w:tcW w:type="dxa" w:w="1440"/>
            <w:shd w:fill="FAFAFA" w:val="clear"/>
          </w:tcPr>
          <w:p>
            <w:r>
              <w:rPr>
                <w:sz w:val="17"/>
              </w:rPr>
              <w:t>J+2  Moyenne</w:t>
            </w:r>
          </w:p>
        </w:tc>
        <w:tc>
          <w:tcPr>
            <w:tcW w:type="dxa" w:w="1440"/>
            <w:shd w:fill="FAFAFA" w:val="clear"/>
          </w:tcPr>
          <w:p>
            <w:r>
              <w:rPr>
                <w:sz w:val="17"/>
              </w:rPr>
              <w:t>2026-09-01</w:t>
            </w:r>
          </w:p>
        </w:tc>
        <w:tc>
          <w:tcPr>
            <w:tcW w:type="dxa" w:w="1440"/>
            <w:shd w:fill="FAFAFA" w:val="clear"/>
          </w:tcPr>
          <w:p>
            <w:r>
              <w:rPr>
                <w:sz w:val="17"/>
              </w:rPr>
              <w:t>2,130</w:t>
            </w:r>
          </w:p>
        </w:tc>
        <w:tc>
          <w:tcPr>
            <w:tcW w:type="dxa" w:w="1440"/>
            <w:shd w:fill="FAFAFA" w:val="clear"/>
          </w:tcPr>
          <w:p>
            <w:r>
              <w:rPr>
                <w:b/>
                <w:sz w:val="17"/>
              </w:rPr>
              <w:t>2,258</w:t>
            </w:r>
          </w:p>
        </w:tc>
        <w:tc>
          <w:tcPr>
            <w:tcW w:type="dxa" w:w="1440"/>
            <w:shd w:fill="FAFAFA" w:val="clear"/>
          </w:tcPr>
          <w:p>
            <w:r>
              <w:rPr>
                <w:sz w:val="17"/>
              </w:rPr>
              <w:t>2,386</w:t>
            </w:r>
          </w:p>
        </w:tc>
        <w:tc>
          <w:tcPr>
            <w:tcW w:type="dxa" w:w="1440"/>
            <w:shd w:fill="FAFAFA" w:val="clear"/>
          </w:tcPr>
          <w:p>
            <w:r>
              <w:rPr>
                <w:b/>
                <w:color w:val="C00000"/>
                <w:sz w:val="17"/>
              </w:rPr>
              <w:t>-1.8%</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2,084</w:t>
            </w:r>
          </w:p>
        </w:tc>
        <w:tc>
          <w:tcPr>
            <w:tcW w:type="dxa" w:w="1440"/>
            <w:shd w:fill="FFDCE0" w:val="clear"/>
          </w:tcPr>
          <w:p>
            <w:r>
              <w:rPr>
                <w:b/>
                <w:sz w:val="17"/>
              </w:rPr>
              <w:t>2,240</w:t>
            </w:r>
          </w:p>
        </w:tc>
        <w:tc>
          <w:tcPr>
            <w:tcW w:type="dxa" w:w="1440"/>
            <w:shd w:fill="FFDCE0" w:val="clear"/>
          </w:tcPr>
          <w:p>
            <w:r>
              <w:rPr>
                <w:sz w:val="17"/>
              </w:rPr>
              <w:t>2,396</w:t>
            </w:r>
          </w:p>
        </w:tc>
        <w:tc>
          <w:tcPr>
            <w:tcW w:type="dxa" w:w="1440"/>
            <w:shd w:fill="FFDCE0" w:val="clear"/>
          </w:tcPr>
          <w:p>
            <w:r>
              <w:rPr>
                <w:b/>
                <w:color w:val="C00000"/>
                <w:sz w:val="17"/>
              </w:rPr>
              <w:t>-2.6%</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2,047</w:t>
            </w:r>
          </w:p>
        </w:tc>
        <w:tc>
          <w:tcPr>
            <w:tcW w:type="dxa" w:w="1440"/>
            <w:shd w:fill="FFDCE0" w:val="clear"/>
          </w:tcPr>
          <w:p>
            <w:r>
              <w:rPr>
                <w:b/>
                <w:sz w:val="17"/>
              </w:rPr>
              <w:t>2,227</w:t>
            </w:r>
          </w:p>
        </w:tc>
        <w:tc>
          <w:tcPr>
            <w:tcW w:type="dxa" w:w="1440"/>
            <w:shd w:fill="FFDCE0" w:val="clear"/>
          </w:tcPr>
          <w:p>
            <w:r>
              <w:rPr>
                <w:sz w:val="17"/>
              </w:rPr>
              <w:t>2,406</w:t>
            </w:r>
          </w:p>
        </w:tc>
        <w:tc>
          <w:tcPr>
            <w:tcW w:type="dxa" w:w="1440"/>
            <w:shd w:fill="FFDCE0" w:val="clear"/>
          </w:tcPr>
          <w:p>
            <w:r>
              <w:rPr>
                <w:b/>
                <w:color w:val="C00000"/>
                <w:sz w:val="17"/>
              </w:rPr>
              <w:t>-3.2%</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2,017</w:t>
            </w:r>
          </w:p>
        </w:tc>
        <w:tc>
          <w:tcPr>
            <w:tcW w:type="dxa" w:w="1440"/>
            <w:shd w:fill="FFDCE0" w:val="clear"/>
          </w:tcPr>
          <w:p>
            <w:r>
              <w:rPr>
                <w:b/>
                <w:sz w:val="17"/>
              </w:rPr>
              <w:t>2,216</w:t>
            </w:r>
          </w:p>
        </w:tc>
        <w:tc>
          <w:tcPr>
            <w:tcW w:type="dxa" w:w="1440"/>
            <w:shd w:fill="FFDCE0" w:val="clear"/>
          </w:tcPr>
          <w:p>
            <w:r>
              <w:rPr>
                <w:sz w:val="17"/>
              </w:rPr>
              <w:t>2,416</w:t>
            </w:r>
          </w:p>
        </w:tc>
        <w:tc>
          <w:tcPr>
            <w:tcW w:type="dxa" w:w="1440"/>
            <w:shd w:fill="FFDCE0" w:val="clear"/>
          </w:tcPr>
          <w:p>
            <w:r>
              <w:rPr>
                <w:b/>
                <w:color w:val="C00000"/>
                <w:sz w:val="17"/>
              </w:rPr>
              <w:t>-3.6%</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1,990</w:t>
            </w:r>
          </w:p>
        </w:tc>
        <w:tc>
          <w:tcPr>
            <w:tcW w:type="dxa" w:w="1440"/>
            <w:shd w:fill="FFDCE0" w:val="clear"/>
          </w:tcPr>
          <w:p>
            <w:r>
              <w:rPr>
                <w:b/>
                <w:sz w:val="17"/>
              </w:rPr>
              <w:t>2,207</w:t>
            </w:r>
          </w:p>
        </w:tc>
        <w:tc>
          <w:tcPr>
            <w:tcW w:type="dxa" w:w="1440"/>
            <w:shd w:fill="FFDCE0" w:val="clear"/>
          </w:tcPr>
          <w:p>
            <w:r>
              <w:rPr>
                <w:sz w:val="17"/>
              </w:rPr>
              <w:t>2,425</w:t>
            </w:r>
          </w:p>
        </w:tc>
        <w:tc>
          <w:tcPr>
            <w:tcW w:type="dxa" w:w="1440"/>
            <w:shd w:fill="FFDCE0" w:val="clear"/>
          </w:tcPr>
          <w:p>
            <w:r>
              <w:rPr>
                <w:b/>
                <w:color w:val="C00000"/>
                <w:sz w:val="17"/>
              </w:rPr>
              <w:t>-4.0%</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1,966</w:t>
            </w:r>
          </w:p>
        </w:tc>
        <w:tc>
          <w:tcPr>
            <w:tcW w:type="dxa" w:w="1440"/>
            <w:shd w:fill="FFDCE0" w:val="clear"/>
          </w:tcPr>
          <w:p>
            <w:r>
              <w:rPr>
                <w:b/>
                <w:sz w:val="17"/>
              </w:rPr>
              <w:t>2,200</w:t>
            </w:r>
          </w:p>
        </w:tc>
        <w:tc>
          <w:tcPr>
            <w:tcW w:type="dxa" w:w="1440"/>
            <w:shd w:fill="FFDCE0" w:val="clear"/>
          </w:tcPr>
          <w:p>
            <w:r>
              <w:rPr>
                <w:sz w:val="17"/>
              </w:rPr>
              <w:t>2,433</w:t>
            </w:r>
          </w:p>
        </w:tc>
        <w:tc>
          <w:tcPr>
            <w:tcW w:type="dxa" w:w="1440"/>
            <w:shd w:fill="FFDCE0" w:val="clear"/>
          </w:tcPr>
          <w:p>
            <w:r>
              <w:rPr>
                <w:b/>
                <w:color w:val="C00000"/>
                <w:sz w:val="17"/>
              </w:rPr>
              <w:t>-4.4%</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1,943</w:t>
            </w:r>
          </w:p>
        </w:tc>
        <w:tc>
          <w:tcPr>
            <w:tcW w:type="dxa" w:w="1440"/>
            <w:shd w:fill="FFDCE0" w:val="clear"/>
          </w:tcPr>
          <w:p>
            <w:r>
              <w:rPr>
                <w:b/>
                <w:sz w:val="17"/>
              </w:rPr>
              <w:t>2,192</w:t>
            </w:r>
          </w:p>
        </w:tc>
        <w:tc>
          <w:tcPr>
            <w:tcW w:type="dxa" w:w="1440"/>
            <w:shd w:fill="FFDCE0" w:val="clear"/>
          </w:tcPr>
          <w:p>
            <w:r>
              <w:rPr>
                <w:sz w:val="17"/>
              </w:rPr>
              <w:t>2,441</w:t>
            </w:r>
          </w:p>
        </w:tc>
        <w:tc>
          <w:tcPr>
            <w:tcW w:type="dxa" w:w="1440"/>
            <w:shd w:fill="FFDCE0" w:val="clear"/>
          </w:tcPr>
          <w:p>
            <w:r>
              <w:rPr>
                <w:b/>
                <w:color w:val="C00000"/>
                <w:sz w:val="17"/>
              </w:rPr>
              <w:t>-4.7%</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1,922</w:t>
            </w:r>
          </w:p>
        </w:tc>
        <w:tc>
          <w:tcPr>
            <w:tcW w:type="dxa" w:w="1440"/>
            <w:shd w:fill="FFDCE0" w:val="clear"/>
          </w:tcPr>
          <w:p>
            <w:r>
              <w:rPr>
                <w:b/>
                <w:sz w:val="17"/>
              </w:rPr>
              <w:t>2,185</w:t>
            </w:r>
          </w:p>
        </w:tc>
        <w:tc>
          <w:tcPr>
            <w:tcW w:type="dxa" w:w="1440"/>
            <w:shd w:fill="FFDCE0" w:val="clear"/>
          </w:tcPr>
          <w:p>
            <w:r>
              <w:rPr>
                <w:sz w:val="17"/>
              </w:rPr>
              <w:t>2,449</w:t>
            </w:r>
          </w:p>
        </w:tc>
        <w:tc>
          <w:tcPr>
            <w:tcW w:type="dxa" w:w="1440"/>
            <w:shd w:fill="FFDCE0" w:val="clear"/>
          </w:tcPr>
          <w:p>
            <w:r>
              <w:rPr>
                <w:b/>
                <w:color w:val="C00000"/>
                <w:sz w:val="17"/>
              </w:rPr>
              <w:t>-5.0%</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1,902</w:t>
            </w:r>
          </w:p>
        </w:tc>
        <w:tc>
          <w:tcPr>
            <w:tcW w:type="dxa" w:w="1440"/>
            <w:shd w:fill="FFDCE0" w:val="clear"/>
          </w:tcPr>
          <w:p>
            <w:r>
              <w:rPr>
                <w:b/>
                <w:sz w:val="17"/>
              </w:rPr>
              <w:t>2,179</w:t>
            </w:r>
          </w:p>
        </w:tc>
        <w:tc>
          <w:tcPr>
            <w:tcW w:type="dxa" w:w="1440"/>
            <w:shd w:fill="FFDCE0" w:val="clear"/>
          </w:tcPr>
          <w:p>
            <w:r>
              <w:rPr>
                <w:sz w:val="17"/>
              </w:rPr>
              <w:t>2,456</w:t>
            </w:r>
          </w:p>
        </w:tc>
        <w:tc>
          <w:tcPr>
            <w:tcW w:type="dxa" w:w="1440"/>
            <w:shd w:fill="FFDCE0" w:val="clear"/>
          </w:tcPr>
          <w:p>
            <w:r>
              <w:rPr>
                <w:b/>
                <w:color w:val="C00000"/>
                <w:sz w:val="17"/>
              </w:rPr>
              <w:t>-5.3%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BNBC s'établit à 15,24 milliards FCFA, un niveau modeste sur la BRVM qui reflète la taille moyenne de l'entreprise dans le secteur de la distribution de matériaux. Le BPA de 3 FCFA par action est extrêmement faible, ce qui explique un PER de 682,6x, très largement supérieur à la moyenne du marché régional (8-12x). Ce ratio indique que les investisseurs paient un prix très élevé pour des bénéfices quasi inexistants, signe d'une valorisation spéculative. En revanche, le P/B de 0,86x suggère que le marché valorise le titre sous sa valeur comptable, ce qui pourrait représenter une opportunité si les actifs sont de bonne qualité. Enfin, l'EV/EBITDA de 25,2x, bien supérieur au seuil de 15x, confirme une valorisation exigeante par rapport à la capacité opérationnelle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BNBC a enregistré une progression spectaculaire de +44,65%, avec une dernière séance en légère hausse de +0,22% à 2 300 FCFA. Le titre a évolué dans une fourchette large de 1 300 à 2 300 FCFA, démontrant une forte dynamique haussière. La moyenne (1 776 FCFA) est inférieure à la médiane (1 875 FCFA), indiquant une distribution légèrement asymétrique avec des valeurs extrêmes à la hausse. L'écart-type de 223 FCFA (CV=12,6%) révèle une dispersion modérée autour de la moyenne. Le kurtosis de -0,919 (mésokurtique) suggère une distribution proche de la normale, sans risque de pics extrêmes, tandis que le skewness de -0,111 confirme une symétrie relative. La volatilité annualisée de 50,3% classe le titre comme très volatil, un niveau élevé qui implique un risque important pour les investisseurs.</w:t>
      </w:r>
    </w:p>
    <w:p>
      <w:pPr>
        <w:spacing w:after="120" w:line="276" w:lineRule="auto" w:before="240"/>
      </w:pPr>
      <w:r>
        <w:rPr>
          <w:b/>
          <w:color w:val="003366"/>
          <w:sz w:val="24"/>
        </w:rPr>
        <w:t>**PARTIE 2 : ANALYSE TECHNIQUE DÉTAILLÉE**</w:t>
      </w:r>
    </w:p>
    <w:p>
      <w:pPr>
        <w:spacing w:after="120" w:line="276" w:lineRule="auto"/>
      </w:pPr>
      <w:r>
        <w:t>Les moyennes mobiles MM20 (2 000 FCFA) et MM50 (1 962,8 FCFA) sont toutes deux inférieures au cours actuel de 2 300 FCFA, confirmant une tendance haussière solide. La MM20 étant supérieure à la MM50, la configuration est favorable avec un signal d'achat justifié par la dynamique positive du titre.</w:t>
      </w:r>
    </w:p>
    <w:p>
      <w:pPr>
        <w:spacing w:after="120" w:line="276" w:lineRule="auto"/>
      </w:pPr>
      <w:r>
        <w:t>Les bandes de Bollinger montrent un cours (2 300 FCFA) qui a dépassé la borne supérieure (2 233,37 FCFA), signalant une situation de surachat extrême. Cette sortie de bande indique une volatilité accrue et un potentiel de correction à court terme, d'où la décision de vente générée par cet indicateur.</w:t>
      </w:r>
    </w:p>
    <w:p>
      <w:pPr>
        <w:spacing w:after="120" w:line="276" w:lineRule="auto"/>
      </w:pPr>
      <w:r>
        <w:t>Le MACD affiche une valeur de 73,52 contre un signal à 41,099, avec un écart positif important qui traduit un momentum haussier très fort. La divergence positive entre le MACD et sa ligne de signal confirme la dynamique ascendante, justifiant la décision d'achat malgré des conditions de surachat.</w:t>
      </w:r>
    </w:p>
    <w:p>
      <w:pPr>
        <w:spacing w:after="120" w:line="276" w:lineRule="auto"/>
      </w:pPr>
      <w:r>
        <w:t>Le RSI à 95,455 est extrêmement élevé, bien au-delà du seuil de surachat de 70. Cette valeur indique que le titre est massivement suracheté, avec un risque élevé de retournement baissier imminent. La décision de vente est donc parfaitement justifiée par cet indicateur.</w:t>
      </w:r>
    </w:p>
    <w:p>
      <w:pPr>
        <w:spacing w:after="120" w:line="276" w:lineRule="auto"/>
      </w:pPr>
      <w:r>
        <w:t>Le stochastique affiche %K=100 et %D=100, des niveaux extrêmes qui confirment le surachat absolu du titre. Cette configuration suggère que le mouvement haussier est arrivé à son terme à court terme, justifiant la décision de vente.</w:t>
      </w:r>
    </w:p>
    <w:p>
      <w:pPr>
        <w:spacing w:after="120" w:line="276" w:lineRule="auto"/>
      </w:pPr>
      <w:r>
        <w:t>La conclusion technique est contrastée : les indicateurs de tendance (MM, MACD) restent positifs, mais les oscillateurs (RSI, Stochastique, Bollinger) signalent tous un surachat extrême. Cette divergence indique un risque élevé de correction à court terme, malgré une tendance de fond haussière.</w:t>
      </w:r>
    </w:p>
    <w:p>
      <w:pPr>
        <w:spacing w:after="120" w:line="276" w:lineRule="auto" w:before="240"/>
      </w:pPr>
      <w:r>
        <w:rPr>
          <w:b/>
          <w:color w:val="003366"/>
          <w:sz w:val="24"/>
        </w:rPr>
        <w:t>**PARTIE 3 : ANALYSE FONDAMENTALE (SECTION CRITIQUE)**</w:t>
      </w:r>
    </w:p>
    <w:p>
      <w:pPr>
        <w:spacing w:after="120" w:line="276" w:lineRule="auto"/>
      </w:pPr>
      <w:r>
        <w:t>En 2025, BNBC a réalisé un chiffre d'affaires de 42,454 milliards FCFA, en baisse de 6,31% par rapport à 2024 (45,312 milliards FCFA), avec un résultat net de seulement 22,32 millions FCFA, soit une marge nette de 0,05%. Le ROE s'établit à 0,13% et le ROA à 0,05%, des niveaux extrêmement faibles qui traduisent une rentabilité anémique. En tant qu'entreprise de distribution, les délais clients (104 jours) et la durée de stockage (339 jours) sont préoccupants, indiquant un risque de trésorerie significatif. Le BFR de 29,37 milliards FCFA et la trésorerie nette négative de 16,69 milliards FCFA confirment une pression financière importante. Selon le rapport du T1 2026 (daté du 31 décembre 2026), le chiffre d'affaires est stable à 11,194 milliards FCFA (-0,12%), mais le résultat net s'est amélioré à 65,57 millions FCFA, grâce à l'intégration de la division Équipement. On estime que l'exercice 2026 pourrait voir une amélioration progressive de la rentabilité si la montée en puissance des nouvelles divisions se confirme, mais les fondamentaux restent fragiles avec un endettement élevé (105,48% des capitaux propres) et une capacité de remboursement de 19,17 ans.</w:t>
      </w:r>
    </w:p>
    <w:p>
      <w:pPr>
        <w:spacing w:after="120" w:line="276" w:lineRule="auto" w:before="240"/>
      </w:pPr>
      <w:r>
        <w:rPr>
          <w:b/>
          <w:color w:val="003366"/>
          <w:sz w:val="24"/>
        </w:rPr>
        <w:t>**PARTIE 4 : CONCLUSION D'INVESTISSEMENT**</w:t>
      </w:r>
    </w:p>
    <w:p>
      <w:pPr>
        <w:spacing w:after="120" w:line="276" w:lineRule="auto"/>
      </w:pPr>
      <w:r>
        <w:t>La valorisation de BNBC est extrêmement exigeante avec un PER de 682,6x et un EV/EBITDA de 25,2x, bien que le P/B de 0,86x suggère une décote comptable. Le comportement du cours montre une hausse spectaculaire de +44,65% avec une volatilité très élevée (50,3%), mais les statistiques indiquent une distribution relativement normale. Les signaux techniques sont contradictoires : les indicateurs de tendance restent positifs, mais le RSI à 95,5 et le stochastique à 100 signalent un surachat extrême avec un fort risque de correction. Les fondamentaux sont préoccupants avec une rentabilité quasi nulle (ROE de 0,13%), une trésorerie négative et des délais de stockage très longs. Les prédictions IA pour les 10 prochains jours (2 275 à 2 216 FCFA) confirment un léger repli, cohérent avec les signaux de surachat. La recommandation finale est **VENTE** avec un niveau de confiance **Moyen** et un risque global **Élevé**. L'horizon d'investissement optimal serait le court terme (&lt;3 mois) pour profiter d'une éventuelle correction, mais la prudence est de mise face à une situation financière fragile.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415.14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5,993 titres</w:t>
            </w:r>
          </w:p>
        </w:tc>
        <w:tc>
          <w:tcPr>
            <w:tcW w:type="dxa" w:w="2268"/>
            <w:shd w:fill="FFF2CC" w:val="clear"/>
          </w:tcPr>
          <w:p>
            <w:r>
              <w:rPr>
                <w:b/>
                <w:color w:val="503200"/>
                <w:sz w:val="16"/>
              </w:rPr>
              <w:t xml:space="preserve">Cours actuel : </w:t>
            </w:r>
            <w:r>
              <w:rPr>
                <w:color w:val="000000"/>
                <w:sz w:val="17"/>
              </w:rPr>
              <w:t>10,235 FCFA</w:t>
            </w:r>
          </w:p>
          <w:p>
            <w:r>
              <w:rPr>
                <w:b/>
                <w:color w:val="503200"/>
                <w:sz w:val="16"/>
              </w:rPr>
              <w:t xml:space="preserve">Var. 100 jours : </w:t>
            </w:r>
            <w:r>
              <w:rPr>
                <w:b/>
                <w:color w:val="007800"/>
                <w:sz w:val="17"/>
              </w:rPr>
              <w:t>+36.47%</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7,400 FCFA</w:t>
            </w:r>
          </w:p>
          <w:p>
            <w:r>
              <w:rPr>
                <w:b/>
                <w:color w:val="503200"/>
                <w:sz w:val="16"/>
              </w:rPr>
              <w:t xml:space="preserve">Volatilité ann. : </w:t>
            </w:r>
            <w:r>
              <w:rPr>
                <w:color w:val="000000"/>
                <w:sz w:val="17"/>
              </w:rPr>
              <w:t>27.2%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6.54% (Moyenne) — μ=8,780 FCFA, σ=574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β=-0.3028 (Contre-cyclique) — Cov=-0.000011, Var(idx)=0.000036, ρ=-0.106,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5,993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σ_j=1.72%/j (Stable) — Vol. annualisée≈27.2%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9,350</w:t>
            </w:r>
          </w:p>
        </w:tc>
        <w:tc>
          <w:tcPr>
            <w:tcW w:type="dxa" w:w="1440"/>
            <w:shd w:fill="FFDCE0" w:val="clear"/>
          </w:tcPr>
          <w:p>
            <w:r>
              <w:rPr>
                <w:b/>
                <w:sz w:val="17"/>
              </w:rPr>
              <w:t>9,690</w:t>
            </w:r>
          </w:p>
        </w:tc>
        <w:tc>
          <w:tcPr>
            <w:tcW w:type="dxa" w:w="1440"/>
            <w:shd w:fill="FFDCE0" w:val="clear"/>
          </w:tcPr>
          <w:p>
            <w:r>
              <w:rPr>
                <w:sz w:val="17"/>
              </w:rPr>
              <w:t>10,029</w:t>
            </w:r>
          </w:p>
        </w:tc>
        <w:tc>
          <w:tcPr>
            <w:tcW w:type="dxa" w:w="1440"/>
            <w:shd w:fill="FFDCE0" w:val="clear"/>
          </w:tcPr>
          <w:p>
            <w:r>
              <w:rPr>
                <w:b/>
                <w:color w:val="C00000"/>
                <w:sz w:val="17"/>
              </w:rPr>
              <w:t>-5.3%</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8,978</w:t>
            </w:r>
          </w:p>
        </w:tc>
        <w:tc>
          <w:tcPr>
            <w:tcW w:type="dxa" w:w="1440"/>
            <w:shd w:fill="FFDCE0" w:val="clear"/>
          </w:tcPr>
          <w:p>
            <w:r>
              <w:rPr>
                <w:b/>
                <w:sz w:val="17"/>
              </w:rPr>
              <w:t>9,447</w:t>
            </w:r>
          </w:p>
        </w:tc>
        <w:tc>
          <w:tcPr>
            <w:tcW w:type="dxa" w:w="1440"/>
            <w:shd w:fill="FFDCE0" w:val="clear"/>
          </w:tcPr>
          <w:p>
            <w:r>
              <w:rPr>
                <w:sz w:val="17"/>
              </w:rPr>
              <w:t>9,915</w:t>
            </w:r>
          </w:p>
        </w:tc>
        <w:tc>
          <w:tcPr>
            <w:tcW w:type="dxa" w:w="1440"/>
            <w:shd w:fill="FFDCE0" w:val="clear"/>
          </w:tcPr>
          <w:p>
            <w:r>
              <w:rPr>
                <w:b/>
                <w:color w:val="C00000"/>
                <w:sz w:val="17"/>
              </w:rPr>
              <w:t>-7.7%</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8,674</w:t>
            </w:r>
          </w:p>
        </w:tc>
        <w:tc>
          <w:tcPr>
            <w:tcW w:type="dxa" w:w="1440"/>
            <w:shd w:fill="FFDCE0" w:val="clear"/>
          </w:tcPr>
          <w:p>
            <w:r>
              <w:rPr>
                <w:b/>
                <w:sz w:val="17"/>
              </w:rPr>
              <w:t>9,235</w:t>
            </w:r>
          </w:p>
        </w:tc>
        <w:tc>
          <w:tcPr>
            <w:tcW w:type="dxa" w:w="1440"/>
            <w:shd w:fill="FFDCE0" w:val="clear"/>
          </w:tcPr>
          <w:p>
            <w:r>
              <w:rPr>
                <w:sz w:val="17"/>
              </w:rPr>
              <w:t>9,796</w:t>
            </w:r>
          </w:p>
        </w:tc>
        <w:tc>
          <w:tcPr>
            <w:tcW w:type="dxa" w:w="1440"/>
            <w:shd w:fill="FFDCE0" w:val="clear"/>
          </w:tcPr>
          <w:p>
            <w:r>
              <w:rPr>
                <w:b/>
                <w:color w:val="C00000"/>
                <w:sz w:val="17"/>
              </w:rPr>
              <w:t>-9.8%</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8,436</w:t>
            </w:r>
          </w:p>
        </w:tc>
        <w:tc>
          <w:tcPr>
            <w:tcW w:type="dxa" w:w="1440"/>
            <w:shd w:fill="FFDCE0" w:val="clear"/>
          </w:tcPr>
          <w:p>
            <w:r>
              <w:rPr>
                <w:b/>
                <w:sz w:val="17"/>
              </w:rPr>
              <w:t>9,072</w:t>
            </w:r>
          </w:p>
        </w:tc>
        <w:tc>
          <w:tcPr>
            <w:tcW w:type="dxa" w:w="1440"/>
            <w:shd w:fill="FFDCE0" w:val="clear"/>
          </w:tcPr>
          <w:p>
            <w:r>
              <w:rPr>
                <w:sz w:val="17"/>
              </w:rPr>
              <w:t>9,708</w:t>
            </w:r>
          </w:p>
        </w:tc>
        <w:tc>
          <w:tcPr>
            <w:tcW w:type="dxa" w:w="1440"/>
            <w:shd w:fill="FFDCE0" w:val="clear"/>
          </w:tcPr>
          <w:p>
            <w:r>
              <w:rPr>
                <w:b/>
                <w:color w:val="C00000"/>
                <w:sz w:val="17"/>
              </w:rPr>
              <w:t>-11.4%</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8,231</w:t>
            </w:r>
          </w:p>
        </w:tc>
        <w:tc>
          <w:tcPr>
            <w:tcW w:type="dxa" w:w="1440"/>
            <w:shd w:fill="FFDCE0" w:val="clear"/>
          </w:tcPr>
          <w:p>
            <w:r>
              <w:rPr>
                <w:b/>
                <w:sz w:val="17"/>
              </w:rPr>
              <w:t>8,931</w:t>
            </w:r>
          </w:p>
        </w:tc>
        <w:tc>
          <w:tcPr>
            <w:tcW w:type="dxa" w:w="1440"/>
            <w:shd w:fill="FFDCE0" w:val="clear"/>
          </w:tcPr>
          <w:p>
            <w:r>
              <w:rPr>
                <w:sz w:val="17"/>
              </w:rPr>
              <w:t>9,631</w:t>
            </w:r>
          </w:p>
        </w:tc>
        <w:tc>
          <w:tcPr>
            <w:tcW w:type="dxa" w:w="1440"/>
            <w:shd w:fill="FFDCE0" w:val="clear"/>
          </w:tcPr>
          <w:p>
            <w:r>
              <w:rPr>
                <w:b/>
                <w:color w:val="C00000"/>
                <w:sz w:val="17"/>
              </w:rPr>
              <w:t>-12.7%</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8,046</w:t>
            </w:r>
          </w:p>
        </w:tc>
        <w:tc>
          <w:tcPr>
            <w:tcW w:type="dxa" w:w="1440"/>
            <w:shd w:fill="FFDCE0" w:val="clear"/>
          </w:tcPr>
          <w:p>
            <w:r>
              <w:rPr>
                <w:b/>
                <w:sz w:val="17"/>
              </w:rPr>
              <w:t>8,802</w:t>
            </w:r>
          </w:p>
        </w:tc>
        <w:tc>
          <w:tcPr>
            <w:tcW w:type="dxa" w:w="1440"/>
            <w:shd w:fill="FFDCE0" w:val="clear"/>
          </w:tcPr>
          <w:p>
            <w:r>
              <w:rPr>
                <w:sz w:val="17"/>
              </w:rPr>
              <w:t>9,558</w:t>
            </w:r>
          </w:p>
        </w:tc>
        <w:tc>
          <w:tcPr>
            <w:tcW w:type="dxa" w:w="1440"/>
            <w:shd w:fill="FFDCE0" w:val="clear"/>
          </w:tcPr>
          <w:p>
            <w:r>
              <w:rPr>
                <w:b/>
                <w:color w:val="C00000"/>
                <w:sz w:val="17"/>
              </w:rPr>
              <w:t>-14.0%</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7,876</w:t>
            </w:r>
          </w:p>
        </w:tc>
        <w:tc>
          <w:tcPr>
            <w:tcW w:type="dxa" w:w="1440"/>
            <w:shd w:fill="FFDCE0" w:val="clear"/>
          </w:tcPr>
          <w:p>
            <w:r>
              <w:rPr>
                <w:b/>
                <w:sz w:val="17"/>
              </w:rPr>
              <w:t>8,681</w:t>
            </w:r>
          </w:p>
        </w:tc>
        <w:tc>
          <w:tcPr>
            <w:tcW w:type="dxa" w:w="1440"/>
            <w:shd w:fill="FFDCE0" w:val="clear"/>
          </w:tcPr>
          <w:p>
            <w:r>
              <w:rPr>
                <w:sz w:val="17"/>
              </w:rPr>
              <w:t>9,487</w:t>
            </w:r>
          </w:p>
        </w:tc>
        <w:tc>
          <w:tcPr>
            <w:tcW w:type="dxa" w:w="1440"/>
            <w:shd w:fill="FFDCE0" w:val="clear"/>
          </w:tcPr>
          <w:p>
            <w:r>
              <w:rPr>
                <w:b/>
                <w:color w:val="C00000"/>
                <w:sz w:val="17"/>
              </w:rPr>
              <w:t>-15.2%</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7,719</w:t>
            </w:r>
          </w:p>
        </w:tc>
        <w:tc>
          <w:tcPr>
            <w:tcW w:type="dxa" w:w="1440"/>
            <w:shd w:fill="FFDCE0" w:val="clear"/>
          </w:tcPr>
          <w:p>
            <w:r>
              <w:rPr>
                <w:b/>
                <w:sz w:val="17"/>
              </w:rPr>
              <w:t>8,569</w:t>
            </w:r>
          </w:p>
        </w:tc>
        <w:tc>
          <w:tcPr>
            <w:tcW w:type="dxa" w:w="1440"/>
            <w:shd w:fill="FFDCE0" w:val="clear"/>
          </w:tcPr>
          <w:p>
            <w:r>
              <w:rPr>
                <w:sz w:val="17"/>
              </w:rPr>
              <w:t>9,419</w:t>
            </w:r>
          </w:p>
        </w:tc>
        <w:tc>
          <w:tcPr>
            <w:tcW w:type="dxa" w:w="1440"/>
            <w:shd w:fill="FFDCE0" w:val="clear"/>
          </w:tcPr>
          <w:p>
            <w:r>
              <w:rPr>
                <w:b/>
                <w:color w:val="C00000"/>
                <w:sz w:val="17"/>
              </w:rPr>
              <w:t>-16.3%</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7,573</w:t>
            </w:r>
          </w:p>
        </w:tc>
        <w:tc>
          <w:tcPr>
            <w:tcW w:type="dxa" w:w="1440"/>
            <w:shd w:fill="FFDCE0" w:val="clear"/>
          </w:tcPr>
          <w:p>
            <w:r>
              <w:rPr>
                <w:b/>
                <w:sz w:val="17"/>
              </w:rPr>
              <w:t>8,463</w:t>
            </w:r>
          </w:p>
        </w:tc>
        <w:tc>
          <w:tcPr>
            <w:tcW w:type="dxa" w:w="1440"/>
            <w:shd w:fill="FFDCE0" w:val="clear"/>
          </w:tcPr>
          <w:p>
            <w:r>
              <w:rPr>
                <w:sz w:val="17"/>
              </w:rPr>
              <w:t>9,353</w:t>
            </w:r>
          </w:p>
        </w:tc>
        <w:tc>
          <w:tcPr>
            <w:tcW w:type="dxa" w:w="1440"/>
            <w:shd w:fill="FFDCE0" w:val="clear"/>
          </w:tcPr>
          <w:p>
            <w:r>
              <w:rPr>
                <w:b/>
                <w:color w:val="C00000"/>
                <w:sz w:val="17"/>
              </w:rPr>
              <w:t>-17.3%</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7,436</w:t>
            </w:r>
          </w:p>
        </w:tc>
        <w:tc>
          <w:tcPr>
            <w:tcW w:type="dxa" w:w="1440"/>
            <w:shd w:fill="FFDCE0" w:val="clear"/>
          </w:tcPr>
          <w:p>
            <w:r>
              <w:rPr>
                <w:b/>
                <w:sz w:val="17"/>
              </w:rPr>
              <w:t>8,363</w:t>
            </w:r>
          </w:p>
        </w:tc>
        <w:tc>
          <w:tcPr>
            <w:tcW w:type="dxa" w:w="1440"/>
            <w:shd w:fill="FFDCE0" w:val="clear"/>
          </w:tcPr>
          <w:p>
            <w:r>
              <w:rPr>
                <w:sz w:val="17"/>
              </w:rPr>
              <w:t>9,291</w:t>
            </w:r>
          </w:p>
        </w:tc>
        <w:tc>
          <w:tcPr>
            <w:tcW w:type="dxa" w:w="1440"/>
            <w:shd w:fill="FFDCE0" w:val="clear"/>
          </w:tcPr>
          <w:p>
            <w:r>
              <w:rPr>
                <w:b/>
                <w:color w:val="C00000"/>
                <w:sz w:val="17"/>
              </w:rPr>
              <w:t>-18.3%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BOAB s'établit à 415,14 milliards FCFA, ce qui positionne la banque parmi les poids lourds de la BRVM, reflétant une liquidité et une visibilité institutionnelle significatives. Avec un BPA de 496 FCFA, chaque action génère un bénéfice substantiel, mais le PER de 20,6x indique que les investisseurs paient une prime élevée par rapport à la moyenne historique du marché régional (8-12x). Cette valorisation suggère que le marché intègre des attentes de croissance future soutenue, ou une possible surévaluation à court terme. Le P/B de 3,53x confirme cette prime, le marché valorisant la banque à plus de trois fois sa valeur comptable, ce qui est typique des sociétés bénéficiant d'une forte confiance des investisseurs. Enfin, l'EV/EBITDA de 20,9x, bien au-dessus du seuil exigeant de 15x, souligne que la valeur totale de l'entreprise (dette incluse) est chère par rapport à sa capacité opérationnelle à générer des flux, un signal de prudence pour les investisseurs axés sur la valeur.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BOAB a enregistré une progression spectaculaire de +36,47%, avec une dernière séance en hausse de +2,35%, clôturant à 10 235 FCFA. Le titre a évolué dans une fourchette de 7 400 FCFA (plus bas) à 10 350 FCFA (plus haut), démontrant une dynamique haussière soutenue et un intérêt acheteur marqué. La moyenne (8 780 FCFA) et la médiane (8 788 FCFA) sont quasi identiques, indiquant une distribution symétrique des cours, bien que le skewness négatif (-0,241) suggère une légère asymétrie vers les valeurs basses. L'écart-type de 577 FCFA, avec un coefficient de variation de 6,6%, révèle une dispersion relativement faible, tandis que le kurtosis de 0,941 (mésokurtique) indique une distribution proche de la normale, sans risque extrême de pics. La volatilité annualisée de 27,2% classe le titre dans une zone modérée à élevée, reflétant des mouvements de prix significatifs mais non excessifs, cohérents avec une tendance haussière marquée sur la période.</w:t>
      </w:r>
    </w:p>
    <w:p>
      <w:pPr>
        <w:spacing w:after="120" w:line="276" w:lineRule="auto" w:before="240"/>
      </w:pPr>
      <w:r>
        <w:rPr>
          <w:b/>
          <w:color w:val="003366"/>
          <w:sz w:val="24"/>
        </w:rPr>
        <w:t>**PARTIE 2 : ANALYSE TECHNIQUE DÉTAILLÉE**</w:t>
      </w:r>
    </w:p>
    <w:p>
      <w:pPr>
        <w:spacing w:after="120" w:line="276" w:lineRule="auto"/>
      </w:pPr>
      <w:r>
        <w:t>**Moyennes Mobiles** : Le cours actuel (10 235 FCFA) se situe nettement au-dessus de la MM20 (9 146,75 FCFA) et de la MM50 (8 967,3 FCFA), confirmant une tendance haussière robuste. L'écart positif entre le prix et ces moyennes indique un momentum acheteur fort, justifiant la décision d'achat, bien que cet écart important puisse signaler une surabondance temporaire.</w:t>
      </w:r>
    </w:p>
    <w:p>
      <w:pPr>
        <w:spacing w:after="120" w:line="276" w:lineRule="auto"/>
      </w:pPr>
      <w:r>
        <w:t>**Bandes de Bollinger** : Le prix évolue près de la borne supérieure (10 394,87 FCFA), ce qui témoigne d'une pression acheteuse intense. La décision neutre s'explique par le fait que le cours n'a pas encore franchi cette borne, mais la proximité suggère une volatilité accrue et un risque de correction technique si le niveau de résistance n'est pas dépassé.</w:t>
      </w:r>
    </w:p>
    <w:p>
      <w:pPr>
        <w:spacing w:after="120" w:line="276" w:lineRule="auto"/>
      </w:pPr>
      <w:r>
        <w:t>**MACD** : La valeur du MACD (363,26) est nettement supérieure à son signal (207,59), indiquant une dynamique positive et un momentum haussier. Cette divergence positive confirme la tendance actuelle et soutient la décision d'achat, signalant que la pression acheteuse reste dominante à moyen terme.</w:t>
      </w:r>
    </w:p>
    <w:p>
      <w:pPr>
        <w:spacing w:after="120" w:line="276" w:lineRule="auto"/>
      </w:pPr>
      <w:r>
        <w:t>**RSI** : Avec une valeur de 75,891, le RSI est entré en zone de surachat (au-dessus de 70), ce qui déclenche une décision de vente. Ce niveau indique que le titre est techniquement surévalué à court terme, avec un risque élevé de repli ou de consolidation, les acheteurs étant potentiellement épuisés.</w:t>
      </w:r>
    </w:p>
    <w:p>
      <w:pPr>
        <w:spacing w:after="120" w:line="276" w:lineRule="auto"/>
      </w:pPr>
      <w:r>
        <w:t>**Stochastique** : Le %K (93,235) et le %D (90,882) sont tous deux à des niveaux extrêmement élevés, bien au-dessus de 80, confirmant la surachat. La décision de vente est justifiée par cette configuration, qui suggère que le titre est dans une zone de surachat extrême, augmentant la probabilité d'un retournement baissier imminent.</w:t>
      </w:r>
    </w:p>
    <w:p>
      <w:pPr>
        <w:spacing w:after="120" w:line="276" w:lineRule="auto"/>
      </w:pPr>
      <w:r>
        <w:t>**Conclusion technique** : Les indicateurs de tendance (MM, MACD) sont positifs et confirment une dynamique haussière, mais les oscillateurs (RSI, Stochastique) signalent un surachat sévère. Cette divergence entre la tendance et les conditions de marché suggère un risque élevé de correction à court terme, bien que la tendance de fond reste haussière. Les investisseurs devraient surveiller un éventuel repli vers les moyennes mobiles comme point d'entrée potentiel.</w:t>
      </w:r>
    </w:p>
    <w:p>
      <w:pPr>
        <w:spacing w:after="120" w:line="276" w:lineRule="auto" w:before="240"/>
      </w:pPr>
      <w:r>
        <w:rPr>
          <w:b/>
          <w:color w:val="003366"/>
          <w:sz w:val="24"/>
        </w:rPr>
        <w:t>**PARTIE 3 : ANALYSE FONDAMENTALE (SECTION CRITIQUE)**</w:t>
      </w:r>
    </w:p>
    <w:p>
      <w:pPr>
        <w:spacing w:after="120" w:line="276" w:lineRule="auto"/>
      </w:pPr>
      <w:r>
        <w:t>En 2025, BOAB affiche des fondamentaux solides avec un Produit Net Bancaire (PNB) de 51,274 milliards FCFA et un résultat net de 20,107 milliards FCFA, en hausse par rapport aux 19,647 milliards de 2024. La rentabilité est excellente, avec un ROE de 17,11% et un ROA de 2,08%, tandis que le coefficient d'exploitation de 49,53% démontre une efficacité opérationnelle remarquable (inférieur à 50%). Le coût du risque de 22,50% reste élevé, indiquant une qualité de portefeuille perfectible, mais la banque maintient une transformation saine avec des dépôts clients de 711,642 milliards FCFA contre des créances de 391,724 milliards FCFA. Les rapports trimestriels 2025 confirment cette dynamique : le T1 2025 (PNB 11,081 milliards, +1,7%) et le S1 2025 (PNB 24,556 milliards, +5,91%) montrent une croissance progressive, avec un ROE de 20,3% au S1. Le T3 2025 est particulièrement encourageant avec un PNB de 37,065 milliards (+9%) et un résultat net de 15,880 milliards (+13%), malgré une contraction des crédits (-10%) et des dépôts (-5%). Sur la base de ces tendances, on estime que l'exercice 2025 devrait dépasser les 20 milliards de résultat net, avec une amélioration continue de la rentabilité. Le T1 2026 (PNB 12,329 milliards, +11%) confirme cette trajectoire positive, bien que le résultat net ne progresse que de 1%, signalant une pression sur les coûts. La banque privilégie la qualité à la croissance volumique, une stratégie qui porte ses fruits en termes de marges.</w:t>
      </w:r>
    </w:p>
    <w:p>
      <w:pPr>
        <w:spacing w:after="120" w:line="276" w:lineRule="auto" w:before="240"/>
      </w:pPr>
      <w:r>
        <w:rPr>
          <w:b/>
          <w:color w:val="003366"/>
          <w:sz w:val="24"/>
        </w:rPr>
        <w:t>**PARTIE 4 : CONCLUSION D'INVESTISSEMENT**</w:t>
      </w:r>
    </w:p>
    <w:p>
      <w:pPr>
        <w:spacing w:after="120" w:line="276" w:lineRule="auto"/>
      </w:pPr>
      <w:r>
        <w:t>La valorisation de BOAB (PER 20,6x, P/B 3,53x, EV/EBITDA 20,9x) est exigeante, reflétant des attentes élevées de croissance, mais le comportement du cours (+36,47% sur 100 jours) et les statistiques montrent une tendance haussière robuste avec une volatilité modérée et une distribution normale. Les signaux techniques sont mitigés : la tendance (MM, MACD) est positive, mais les oscillateurs (RSI, Stochastique) crient surachat, suggérant un risque de correction à court terme. Les fondamentaux sont solides, avec une rentabilité excellente (ROE 17,11%), une efficacité opérationnelle remarquable (coefficient d'exploitation 49,53%) et une croissance soutenue du PNB (+9% au T3 2025, +11% au T1 2026), bien que le coût du risque reste élevé. Les prédictions IA (J+1 à J+10) prévoient une baisse progressive vers 8 931 FCFA, contredisant la tendance actuelle et confirmant le risque de correction technique. En synthèse, la convergence entre la surévaluation technique (RSI, Stochastique) et les prédictions IA suggère un repli imminent, malgré des fondamentaux sains. **Recommandation : CONSERVER** avec un niveau de confiance **Moyen** et un risque global **Élevé** à court terme. L'horizon optimal serait le **moyen terme (3-12 mois)**, en attendant une correction vers les 9 000-9 500 FCFA pour renforcer les positions, tout en surveillant la capacité de la banque à maintenir sa croissance de rentabilité.</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391.60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6,284 titres</w:t>
            </w:r>
          </w:p>
        </w:tc>
        <w:tc>
          <w:tcPr>
            <w:tcW w:type="dxa" w:w="2268"/>
            <w:shd w:fill="FFF2CC" w:val="clear"/>
          </w:tcPr>
          <w:p>
            <w:r>
              <w:rPr>
                <w:b/>
                <w:color w:val="503200"/>
                <w:sz w:val="16"/>
              </w:rPr>
              <w:t xml:space="preserve">Cours actuel : </w:t>
            </w:r>
            <w:r>
              <w:rPr>
                <w:color w:val="000000"/>
                <w:sz w:val="17"/>
              </w:rPr>
              <w:t>8,900 FCFA</w:t>
            </w:r>
          </w:p>
          <w:p>
            <w:r>
              <w:rPr>
                <w:b/>
                <w:color w:val="503200"/>
                <w:sz w:val="16"/>
              </w:rPr>
              <w:t xml:space="preserve">Var. 100 jours : </w:t>
            </w:r>
            <w:r>
              <w:rPr>
                <w:b/>
                <w:color w:val="007800"/>
                <w:sz w:val="17"/>
              </w:rPr>
              <w:t>+58.93%</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33.3%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14.51% (Moyenne) — μ=6,150 FCFA, σ=892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β=0.1528 (Défensif) — Cov=0.000006, Var(idx)=0.000036, ρ=0.044,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6,284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σ_j=2.10%/j (Stable) — Vol. annualisée≈33.3%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8,028</w:t>
            </w:r>
          </w:p>
        </w:tc>
        <w:tc>
          <w:tcPr>
            <w:tcW w:type="dxa" w:w="1440"/>
            <w:shd w:fill="FFDCE0" w:val="clear"/>
          </w:tcPr>
          <w:p>
            <w:r>
              <w:rPr>
                <w:b/>
                <w:sz w:val="17"/>
              </w:rPr>
              <w:t>8,403</w:t>
            </w:r>
          </w:p>
        </w:tc>
        <w:tc>
          <w:tcPr>
            <w:tcW w:type="dxa" w:w="1440"/>
            <w:shd w:fill="FFDCE0" w:val="clear"/>
          </w:tcPr>
          <w:p>
            <w:r>
              <w:rPr>
                <w:sz w:val="17"/>
              </w:rPr>
              <w:t>8,779</w:t>
            </w:r>
          </w:p>
        </w:tc>
        <w:tc>
          <w:tcPr>
            <w:tcW w:type="dxa" w:w="1440"/>
            <w:shd w:fill="FFDCE0" w:val="clear"/>
          </w:tcPr>
          <w:p>
            <w:r>
              <w:rPr>
                <w:b/>
                <w:color w:val="C00000"/>
                <w:sz w:val="17"/>
              </w:rPr>
              <w:t>-5.6%</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7,547</w:t>
            </w:r>
          </w:p>
        </w:tc>
        <w:tc>
          <w:tcPr>
            <w:tcW w:type="dxa" w:w="1440"/>
            <w:shd w:fill="FFDCE0" w:val="clear"/>
          </w:tcPr>
          <w:p>
            <w:r>
              <w:rPr>
                <w:b/>
                <w:sz w:val="17"/>
              </w:rPr>
              <w:t>8,056</w:t>
            </w:r>
          </w:p>
        </w:tc>
        <w:tc>
          <w:tcPr>
            <w:tcW w:type="dxa" w:w="1440"/>
            <w:shd w:fill="FFDCE0" w:val="clear"/>
          </w:tcPr>
          <w:p>
            <w:r>
              <w:rPr>
                <w:sz w:val="17"/>
              </w:rPr>
              <w:t>8,565</w:t>
            </w:r>
          </w:p>
        </w:tc>
        <w:tc>
          <w:tcPr>
            <w:tcW w:type="dxa" w:w="1440"/>
            <w:shd w:fill="FFDCE0" w:val="clear"/>
          </w:tcPr>
          <w:p>
            <w:r>
              <w:rPr>
                <w:b/>
                <w:color w:val="C00000"/>
                <w:sz w:val="17"/>
              </w:rPr>
              <w:t>-9.5%</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7,231</w:t>
            </w:r>
          </w:p>
        </w:tc>
        <w:tc>
          <w:tcPr>
            <w:tcW w:type="dxa" w:w="1440"/>
            <w:shd w:fill="FFDCE0" w:val="clear"/>
          </w:tcPr>
          <w:p>
            <w:r>
              <w:rPr>
                <w:b/>
                <w:sz w:val="17"/>
              </w:rPr>
              <w:t>7,837</w:t>
            </w:r>
          </w:p>
        </w:tc>
        <w:tc>
          <w:tcPr>
            <w:tcW w:type="dxa" w:w="1440"/>
            <w:shd w:fill="FFDCE0" w:val="clear"/>
          </w:tcPr>
          <w:p>
            <w:r>
              <w:rPr>
                <w:sz w:val="17"/>
              </w:rPr>
              <w:t>8,443</w:t>
            </w:r>
          </w:p>
        </w:tc>
        <w:tc>
          <w:tcPr>
            <w:tcW w:type="dxa" w:w="1440"/>
            <w:shd w:fill="FFDCE0" w:val="clear"/>
          </w:tcPr>
          <w:p>
            <w:r>
              <w:rPr>
                <w:b/>
                <w:color w:val="C00000"/>
                <w:sz w:val="17"/>
              </w:rPr>
              <w:t>-11.9%</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7,011</w:t>
            </w:r>
          </w:p>
        </w:tc>
        <w:tc>
          <w:tcPr>
            <w:tcW w:type="dxa" w:w="1440"/>
            <w:shd w:fill="FFDCE0" w:val="clear"/>
          </w:tcPr>
          <w:p>
            <w:r>
              <w:rPr>
                <w:b/>
                <w:sz w:val="17"/>
              </w:rPr>
              <w:t>7,699</w:t>
            </w:r>
          </w:p>
        </w:tc>
        <w:tc>
          <w:tcPr>
            <w:tcW w:type="dxa" w:w="1440"/>
            <w:shd w:fill="FFDCE0" w:val="clear"/>
          </w:tcPr>
          <w:p>
            <w:r>
              <w:rPr>
                <w:sz w:val="17"/>
              </w:rPr>
              <w:t>8,387</w:t>
            </w:r>
          </w:p>
        </w:tc>
        <w:tc>
          <w:tcPr>
            <w:tcW w:type="dxa" w:w="1440"/>
            <w:shd w:fill="FFDCE0" w:val="clear"/>
          </w:tcPr>
          <w:p>
            <w:r>
              <w:rPr>
                <w:b/>
                <w:color w:val="C00000"/>
                <w:sz w:val="17"/>
              </w:rPr>
              <w:t>-13.5%</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6,838</w:t>
            </w:r>
          </w:p>
        </w:tc>
        <w:tc>
          <w:tcPr>
            <w:tcW w:type="dxa" w:w="1440"/>
            <w:shd w:fill="FFDCE0" w:val="clear"/>
          </w:tcPr>
          <w:p>
            <w:r>
              <w:rPr>
                <w:b/>
                <w:sz w:val="17"/>
              </w:rPr>
              <w:t>7,597</w:t>
            </w:r>
          </w:p>
        </w:tc>
        <w:tc>
          <w:tcPr>
            <w:tcW w:type="dxa" w:w="1440"/>
            <w:shd w:fill="FFDCE0" w:val="clear"/>
          </w:tcPr>
          <w:p>
            <w:r>
              <w:rPr>
                <w:sz w:val="17"/>
              </w:rPr>
              <w:t>8,356</w:t>
            </w:r>
          </w:p>
        </w:tc>
        <w:tc>
          <w:tcPr>
            <w:tcW w:type="dxa" w:w="1440"/>
            <w:shd w:fill="FFDCE0" w:val="clear"/>
          </w:tcPr>
          <w:p>
            <w:r>
              <w:rPr>
                <w:b/>
                <w:color w:val="C00000"/>
                <w:sz w:val="17"/>
              </w:rPr>
              <w:t>-14.6%</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6,687</w:t>
            </w:r>
          </w:p>
        </w:tc>
        <w:tc>
          <w:tcPr>
            <w:tcW w:type="dxa" w:w="1440"/>
            <w:shd w:fill="FFDCE0" w:val="clear"/>
          </w:tcPr>
          <w:p>
            <w:r>
              <w:rPr>
                <w:b/>
                <w:sz w:val="17"/>
              </w:rPr>
              <w:t>7,509</w:t>
            </w:r>
          </w:p>
        </w:tc>
        <w:tc>
          <w:tcPr>
            <w:tcW w:type="dxa" w:w="1440"/>
            <w:shd w:fill="FFDCE0" w:val="clear"/>
          </w:tcPr>
          <w:p>
            <w:r>
              <w:rPr>
                <w:sz w:val="17"/>
              </w:rPr>
              <w:t>8,330</w:t>
            </w:r>
          </w:p>
        </w:tc>
        <w:tc>
          <w:tcPr>
            <w:tcW w:type="dxa" w:w="1440"/>
            <w:shd w:fill="FFDCE0" w:val="clear"/>
          </w:tcPr>
          <w:p>
            <w:r>
              <w:rPr>
                <w:b/>
                <w:color w:val="C00000"/>
                <w:sz w:val="17"/>
              </w:rPr>
              <w:t>-15.6%</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6,549</w:t>
            </w:r>
          </w:p>
        </w:tc>
        <w:tc>
          <w:tcPr>
            <w:tcW w:type="dxa" w:w="1440"/>
            <w:shd w:fill="FFDCE0" w:val="clear"/>
          </w:tcPr>
          <w:p>
            <w:r>
              <w:rPr>
                <w:b/>
                <w:sz w:val="17"/>
              </w:rPr>
              <w:t>7,426</w:t>
            </w:r>
          </w:p>
        </w:tc>
        <w:tc>
          <w:tcPr>
            <w:tcW w:type="dxa" w:w="1440"/>
            <w:shd w:fill="FFDCE0" w:val="clear"/>
          </w:tcPr>
          <w:p>
            <w:r>
              <w:rPr>
                <w:sz w:val="17"/>
              </w:rPr>
              <w:t>8,304</w:t>
            </w:r>
          </w:p>
        </w:tc>
        <w:tc>
          <w:tcPr>
            <w:tcW w:type="dxa" w:w="1440"/>
            <w:shd w:fill="FFDCE0" w:val="clear"/>
          </w:tcPr>
          <w:p>
            <w:r>
              <w:rPr>
                <w:b/>
                <w:color w:val="C00000"/>
                <w:sz w:val="17"/>
              </w:rPr>
              <w:t>-16.6%</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6,419</w:t>
            </w:r>
          </w:p>
        </w:tc>
        <w:tc>
          <w:tcPr>
            <w:tcW w:type="dxa" w:w="1440"/>
            <w:shd w:fill="FFDCE0" w:val="clear"/>
          </w:tcPr>
          <w:p>
            <w:r>
              <w:rPr>
                <w:b/>
                <w:sz w:val="17"/>
              </w:rPr>
              <w:t>7,347</w:t>
            </w:r>
          </w:p>
        </w:tc>
        <w:tc>
          <w:tcPr>
            <w:tcW w:type="dxa" w:w="1440"/>
            <w:shd w:fill="FFDCE0" w:val="clear"/>
          </w:tcPr>
          <w:p>
            <w:r>
              <w:rPr>
                <w:sz w:val="17"/>
              </w:rPr>
              <w:t>8,276</w:t>
            </w:r>
          </w:p>
        </w:tc>
        <w:tc>
          <w:tcPr>
            <w:tcW w:type="dxa" w:w="1440"/>
            <w:shd w:fill="FFDCE0" w:val="clear"/>
          </w:tcPr>
          <w:p>
            <w:r>
              <w:rPr>
                <w:b/>
                <w:color w:val="C00000"/>
                <w:sz w:val="17"/>
              </w:rPr>
              <w:t>-17.4%</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6,297</w:t>
            </w:r>
          </w:p>
        </w:tc>
        <w:tc>
          <w:tcPr>
            <w:tcW w:type="dxa" w:w="1440"/>
            <w:shd w:fill="FFDCE0" w:val="clear"/>
          </w:tcPr>
          <w:p>
            <w:r>
              <w:rPr>
                <w:b/>
                <w:sz w:val="17"/>
              </w:rPr>
              <w:t>7,271</w:t>
            </w:r>
          </w:p>
        </w:tc>
        <w:tc>
          <w:tcPr>
            <w:tcW w:type="dxa" w:w="1440"/>
            <w:shd w:fill="FFDCE0" w:val="clear"/>
          </w:tcPr>
          <w:p>
            <w:r>
              <w:rPr>
                <w:sz w:val="17"/>
              </w:rPr>
              <w:t>8,245</w:t>
            </w:r>
          </w:p>
        </w:tc>
        <w:tc>
          <w:tcPr>
            <w:tcW w:type="dxa" w:w="1440"/>
            <w:shd w:fill="FFDCE0" w:val="clear"/>
          </w:tcPr>
          <w:p>
            <w:r>
              <w:rPr>
                <w:b/>
                <w:color w:val="C00000"/>
                <w:sz w:val="17"/>
              </w:rPr>
              <w:t>-18.3%</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6,181</w:t>
            </w:r>
          </w:p>
        </w:tc>
        <w:tc>
          <w:tcPr>
            <w:tcW w:type="dxa" w:w="1440"/>
            <w:shd w:fill="FFDCE0" w:val="clear"/>
          </w:tcPr>
          <w:p>
            <w:r>
              <w:rPr>
                <w:b/>
                <w:sz w:val="17"/>
              </w:rPr>
              <w:t>7,197</w:t>
            </w:r>
          </w:p>
        </w:tc>
        <w:tc>
          <w:tcPr>
            <w:tcW w:type="dxa" w:w="1440"/>
            <w:shd w:fill="FFDCE0" w:val="clear"/>
          </w:tcPr>
          <w:p>
            <w:r>
              <w:rPr>
                <w:sz w:val="17"/>
              </w:rPr>
              <w:t>8,214</w:t>
            </w:r>
          </w:p>
        </w:tc>
        <w:tc>
          <w:tcPr>
            <w:tcW w:type="dxa" w:w="1440"/>
            <w:shd w:fill="FFDCE0" w:val="clear"/>
          </w:tcPr>
          <w:p>
            <w:r>
              <w:rPr>
                <w:b/>
                <w:color w:val="C00000"/>
                <w:sz w:val="17"/>
              </w:rPr>
              <w:t>-19.1%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 BURKINA FASO (BOABF)**</w:t>
        <w:br/>
        <w:t>**Date de l'analyse : 28 août 2026**</w:t>
        <w:br/>
        <w:t>**Secteur : Banque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BOABF s'établit à 391,60 milliards FCFA, ce qui en fait l'une des valeurs les plus significatives de la cote, reflétant la confiance des investisseurs dans ce pilier bancaire régional. Avec un BPA de 438 FCFA, le titre se négocie à un PER de 20,3x, nettement supérieur à la moyenne historique de la BRVM (8-12x), indiquant que le marché intègre des anticipations de croissance future ou une prime de rareté sur ce titre. Le P/B de 3,10x confirme cette prime, le marché valorisant la banque à plus de trois fois sa valeur comptable, ce qui témoigne d'une solidité bilancielle reconnue. Enfin, l'EV/EBITDA de 9,4x, dans la fourchette haute des valeurs "raisonnables" (5-10x), suggère que la valorisation opérationnelle, bien que soutenue, reste cohérente avec la capacité de génération de cash-flow de l'entreprise.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le titre BOABF a enregistré une performance spectaculaire de +58,93%, passant d'un plus bas de 5 235 FCFA à un plus haut de 9 090 FCFA, avant de clôturer à 8 900 FCFA, soit une légère correction de -2,09% lors de la dernière séance. Cette tendance haussière marquée est confirmée par les statistiques descriptives : la moyenne (6 150 FCFA) est nettement inférieure à la médiane (5 648 FCFA) et au cours actuel, illustrant une distribution asymétrique positive (skewness de 1,182) où les fortes progressions récentes tirent le cours vers le haut. L'écart-type de 897 FCFA (CV de 14,6%) indique une dispersion modérée des prix autour de la moyenne, tandis que le kurtosis de 0,581 (mésokurtique) suggère une distribution proche de la normale, sans risque extrême de pics ou de krachs soudains. La volatilité annualisée de 33,3% classe le titre dans la catégorie "élevée" (&gt;30%), signalant un risque de fluctuation important mais également un potentiel de rendement accru pour les investisseurs aguerris.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(8 900 FCFA) se positionne nettement au-dessus de la MM20 (7 532 FCFA) et de la MM50 (6 789 FCFA), confirmant une dynamique haussière de court et moyen terme. L'écart croissant entre ces moyennes et le prix indique une forte pression acheteuse, justifiant la décision d'**Achat**.</w:t>
      </w:r>
    </w:p>
    <w:p>
      <w:pPr>
        <w:spacing w:after="120" w:line="276" w:lineRule="auto"/>
      </w:pPr>
      <w:r>
        <w:t>**Bandes de Bollinger** : Le prix a franchi la borne supérieure (8 766 FCFA), ce qui est un signal classique de surachat temporaire. Cette cassure suggère une volatilité extrême et une extension excessive du mouvement haussier, d'où la décision de **Vente** pour un éventuel repli technique vers la moyenne mobile.</w:t>
      </w:r>
    </w:p>
    <w:p>
      <w:pPr>
        <w:spacing w:after="120" w:line="276" w:lineRule="auto"/>
      </w:pPr>
      <w:r>
        <w:t>**MACD** : La valeur du MACD (491,216) est nettement supérieure à sa ligne de signal (338,873), avec un écart positif croissant. Cette configuration indique un momentum haussier puissant et persistant, justifiant la décision d'**Achat**.</w:t>
      </w:r>
    </w:p>
    <w:p>
      <w:pPr>
        <w:spacing w:after="120" w:line="276" w:lineRule="auto"/>
      </w:pPr>
      <w:r>
        <w:t>**RSI** : Avec une valeur de 81,509, l'indice de force relative est profondément en zone de surachat (&gt;70). Ce niveau extrême signale que le titre est survendu à la hausse et qu'une correction technique est probable à court terme, d'où la décision de **Vente**.</w:t>
      </w:r>
    </w:p>
    <w:p>
      <w:pPr>
        <w:spacing w:after="120" w:line="276" w:lineRule="auto"/>
      </w:pPr>
      <w:r>
        <w:t>**Stochastique** : Le %K (90,452) et le %D (96,817) sont tous deux en zone de surachat extrême (&gt;80). Le %K commençant à s'infléchir sous le %D, un croisement baissier se profile, annonçant un potentiel retournement, justifiant la décision de **Vente**.</w:t>
      </w:r>
    </w:p>
    <w:p>
      <w:pPr>
        <w:spacing w:after="120" w:line="276" w:lineRule="auto"/>
      </w:pPr>
      <w:r>
        <w:t>**Conclusion technique** : Les indicateurs de tendance (MM, MACD) sont résolument haussiers, mais les oscillateurs de momentum (RSI, Stochastique) et les bandes de Bollinger signalent une condition de surachat extrême. Cette divergence classique suggère une pause ou une consolidation à court terme avant la poursuite éventuelle de la tendance de fond. Le scénario le plus probable est un repli technique vers la zone des 8 000-8 400 FCFA avant un nouveau test des sommets.</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BOABF révèlent une banque solide mais confrontée à des vents contraires. Le Produit Net Bancaire (PNB) s'établit à 57,82 milliards FCFA, en légère croissance de 0,57%, tandis que le résultat net atteint 19,25 milliards FCFA, en forte baisse par rapport aux années précédentes. Cette contraction s'explique par un coût du risque élevé (provisions de 8,36 milliards FCFA, soit 33,9% des charges financières), reflétant une dégradation de la qualité du portefeuille de crédits. Malgré cela, la banque maintient une rentabilité solide avec un ROE de 15,2% et un ROA de 1,68%, ainsi qu'un excellent coefficient d'exploitation de 47,2%, témoignant d'une gestion opérationnelle efficace. Les rapports trimestriels de 2025 confirment cette tendance : le T1 affiche un résultat net de 5,20 milliards (-16,6%), le S1 de 8,22 milliards (-46,5%), et le cumul sur 9 mois de 13,45 milliards (-27,7%), tous impactés par l'explosion du coût du risque. Le rapport du T1 2026, publié récemment, montre une poursuite de la dégradation avec un PNB en baisse de 10,75% et un résultat net en recul de 12,99% à 4,52 milliards FCFA. Sur la base de ces données, on estime que l'exercice 2026 pourrait voir un résultat net annuel compris entre 15 et 17 milliards FCFA, en l'absence d'amélioration significative du contexte économique et sécuritaire. La banque conserve néanmoins une position de marché solide (2ème place) avec des dépôts en croissance et un bilan de 1 148,7 milliards FCFA.</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une situation contrastée pour BOABF. La valorisation (PER de 20,3x, P/B de 3,10x) apparaît exigeante, intégrant des anticipations de croissance qui ne se matérialisent pas dans les résultats récents, marqués par une baisse continue de la rentabilité nette. Le comportement du cours (+58,93% en 100 jours) est spectaculaire mais potentiellement déconnecté des fondamentaux, avec une volatilité élevée (33,3%) et des signaux techniques de surachat extrême (RSI à 81,5, Stochastique à 96,8) qui appellent à la prudence à court terme. Les prédictions IA pour les 10 prochains jours (baisse de 8 900 à 7 597 FCFA, soit -14,6%) confirment ce scénario de correction technique. Sur le plan fondamental, la banque reste solide (ROE de 15,2%, coefficient d'exploitation de 47,2%) mais subit une dégradation de la qualité de son portefeuille de crédits et une stagnation de son activité. **Recommandation finale : VENTE** à court terme pour profiter de la surchauffe technique, avec un niveau de confiance **Moyen** et un risque global **Élevé** lié au contexte sécuritaire et à la détérioration du coût du risque. Pour les investisseurs de long terme (&gt;1 an), une position pourrait être envisagée après correction vers les 7 000-7 500 FCFA, en surveillant l'évolution du coût du risque et la reprise de la croissance du PNB.</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496.00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12,420 titres</w:t>
            </w:r>
          </w:p>
        </w:tc>
        <w:tc>
          <w:tcPr>
            <w:tcW w:type="dxa" w:w="2268"/>
            <w:shd w:fill="FFF2CC" w:val="clear"/>
          </w:tcPr>
          <w:p>
            <w:r>
              <w:rPr>
                <w:b/>
                <w:color w:val="503200"/>
                <w:sz w:val="16"/>
              </w:rPr>
              <w:t xml:space="preserve">Cours actuel : </w:t>
            </w:r>
            <w:r>
              <w:rPr>
                <w:color w:val="000000"/>
                <w:sz w:val="17"/>
              </w:rPr>
              <w:t>12,400 FCFA</w:t>
            </w:r>
          </w:p>
          <w:p>
            <w:r>
              <w:rPr>
                <w:b/>
                <w:color w:val="503200"/>
                <w:sz w:val="16"/>
              </w:rPr>
              <w:t xml:space="preserve">Var. 100 jours : </w:t>
            </w:r>
            <w:r>
              <w:rPr>
                <w:b/>
                <w:color w:val="007800"/>
                <w:sz w:val="17"/>
              </w:rPr>
              <w:t>+45.88%</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8,380 FCFA</w:t>
            </w:r>
          </w:p>
          <w:p>
            <w:r>
              <w:rPr>
                <w:b/>
                <w:color w:val="503200"/>
                <w:sz w:val="16"/>
              </w:rPr>
              <w:t xml:space="preserve">Volatilité ann. : </w:t>
            </w:r>
            <w:r>
              <w:rPr>
                <w:color w:val="000000"/>
                <w:sz w:val="17"/>
              </w:rPr>
              <w:t>25.8%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14.88% (Moyenne) — μ=9,721 FCFA, σ=1,447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β=0.0307 (Défensif) — Cov=0.000001, Var(idx)=0.000036, ρ=0.011,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12,420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σ_j=1.63%/j (Stable) — Vol. annualisée≈25.8%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11,329</w:t>
            </w:r>
          </w:p>
        </w:tc>
        <w:tc>
          <w:tcPr>
            <w:tcW w:type="dxa" w:w="1440"/>
            <w:shd w:fill="FFDCE0" w:val="clear"/>
          </w:tcPr>
          <w:p>
            <w:r>
              <w:rPr>
                <w:b/>
                <w:sz w:val="17"/>
              </w:rPr>
              <w:t>11,748</w:t>
            </w:r>
          </w:p>
        </w:tc>
        <w:tc>
          <w:tcPr>
            <w:tcW w:type="dxa" w:w="1440"/>
            <w:shd w:fill="FFDCE0" w:val="clear"/>
          </w:tcPr>
          <w:p>
            <w:r>
              <w:rPr>
                <w:sz w:val="17"/>
              </w:rPr>
              <w:t>12,166</w:t>
            </w:r>
          </w:p>
        </w:tc>
        <w:tc>
          <w:tcPr>
            <w:tcW w:type="dxa" w:w="1440"/>
            <w:shd w:fill="FFDCE0" w:val="clear"/>
          </w:tcPr>
          <w:p>
            <w:r>
              <w:rPr>
                <w:b/>
                <w:color w:val="C00000"/>
                <w:sz w:val="17"/>
              </w:rPr>
              <w:t>-5.3%</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10,661</w:t>
            </w:r>
          </w:p>
        </w:tc>
        <w:tc>
          <w:tcPr>
            <w:tcW w:type="dxa" w:w="1440"/>
            <w:shd w:fill="FFDCE0" w:val="clear"/>
          </w:tcPr>
          <w:p>
            <w:r>
              <w:rPr>
                <w:b/>
                <w:sz w:val="17"/>
              </w:rPr>
              <w:t>11,226</w:t>
            </w:r>
          </w:p>
        </w:tc>
        <w:tc>
          <w:tcPr>
            <w:tcW w:type="dxa" w:w="1440"/>
            <w:shd w:fill="FFDCE0" w:val="clear"/>
          </w:tcPr>
          <w:p>
            <w:r>
              <w:rPr>
                <w:sz w:val="17"/>
              </w:rPr>
              <w:t>11,792</w:t>
            </w:r>
          </w:p>
        </w:tc>
        <w:tc>
          <w:tcPr>
            <w:tcW w:type="dxa" w:w="1440"/>
            <w:shd w:fill="FFDCE0" w:val="clear"/>
          </w:tcPr>
          <w:p>
            <w:r>
              <w:rPr>
                <w:b/>
                <w:color w:val="C00000"/>
                <w:sz w:val="17"/>
              </w:rPr>
              <w:t>-9.5%</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10,074</w:t>
            </w:r>
          </w:p>
        </w:tc>
        <w:tc>
          <w:tcPr>
            <w:tcW w:type="dxa" w:w="1440"/>
            <w:shd w:fill="FFDCE0" w:val="clear"/>
          </w:tcPr>
          <w:p>
            <w:r>
              <w:rPr>
                <w:b/>
                <w:sz w:val="17"/>
              </w:rPr>
              <w:t>10,737</w:t>
            </w:r>
          </w:p>
        </w:tc>
        <w:tc>
          <w:tcPr>
            <w:tcW w:type="dxa" w:w="1440"/>
            <w:shd w:fill="FFDCE0" w:val="clear"/>
          </w:tcPr>
          <w:p>
            <w:r>
              <w:rPr>
                <w:sz w:val="17"/>
              </w:rPr>
              <w:t>11,400</w:t>
            </w:r>
          </w:p>
        </w:tc>
        <w:tc>
          <w:tcPr>
            <w:tcW w:type="dxa" w:w="1440"/>
            <w:shd w:fill="FFDCE0" w:val="clear"/>
          </w:tcPr>
          <w:p>
            <w:r>
              <w:rPr>
                <w:b/>
                <w:color w:val="C00000"/>
                <w:sz w:val="17"/>
              </w:rPr>
              <w:t>-13.4%</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9,578</w:t>
            </w:r>
          </w:p>
        </w:tc>
        <w:tc>
          <w:tcPr>
            <w:tcW w:type="dxa" w:w="1440"/>
            <w:shd w:fill="FFDCE0" w:val="clear"/>
          </w:tcPr>
          <w:p>
            <w:r>
              <w:rPr>
                <w:b/>
                <w:sz w:val="17"/>
              </w:rPr>
              <w:t>10,312</w:t>
            </w:r>
          </w:p>
        </w:tc>
        <w:tc>
          <w:tcPr>
            <w:tcW w:type="dxa" w:w="1440"/>
            <w:shd w:fill="FFDCE0" w:val="clear"/>
          </w:tcPr>
          <w:p>
            <w:r>
              <w:rPr>
                <w:sz w:val="17"/>
              </w:rPr>
              <w:t>11,047</w:t>
            </w:r>
          </w:p>
        </w:tc>
        <w:tc>
          <w:tcPr>
            <w:tcW w:type="dxa" w:w="1440"/>
            <w:shd w:fill="FFDCE0" w:val="clear"/>
          </w:tcPr>
          <w:p>
            <w:r>
              <w:rPr>
                <w:b/>
                <w:color w:val="C00000"/>
                <w:sz w:val="17"/>
              </w:rPr>
              <w:t>-16.8%</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9,155</w:t>
            </w:r>
          </w:p>
        </w:tc>
        <w:tc>
          <w:tcPr>
            <w:tcW w:type="dxa" w:w="1440"/>
            <w:shd w:fill="FFDCE0" w:val="clear"/>
          </w:tcPr>
          <w:p>
            <w:r>
              <w:rPr>
                <w:b/>
                <w:sz w:val="17"/>
              </w:rPr>
              <w:t>9,947</w:t>
            </w:r>
          </w:p>
        </w:tc>
        <w:tc>
          <w:tcPr>
            <w:tcW w:type="dxa" w:w="1440"/>
            <w:shd w:fill="FFDCE0" w:val="clear"/>
          </w:tcPr>
          <w:p>
            <w:r>
              <w:rPr>
                <w:sz w:val="17"/>
              </w:rPr>
              <w:t>10,740</w:t>
            </w:r>
          </w:p>
        </w:tc>
        <w:tc>
          <w:tcPr>
            <w:tcW w:type="dxa" w:w="1440"/>
            <w:shd w:fill="FFDCE0" w:val="clear"/>
          </w:tcPr>
          <w:p>
            <w:r>
              <w:rPr>
                <w:b/>
                <w:color w:val="C00000"/>
                <w:sz w:val="17"/>
              </w:rPr>
              <w:t>-19.8%</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8,791</w:t>
            </w:r>
          </w:p>
        </w:tc>
        <w:tc>
          <w:tcPr>
            <w:tcW w:type="dxa" w:w="1440"/>
            <w:shd w:fill="FFDCE0" w:val="clear"/>
          </w:tcPr>
          <w:p>
            <w:r>
              <w:rPr>
                <w:b/>
                <w:sz w:val="17"/>
              </w:rPr>
              <w:t>9,632</w:t>
            </w:r>
          </w:p>
        </w:tc>
        <w:tc>
          <w:tcPr>
            <w:tcW w:type="dxa" w:w="1440"/>
            <w:shd w:fill="FFDCE0" w:val="clear"/>
          </w:tcPr>
          <w:p>
            <w:r>
              <w:rPr>
                <w:sz w:val="17"/>
              </w:rPr>
              <w:t>10,473</w:t>
            </w:r>
          </w:p>
        </w:tc>
        <w:tc>
          <w:tcPr>
            <w:tcW w:type="dxa" w:w="1440"/>
            <w:shd w:fill="FFDCE0" w:val="clear"/>
          </w:tcPr>
          <w:p>
            <w:r>
              <w:rPr>
                <w:b/>
                <w:color w:val="C00000"/>
                <w:sz w:val="17"/>
              </w:rPr>
              <w:t>-22.3%</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8,476</w:t>
            </w:r>
          </w:p>
        </w:tc>
        <w:tc>
          <w:tcPr>
            <w:tcW w:type="dxa" w:w="1440"/>
            <w:shd w:fill="FFDCE0" w:val="clear"/>
          </w:tcPr>
          <w:p>
            <w:r>
              <w:rPr>
                <w:b/>
                <w:sz w:val="17"/>
              </w:rPr>
              <w:t>9,358</w:t>
            </w:r>
          </w:p>
        </w:tc>
        <w:tc>
          <w:tcPr>
            <w:tcW w:type="dxa" w:w="1440"/>
            <w:shd w:fill="FFDCE0" w:val="clear"/>
          </w:tcPr>
          <w:p>
            <w:r>
              <w:rPr>
                <w:sz w:val="17"/>
              </w:rPr>
              <w:t>10,240</w:t>
            </w:r>
          </w:p>
        </w:tc>
        <w:tc>
          <w:tcPr>
            <w:tcW w:type="dxa" w:w="1440"/>
            <w:shd w:fill="FFDCE0" w:val="clear"/>
          </w:tcPr>
          <w:p>
            <w:r>
              <w:rPr>
                <w:b/>
                <w:color w:val="C00000"/>
                <w:sz w:val="17"/>
              </w:rPr>
              <w:t>-24.5%</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8,200</w:t>
            </w:r>
          </w:p>
        </w:tc>
        <w:tc>
          <w:tcPr>
            <w:tcW w:type="dxa" w:w="1440"/>
            <w:shd w:fill="FFDCE0" w:val="clear"/>
          </w:tcPr>
          <w:p>
            <w:r>
              <w:rPr>
                <w:b/>
                <w:sz w:val="17"/>
              </w:rPr>
              <w:t>9,118</w:t>
            </w:r>
          </w:p>
        </w:tc>
        <w:tc>
          <w:tcPr>
            <w:tcW w:type="dxa" w:w="1440"/>
            <w:shd w:fill="FFDCE0" w:val="clear"/>
          </w:tcPr>
          <w:p>
            <w:r>
              <w:rPr>
                <w:sz w:val="17"/>
              </w:rPr>
              <w:t>10,037</w:t>
            </w:r>
          </w:p>
        </w:tc>
        <w:tc>
          <w:tcPr>
            <w:tcW w:type="dxa" w:w="1440"/>
            <w:shd w:fill="FFDCE0" w:val="clear"/>
          </w:tcPr>
          <w:p>
            <w:r>
              <w:rPr>
                <w:b/>
                <w:color w:val="C00000"/>
                <w:sz w:val="17"/>
              </w:rPr>
              <w:t>-26.5%</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7,955</w:t>
            </w:r>
          </w:p>
        </w:tc>
        <w:tc>
          <w:tcPr>
            <w:tcW w:type="dxa" w:w="1440"/>
            <w:shd w:fill="FFDCE0" w:val="clear"/>
          </w:tcPr>
          <w:p>
            <w:r>
              <w:rPr>
                <w:b/>
                <w:sz w:val="17"/>
              </w:rPr>
              <w:t>8,907</w:t>
            </w:r>
          </w:p>
        </w:tc>
        <w:tc>
          <w:tcPr>
            <w:tcW w:type="dxa" w:w="1440"/>
            <w:shd w:fill="FFDCE0" w:val="clear"/>
          </w:tcPr>
          <w:p>
            <w:r>
              <w:rPr>
                <w:sz w:val="17"/>
              </w:rPr>
              <w:t>9,859</w:t>
            </w:r>
          </w:p>
        </w:tc>
        <w:tc>
          <w:tcPr>
            <w:tcW w:type="dxa" w:w="1440"/>
            <w:shd w:fill="FFDCE0" w:val="clear"/>
          </w:tcPr>
          <w:p>
            <w:r>
              <w:rPr>
                <w:b/>
                <w:color w:val="C00000"/>
                <w:sz w:val="17"/>
              </w:rPr>
              <w:t>-28.2%</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7,737</w:t>
            </w:r>
          </w:p>
        </w:tc>
        <w:tc>
          <w:tcPr>
            <w:tcW w:type="dxa" w:w="1440"/>
            <w:shd w:fill="FFDCE0" w:val="clear"/>
          </w:tcPr>
          <w:p>
            <w:r>
              <w:rPr>
                <w:b/>
                <w:sz w:val="17"/>
              </w:rPr>
              <w:t>8,719</w:t>
            </w:r>
          </w:p>
        </w:tc>
        <w:tc>
          <w:tcPr>
            <w:tcW w:type="dxa" w:w="1440"/>
            <w:shd w:fill="FFDCE0" w:val="clear"/>
          </w:tcPr>
          <w:p>
            <w:r>
              <w:rPr>
                <w:sz w:val="17"/>
              </w:rPr>
              <w:t>9,701</w:t>
            </w:r>
          </w:p>
        </w:tc>
        <w:tc>
          <w:tcPr>
            <w:tcW w:type="dxa" w:w="1440"/>
            <w:shd w:fill="FFDCE0" w:val="clear"/>
          </w:tcPr>
          <w:p>
            <w:r>
              <w:rPr>
                <w:b/>
                <w:color w:val="C00000"/>
                <w:sz w:val="17"/>
              </w:rPr>
              <w:t>-29.7%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Absolument. Voici un rapport d'analyse professionnel structuré pour l'action BOAC,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BOAC s'établit à 496 milliards FCFA, ce qui en fait une valeur de première importance sur la BRVM, reflétant la confiance des investisseurs dans ce pilier du secteur bancaire régional. Avec un BPA de 888 FCFA, le PER de 14,0x se situe au-dessus de la moyenne historique de la BRVM (8-12x), indiquant que le marché valorise déjà des perspectives de croissance solides et une qualité de gestion supérieure. Le P/B de 3,90x confirme cette prime, le marché acceptant de payer près de 4 fois la valeur comptable des fonds propres, signe d'une forte création de valeur attendue. Cependant, l'EV/EBITDA de 27,3x est particulièrement exigeant, suggérant que la valorisation intègre une performance opérationnelle future exceptionnelle et laisse peu de marge d'erreur en cas de déception.</w:t>
      </w:r>
    </w:p>
    <w:p>
      <w:pPr>
        <w:spacing w:after="120" w:line="276" w:lineRule="auto"/>
      </w:pPr>
      <w:r>
        <w:t>### **PARTIE 1 : ANALYSE DU COURS — STATISTIQUES ET ÉVOLUTION (100 derniers jours)**</w:t>
      </w:r>
    </w:p>
    <w:p>
      <w:pPr>
        <w:spacing w:after="120" w:line="276" w:lineRule="auto"/>
      </w:pPr>
      <w:r>
        <w:t>Sur les 100 derniers jours, l'action BOAC a enregistré une performance spectaculaire de +45,88%, bien que la dernière séance ait clôturé en baisse de -2,36%, à 12 400 FCFA. Cette forte progression s'est déroulée dans un range de trading très large, oscillant entre un plus bas de 8 380 FCFA et un plus haut de 13 450 FCFA, illustrant un intérêt marqué et une volatilité accrue. L'analyse statistique révèle une distribution asymétrique positive (Skewness de 1.347), avec une moyenne (9 721 FCFA) nettement supérieure à la médiane (9 100 FCFA), ce qui indique que la récente envolée du cours est portée par un nombre limité de séances de forte hausse. Le coefficient de variation de 15,0% et la volatilité annualisée de 25,8% confirment un titre modérément volatil, tandis qu'un kurtosis proche de la normale (0.496) suggère une absence de risque de kurtosis extrême, mais une propension à des mouvements de grande ampleur.</w:t>
      </w:r>
    </w:p>
    <w:p>
      <w:pPr>
        <w:spacing w:after="120" w:line="276" w:lineRule="auto"/>
      </w:pPr>
      <w:r>
        <w:t>### **PARTIE 2 : ANALYSE TECHNIQUE DÉTAILLÉE**</w:t>
      </w:r>
    </w:p>
    <w:p>
      <w:pPr>
        <w:spacing w:after="120" w:line="276" w:lineRule="auto"/>
      </w:pPr>
      <w:r>
        <w:t>**Moyennes Mobiles** : Le cours actuel (12 400 FCFA) est nettement supérieur à la MM20 (12 326,5 FCFA) et à la MM50 (10 708,2 FCFA), confirmant une tendance haussière de moyen terme. La configuration des MM, avec la MM20 au-dessus de la MM50, est un signal classique d'achat, indiquant que la dynamique haussière est toujours en place.</w:t>
      </w:r>
    </w:p>
    <w:p>
      <w:pPr>
        <w:spacing w:after="120" w:line="276" w:lineRule="auto"/>
      </w:pPr>
      <w:r>
        <w:t>**Bandes de Bollinger** : Le cours se positionne dans la partie supérieure des bandes, entre la borne inférieure (10 619,1 FCFA) et la borne supérieure (14 033,8 FCFA), mais sans toucher cette dernière. La décision est neutre, car le prix, bien qu'en tendance haussière, n'est pas en situation de surachat extrême, laissant une marge de fluctuation avant une éventuelle correction.</w:t>
      </w:r>
    </w:p>
    <w:p>
      <w:pPr>
        <w:spacing w:after="120" w:line="276" w:lineRule="auto"/>
      </w:pPr>
      <w:r>
        <w:t>**MACD** : Le MACD (656,9) est passé sous sa ligne de signal (761,5), générant un signal de vente à court terme. Cette divergence indique un ralentissement du momentum haussier, suggérant une possible phase de consolidation ou de correction après la forte progression récente.</w:t>
      </w:r>
    </w:p>
    <w:p>
      <w:pPr>
        <w:spacing w:after="120" w:line="276" w:lineRule="auto"/>
      </w:pPr>
      <w:r>
        <w:t>**RSI** : Le RSI est à 63,8, une valeur neutre qui se situe sous le seuil de surachat (70). Cela indique que la pression acheteuse est toujours présente mais qu'elle s'est modérée, laissant penser qu'il n'y a pas de tension excessive sur le titre, ce qui est un signe de santé pour la tendance.</w:t>
      </w:r>
    </w:p>
    <w:p>
      <w:pPr>
        <w:spacing w:after="120" w:line="276" w:lineRule="auto"/>
      </w:pPr>
      <w:r>
        <w:t>**Stochastique** : Le %K (43,2) est passé sous le %D (56,9), confirmant le signal de vente du MACD. Ce croisement baissier au sein de la zone neutre suggère une perte de dynamisme à très court terme, renforçant l'hypothèse d'une consolidation avant la poursuite de la tendance haussière.</w:t>
      </w:r>
    </w:p>
    <w:p>
      <w:pPr>
        <w:spacing w:after="120" w:line="276" w:lineRule="auto"/>
      </w:pPr>
      <w:r>
        <w:t>**Conclusion technique** : Les indicateurs de tendance (MM) restent positifs, mais les oscillateurs de momentum (MACD, Stochastique) signalent une perte de vitesse à court terme. Le RSI, en zone neutre, ne contredit pas cette lecture. L'ensemble suggère une pause dans la tendance haussière, avec un risque de correction technique à court terme avant une possible reprise de la dynamique.</w:t>
      </w:r>
    </w:p>
    <w:p>
      <w:pPr>
        <w:spacing w:after="120" w:line="276" w:lineRule="auto"/>
      </w:pPr>
      <w:r>
        <w:t>### **PARTIE 3 : ANALYSE FONDAMENTALE (SECTION CRITIQUE)**</w:t>
      </w:r>
    </w:p>
    <w:p>
      <w:pPr>
        <w:spacing w:after="120" w:line="276" w:lineRule="auto"/>
      </w:pPr>
      <w:r>
        <w:t>En 2025, les données financières structurées de BOAC révèlent une banque à la rentabilité exceptionnelle, avec un Produit Net Bancaire (PNB) de 73,5 milliards FCFA et un résultat net de 35,5 milliards FCFA. Le ROE est excellent à 27,9%, et le coefficient d'exploitation de 36,7% témoigne d'une grande efficacité opérationnelle. Le coût du risque, à 6,67% des charges financières, reste un point de vigilance, indiquant un risque de crédit significatif. Les dépôts clients (850,5 Mds) financent largement les crédits à la clientèle (430,4 Mds), montrant une forte liquidité. Les rapports trimestriels de 2025 racontent une histoire nuancée : le T1 2025 était excellent (résultat net +14,6% à 10,7 Mds), mais le S1 a montré une stagnation du PNB (-0,35%) et le T3 a confirmé une activité atone (PNB +0,23% sur 9 mois). Sur la base de ces rapports, on estime que l'exercice 2025 devrait voir un résultat net en légère progression par rapport à 2024 (32,0 Mds), porté par une maîtrise du coût du risque, mais avec une croissance du PNB quasi nulle. La banque a communiqué des objectifs triennaux ambitieux (croissance du PNB de +11,6% d'ici 2027), mais la performance actuelle est en deçà de ces cibles.</w:t>
      </w:r>
    </w:p>
    <w:p>
      <w:pPr>
        <w:spacing w:after="120" w:line="276" w:lineRule="auto"/>
      </w:pPr>
      <w:r>
        <w:t>### **PARTIE 4 : CONCLUSION D'INVESTISSEMENT**</w:t>
      </w:r>
    </w:p>
    <w:p>
      <w:pPr>
        <w:spacing w:after="120" w:line="276" w:lineRule="auto"/>
      </w:pPr>
      <w:r>
        <w:t>La valorisation de BOAC (PER 14x, P/B 3,9x) est exigeante et intègre déjà des attentes de croissance élevées, alors que le comportement du cours (+45,88% en 100 jours) montre un enthousiasme marqué, mais avec des signes de fatigue technique (MACD et Stochastique vendeurs). Les fondamentaux sont solides avec un ROE de 27,9% et une excellente maîtrise des coûts, mais la croissance du PNB est à l'arrêt en 2025, et le coût du risque reste élevé. Les prédictions IA pour les 10 prochains jours (chute de 12 400 à 9 947 FCFA) confirment les signaux techniques de correction à court terme. En synthèse, la convergence entre la valorisation tendue, les signaux techniques de court terme et les prédictions IA suggère une phase de consolidation. La recommandation est donc de **CONSERVER** le titre pour les investisseurs existants, avec un niveau de confiance **Moyen**. Le risque global est **Élevé** en raison de la valorisation exigeante et de la volatilité. L'horizon d'investissement optimal serait de **moyen terme (3-12 mois)** pour évaluer si la banque parviendra à concrétiser ses objectifs de croissance et justifier sa valorisation actuelle.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178.29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6,187 titres</w:t>
            </w:r>
          </w:p>
        </w:tc>
        <w:tc>
          <w:tcPr>
            <w:tcW w:type="dxa" w:w="2268"/>
            <w:shd w:fill="FFF2CC" w:val="clear"/>
          </w:tcPr>
          <w:p>
            <w:r>
              <w:rPr>
                <w:b/>
                <w:color w:val="503200"/>
                <w:sz w:val="16"/>
              </w:rPr>
              <w:t xml:space="preserve">Cours actuel : </w:t>
            </w:r>
            <w:r>
              <w:rPr>
                <w:color w:val="000000"/>
                <w:sz w:val="17"/>
              </w:rPr>
              <w:t>6,495 FCFA</w:t>
            </w:r>
          </w:p>
          <w:p>
            <w:r>
              <w:rPr>
                <w:b/>
                <w:color w:val="503200"/>
                <w:sz w:val="16"/>
              </w:rPr>
              <w:t xml:space="preserve">Var. 100 jours : </w:t>
            </w:r>
            <w:r>
              <w:rPr>
                <w:b/>
                <w:color w:val="007800"/>
                <w:sz w:val="17"/>
              </w:rPr>
              <w:t>+41.20%</w:t>
            </w:r>
          </w:p>
          <w:p>
            <w:r>
              <w:rPr>
                <w:b/>
                <w:color w:val="503200"/>
                <w:sz w:val="16"/>
              </w:rPr>
              <w:t xml:space="preserve">Plus haut 100j : </w:t>
            </w:r>
            <w:r>
              <w:rPr>
                <w:color w:val="000000"/>
                <w:sz w:val="17"/>
              </w:rPr>
              <w:t>6,700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11.69% (Moyenne) — μ=5,143 FCFA, σ=601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β=0.3309 (Défensif) — Cov=0.000012, Var(idx)=0.000036, ρ=0.098,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6,187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σ_j=2.03%/j (Stable) — Vol. annualisée≈32.3%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6,125</w:t>
            </w:r>
          </w:p>
        </w:tc>
        <w:tc>
          <w:tcPr>
            <w:tcW w:type="dxa" w:w="1440"/>
            <w:shd w:fill="FFDCE0" w:val="clear"/>
          </w:tcPr>
          <w:p>
            <w:r>
              <w:rPr>
                <w:b/>
                <w:sz w:val="17"/>
              </w:rPr>
              <w:t>6,317</w:t>
            </w:r>
          </w:p>
        </w:tc>
        <w:tc>
          <w:tcPr>
            <w:tcW w:type="dxa" w:w="1440"/>
            <w:shd w:fill="FFDCE0" w:val="clear"/>
          </w:tcPr>
          <w:p>
            <w:r>
              <w:rPr>
                <w:sz w:val="17"/>
              </w:rPr>
              <w:t>6,510</w:t>
            </w:r>
          </w:p>
        </w:tc>
        <w:tc>
          <w:tcPr>
            <w:tcW w:type="dxa" w:w="1440"/>
            <w:shd w:fill="FFDCE0" w:val="clear"/>
          </w:tcPr>
          <w:p>
            <w:r>
              <w:rPr>
                <w:b/>
                <w:color w:val="C00000"/>
                <w:sz w:val="17"/>
              </w:rPr>
              <w:t>-2.7%</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5,896</w:t>
            </w:r>
          </w:p>
        </w:tc>
        <w:tc>
          <w:tcPr>
            <w:tcW w:type="dxa" w:w="1440"/>
            <w:shd w:fill="FFDCE0" w:val="clear"/>
          </w:tcPr>
          <w:p>
            <w:r>
              <w:rPr>
                <w:b/>
                <w:sz w:val="17"/>
              </w:rPr>
              <w:t>6,162</w:t>
            </w:r>
          </w:p>
        </w:tc>
        <w:tc>
          <w:tcPr>
            <w:tcW w:type="dxa" w:w="1440"/>
            <w:shd w:fill="FFDCE0" w:val="clear"/>
          </w:tcPr>
          <w:p>
            <w:r>
              <w:rPr>
                <w:sz w:val="17"/>
              </w:rPr>
              <w:t>6,428</w:t>
            </w:r>
          </w:p>
        </w:tc>
        <w:tc>
          <w:tcPr>
            <w:tcW w:type="dxa" w:w="1440"/>
            <w:shd w:fill="FFDCE0" w:val="clear"/>
          </w:tcPr>
          <w:p>
            <w:r>
              <w:rPr>
                <w:b/>
                <w:color w:val="C00000"/>
                <w:sz w:val="17"/>
              </w:rPr>
              <w:t>-5.1%</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5,714</w:t>
            </w:r>
          </w:p>
        </w:tc>
        <w:tc>
          <w:tcPr>
            <w:tcW w:type="dxa" w:w="1440"/>
            <w:shd w:fill="FFDCE0" w:val="clear"/>
          </w:tcPr>
          <w:p>
            <w:r>
              <w:rPr>
                <w:b/>
                <w:sz w:val="17"/>
              </w:rPr>
              <w:t>6,033</w:t>
            </w:r>
          </w:p>
        </w:tc>
        <w:tc>
          <w:tcPr>
            <w:tcW w:type="dxa" w:w="1440"/>
            <w:shd w:fill="FFDCE0" w:val="clear"/>
          </w:tcPr>
          <w:p>
            <w:r>
              <w:rPr>
                <w:sz w:val="17"/>
              </w:rPr>
              <w:t>6,352</w:t>
            </w:r>
          </w:p>
        </w:tc>
        <w:tc>
          <w:tcPr>
            <w:tcW w:type="dxa" w:w="1440"/>
            <w:shd w:fill="FFDCE0" w:val="clear"/>
          </w:tcPr>
          <w:p>
            <w:r>
              <w:rPr>
                <w:b/>
                <w:color w:val="C00000"/>
                <w:sz w:val="17"/>
              </w:rPr>
              <w:t>-7.1%</w:t>
            </w:r>
          </w:p>
        </w:tc>
      </w:tr>
      <w:tr>
        <w:tc>
          <w:tcPr>
            <w:tcW w:type="dxa" w:w="1440"/>
            <w:shd w:fill="FFDCE0" w:val="clear"/>
          </w:tcPr>
          <w:p>
            <w:r>
              <w:rPr>
                <w:sz w:val="17"/>
              </w:rPr>
              <w:t>J+4  Moyenne</w:t>
            </w:r>
          </w:p>
        </w:tc>
        <w:tc>
          <w:tcPr>
            <w:tcW w:type="dxa" w:w="1440"/>
            <w:shd w:fill="FFDCE0" w:val="clear"/>
          </w:tcPr>
          <w:p>
            <w:r>
              <w:rPr>
                <w:sz w:val="17"/>
              </w:rPr>
              <w:t>2026-09-03</w:t>
            </w:r>
          </w:p>
        </w:tc>
        <w:tc>
          <w:tcPr>
            <w:tcW w:type="dxa" w:w="1440"/>
            <w:shd w:fill="FFDCE0" w:val="clear"/>
          </w:tcPr>
          <w:p>
            <w:r>
              <w:rPr>
                <w:sz w:val="17"/>
              </w:rPr>
              <w:t>5,562</w:t>
            </w:r>
          </w:p>
        </w:tc>
        <w:tc>
          <w:tcPr>
            <w:tcW w:type="dxa" w:w="1440"/>
            <w:shd w:fill="FFDCE0" w:val="clear"/>
          </w:tcPr>
          <w:p>
            <w:r>
              <w:rPr>
                <w:b/>
                <w:sz w:val="17"/>
              </w:rPr>
              <w:t>5,923</w:t>
            </w:r>
          </w:p>
        </w:tc>
        <w:tc>
          <w:tcPr>
            <w:tcW w:type="dxa" w:w="1440"/>
            <w:shd w:fill="FFDCE0" w:val="clear"/>
          </w:tcPr>
          <w:p>
            <w:r>
              <w:rPr>
                <w:sz w:val="17"/>
              </w:rPr>
              <w:t>6,285</w:t>
            </w:r>
          </w:p>
        </w:tc>
        <w:tc>
          <w:tcPr>
            <w:tcW w:type="dxa" w:w="1440"/>
            <w:shd w:fill="FFDCE0" w:val="clear"/>
          </w:tcPr>
          <w:p>
            <w:r>
              <w:rPr>
                <w:b/>
                <w:color w:val="C00000"/>
                <w:sz w:val="17"/>
              </w:rPr>
              <w:t>-8.8%</w:t>
            </w:r>
          </w:p>
        </w:tc>
      </w:tr>
      <w:tr>
        <w:tc>
          <w:tcPr>
            <w:tcW w:type="dxa" w:w="1440"/>
            <w:shd w:fill="FFDCE0" w:val="clear"/>
          </w:tcPr>
          <w:p>
            <w:r>
              <w:rPr>
                <w:sz w:val="17"/>
              </w:rPr>
              <w:t>J+5  Moyenne</w:t>
            </w:r>
          </w:p>
        </w:tc>
        <w:tc>
          <w:tcPr>
            <w:tcW w:type="dxa" w:w="1440"/>
            <w:shd w:fill="FFDCE0" w:val="clear"/>
          </w:tcPr>
          <w:p>
            <w:r>
              <w:rPr>
                <w:sz w:val="17"/>
              </w:rPr>
              <w:t>2026-09-04</w:t>
            </w:r>
          </w:p>
        </w:tc>
        <w:tc>
          <w:tcPr>
            <w:tcW w:type="dxa" w:w="1440"/>
            <w:shd w:fill="FFDCE0" w:val="clear"/>
          </w:tcPr>
          <w:p>
            <w:r>
              <w:rPr>
                <w:sz w:val="17"/>
              </w:rPr>
              <w:t>5,427</w:t>
            </w:r>
          </w:p>
        </w:tc>
        <w:tc>
          <w:tcPr>
            <w:tcW w:type="dxa" w:w="1440"/>
            <w:shd w:fill="FFDCE0" w:val="clear"/>
          </w:tcPr>
          <w:p>
            <w:r>
              <w:rPr>
                <w:b/>
                <w:sz w:val="17"/>
              </w:rPr>
              <w:t>5,825</w:t>
            </w:r>
          </w:p>
        </w:tc>
        <w:tc>
          <w:tcPr>
            <w:tcW w:type="dxa" w:w="1440"/>
            <w:shd w:fill="FFDCE0" w:val="clear"/>
          </w:tcPr>
          <w:p>
            <w:r>
              <w:rPr>
                <w:sz w:val="17"/>
              </w:rPr>
              <w:t>6,222</w:t>
            </w:r>
          </w:p>
        </w:tc>
        <w:tc>
          <w:tcPr>
            <w:tcW w:type="dxa" w:w="1440"/>
            <w:shd w:fill="FFDCE0" w:val="clear"/>
          </w:tcPr>
          <w:p>
            <w:r>
              <w:rPr>
                <w:b/>
                <w:color w:val="C00000"/>
                <w:sz w:val="17"/>
              </w:rPr>
              <w:t>-10.3%</w:t>
            </w:r>
          </w:p>
        </w:tc>
      </w:tr>
      <w:tr>
        <w:tc>
          <w:tcPr>
            <w:tcW w:type="dxa" w:w="1440"/>
            <w:shd w:fill="FFDCE0" w:val="clear"/>
          </w:tcPr>
          <w:p>
            <w:r>
              <w:rPr>
                <w:sz w:val="17"/>
              </w:rPr>
              <w:t>J+6  Moyenne</w:t>
            </w:r>
          </w:p>
        </w:tc>
        <w:tc>
          <w:tcPr>
            <w:tcW w:type="dxa" w:w="1440"/>
            <w:shd w:fill="FFDCE0" w:val="clear"/>
          </w:tcPr>
          <w:p>
            <w:r>
              <w:rPr>
                <w:sz w:val="17"/>
              </w:rPr>
              <w:t>2026-09-07</w:t>
            </w:r>
          </w:p>
        </w:tc>
        <w:tc>
          <w:tcPr>
            <w:tcW w:type="dxa" w:w="1440"/>
            <w:shd w:fill="FFDCE0" w:val="clear"/>
          </w:tcPr>
          <w:p>
            <w:r>
              <w:rPr>
                <w:sz w:val="17"/>
              </w:rPr>
              <w:t>5,306</w:t>
            </w:r>
          </w:p>
        </w:tc>
        <w:tc>
          <w:tcPr>
            <w:tcW w:type="dxa" w:w="1440"/>
            <w:shd w:fill="FFDCE0" w:val="clear"/>
          </w:tcPr>
          <w:p>
            <w:r>
              <w:rPr>
                <w:b/>
                <w:sz w:val="17"/>
              </w:rPr>
              <w:t>5,735</w:t>
            </w:r>
          </w:p>
        </w:tc>
        <w:tc>
          <w:tcPr>
            <w:tcW w:type="dxa" w:w="1440"/>
            <w:shd w:fill="FFDCE0" w:val="clear"/>
          </w:tcPr>
          <w:p>
            <w:r>
              <w:rPr>
                <w:sz w:val="17"/>
              </w:rPr>
              <w:t>6,163</w:t>
            </w:r>
          </w:p>
        </w:tc>
        <w:tc>
          <w:tcPr>
            <w:tcW w:type="dxa" w:w="1440"/>
            <w:shd w:fill="FFDCE0" w:val="clear"/>
          </w:tcPr>
          <w:p>
            <w:r>
              <w:rPr>
                <w:b/>
                <w:color w:val="C00000"/>
                <w:sz w:val="17"/>
              </w:rPr>
              <w:t>-11.7%</w:t>
            </w:r>
          </w:p>
        </w:tc>
      </w:tr>
      <w:tr>
        <w:tc>
          <w:tcPr>
            <w:tcW w:type="dxa" w:w="1440"/>
            <w:shd w:fill="FFDCE0" w:val="clear"/>
          </w:tcPr>
          <w:p>
            <w:r>
              <w:rPr>
                <w:sz w:val="17"/>
              </w:rPr>
              <w:t>J+7  Moyenne</w:t>
            </w:r>
          </w:p>
        </w:tc>
        <w:tc>
          <w:tcPr>
            <w:tcW w:type="dxa" w:w="1440"/>
            <w:shd w:fill="FFDCE0" w:val="clear"/>
          </w:tcPr>
          <w:p>
            <w:r>
              <w:rPr>
                <w:sz w:val="17"/>
              </w:rPr>
              <w:t>2026-09-08</w:t>
            </w:r>
          </w:p>
        </w:tc>
        <w:tc>
          <w:tcPr>
            <w:tcW w:type="dxa" w:w="1440"/>
            <w:shd w:fill="FFDCE0" w:val="clear"/>
          </w:tcPr>
          <w:p>
            <w:r>
              <w:rPr>
                <w:sz w:val="17"/>
              </w:rPr>
              <w:t>5,194</w:t>
            </w:r>
          </w:p>
        </w:tc>
        <w:tc>
          <w:tcPr>
            <w:tcW w:type="dxa" w:w="1440"/>
            <w:shd w:fill="FFDCE0" w:val="clear"/>
          </w:tcPr>
          <w:p>
            <w:r>
              <w:rPr>
                <w:b/>
                <w:sz w:val="17"/>
              </w:rPr>
              <w:t>5,651</w:t>
            </w:r>
          </w:p>
        </w:tc>
        <w:tc>
          <w:tcPr>
            <w:tcW w:type="dxa" w:w="1440"/>
            <w:shd w:fill="FFDCE0" w:val="clear"/>
          </w:tcPr>
          <w:p>
            <w:r>
              <w:rPr>
                <w:sz w:val="17"/>
              </w:rPr>
              <w:t>6,107</w:t>
            </w:r>
          </w:p>
        </w:tc>
        <w:tc>
          <w:tcPr>
            <w:tcW w:type="dxa" w:w="1440"/>
            <w:shd w:fill="FFDCE0" w:val="clear"/>
          </w:tcPr>
          <w:p>
            <w:r>
              <w:rPr>
                <w:b/>
                <w:color w:val="C00000"/>
                <w:sz w:val="17"/>
              </w:rPr>
              <w:t>-13.0%</w:t>
            </w:r>
          </w:p>
        </w:tc>
      </w:tr>
      <w:tr>
        <w:tc>
          <w:tcPr>
            <w:tcW w:type="dxa" w:w="1440"/>
            <w:shd w:fill="FFDCE0" w:val="clear"/>
          </w:tcPr>
          <w:p>
            <w:r>
              <w:rPr>
                <w:sz w:val="17"/>
              </w:rPr>
              <w:t>J+8  Moyenne</w:t>
            </w:r>
          </w:p>
        </w:tc>
        <w:tc>
          <w:tcPr>
            <w:tcW w:type="dxa" w:w="1440"/>
            <w:shd w:fill="FFDCE0" w:val="clear"/>
          </w:tcPr>
          <w:p>
            <w:r>
              <w:rPr>
                <w:sz w:val="17"/>
              </w:rPr>
              <w:t>2026-09-09</w:t>
            </w:r>
          </w:p>
        </w:tc>
        <w:tc>
          <w:tcPr>
            <w:tcW w:type="dxa" w:w="1440"/>
            <w:shd w:fill="FFDCE0" w:val="clear"/>
          </w:tcPr>
          <w:p>
            <w:r>
              <w:rPr>
                <w:sz w:val="17"/>
              </w:rPr>
              <w:t>5,091</w:t>
            </w:r>
          </w:p>
        </w:tc>
        <w:tc>
          <w:tcPr>
            <w:tcW w:type="dxa" w:w="1440"/>
            <w:shd w:fill="FFDCE0" w:val="clear"/>
          </w:tcPr>
          <w:p>
            <w:r>
              <w:rPr>
                <w:b/>
                <w:sz w:val="17"/>
              </w:rPr>
              <w:t>5,572</w:t>
            </w:r>
          </w:p>
        </w:tc>
        <w:tc>
          <w:tcPr>
            <w:tcW w:type="dxa" w:w="1440"/>
            <w:shd w:fill="FFDCE0" w:val="clear"/>
          </w:tcPr>
          <w:p>
            <w:r>
              <w:rPr>
                <w:sz w:val="17"/>
              </w:rPr>
              <w:t>6,053</w:t>
            </w:r>
          </w:p>
        </w:tc>
        <w:tc>
          <w:tcPr>
            <w:tcW w:type="dxa" w:w="1440"/>
            <w:shd w:fill="FFDCE0" w:val="clear"/>
          </w:tcPr>
          <w:p>
            <w:r>
              <w:rPr>
                <w:b/>
                <w:color w:val="C00000"/>
                <w:sz w:val="17"/>
              </w:rPr>
              <w:t>-14.2%</w:t>
            </w:r>
          </w:p>
        </w:tc>
      </w:tr>
      <w:tr>
        <w:tc>
          <w:tcPr>
            <w:tcW w:type="dxa" w:w="1440"/>
            <w:shd w:fill="FFDCE0" w:val="clear"/>
          </w:tcPr>
          <w:p>
            <w:r>
              <w:rPr>
                <w:sz w:val="17"/>
              </w:rPr>
              <w:t>J+9  Moyenne</w:t>
            </w:r>
          </w:p>
        </w:tc>
        <w:tc>
          <w:tcPr>
            <w:tcW w:type="dxa" w:w="1440"/>
            <w:shd w:fill="FFDCE0" w:val="clear"/>
          </w:tcPr>
          <w:p>
            <w:r>
              <w:rPr>
                <w:sz w:val="17"/>
              </w:rPr>
              <w:t>2026-09-10</w:t>
            </w:r>
          </w:p>
        </w:tc>
        <w:tc>
          <w:tcPr>
            <w:tcW w:type="dxa" w:w="1440"/>
            <w:shd w:fill="FFDCE0" w:val="clear"/>
          </w:tcPr>
          <w:p>
            <w:r>
              <w:rPr>
                <w:sz w:val="17"/>
              </w:rPr>
              <w:t>4,995</w:t>
            </w:r>
          </w:p>
        </w:tc>
        <w:tc>
          <w:tcPr>
            <w:tcW w:type="dxa" w:w="1440"/>
            <w:shd w:fill="FFDCE0" w:val="clear"/>
          </w:tcPr>
          <w:p>
            <w:r>
              <w:rPr>
                <w:b/>
                <w:sz w:val="17"/>
              </w:rPr>
              <w:t>5,499</w:t>
            </w:r>
          </w:p>
        </w:tc>
        <w:tc>
          <w:tcPr>
            <w:tcW w:type="dxa" w:w="1440"/>
            <w:shd w:fill="FFDCE0" w:val="clear"/>
          </w:tcPr>
          <w:p>
            <w:r>
              <w:rPr>
                <w:sz w:val="17"/>
              </w:rPr>
              <w:t>6,002</w:t>
            </w:r>
          </w:p>
        </w:tc>
        <w:tc>
          <w:tcPr>
            <w:tcW w:type="dxa" w:w="1440"/>
            <w:shd w:fill="FFDCE0" w:val="clear"/>
          </w:tcPr>
          <w:p>
            <w:r>
              <w:rPr>
                <w:b/>
                <w:color w:val="C00000"/>
                <w:sz w:val="17"/>
              </w:rPr>
              <w:t>-15.3%</w:t>
            </w:r>
          </w:p>
        </w:tc>
      </w:tr>
      <w:tr>
        <w:tc>
          <w:tcPr>
            <w:tcW w:type="dxa" w:w="1440"/>
            <w:shd w:fill="FFDCE0" w:val="clear"/>
          </w:tcPr>
          <w:p>
            <w:r>
              <w:rPr>
                <w:sz w:val="17"/>
              </w:rPr>
              <w:t>J+10  Moyenne</w:t>
            </w:r>
          </w:p>
        </w:tc>
        <w:tc>
          <w:tcPr>
            <w:tcW w:type="dxa" w:w="1440"/>
            <w:shd w:fill="FFDCE0" w:val="clear"/>
          </w:tcPr>
          <w:p>
            <w:r>
              <w:rPr>
                <w:sz w:val="17"/>
              </w:rPr>
              <w:t>2026-09-11</w:t>
            </w:r>
          </w:p>
        </w:tc>
        <w:tc>
          <w:tcPr>
            <w:tcW w:type="dxa" w:w="1440"/>
            <w:shd w:fill="FFDCE0" w:val="clear"/>
          </w:tcPr>
          <w:p>
            <w:r>
              <w:rPr>
                <w:sz w:val="17"/>
              </w:rPr>
              <w:t>4,906</w:t>
            </w:r>
          </w:p>
        </w:tc>
        <w:tc>
          <w:tcPr>
            <w:tcW w:type="dxa" w:w="1440"/>
            <w:shd w:fill="FFDCE0" w:val="clear"/>
          </w:tcPr>
          <w:p>
            <w:r>
              <w:rPr>
                <w:b/>
                <w:sz w:val="17"/>
              </w:rPr>
              <w:t>5,430</w:t>
            </w:r>
          </w:p>
        </w:tc>
        <w:tc>
          <w:tcPr>
            <w:tcW w:type="dxa" w:w="1440"/>
            <w:shd w:fill="FFDCE0" w:val="clear"/>
          </w:tcPr>
          <w:p>
            <w:r>
              <w:rPr>
                <w:sz w:val="17"/>
              </w:rPr>
              <w:t>5,954</w:t>
            </w:r>
          </w:p>
        </w:tc>
        <w:tc>
          <w:tcPr>
            <w:tcW w:type="dxa" w:w="1440"/>
            <w:shd w:fill="FFDCE0" w:val="clear"/>
          </w:tcPr>
          <w:p>
            <w:r>
              <w:rPr>
                <w:b/>
                <w:color w:val="C00000"/>
                <w:sz w:val="17"/>
              </w:rPr>
              <w:t>-16.4%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BOAM s'établit à 178,29 milliards FCFA, ce qui positionne la banque parmi les valeurs moyennes du marché de la BRVM, avec un poids significatif dans le secteur financier. Le BPA de 404 FCFA indique que chaque action génère un bénéfice substantiel, justifiant un PER de 16,1x, supérieur à la moyenne historique du marché (~8-12x), ce qui traduit une prime de croissance accordée par les investisseurs. Le P/B de 3,58x confirme cette prime, le marché valorisant la banque bien au-dessus de sa valeur comptable, signe de confiance dans sa capacité à générer de la valeur. Enfin, l'EV/EBITDA de 8,5x, dans la fourchette raisonnable de 5-10x, indique que la valeur d'entreprise reste cohérente avec la capacité opérationnelle de la banque, malgré une valorisation boursière exigeante.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BOAM a enregistré une progression spectaculaire de +41,20%, atteignant un cours actuel de 6 495 FCFA, avec un repli de -2,33% lors de la dernière séance. Le titre a évolué dans une fourchette de 4 425 FCFA (plus bas) à 6 700 FCFA (plus haut), démontrant une forte dynamique haussière. La moyenne de 5 143 FCFA, inférieure au cours actuel, confirme la tendance ascendante, tandis que la médiane de 4 935 FCFA et le mode de 4 670 FCFA indiquent une distribution asymétrique positive (skewness de 0,889), avec davantage de journées sous la moyenne. L'écart-type de 604 FCFA (CV=11,8%) révèle une dispersion modérée, et le kurtosis de -0,319 (mésokurtique) suggère l'absence de pics extrêmes. La volatilité annualisée de 32,3% classe le titre comme très volatil, reflétant un risque élevé mais aussi un potentiel de rendement important.</w:t>
      </w:r>
    </w:p>
    <w:p>
      <w:pPr>
        <w:spacing w:after="120" w:line="276" w:lineRule="auto" w:before="240"/>
      </w:pPr>
      <w:r>
        <w:rPr>
          <w:b/>
          <w:color w:val="003366"/>
          <w:sz w:val="24"/>
        </w:rPr>
        <w:t>**PARTIE 2 : ANALYSE TECHNIQUE DÉTAILLÉE**</w:t>
      </w:r>
    </w:p>
    <w:p>
      <w:pPr>
        <w:spacing w:after="120" w:line="276" w:lineRule="auto"/>
      </w:pPr>
      <w:r>
        <w:t>**Moyennes Mobiles**: La MM20 à 6 069,5 FCFA et la MM50 à 5 571,6 FCFA sont toutes deux inférieures au cours actuel de 6 495 FCFA, confirmant une tendance haussière solide. Le croisement des moyennes mobiles, avec la MM20 au-dessus de la MM50, renforce le signal d'achat, indiquant que le momentum positif est soutenu par les investisseurs à court et moyen terme.</w:t>
      </w:r>
    </w:p>
    <w:p>
      <w:pPr>
        <w:spacing w:after="120" w:line="276" w:lineRule="auto"/>
      </w:pPr>
      <w:r>
        <w:t>**Bandes de Bollinger**: Le cours se situe à 6 495 FCFA, proche de la borne supérieure de 6 843,95 FCFA, ce qui témoigne d'une pression acheteuse soutenue. La largeur des bandes (écart de 1 548 FCFA) reflète une volatilité élevée, mais le prix n'ayant pas franchi la borne supérieure, le signal reste neutre, suggérant une possible consolidation avant une poursuite de la hausse.</w:t>
      </w:r>
    </w:p>
    <w:p>
      <w:pPr>
        <w:spacing w:after="120" w:line="276" w:lineRule="auto"/>
      </w:pPr>
      <w:r>
        <w:t>**MACD**: La valeur du MACD à 294,501 est supérieure à son signal à 257,65, avec un écart positif de 36,85 points. Cette divergence haussière indique un momentum positif persistant, confirmant la tendance haussière. Le signal d'achat est donc maintenu, bien que l'écart croissant puisse signaler une correction technique à court terme.</w:t>
      </w:r>
    </w:p>
    <w:p>
      <w:pPr>
        <w:spacing w:after="120" w:line="276" w:lineRule="auto"/>
      </w:pPr>
      <w:r>
        <w:t>**RSI**: Le RSI à 81,98 est nettement en zone de surachat (au-dessus de 70), signalant une pression acheteuse excessive. Ce niveau suggère que le titre est temporairement surévalué et qu'un repli technique est probable à court terme. La décision de vente est donc justifiée, bien que dans une tendance haussière, le RSI puisse rester suracheté pendant des périodes prolongées.</w:t>
      </w:r>
    </w:p>
    <w:p>
      <w:pPr>
        <w:spacing w:after="120" w:line="276" w:lineRule="auto"/>
      </w:pPr>
      <w:r>
        <w:t>**Stochastique**: Le %K à 79,5 et le %D à 91,665 indiquent que le titre est en zone de surachat, avec un %D supérieur au %K, signalant un possible retournement baissier. Le croisement potentiel des deux lignes pourrait confirmer une correction, mais le signal reste neutre tant que le %K ne passe pas sous le %D.</w:t>
      </w:r>
    </w:p>
    <w:p>
      <w:pPr>
        <w:spacing w:after="120" w:line="276" w:lineRule="auto"/>
      </w:pPr>
      <w:r>
        <w:t>**Conclusion technique**: Les indicateurs sont globalement positifs, avec des signaux d'achat sur les moyennes mobiles et le MACD, mais le RSI et le stochastique en zone de surachat suggèrent une correction technique imminente. La tendance haussière reste intacte, mais les investisseurs doivent être prudents face à un possible repli à court terme.</w:t>
      </w:r>
    </w:p>
    <w:p>
      <w:pPr>
        <w:spacing w:after="120" w:line="276" w:lineRule="auto" w:before="240"/>
      </w:pPr>
      <w:r>
        <w:rPr>
          <w:b/>
          <w:color w:val="003366"/>
          <w:sz w:val="24"/>
        </w:rPr>
        <w:t>**PARTIE 3 : ANALYSE FONDAMENTALE (SECTION CRITIQUE)**</w:t>
      </w:r>
    </w:p>
    <w:p>
      <w:pPr>
        <w:spacing w:after="120" w:line="276" w:lineRule="auto"/>
      </w:pPr>
      <w:r>
        <w:t>En 2025, BOAM affiche un Produit Net Bancaire (PNB) de 37,996 milliards FCFA, en croissance de 5,08%, avec un résultat net de 11,081 milliards FCFA, démontrant une rentabilité solide. Le ROE de 22,24% et le ROA de 1,87% confirment une gestion efficace des fonds propres et des actifs, bien au-dessus des seuils de référence. Le coefficient d'exploitation de 63,14% reste légèrement supérieur au seuil d'efficacité de 60%, mais le coût du risque de 43,39% indique un risque de crédit significatif, bien que les provisions aient été réduites. Les dépôts clientèle de 502,89 milliards FCFA couvrent largement les créances sur la clientèle de 253,65 milliards FCFA, démontrant une transformation saine. Sur la base des rapports trimestriels 2025, le PNB cumulé sur neuf mois atteint 28,52 milliards FCFA (+5,8%), et le résultat net de 9,16 milliards FCFA (+26,2%), confirmant la trajectoire positive. Les états financiers certifiés 2024 montrent un PNB de 36,16 milliards FCFA et un résultat net de 9,12 milliards FCFA, en hausse de 57,89%, illustrant une amélioration continue de la rentabilité. La solidité financière est renforcée par des capitaux propres de 49,82 milliards FCFA et une capacité d'autofinancement de 15,40 milliards FCFA, bien que l'autonomie financière de 8,40% reste faible, reflétant une dépendance aux dépôts.</w:t>
      </w:r>
    </w:p>
    <w:p>
      <w:pPr>
        <w:spacing w:after="120" w:line="276" w:lineRule="auto" w:before="240"/>
      </w:pPr>
      <w:r>
        <w:rPr>
          <w:b/>
          <w:color w:val="003366"/>
          <w:sz w:val="24"/>
        </w:rPr>
        <w:t>**PARTIE 4 : CONCLUSION D'INVESTISSEMENT**</w:t>
      </w:r>
    </w:p>
    <w:p>
      <w:pPr>
        <w:spacing w:after="120" w:line="276" w:lineRule="auto"/>
      </w:pPr>
      <w:r>
        <w:t>La valorisation de BOAM, avec un PER de 16,1x et un P/B de 3,58x, indique une prime de croissance justifiée par la solidité des fondamentaux, mais le cours actuel reflète déjà une partie des perspectives positives. Le comportement du cours, avec une hausse de 41,20% sur 100 jours et une volatilité de 32,3%, témoigne d'un intérêt marqué des investisseurs, mais les statistiques (skewness positif, kurtosis mésokurtique) suggèrent un risque de correction. Les signaux techniques sont mitigés, avec des moyennes mobiles et le MACD en zone d'achat, mais le RSI et le stochastique en surachat indiquent un repli probable. Les fondamentaux restent solides, avec une croissance du PNB de 5,08% et un résultat net en hausse de 26,2% sur neuf mois, soutenus par une gestion prudente du risque. Les prédictions IA prévoient une baisse progressive du cours vers 5 825 FCFA sur 10 jours, contredisant la tendance haussière récente et confirmant les signaux de surachat. En synthèse, la convergence entre la valorisation exigeante, les signaux techniques de surachat et les prédictions IA suggère une correction à court terme. **Recommandation : CONSERVER**, avec un niveau de confiance Moyen, un risque global Élevé, et un horizon d'investissement optimal à moyen terme (3-12 mois), en attendant un repli du cours pour renforcer la position.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114.40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10,356 titres</w:t>
            </w:r>
          </w:p>
        </w:tc>
        <w:tc>
          <w:tcPr>
            <w:tcW w:type="dxa" w:w="2268"/>
            <w:shd w:fill="FFF2CC" w:val="clear"/>
          </w:tcPr>
          <w:p>
            <w:r>
              <w:rPr>
                <w:b/>
                <w:color w:val="503200"/>
                <w:sz w:val="16"/>
              </w:rPr>
              <w:t xml:space="preserve">Cours actuel : </w:t>
            </w:r>
            <w:r>
              <w:rPr>
                <w:color w:val="000000"/>
                <w:sz w:val="17"/>
              </w:rPr>
              <w:t>5,500 FCFA</w:t>
            </w:r>
          </w:p>
          <w:p>
            <w:r>
              <w:rPr>
                <w:b/>
                <w:color w:val="503200"/>
                <w:sz w:val="16"/>
              </w:rPr>
              <w:t xml:space="preserve">Var. 100 jours : </w:t>
            </w:r>
            <w:r>
              <w:rPr>
                <w:b/>
                <w:color w:val="007800"/>
                <w:sz w:val="17"/>
              </w:rPr>
              <w:t>+106.77%</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2,660 FCFA</w:t>
            </w:r>
          </w:p>
          <w:p>
            <w:r>
              <w:rPr>
                <w:b/>
                <w:color w:val="503200"/>
                <w:sz w:val="16"/>
              </w:rPr>
              <w:t xml:space="preserve">Volatilité ann. : </w:t>
            </w:r>
            <w:r>
              <w:rPr>
                <w:color w:val="000000"/>
                <w:sz w:val="17"/>
              </w:rPr>
              <w:t>40.1%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22.5/100 → Moyen</w:t>
      </w:r>
    </w:p>
    <w:p>
      <w:pPr>
        <w:spacing w:before="40" w:after="80"/>
      </w:pPr>
      <w:r>
        <w:rPr>
          <w:rFonts w:ascii="Courier New" w:hAnsi="Courier New"/>
          <w:color w:val="825A00"/>
          <w:sz w:val="18"/>
        </w:rPr>
        <w:t>████░░░░░░░░░░░░░░░░  22.5/100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20.33% (Élevée) — μ=4,149 FCFA, σ=843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β=0.2395 (Défensif) — Cov=0.000009, Var(idx)=0.000036, ρ=0.057,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10,356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σ_j=2.53%/j (Stable) — Vol. annualisée≈40.1%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5,318</w:t>
            </w:r>
          </w:p>
        </w:tc>
        <w:tc>
          <w:tcPr>
            <w:tcW w:type="dxa" w:w="1440"/>
            <w:shd w:fill="FAFAFA" w:val="clear"/>
          </w:tcPr>
          <w:p>
            <w:r>
              <w:rPr>
                <w:b/>
                <w:sz w:val="17"/>
              </w:rPr>
              <w:t>5,501</w:t>
            </w:r>
          </w:p>
        </w:tc>
        <w:tc>
          <w:tcPr>
            <w:tcW w:type="dxa" w:w="1440"/>
            <w:shd w:fill="FAFAFA" w:val="clear"/>
          </w:tcPr>
          <w:p>
            <w:r>
              <w:rPr>
                <w:sz w:val="17"/>
              </w:rPr>
              <w:t>5,685</w:t>
            </w:r>
          </w:p>
        </w:tc>
        <w:tc>
          <w:tcPr>
            <w:tcW w:type="dxa" w:w="1440"/>
            <w:shd w:fill="FAFAFA" w:val="clear"/>
          </w:tcPr>
          <w:p>
            <w:r>
              <w:rPr>
                <w:b/>
                <w:color w:val="008000"/>
                <w:sz w:val="17"/>
              </w:rPr>
              <w:t>+0.0%</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5,233</w:t>
            </w:r>
          </w:p>
        </w:tc>
        <w:tc>
          <w:tcPr>
            <w:tcW w:type="dxa" w:w="1440"/>
            <w:shd w:fill="FAFAFA" w:val="clear"/>
          </w:tcPr>
          <w:p>
            <w:r>
              <w:rPr>
                <w:b/>
                <w:sz w:val="17"/>
              </w:rPr>
              <w:t>5,492</w:t>
            </w:r>
          </w:p>
        </w:tc>
        <w:tc>
          <w:tcPr>
            <w:tcW w:type="dxa" w:w="1440"/>
            <w:shd w:fill="FAFAFA" w:val="clear"/>
          </w:tcPr>
          <w:p>
            <w:r>
              <w:rPr>
                <w:sz w:val="17"/>
              </w:rPr>
              <w:t>5,752</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2026-09-02</w:t>
            </w:r>
          </w:p>
        </w:tc>
        <w:tc>
          <w:tcPr>
            <w:tcW w:type="dxa" w:w="1440"/>
            <w:shd w:fill="FAFAFA" w:val="clear"/>
          </w:tcPr>
          <w:p>
            <w:r>
              <w:rPr>
                <w:sz w:val="17"/>
              </w:rPr>
              <w:t>5,160</w:t>
            </w:r>
          </w:p>
        </w:tc>
        <w:tc>
          <w:tcPr>
            <w:tcW w:type="dxa" w:w="1440"/>
            <w:shd w:fill="FAFAFA" w:val="clear"/>
          </w:tcPr>
          <w:p>
            <w:r>
              <w:rPr>
                <w:b/>
                <w:sz w:val="17"/>
              </w:rPr>
              <w:t>5,477</w:t>
            </w:r>
          </w:p>
        </w:tc>
        <w:tc>
          <w:tcPr>
            <w:tcW w:type="dxa" w:w="1440"/>
            <w:shd w:fill="FAFAFA" w:val="clear"/>
          </w:tcPr>
          <w:p>
            <w:r>
              <w:rPr>
                <w:sz w:val="17"/>
              </w:rPr>
              <w:t>5,794</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2026-09-03</w:t>
            </w:r>
          </w:p>
        </w:tc>
        <w:tc>
          <w:tcPr>
            <w:tcW w:type="dxa" w:w="1440"/>
            <w:shd w:fill="FAFAFA" w:val="clear"/>
          </w:tcPr>
          <w:p>
            <w:r>
              <w:rPr>
                <w:sz w:val="17"/>
              </w:rPr>
              <w:t>5,097</w:t>
            </w:r>
          </w:p>
        </w:tc>
        <w:tc>
          <w:tcPr>
            <w:tcW w:type="dxa" w:w="1440"/>
            <w:shd w:fill="FAFAFA" w:val="clear"/>
          </w:tcPr>
          <w:p>
            <w:r>
              <w:rPr>
                <w:b/>
                <w:sz w:val="17"/>
              </w:rPr>
              <w:t>5,462</w:t>
            </w:r>
          </w:p>
        </w:tc>
        <w:tc>
          <w:tcPr>
            <w:tcW w:type="dxa" w:w="1440"/>
            <w:shd w:fill="FAFAFA" w:val="clear"/>
          </w:tcPr>
          <w:p>
            <w:r>
              <w:rPr>
                <w:sz w:val="17"/>
              </w:rPr>
              <w:t>5,827</w:t>
            </w:r>
          </w:p>
        </w:tc>
        <w:tc>
          <w:tcPr>
            <w:tcW w:type="dxa" w:w="1440"/>
            <w:shd w:fill="FAFAFA" w:val="clear"/>
          </w:tcPr>
          <w:p>
            <w:r>
              <w:rPr>
                <w:b/>
                <w:color w:val="C00000"/>
                <w:sz w:val="17"/>
              </w:rPr>
              <w:t>-0.7%</w:t>
            </w:r>
          </w:p>
        </w:tc>
      </w:tr>
      <w:tr>
        <w:tc>
          <w:tcPr>
            <w:tcW w:type="dxa" w:w="1440"/>
            <w:shd w:fill="FAFAFA" w:val="clear"/>
          </w:tcPr>
          <w:p>
            <w:r>
              <w:rPr>
                <w:sz w:val="17"/>
              </w:rPr>
              <w:t>J+5  ⭐</w:t>
            </w:r>
          </w:p>
        </w:tc>
        <w:tc>
          <w:tcPr>
            <w:tcW w:type="dxa" w:w="1440"/>
            <w:shd w:fill="FAFAFA" w:val="clear"/>
          </w:tcPr>
          <w:p>
            <w:r>
              <w:rPr>
                <w:sz w:val="17"/>
              </w:rPr>
              <w:t>2026-09-04</w:t>
            </w:r>
          </w:p>
        </w:tc>
        <w:tc>
          <w:tcPr>
            <w:tcW w:type="dxa" w:w="1440"/>
            <w:shd w:fill="FAFAFA" w:val="clear"/>
          </w:tcPr>
          <w:p>
            <w:r>
              <w:rPr>
                <w:sz w:val="17"/>
              </w:rPr>
              <w:t>5,041</w:t>
            </w:r>
          </w:p>
        </w:tc>
        <w:tc>
          <w:tcPr>
            <w:tcW w:type="dxa" w:w="1440"/>
            <w:shd w:fill="FAFAFA" w:val="clear"/>
          </w:tcPr>
          <w:p>
            <w:r>
              <w:rPr>
                <w:b/>
                <w:sz w:val="17"/>
              </w:rPr>
              <w:t>5,448</w:t>
            </w:r>
          </w:p>
        </w:tc>
        <w:tc>
          <w:tcPr>
            <w:tcW w:type="dxa" w:w="1440"/>
            <w:shd w:fill="FAFAFA" w:val="clear"/>
          </w:tcPr>
          <w:p>
            <w:r>
              <w:rPr>
                <w:sz w:val="17"/>
              </w:rPr>
              <w:t>5,854</w:t>
            </w:r>
          </w:p>
        </w:tc>
        <w:tc>
          <w:tcPr>
            <w:tcW w:type="dxa" w:w="1440"/>
            <w:shd w:fill="FAFAFA" w:val="clear"/>
          </w:tcPr>
          <w:p>
            <w:r>
              <w:rPr>
                <w:b/>
                <w:color w:val="C00000"/>
                <w:sz w:val="17"/>
              </w:rPr>
              <w:t>-1.0%</w:t>
            </w:r>
          </w:p>
        </w:tc>
      </w:tr>
      <w:tr>
        <w:tc>
          <w:tcPr>
            <w:tcW w:type="dxa" w:w="1440"/>
            <w:shd w:fill="FAFAFA" w:val="clear"/>
          </w:tcPr>
          <w:p>
            <w:r>
              <w:rPr>
                <w:sz w:val="17"/>
              </w:rPr>
              <w:t>J+6  ⭐</w:t>
            </w:r>
          </w:p>
        </w:tc>
        <w:tc>
          <w:tcPr>
            <w:tcW w:type="dxa" w:w="1440"/>
            <w:shd w:fill="FAFAFA" w:val="clear"/>
          </w:tcPr>
          <w:p>
            <w:r>
              <w:rPr>
                <w:sz w:val="17"/>
              </w:rPr>
              <w:t>2026-09-07</w:t>
            </w:r>
          </w:p>
        </w:tc>
        <w:tc>
          <w:tcPr>
            <w:tcW w:type="dxa" w:w="1440"/>
            <w:shd w:fill="FAFAFA" w:val="clear"/>
          </w:tcPr>
          <w:p>
            <w:r>
              <w:rPr>
                <w:sz w:val="17"/>
              </w:rPr>
              <w:t>4,989</w:t>
            </w:r>
          </w:p>
        </w:tc>
        <w:tc>
          <w:tcPr>
            <w:tcW w:type="dxa" w:w="1440"/>
            <w:shd w:fill="FAFAFA" w:val="clear"/>
          </w:tcPr>
          <w:p>
            <w:r>
              <w:rPr>
                <w:b/>
                <w:sz w:val="17"/>
              </w:rPr>
              <w:t>5,433</w:t>
            </w:r>
          </w:p>
        </w:tc>
        <w:tc>
          <w:tcPr>
            <w:tcW w:type="dxa" w:w="1440"/>
            <w:shd w:fill="FAFAFA" w:val="clear"/>
          </w:tcPr>
          <w:p>
            <w:r>
              <w:rPr>
                <w:sz w:val="17"/>
              </w:rPr>
              <w:t>5,878</w:t>
            </w:r>
          </w:p>
        </w:tc>
        <w:tc>
          <w:tcPr>
            <w:tcW w:type="dxa" w:w="1440"/>
            <w:shd w:fill="FAFAFA" w:val="clear"/>
          </w:tcPr>
          <w:p>
            <w:r>
              <w:rPr>
                <w:b/>
                <w:color w:val="C00000"/>
                <w:sz w:val="17"/>
              </w:rPr>
              <w:t>-1.2%</w:t>
            </w:r>
          </w:p>
        </w:tc>
      </w:tr>
      <w:tr>
        <w:tc>
          <w:tcPr>
            <w:tcW w:type="dxa" w:w="1440"/>
            <w:shd w:fill="FAFAFA" w:val="clear"/>
          </w:tcPr>
          <w:p>
            <w:r>
              <w:rPr>
                <w:sz w:val="17"/>
              </w:rPr>
              <w:t>J+7  ⭐</w:t>
            </w:r>
          </w:p>
        </w:tc>
        <w:tc>
          <w:tcPr>
            <w:tcW w:type="dxa" w:w="1440"/>
            <w:shd w:fill="FAFAFA" w:val="clear"/>
          </w:tcPr>
          <w:p>
            <w:r>
              <w:rPr>
                <w:sz w:val="17"/>
              </w:rPr>
              <w:t>2026-09-08</w:t>
            </w:r>
          </w:p>
        </w:tc>
        <w:tc>
          <w:tcPr>
            <w:tcW w:type="dxa" w:w="1440"/>
            <w:shd w:fill="FAFAFA" w:val="clear"/>
          </w:tcPr>
          <w:p>
            <w:r>
              <w:rPr>
                <w:sz w:val="17"/>
              </w:rPr>
              <w:t>4,940</w:t>
            </w:r>
          </w:p>
        </w:tc>
        <w:tc>
          <w:tcPr>
            <w:tcW w:type="dxa" w:w="1440"/>
            <w:shd w:fill="FAFAFA" w:val="clear"/>
          </w:tcPr>
          <w:p>
            <w:r>
              <w:rPr>
                <w:b/>
                <w:sz w:val="17"/>
              </w:rPr>
              <w:t>5,419</w:t>
            </w:r>
          </w:p>
        </w:tc>
        <w:tc>
          <w:tcPr>
            <w:tcW w:type="dxa" w:w="1440"/>
            <w:shd w:fill="FAFAFA" w:val="clear"/>
          </w:tcPr>
          <w:p>
            <w:r>
              <w:rPr>
                <w:sz w:val="17"/>
              </w:rPr>
              <w:t>5,898</w:t>
            </w:r>
          </w:p>
        </w:tc>
        <w:tc>
          <w:tcPr>
            <w:tcW w:type="dxa" w:w="1440"/>
            <w:shd w:fill="FAFAFA" w:val="clear"/>
          </w:tcPr>
          <w:p>
            <w:r>
              <w:rPr>
                <w:b/>
                <w:color w:val="C00000"/>
                <w:sz w:val="17"/>
              </w:rPr>
              <w:t>-1.5%</w:t>
            </w:r>
          </w:p>
        </w:tc>
      </w:tr>
      <w:tr>
        <w:tc>
          <w:tcPr>
            <w:tcW w:type="dxa" w:w="1440"/>
            <w:shd w:fill="FAFAFA" w:val="clear"/>
          </w:tcPr>
          <w:p>
            <w:r>
              <w:rPr>
                <w:sz w:val="17"/>
              </w:rPr>
              <w:t>J+8  ⭐</w:t>
            </w:r>
          </w:p>
        </w:tc>
        <w:tc>
          <w:tcPr>
            <w:tcW w:type="dxa" w:w="1440"/>
            <w:shd w:fill="FAFAFA" w:val="clear"/>
          </w:tcPr>
          <w:p>
            <w:r>
              <w:rPr>
                <w:sz w:val="17"/>
              </w:rPr>
              <w:t>2026-09-09</w:t>
            </w:r>
          </w:p>
        </w:tc>
        <w:tc>
          <w:tcPr>
            <w:tcW w:type="dxa" w:w="1440"/>
            <w:shd w:fill="FAFAFA" w:val="clear"/>
          </w:tcPr>
          <w:p>
            <w:r>
              <w:rPr>
                <w:sz w:val="17"/>
              </w:rPr>
              <w:t>4,894</w:t>
            </w:r>
          </w:p>
        </w:tc>
        <w:tc>
          <w:tcPr>
            <w:tcW w:type="dxa" w:w="1440"/>
            <w:shd w:fill="FAFAFA" w:val="clear"/>
          </w:tcPr>
          <w:p>
            <w:r>
              <w:rPr>
                <w:b/>
                <w:sz w:val="17"/>
              </w:rPr>
              <w:t>5,405</w:t>
            </w:r>
          </w:p>
        </w:tc>
        <w:tc>
          <w:tcPr>
            <w:tcW w:type="dxa" w:w="1440"/>
            <w:shd w:fill="FAFAFA" w:val="clear"/>
          </w:tcPr>
          <w:p>
            <w:r>
              <w:rPr>
                <w:sz w:val="17"/>
              </w:rPr>
              <w:t>5,915</w:t>
            </w:r>
          </w:p>
        </w:tc>
        <w:tc>
          <w:tcPr>
            <w:tcW w:type="dxa" w:w="1440"/>
            <w:shd w:fill="FAFAFA" w:val="clear"/>
          </w:tcPr>
          <w:p>
            <w:r>
              <w:rPr>
                <w:b/>
                <w:color w:val="C00000"/>
                <w:sz w:val="17"/>
              </w:rPr>
              <w:t>-1.7%</w:t>
            </w:r>
          </w:p>
        </w:tc>
      </w:tr>
      <w:tr>
        <w:tc>
          <w:tcPr>
            <w:tcW w:type="dxa" w:w="1440"/>
            <w:shd w:fill="FAFAFA" w:val="clear"/>
          </w:tcPr>
          <w:p>
            <w:r>
              <w:rPr>
                <w:sz w:val="17"/>
              </w:rPr>
              <w:t>J+9  ⭐</w:t>
            </w:r>
          </w:p>
        </w:tc>
        <w:tc>
          <w:tcPr>
            <w:tcW w:type="dxa" w:w="1440"/>
            <w:shd w:fill="FAFAFA" w:val="clear"/>
          </w:tcPr>
          <w:p>
            <w:r>
              <w:rPr>
                <w:sz w:val="17"/>
              </w:rPr>
              <w:t>2026-09-10</w:t>
            </w:r>
          </w:p>
        </w:tc>
        <w:tc>
          <w:tcPr>
            <w:tcW w:type="dxa" w:w="1440"/>
            <w:shd w:fill="FAFAFA" w:val="clear"/>
          </w:tcPr>
          <w:p>
            <w:r>
              <w:rPr>
                <w:sz w:val="17"/>
              </w:rPr>
              <w:t>4,851</w:t>
            </w:r>
          </w:p>
        </w:tc>
        <w:tc>
          <w:tcPr>
            <w:tcW w:type="dxa" w:w="1440"/>
            <w:shd w:fill="FAFAFA" w:val="clear"/>
          </w:tcPr>
          <w:p>
            <w:r>
              <w:rPr>
                <w:b/>
                <w:sz w:val="17"/>
              </w:rPr>
              <w:t>5,391</w:t>
            </w:r>
          </w:p>
        </w:tc>
        <w:tc>
          <w:tcPr>
            <w:tcW w:type="dxa" w:w="1440"/>
            <w:shd w:fill="FAFAFA" w:val="clear"/>
          </w:tcPr>
          <w:p>
            <w:r>
              <w:rPr>
                <w:sz w:val="17"/>
              </w:rPr>
              <w:t>5,931</w:t>
            </w:r>
          </w:p>
        </w:tc>
        <w:tc>
          <w:tcPr>
            <w:tcW w:type="dxa" w:w="1440"/>
            <w:shd w:fill="FAFAFA" w:val="clear"/>
          </w:tcPr>
          <w:p>
            <w:r>
              <w:rPr>
                <w:b/>
                <w:color w:val="C00000"/>
                <w:sz w:val="17"/>
              </w:rPr>
              <w:t>-2.0%</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4,809</w:t>
            </w:r>
          </w:p>
        </w:tc>
        <w:tc>
          <w:tcPr>
            <w:tcW w:type="dxa" w:w="1440"/>
            <w:shd w:fill="FFDCE0" w:val="clear"/>
          </w:tcPr>
          <w:p>
            <w:r>
              <w:rPr>
                <w:b/>
                <w:sz w:val="17"/>
              </w:rPr>
              <w:t>5,377</w:t>
            </w:r>
          </w:p>
        </w:tc>
        <w:tc>
          <w:tcPr>
            <w:tcW w:type="dxa" w:w="1440"/>
            <w:shd w:fill="FFDCE0" w:val="clear"/>
          </w:tcPr>
          <w:p>
            <w:r>
              <w:rPr>
                <w:sz w:val="17"/>
              </w:rPr>
              <w:t>5,945</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**Date de l'analyse : 30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BOAN s'établit à 114,40 milliards FCFA, un niveau significatif qui la positionne parmi les valeurs moyennes de la BRVM. Avec un BPA de seulement 20 FCFA, le titre affiche un PER de 279,7x, extrêmement élevé par rapport à la moyenne du marché BRVM (8-12x), indiquant que les investisseurs paient un prix très substantiel pour des bénéfices actuels particulièrement faibles. Le P/B de 3,17x révèle que le marché valorise la société à plus de trois fois sa valeur comptable, traduisant une prime de croissance importante malgré des fondamentaux dégradés. Enfin, l'EV/EBITDA de 41,1x, très supérieur au seuil exigeant de 15x, confirme une valorisation qui anticipe un redressement majeur de la capacité opérationnelle de la banque, ce qui représente un pari risqué sur l'exercice 2026.</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BOAN a enregistré une progression spectaculaire de +106,77%, passant d'un plus bas de 2 660 FCFA à un plus haut de 5 645 FCFA, avant de clôturer à 5 500 FCFA, soit une légère baisse de -2,57% lors de la dernière séance. La moyenne du cours sur la période (4 149 FCFA) est nettement supérieure à la médiane (3 760 FCFA), révélant une distribution asymétrique positive avec une concentration des valeurs basses et une montée rapide récente. L'écart-type de 848 FCFA (CV=20,4%) témoigne d'une dispersion modérée, tandis que le kurtosis de -1,237 (distribution platykurtique) indique une faible concentration des valeurs autour de la moyenne, limitant le risque de pics extrêmes. Le skewness de 0,191 confirme une symétrie relative de la distribution. La volatilité annualisée de 40,1% classe le titre dans la catégorie des valeurs à risque élevé, bien au-delà du seuil de 30%, ce qui exige une grande prudence de la part des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5 500 FCFA se positionne nettement au-dessus de la MM20 (5 230 FCFA) et de la MM50 (4 858,7 FCFA), confirmant une dynamique haussière soutenue. L'écart positif entre le prix et les moyennes mobiles indique une tendance robuste, justifiant la décision d'achat, bien que l'éloignement croissant puisse signaler une correction technique à court terme.</w:t>
      </w:r>
    </w:p>
    <w:p>
      <w:pPr>
        <w:spacing w:after="120" w:line="276" w:lineRule="auto"/>
      </w:pPr>
      <w:r>
        <w:t>**Bandes de Bollinger :** Le prix évolue à proximité de la borne supérieure (5 523,7 FCFA), suggérant une pression acheteuse intense. La largeur des bandes (écart de 587 FCFA entre les bornes) reflète une volatilité élevée. La décision neutre s'explique par le fait que le titre n'a pas encore franchi la borne supérieure, mais sa proximité immédiate avec celle-ci appelle à la vigilance quant à un possible retour vers la moyenne.</w:t>
      </w:r>
    </w:p>
    <w:p>
      <w:pPr>
        <w:spacing w:after="120" w:line="276" w:lineRule="auto"/>
      </w:pPr>
      <w:r>
        <w:t>**MACD :** La valeur du MACD (148,1) est supérieure à sa ligne de signal (135,8), confirmant un momentum haussier positif. L'écart positif entre les deux lignes indique une accélération de la tendance, justifiant la décision d'achat. Toutefois, la marge relativement étroite entre les deux indicateurs suggère une possible consolidation à venir.</w:t>
      </w:r>
    </w:p>
    <w:p>
      <w:pPr>
        <w:spacing w:after="120" w:line="276" w:lineRule="auto"/>
      </w:pPr>
      <w:r>
        <w:t>**RSI :** À 68,99, le RSI se situe en zone neutre, proche du seuil de surachat (70). Cette valeur indique une pression acheteuse encore présente mais potentiellement proche de son point de saturation. La décision neutre reflète l'équilibre précaire entre la force de la tendance et le risque imminent de correction technique.</w:t>
      </w:r>
    </w:p>
    <w:p>
      <w:pPr>
        <w:spacing w:after="120" w:line="276" w:lineRule="auto"/>
      </w:pPr>
      <w:r>
        <w:t>**Stochastique :** Le %K (73,4) est inférieur au %D (91,1), signalant un croisement baissier potentiel à court terme. Cette configuration, malgré la décision neutre, suggère un essoufflement du momentum haussier et pourrait précéder une phase de consolidation ou de correction.</w:t>
      </w:r>
    </w:p>
    <w:p>
      <w:pPr>
        <w:spacing w:after="120" w:line="276" w:lineRule="auto"/>
      </w:pPr>
      <w:r>
        <w:t>**Conclusion technique :** La convergence des indicateurs (MM, MACD) confirme une tendance haussière solide, mais les signaux de surachat imminent (RSI proche de 70, stochastique en croisement baissier, proximité de la borne supérieure de Bollinger) suggèrent une probabilité accrue de correction à court terme. La prudence est recommandée malgré la dynamique positive globale.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révèlent une situation financière préoccupante pour BOAN. Le Produit Net Bancaire s'établit à 21,125 milliards FCFA, en légère baisse de 1,2% par rapport à 2024 (21,380 milliards FCFA), tandis que le résultat net s'effondre de 91,8% à seulement 409 millions FCFA (contre 5 002 millions FCFA en 2024). Les ratios de rentabilité sont particulièrement dégradés : le ROE chute à 1,13% (contre 11,39% en 2024) et le ROA à 0,14%, bien en dessous des seuils de performance. Le coefficient d'exploitation de 74,4% dépasse largement le seuil d'efficacité de 60%, indiquant une gestion des coûts insuffisante. Le coût du risque de 67,3% reflète un portefeuille de crédits fortement dégradé, avec un taux de créances en souffrance de 24% (vs 12% en moyenne UEMOA). La structure financière montre une dépendance élevée (87,6%) et une autonomie financière faible (12,4%). Les rapports trimestriels 2025 confirment cette tendance : le T1 2025 enregistre une chute du PNB de 16,3% et du résultat net de 50,2%, tandis que le S1 2025 montre une baisse de 25,2% du résultat net. Cependant, le rapport T1 2026 (daté de mars 2026) révèle une nette amélioration : le résultat net progresse de 28,9% à 1 467,3 millions FCFA, le PNB de 7,9% à 5 170 millions FCFA, et le coefficient d'exploitation s'améliore à 56,2%. Sur cette base, on estime que l'exercice 2026 pourrait voir un résultat net compris entre 5 et 6 milliards FCFA, soit une multiplication par 12 à 15 par rapport à 2025, si la tendance du T1 se maintient. Les rapports du 2ème semestre 2025 (datés de décembre 2025) confirment la stratégie de réduction sélective des risques (-20,9% des crédits) et la croissance des dépôts (+4% à 189,9 milliards FCFA). La banque maintient des ratios prudentiels conformes (solvabilité à 14,06%, liquidité à 123,95%). Le budget 2026 prévoit un PNB de 22,327 milliards FCFA (+6,4%) et un résultat avant impôts de 7,280 milliards FCFA (+515%), soutenu par la levée des sanctions et la reprise économique du Niger.</w:t>
      </w:r>
    </w:p>
    <w:p>
      <w:pPr>
        <w:spacing w:after="120" w:line="276" w:lineRule="auto"/>
      </w:pPr>
      <w:r>
        <w:t>---</w:t>
      </w:r>
    </w:p>
    <w:p>
      <w:pPr>
        <w:spacing w:after="120" w:line="276" w:lineRule="auto"/>
      </w:pPr>
      <w:r>
        <w:t>### PARTIE 4 : CONCLUSION D'INVESTISSEMENT</w:t>
      </w:r>
    </w:p>
    <w:p>
      <w:pPr>
        <w:spacing w:after="120" w:line="276" w:lineRule="auto"/>
      </w:pPr>
      <w:r>
        <w:t>La valorisation de BOAN (PER de 279,7x, P/B de 3,17x, EV/EBITDA de 41,1x) apparaît extrêmement exigeante, intégrant un scénario de redressement spectaculaire qui ne s'est pas encore matérialisé dans les bénéfices. Le comportement du cours (+106,77% sur 100 jours) avec une volatilité annualisée de 40,1% reflète un enthousiasme spéculatif marqué, soutenu par des statistiques descriptives montrant une distribution relativement symétrique mais une dispersion modérée. Les signaux techniques convergent vers une tendance haussière solide (MM, MACD) mais avec des indicateurs de surachat imminent (RSI à 68,99, stochastique en croisement baissier, proximité de la borne supérieure de Bollinger), suggérant un risque de correction à court terme. Les fondamentaux, bien que très dégradés en 2025 (ROE à 1,13%, résultat net en chute de 91,8%), montrent des signes encourageants de redressement au T1 2026 (+28,9% du résultat net, coefficient d'exploitation amélioré à 56,2%). Les prédictions IA (5 501 à 5 448 FCFA sur 10 jours) indiquent une stabilisation avec une légère tendance baissière, contredisant partiellement la dynamique haussière récente. La convergence entre l'amélioration fondamentale naissante et la tendance technique positive justifie une recommandation **CONSERVER**, avec un niveau de confiance **Moyen** et un risque global **Élevé**. L'horizon d'investissement optimal est le **moyen terme (3-12 mois)**, en attendant la confirmation du redressement sur l'exercice 2026 et une réduction du risque de crédit.</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298.80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9,354 titres</w:t>
            </w:r>
          </w:p>
        </w:tc>
        <w:tc>
          <w:tcPr>
            <w:tcW w:type="dxa" w:w="2268"/>
            <w:shd w:fill="FFF2CC" w:val="clear"/>
          </w:tcPr>
          <w:p>
            <w:r>
              <w:rPr>
                <w:b/>
                <w:color w:val="503200"/>
                <w:sz w:val="16"/>
              </w:rPr>
              <w:t xml:space="preserve">Cours actuel : </w:t>
            </w:r>
            <w:r>
              <w:rPr>
                <w:color w:val="000000"/>
                <w:sz w:val="17"/>
              </w:rPr>
              <w:t>8,300 FCFA</w:t>
            </w:r>
          </w:p>
          <w:p>
            <w:r>
              <w:rPr>
                <w:b/>
                <w:color w:val="503200"/>
                <w:sz w:val="16"/>
              </w:rPr>
              <w:t xml:space="preserve">Var. 100 jours : </w:t>
            </w:r>
            <w:r>
              <w:rPr>
                <w:b/>
                <w:color w:val="007800"/>
                <w:sz w:val="17"/>
              </w:rPr>
              <w:t>+21.17%</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6,685 FCFA</w:t>
            </w:r>
          </w:p>
          <w:p>
            <w:r>
              <w:rPr>
                <w:b/>
                <w:color w:val="503200"/>
                <w:sz w:val="16"/>
              </w:rPr>
              <w:t xml:space="preserve">Volatilité ann. : </w:t>
            </w:r>
            <w:r>
              <w:rPr>
                <w:color w:val="000000"/>
                <w:sz w:val="17"/>
              </w:rPr>
              <w:t>24.6%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5.55% (Moyenne) — μ=7,422 FCFA, σ=412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β=0.3385 (Défensif) — Cov=0.000012, Var(idx)=0.000036, ρ=0.131,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9,354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σ_j=1.55%/j (Stable) — Vol. annualisée≈24.6%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7,861</w:t>
            </w:r>
          </w:p>
        </w:tc>
        <w:tc>
          <w:tcPr>
            <w:tcW w:type="dxa" w:w="1440"/>
            <w:shd w:fill="FFDCE0" w:val="clear"/>
          </w:tcPr>
          <w:p>
            <w:r>
              <w:rPr>
                <w:b/>
                <w:sz w:val="17"/>
              </w:rPr>
              <w:t>8,106</w:t>
            </w:r>
          </w:p>
        </w:tc>
        <w:tc>
          <w:tcPr>
            <w:tcW w:type="dxa" w:w="1440"/>
            <w:shd w:fill="FFDCE0" w:val="clear"/>
          </w:tcPr>
          <w:p>
            <w:r>
              <w:rPr>
                <w:sz w:val="17"/>
              </w:rPr>
              <w:t>8,351</w:t>
            </w:r>
          </w:p>
        </w:tc>
        <w:tc>
          <w:tcPr>
            <w:tcW w:type="dxa" w:w="1440"/>
            <w:shd w:fill="FFDCE0" w:val="clear"/>
          </w:tcPr>
          <w:p>
            <w:r>
              <w:rPr>
                <w:b/>
                <w:color w:val="C00000"/>
                <w:sz w:val="17"/>
              </w:rPr>
              <w:t>-2.3%</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7,613</w:t>
            </w:r>
          </w:p>
        </w:tc>
        <w:tc>
          <w:tcPr>
            <w:tcW w:type="dxa" w:w="1440"/>
            <w:shd w:fill="FFDCE0" w:val="clear"/>
          </w:tcPr>
          <w:p>
            <w:r>
              <w:rPr>
                <w:b/>
                <w:sz w:val="17"/>
              </w:rPr>
              <w:t>7,952</w:t>
            </w:r>
          </w:p>
        </w:tc>
        <w:tc>
          <w:tcPr>
            <w:tcW w:type="dxa" w:w="1440"/>
            <w:shd w:fill="FFDCE0" w:val="clear"/>
          </w:tcPr>
          <w:p>
            <w:r>
              <w:rPr>
                <w:sz w:val="17"/>
              </w:rPr>
              <w:t>8,291</w:t>
            </w:r>
          </w:p>
        </w:tc>
        <w:tc>
          <w:tcPr>
            <w:tcW w:type="dxa" w:w="1440"/>
            <w:shd w:fill="FFDCE0" w:val="clear"/>
          </w:tcPr>
          <w:p>
            <w:r>
              <w:rPr>
                <w:b/>
                <w:color w:val="C00000"/>
                <w:sz w:val="17"/>
              </w:rPr>
              <w:t>-4.2%</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7,402</w:t>
            </w:r>
          </w:p>
        </w:tc>
        <w:tc>
          <w:tcPr>
            <w:tcW w:type="dxa" w:w="1440"/>
            <w:shd w:fill="FFDCE0" w:val="clear"/>
          </w:tcPr>
          <w:p>
            <w:r>
              <w:rPr>
                <w:b/>
                <w:sz w:val="17"/>
              </w:rPr>
              <w:t>7,810</w:t>
            </w:r>
          </w:p>
        </w:tc>
        <w:tc>
          <w:tcPr>
            <w:tcW w:type="dxa" w:w="1440"/>
            <w:shd w:fill="FFDCE0" w:val="clear"/>
          </w:tcPr>
          <w:p>
            <w:r>
              <w:rPr>
                <w:sz w:val="17"/>
              </w:rPr>
              <w:t>8,219</w:t>
            </w:r>
          </w:p>
        </w:tc>
        <w:tc>
          <w:tcPr>
            <w:tcW w:type="dxa" w:w="1440"/>
            <w:shd w:fill="FFDCE0" w:val="clear"/>
          </w:tcPr>
          <w:p>
            <w:r>
              <w:rPr>
                <w:b/>
                <w:color w:val="C00000"/>
                <w:sz w:val="17"/>
              </w:rPr>
              <w:t>-5.9%</w:t>
            </w:r>
          </w:p>
        </w:tc>
      </w:tr>
      <w:tr>
        <w:tc>
          <w:tcPr>
            <w:tcW w:type="dxa" w:w="1440"/>
            <w:shd w:fill="FFDCE0" w:val="clear"/>
          </w:tcPr>
          <w:p>
            <w:r>
              <w:rPr>
                <w:sz w:val="17"/>
              </w:rPr>
              <w:t>J+4  Moyenne</w:t>
            </w:r>
          </w:p>
        </w:tc>
        <w:tc>
          <w:tcPr>
            <w:tcW w:type="dxa" w:w="1440"/>
            <w:shd w:fill="FFDCE0" w:val="clear"/>
          </w:tcPr>
          <w:p>
            <w:r>
              <w:rPr>
                <w:sz w:val="17"/>
              </w:rPr>
              <w:t>2026-09-03</w:t>
            </w:r>
          </w:p>
        </w:tc>
        <w:tc>
          <w:tcPr>
            <w:tcW w:type="dxa" w:w="1440"/>
            <w:shd w:fill="FFDCE0" w:val="clear"/>
          </w:tcPr>
          <w:p>
            <w:r>
              <w:rPr>
                <w:sz w:val="17"/>
              </w:rPr>
              <w:t>7,217</w:t>
            </w:r>
          </w:p>
        </w:tc>
        <w:tc>
          <w:tcPr>
            <w:tcW w:type="dxa" w:w="1440"/>
            <w:shd w:fill="FFDCE0" w:val="clear"/>
          </w:tcPr>
          <w:p>
            <w:r>
              <w:rPr>
                <w:b/>
                <w:sz w:val="17"/>
              </w:rPr>
              <w:t>7,680</w:t>
            </w:r>
          </w:p>
        </w:tc>
        <w:tc>
          <w:tcPr>
            <w:tcW w:type="dxa" w:w="1440"/>
            <w:shd w:fill="FFDCE0" w:val="clear"/>
          </w:tcPr>
          <w:p>
            <w:r>
              <w:rPr>
                <w:sz w:val="17"/>
              </w:rPr>
              <w:t>8,144</w:t>
            </w:r>
          </w:p>
        </w:tc>
        <w:tc>
          <w:tcPr>
            <w:tcW w:type="dxa" w:w="1440"/>
            <w:shd w:fill="FFDCE0" w:val="clear"/>
          </w:tcPr>
          <w:p>
            <w:r>
              <w:rPr>
                <w:b/>
                <w:color w:val="C00000"/>
                <w:sz w:val="17"/>
              </w:rPr>
              <w:t>-7.5%</w:t>
            </w:r>
          </w:p>
        </w:tc>
      </w:tr>
      <w:tr>
        <w:tc>
          <w:tcPr>
            <w:tcW w:type="dxa" w:w="1440"/>
            <w:shd w:fill="FFDCE0" w:val="clear"/>
          </w:tcPr>
          <w:p>
            <w:r>
              <w:rPr>
                <w:sz w:val="17"/>
              </w:rPr>
              <w:t>J+5  Moyenne</w:t>
            </w:r>
          </w:p>
        </w:tc>
        <w:tc>
          <w:tcPr>
            <w:tcW w:type="dxa" w:w="1440"/>
            <w:shd w:fill="FFDCE0" w:val="clear"/>
          </w:tcPr>
          <w:p>
            <w:r>
              <w:rPr>
                <w:sz w:val="17"/>
              </w:rPr>
              <w:t>2026-09-04</w:t>
            </w:r>
          </w:p>
        </w:tc>
        <w:tc>
          <w:tcPr>
            <w:tcW w:type="dxa" w:w="1440"/>
            <w:shd w:fill="FFDCE0" w:val="clear"/>
          </w:tcPr>
          <w:p>
            <w:r>
              <w:rPr>
                <w:sz w:val="17"/>
              </w:rPr>
              <w:t>7,049</w:t>
            </w:r>
          </w:p>
        </w:tc>
        <w:tc>
          <w:tcPr>
            <w:tcW w:type="dxa" w:w="1440"/>
            <w:shd w:fill="FFDCE0" w:val="clear"/>
          </w:tcPr>
          <w:p>
            <w:r>
              <w:rPr>
                <w:b/>
                <w:sz w:val="17"/>
              </w:rPr>
              <w:t>7,559</w:t>
            </w:r>
          </w:p>
        </w:tc>
        <w:tc>
          <w:tcPr>
            <w:tcW w:type="dxa" w:w="1440"/>
            <w:shd w:fill="FFDCE0" w:val="clear"/>
          </w:tcPr>
          <w:p>
            <w:r>
              <w:rPr>
                <w:sz w:val="17"/>
              </w:rPr>
              <w:t>8,069</w:t>
            </w:r>
          </w:p>
        </w:tc>
        <w:tc>
          <w:tcPr>
            <w:tcW w:type="dxa" w:w="1440"/>
            <w:shd w:fill="FFDCE0" w:val="clear"/>
          </w:tcPr>
          <w:p>
            <w:r>
              <w:rPr>
                <w:b/>
                <w:color w:val="C00000"/>
                <w:sz w:val="17"/>
              </w:rPr>
              <w:t>-8.9%</w:t>
            </w:r>
          </w:p>
        </w:tc>
      </w:tr>
      <w:tr>
        <w:tc>
          <w:tcPr>
            <w:tcW w:type="dxa" w:w="1440"/>
            <w:shd w:fill="FFDCE0" w:val="clear"/>
          </w:tcPr>
          <w:p>
            <w:r>
              <w:rPr>
                <w:sz w:val="17"/>
              </w:rPr>
              <w:t>J+6  Moyenne</w:t>
            </w:r>
          </w:p>
        </w:tc>
        <w:tc>
          <w:tcPr>
            <w:tcW w:type="dxa" w:w="1440"/>
            <w:shd w:fill="FFDCE0" w:val="clear"/>
          </w:tcPr>
          <w:p>
            <w:r>
              <w:rPr>
                <w:sz w:val="17"/>
              </w:rPr>
              <w:t>2026-09-07</w:t>
            </w:r>
          </w:p>
        </w:tc>
        <w:tc>
          <w:tcPr>
            <w:tcW w:type="dxa" w:w="1440"/>
            <w:shd w:fill="FFDCE0" w:val="clear"/>
          </w:tcPr>
          <w:p>
            <w:r>
              <w:rPr>
                <w:sz w:val="17"/>
              </w:rPr>
              <w:t>6,894</w:t>
            </w:r>
          </w:p>
        </w:tc>
        <w:tc>
          <w:tcPr>
            <w:tcW w:type="dxa" w:w="1440"/>
            <w:shd w:fill="FFDCE0" w:val="clear"/>
          </w:tcPr>
          <w:p>
            <w:r>
              <w:rPr>
                <w:b/>
                <w:sz w:val="17"/>
              </w:rPr>
              <w:t>7,444</w:t>
            </w:r>
          </w:p>
        </w:tc>
        <w:tc>
          <w:tcPr>
            <w:tcW w:type="dxa" w:w="1440"/>
            <w:shd w:fill="FFDCE0" w:val="clear"/>
          </w:tcPr>
          <w:p>
            <w:r>
              <w:rPr>
                <w:sz w:val="17"/>
              </w:rPr>
              <w:t>7,994</w:t>
            </w:r>
          </w:p>
        </w:tc>
        <w:tc>
          <w:tcPr>
            <w:tcW w:type="dxa" w:w="1440"/>
            <w:shd w:fill="FFDCE0" w:val="clear"/>
          </w:tcPr>
          <w:p>
            <w:r>
              <w:rPr>
                <w:b/>
                <w:color w:val="C00000"/>
                <w:sz w:val="17"/>
              </w:rPr>
              <w:t>-10.3%</w:t>
            </w:r>
          </w:p>
        </w:tc>
      </w:tr>
      <w:tr>
        <w:tc>
          <w:tcPr>
            <w:tcW w:type="dxa" w:w="1440"/>
            <w:shd w:fill="FFDCE0" w:val="clear"/>
          </w:tcPr>
          <w:p>
            <w:r>
              <w:rPr>
                <w:sz w:val="17"/>
              </w:rPr>
              <w:t>J+7  Moyenne</w:t>
            </w:r>
          </w:p>
        </w:tc>
        <w:tc>
          <w:tcPr>
            <w:tcW w:type="dxa" w:w="1440"/>
            <w:shd w:fill="FFDCE0" w:val="clear"/>
          </w:tcPr>
          <w:p>
            <w:r>
              <w:rPr>
                <w:sz w:val="17"/>
              </w:rPr>
              <w:t>2026-09-08</w:t>
            </w:r>
          </w:p>
        </w:tc>
        <w:tc>
          <w:tcPr>
            <w:tcW w:type="dxa" w:w="1440"/>
            <w:shd w:fill="FFDCE0" w:val="clear"/>
          </w:tcPr>
          <w:p>
            <w:r>
              <w:rPr>
                <w:sz w:val="17"/>
              </w:rPr>
              <w:t>6,751</w:t>
            </w:r>
          </w:p>
        </w:tc>
        <w:tc>
          <w:tcPr>
            <w:tcW w:type="dxa" w:w="1440"/>
            <w:shd w:fill="FFDCE0" w:val="clear"/>
          </w:tcPr>
          <w:p>
            <w:r>
              <w:rPr>
                <w:b/>
                <w:sz w:val="17"/>
              </w:rPr>
              <w:t>7,336</w:t>
            </w:r>
          </w:p>
        </w:tc>
        <w:tc>
          <w:tcPr>
            <w:tcW w:type="dxa" w:w="1440"/>
            <w:shd w:fill="FFDCE0" w:val="clear"/>
          </w:tcPr>
          <w:p>
            <w:r>
              <w:rPr>
                <w:sz w:val="17"/>
              </w:rPr>
              <w:t>7,922</w:t>
            </w:r>
          </w:p>
        </w:tc>
        <w:tc>
          <w:tcPr>
            <w:tcW w:type="dxa" w:w="1440"/>
            <w:shd w:fill="FFDCE0" w:val="clear"/>
          </w:tcPr>
          <w:p>
            <w:r>
              <w:rPr>
                <w:b/>
                <w:color w:val="C00000"/>
                <w:sz w:val="17"/>
              </w:rPr>
              <w:t>-11.6%</w:t>
            </w:r>
          </w:p>
        </w:tc>
      </w:tr>
      <w:tr>
        <w:tc>
          <w:tcPr>
            <w:tcW w:type="dxa" w:w="1440"/>
            <w:shd w:fill="FFDCE0" w:val="clear"/>
          </w:tcPr>
          <w:p>
            <w:r>
              <w:rPr>
                <w:sz w:val="17"/>
              </w:rPr>
              <w:t>J+8  Moyenne</w:t>
            </w:r>
          </w:p>
        </w:tc>
        <w:tc>
          <w:tcPr>
            <w:tcW w:type="dxa" w:w="1440"/>
            <w:shd w:fill="FFDCE0" w:val="clear"/>
          </w:tcPr>
          <w:p>
            <w:r>
              <w:rPr>
                <w:sz w:val="17"/>
              </w:rPr>
              <w:t>2026-09-09</w:t>
            </w:r>
          </w:p>
        </w:tc>
        <w:tc>
          <w:tcPr>
            <w:tcW w:type="dxa" w:w="1440"/>
            <w:shd w:fill="FFDCE0" w:val="clear"/>
          </w:tcPr>
          <w:p>
            <w:r>
              <w:rPr>
                <w:sz w:val="17"/>
              </w:rPr>
              <w:t>6,617</w:t>
            </w:r>
          </w:p>
        </w:tc>
        <w:tc>
          <w:tcPr>
            <w:tcW w:type="dxa" w:w="1440"/>
            <w:shd w:fill="FFDCE0" w:val="clear"/>
          </w:tcPr>
          <w:p>
            <w:r>
              <w:rPr>
                <w:b/>
                <w:sz w:val="17"/>
              </w:rPr>
              <w:t>7,235</w:t>
            </w:r>
          </w:p>
        </w:tc>
        <w:tc>
          <w:tcPr>
            <w:tcW w:type="dxa" w:w="1440"/>
            <w:shd w:fill="FFDCE0" w:val="clear"/>
          </w:tcPr>
          <w:p>
            <w:r>
              <w:rPr>
                <w:sz w:val="17"/>
              </w:rPr>
              <w:t>7,852</w:t>
            </w:r>
          </w:p>
        </w:tc>
        <w:tc>
          <w:tcPr>
            <w:tcW w:type="dxa" w:w="1440"/>
            <w:shd w:fill="FFDCE0" w:val="clear"/>
          </w:tcPr>
          <w:p>
            <w:r>
              <w:rPr>
                <w:b/>
                <w:color w:val="C00000"/>
                <w:sz w:val="17"/>
              </w:rPr>
              <w:t>-12.8%</w:t>
            </w:r>
          </w:p>
        </w:tc>
      </w:tr>
      <w:tr>
        <w:tc>
          <w:tcPr>
            <w:tcW w:type="dxa" w:w="1440"/>
            <w:shd w:fill="FFDCE0" w:val="clear"/>
          </w:tcPr>
          <w:p>
            <w:r>
              <w:rPr>
                <w:sz w:val="17"/>
              </w:rPr>
              <w:t>J+9  Moyenne</w:t>
            </w:r>
          </w:p>
        </w:tc>
        <w:tc>
          <w:tcPr>
            <w:tcW w:type="dxa" w:w="1440"/>
            <w:shd w:fill="FFDCE0" w:val="clear"/>
          </w:tcPr>
          <w:p>
            <w:r>
              <w:rPr>
                <w:sz w:val="17"/>
              </w:rPr>
              <w:t>2026-09-10</w:t>
            </w:r>
          </w:p>
        </w:tc>
        <w:tc>
          <w:tcPr>
            <w:tcW w:type="dxa" w:w="1440"/>
            <w:shd w:fill="FFDCE0" w:val="clear"/>
          </w:tcPr>
          <w:p>
            <w:r>
              <w:rPr>
                <w:sz w:val="17"/>
              </w:rPr>
              <w:t>6,493</w:t>
            </w:r>
          </w:p>
        </w:tc>
        <w:tc>
          <w:tcPr>
            <w:tcW w:type="dxa" w:w="1440"/>
            <w:shd w:fill="FFDCE0" w:val="clear"/>
          </w:tcPr>
          <w:p>
            <w:r>
              <w:rPr>
                <w:b/>
                <w:sz w:val="17"/>
              </w:rPr>
              <w:t>7,139</w:t>
            </w:r>
          </w:p>
        </w:tc>
        <w:tc>
          <w:tcPr>
            <w:tcW w:type="dxa" w:w="1440"/>
            <w:shd w:fill="FFDCE0" w:val="clear"/>
          </w:tcPr>
          <w:p>
            <w:r>
              <w:rPr>
                <w:sz w:val="17"/>
              </w:rPr>
              <w:t>7,785</w:t>
            </w:r>
          </w:p>
        </w:tc>
        <w:tc>
          <w:tcPr>
            <w:tcW w:type="dxa" w:w="1440"/>
            <w:shd w:fill="FFDCE0" w:val="clear"/>
          </w:tcPr>
          <w:p>
            <w:r>
              <w:rPr>
                <w:b/>
                <w:color w:val="C00000"/>
                <w:sz w:val="17"/>
              </w:rPr>
              <w:t>-14.0%</w:t>
            </w:r>
          </w:p>
        </w:tc>
      </w:tr>
      <w:tr>
        <w:tc>
          <w:tcPr>
            <w:tcW w:type="dxa" w:w="1440"/>
            <w:shd w:fill="FFDCE0" w:val="clear"/>
          </w:tcPr>
          <w:p>
            <w:r>
              <w:rPr>
                <w:sz w:val="17"/>
              </w:rPr>
              <w:t>J+10  Moyenne</w:t>
            </w:r>
          </w:p>
        </w:tc>
        <w:tc>
          <w:tcPr>
            <w:tcW w:type="dxa" w:w="1440"/>
            <w:shd w:fill="FFDCE0" w:val="clear"/>
          </w:tcPr>
          <w:p>
            <w:r>
              <w:rPr>
                <w:sz w:val="17"/>
              </w:rPr>
              <w:t>2026-09-11</w:t>
            </w:r>
          </w:p>
        </w:tc>
        <w:tc>
          <w:tcPr>
            <w:tcW w:type="dxa" w:w="1440"/>
            <w:shd w:fill="FFDCE0" w:val="clear"/>
          </w:tcPr>
          <w:p>
            <w:r>
              <w:rPr>
                <w:sz w:val="17"/>
              </w:rPr>
              <w:t>6,376</w:t>
            </w:r>
          </w:p>
        </w:tc>
        <w:tc>
          <w:tcPr>
            <w:tcW w:type="dxa" w:w="1440"/>
            <w:shd w:fill="FFDCE0" w:val="clear"/>
          </w:tcPr>
          <w:p>
            <w:r>
              <w:rPr>
                <w:b/>
                <w:sz w:val="17"/>
              </w:rPr>
              <w:t>7,048</w:t>
            </w:r>
          </w:p>
        </w:tc>
        <w:tc>
          <w:tcPr>
            <w:tcW w:type="dxa" w:w="1440"/>
            <w:shd w:fill="FFDCE0" w:val="clear"/>
          </w:tcPr>
          <w:p>
            <w:r>
              <w:rPr>
                <w:sz w:val="17"/>
              </w:rPr>
              <w:t>7,721</w:t>
            </w:r>
          </w:p>
        </w:tc>
        <w:tc>
          <w:tcPr>
            <w:tcW w:type="dxa" w:w="1440"/>
            <w:shd w:fill="FFDCE0" w:val="clear"/>
          </w:tcPr>
          <w:p>
            <w:r>
              <w:rPr>
                <w:b/>
                <w:color w:val="C00000"/>
                <w:sz w:val="17"/>
              </w:rPr>
              <w:t>-15.1%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Absolument. Voici un rapport d'analyse professionnel structuré pour l'action BOAS,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298,80 Mds FCFA, BOAS se positionne comme une valeur de premier plan sur la BRVM, reflétant la confiance des investisseurs dans le secteur bancaire sénégalais. Le BPA de 608 FCFA indique que chaque action a généré un bénéfice substantiel, justifiant un PER de 13,6x. Ce ratio, bien que supérieur à la moyenne historique de la BRVM (8-12x), reste modéré et traduit une valorisation raisonnable pour une banque en croissance, les investisseurs acceptant de payer une prime pour sa qualité. Le P/B de 3,10x confirme cette prime, le marché valorisant la société à plus de trois fois ses capitaux propres, signe d'une forte création de valeur attendue. Enfin, un EV/EBITDA de 8,9x, situé dans la fourchette haute mais raisonnable (5-10x), indique que la valeur totale de l'entreprise reste cohérente avec sa capacité opérationnelle à générer des bénéfices.</w:t>
      </w:r>
    </w:p>
    <w:p>
      <w:pPr>
        <w:spacing w:after="120" w:line="276" w:lineRule="auto"/>
      </w:pPr>
      <w:r>
        <w:t>### PARTIE 1 : ANALYSE DU COURS — STATISTIQUES ET ÉVOLUTION (100 derniers jours)</w:t>
      </w:r>
    </w:p>
    <w:p>
      <w:pPr>
        <w:spacing w:after="120" w:line="276" w:lineRule="auto"/>
      </w:pPr>
      <w:r>
        <w:t>Sur les 100 derniers jours, l'action BOAS a affiché une performance remarquable avec une progression totale de +21,17%, malgré un léger repli de -1,72% lors de la dernière séance, qui pourrait marquer une prise de bénéfices après une forte hausse. Le titre a évolué dans une fourchette de 6 685 FCFA (plus bas) à 8 500 FCFA (plus haut), démontrant une dynamique haussière soutenue. Les statistiques descriptives confirment cette tendance : la moyenne (7 422 FCFA) et la médiane (7 400 FCFA) sont très proches, indiquant une distribution symétrique des prix, corroborée par un skewness de 0,194. L'écart-type de 414 FCFA (CV=5,6%) révèle une dispersion modérée des cours autour de la moyenne. Le kurtosis proche de zéro (0,011) suggère une distribution mésokurtique, sans risque de variations extrêmes inhabituelles. Enfin, la volatilité annualisée de 24,6% classe le titre dans une catégorie à risque modéré, typique des valeurs de croissance sur ce marché.</w:t>
      </w:r>
    </w:p>
    <w:p>
      <w:pPr>
        <w:spacing w:after="120" w:line="276" w:lineRule="auto"/>
      </w:pPr>
      <w:r>
        <w:t>### PARTIE 2 : ANALYSE TECHNIQUE DÉTAILLÉE</w:t>
      </w:r>
    </w:p>
    <w:p>
      <w:pPr>
        <w:spacing w:after="120" w:line="276" w:lineRule="auto"/>
      </w:pPr>
      <w:r>
        <w:t>**Moyennes Mobiles :** Le cours actuel de 8 300 FCFA se situe nettement au-dessus de la MM20 (7 893,0 FCFA) et de la MM50 (7 629,6 FCFA), dans une configuration de "courtes" au-dessus des "longues". Cette configuration haussière confirme la tendance positive de fond et justifie la décision d'**Achat**, le titre évoluant dans une dynamique de moyen terme favorable.</w:t>
      </w:r>
    </w:p>
    <w:p>
      <w:pPr>
        <w:spacing w:after="120" w:line="276" w:lineRule="auto"/>
      </w:pPr>
      <w:r>
        <w:t>**Bandes de Bollinger :** Le prix évolue dans la partie supérieure de l'enveloppe, à 8 300 FCFA contre une borne supérieure à 8 487,9 FCFA et une borne inférieure à 7 298,1 FCFA. Cette position, proche de la borne haute, indique une pression acheteuse soutenue, mais suggère également que le titre est temporairement suracheté. La décision est **Neutre**, car le marché est dans une phase d'extension qui pourrait précéder une consolidation.</w:t>
      </w:r>
    </w:p>
    <w:p>
      <w:pPr>
        <w:spacing w:after="120" w:line="276" w:lineRule="auto"/>
      </w:pPr>
      <w:r>
        <w:t>**MACD :** La valeur du MACD (202,363) est supérieure à sa ligne de signal (140,553), avec un écart positif croissant. Cette configuration classique de croisement haussier confirme un momentum positif et une accélération de la tendance. La décision est **Achat**, signalant que la dynamique haussière est toujours en place.</w:t>
      </w:r>
    </w:p>
    <w:p>
      <w:pPr>
        <w:spacing w:after="120" w:line="276" w:lineRule="auto"/>
      </w:pPr>
      <w:r>
        <w:t>**RSI :** Avec une valeur de 76,577, le RSI est entré en zone de surachat (au-dessus de 70). Cela indique que le titre a fortement monté et que les conditions sont mûres pour une correction ou une consolidation à court terme. La décision est **Vente**, car ce niveau suggère un épuisement potentiel des acheteurs à très court terme.</w:t>
      </w:r>
    </w:p>
    <w:p>
      <w:pPr>
        <w:spacing w:after="120" w:line="276" w:lineRule="auto"/>
      </w:pPr>
      <w:r>
        <w:t>**Stochastique :** Le %K (75,309) est inférieur au %D (89,506), ce qui indique un croisement baissier potentiel en zone de surachat. Ce signal suggère un affaiblissement du momentum haussier à très court terme, justifiant une décision **Neutre**, en attendant une confirmation de la direction.</w:t>
      </w:r>
    </w:p>
    <w:p>
      <w:pPr>
        <w:spacing w:after="120" w:line="276" w:lineRule="auto"/>
      </w:pPr>
      <w:r>
        <w:t>**Conclusion technique :** La tendance de fond reste clairement haussière, portée par les moyennes mobiles et le MACD. Cependant, les oscillateurs (RSI et Stochastique) signalent une condition de surachat, suggérant un risque élevé de repli technique à court terme. Le scénario le plus probable est une consolidation latérale ou un léger repli avant la reprise de la tendance haussière principale.</w:t>
      </w:r>
    </w:p>
    <w:p>
      <w:pPr>
        <w:spacing w:after="120" w:line="276" w:lineRule="auto"/>
      </w:pPr>
      <w:r>
        <w:t>### PARTIE 3 : ANALYSE FONDAMENTALE (SECTION CRITIQUE)</w:t>
      </w:r>
    </w:p>
    <w:p>
      <w:pPr>
        <w:spacing w:after="120" w:line="276" w:lineRule="auto"/>
      </w:pPr>
      <w:r>
        <w:t>En 2025, les données financières structurées de BOAS confirment une santé financière solide. Le Produit Net Bancaire (PNB) s'établit à 51,926 Mds FCFA, avec un résultat net de 21,905 Mds FCFA, démontrant une excellente capacité bénéficiaire. La rentabilité est remarquable, avec un ROE de 22,69% (excellent, &gt;15%) et un ROA de 2,62%. La banque est également très efficace, avec un coefficient d'exploitation de 44,02% (excellent, &lt;50%). Le coût du risque, à 23,31% des charges financières, reste un point de vigilance, mais les rapports trimestriels de 2025 montrent une nette amélioration. Les rapports du T1 (PNB 11,78 Mds FCFA, RN 5,23 Mds FCFA), du S1 (PNB 25,37 Mds FCFA, RN 11,62 Mds FCFA) et du T3 (PNB 37,44 Mds FCFA, RN 16,37 Mds FCFA) confirment une croissance soutenue tout au long de l'année. Sur la base de ces performances, on estime que l'exercice 2025 a été clôturé sur une dynamique de croissance saine, avec une amélioration continue de la maîtrise des coûts et des risques. Le rapport du T1 2026 (PNB 12,58 Mds FCFA, RN 5,741 Mds FCFA, +9,78%) confirme cette trajectoire positive, laissant présager une poursuite de la croissance pour l'exercice en cours.</w:t>
      </w:r>
    </w:p>
    <w:p>
      <w:pPr>
        <w:spacing w:after="120" w:line="276" w:lineRule="auto"/>
      </w:pPr>
      <w:r>
        <w:t>### PARTIE 4 : CONCLUSION D'INVESTISSEMENT</w:t>
      </w:r>
    </w:p>
    <w:p>
      <w:pPr>
        <w:spacing w:after="120" w:line="276" w:lineRule="auto"/>
      </w:pPr>
      <w:r>
        <w:t>La synthèse globale pour l'action BOAS est très positive. La valorisation (Partie 0) est raisonnable, avec un PER de 13,6x et un P/B de 3,10x qui justifient une prime pour la qualité de la croissance. Le comportement du cours (Partie 1) est favorable, avec une tendance haussière marquée et une volatilité modérée. Les signaux techniques (Partie 2) sont partagés : la tendance de fond est haussière, mais les indicateurs de momentum (RSI) signalent un risque de consolidation à court terme. Les fondamentaux (Partie 3) sont excellents, avec une croissance solide du PNB et du résultat net, une rentabilité élevée et une efficacité opérationnelle remarquable. Cependant, les prédictions IA pour les 10 prochains jours (chute de 8 300 à 7 559 FCFA) contredisent ce tableau haussier et suggèrent une correction technique imminente, probablement pour résorber les conditions de surachat.</w:t>
      </w:r>
    </w:p>
    <w:p>
      <w:pPr>
        <w:spacing w:after="120" w:line="276" w:lineRule="auto"/>
      </w:pPr>
      <w:r>
        <w:t>Sur la base de cette synthèse, la recommandation finale est **CONSERVER**. La convergence entre des fondamentaux solides et une tendance de fond haussière est contrebalancée par des signaux techniques de surachat et une prédiction IA baissière à court terme. Il est donc conseillé de conserver les positions existantes, mais de ne pas initier de nouvel achat à ces niveaux de prix. Le niveau de confiance est **Moyen**, car la prédiction IA contredit les signaux fondamentaux. Le risque global est **Moyen**, principalement lié à la volatilité à court terme. L'horizon d'investissement optimal serait le **moyen terme (3-12 mois)**, en attendant une correction pour renforcer les positions, ou une confirmation de la poursuite de la hausse après consolidation.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20.69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2,349 titres</w:t>
            </w:r>
          </w:p>
        </w:tc>
        <w:tc>
          <w:tcPr>
            <w:tcW w:type="dxa" w:w="2268"/>
            <w:shd w:fill="FFF2CC" w:val="clear"/>
          </w:tcPr>
          <w:p>
            <w:r>
              <w:rPr>
                <w:b/>
                <w:color w:val="503200"/>
                <w:sz w:val="16"/>
              </w:rPr>
              <w:t xml:space="preserve">Cours actuel : </w:t>
            </w:r>
            <w:r>
              <w:rPr>
                <w:color w:val="000000"/>
                <w:sz w:val="17"/>
              </w:rPr>
              <w:t>3,495 FCFA</w:t>
            </w:r>
          </w:p>
          <w:p>
            <w:r>
              <w:rPr>
                <w:b/>
                <w:color w:val="503200"/>
                <w:sz w:val="16"/>
              </w:rPr>
              <w:t xml:space="preserve">Var. 100 jours : </w:t>
            </w:r>
            <w:r>
              <w:rPr>
                <w:b/>
                <w:color w:val="B40000"/>
                <w:sz w:val="17"/>
              </w:rPr>
              <w:t>-10.04%</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3,350 FCFA</w:t>
            </w:r>
          </w:p>
          <w:p>
            <w:r>
              <w:rPr>
                <w:b/>
                <w:color w:val="503200"/>
                <w:sz w:val="16"/>
              </w:rPr>
              <w:t xml:space="preserve">Volatilité ann. : </w:t>
            </w:r>
            <w:r>
              <w:rPr>
                <w:color w:val="000000"/>
                <w:sz w:val="17"/>
              </w:rPr>
              <w:t>53.3%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7.56% (Moyenne) — μ=3,772 FCFA, σ=285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β=0.0173 (Défensif) — Cov=0.000001, Var(idx)=0.000036, ρ=0.003,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2,349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σ_j=3.36%/j (Modérée) — Vol. annualisée≈53.3%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2026-08-31</w:t>
            </w:r>
          </w:p>
        </w:tc>
        <w:tc>
          <w:tcPr>
            <w:tcW w:type="dxa" w:w="1440"/>
            <w:shd w:fill="C6EFCE" w:val="clear"/>
          </w:tcPr>
          <w:p>
            <w:r>
              <w:rPr>
                <w:sz w:val="17"/>
              </w:rPr>
              <w:t>3,492</w:t>
            </w:r>
          </w:p>
        </w:tc>
        <w:tc>
          <w:tcPr>
            <w:tcW w:type="dxa" w:w="1440"/>
            <w:shd w:fill="C6EFCE" w:val="clear"/>
          </w:tcPr>
          <w:p>
            <w:r>
              <w:rPr>
                <w:b/>
                <w:sz w:val="17"/>
              </w:rPr>
              <w:t>3,641</w:t>
            </w:r>
          </w:p>
        </w:tc>
        <w:tc>
          <w:tcPr>
            <w:tcW w:type="dxa" w:w="1440"/>
            <w:shd w:fill="C6EFCE" w:val="clear"/>
          </w:tcPr>
          <w:p>
            <w:r>
              <w:rPr>
                <w:sz w:val="17"/>
              </w:rPr>
              <w:t>3,789</w:t>
            </w:r>
          </w:p>
        </w:tc>
        <w:tc>
          <w:tcPr>
            <w:tcW w:type="dxa" w:w="1440"/>
            <w:shd w:fill="C6EFCE" w:val="clear"/>
          </w:tcPr>
          <w:p>
            <w:r>
              <w:rPr>
                <w:b/>
                <w:color w:val="008000"/>
                <w:sz w:val="17"/>
              </w:rPr>
              <w:t>+4.2%</w:t>
            </w:r>
          </w:p>
        </w:tc>
      </w:tr>
      <w:tr>
        <w:tc>
          <w:tcPr>
            <w:tcW w:type="dxa" w:w="1440"/>
            <w:shd w:fill="C6EFCE" w:val="clear"/>
          </w:tcPr>
          <w:p>
            <w:r>
              <w:rPr>
                <w:sz w:val="17"/>
              </w:rPr>
              <w:t>J+2  Moyenne</w:t>
            </w:r>
          </w:p>
        </w:tc>
        <w:tc>
          <w:tcPr>
            <w:tcW w:type="dxa" w:w="1440"/>
            <w:shd w:fill="C6EFCE" w:val="clear"/>
          </w:tcPr>
          <w:p>
            <w:r>
              <w:rPr>
                <w:sz w:val="17"/>
              </w:rPr>
              <w:t>2026-09-01</w:t>
            </w:r>
          </w:p>
        </w:tc>
        <w:tc>
          <w:tcPr>
            <w:tcW w:type="dxa" w:w="1440"/>
            <w:shd w:fill="C6EFCE" w:val="clear"/>
          </w:tcPr>
          <w:p>
            <w:r>
              <w:rPr>
                <w:sz w:val="17"/>
              </w:rPr>
              <w:t>3,572</w:t>
            </w:r>
          </w:p>
        </w:tc>
        <w:tc>
          <w:tcPr>
            <w:tcW w:type="dxa" w:w="1440"/>
            <w:shd w:fill="C6EFCE" w:val="clear"/>
          </w:tcPr>
          <w:p>
            <w:r>
              <w:rPr>
                <w:b/>
                <w:sz w:val="17"/>
              </w:rPr>
              <w:t>3,791</w:t>
            </w:r>
          </w:p>
        </w:tc>
        <w:tc>
          <w:tcPr>
            <w:tcW w:type="dxa" w:w="1440"/>
            <w:shd w:fill="C6EFCE" w:val="clear"/>
          </w:tcPr>
          <w:p>
            <w:r>
              <w:rPr>
                <w:sz w:val="17"/>
              </w:rPr>
              <w:t>4,010</w:t>
            </w:r>
          </w:p>
        </w:tc>
        <w:tc>
          <w:tcPr>
            <w:tcW w:type="dxa" w:w="1440"/>
            <w:shd w:fill="C6EFCE" w:val="clear"/>
          </w:tcPr>
          <w:p>
            <w:r>
              <w:rPr>
                <w:b/>
                <w:color w:val="008000"/>
                <w:sz w:val="17"/>
              </w:rPr>
              <w:t>+8.5%</w:t>
            </w:r>
          </w:p>
        </w:tc>
      </w:tr>
      <w:tr>
        <w:tc>
          <w:tcPr>
            <w:tcW w:type="dxa" w:w="1440"/>
            <w:shd w:fill="C6EFCE" w:val="clear"/>
          </w:tcPr>
          <w:p>
            <w:r>
              <w:rPr>
                <w:sz w:val="17"/>
              </w:rPr>
              <w:t>J+3  Moyenne</w:t>
            </w:r>
          </w:p>
        </w:tc>
        <w:tc>
          <w:tcPr>
            <w:tcW w:type="dxa" w:w="1440"/>
            <w:shd w:fill="C6EFCE" w:val="clear"/>
          </w:tcPr>
          <w:p>
            <w:r>
              <w:rPr>
                <w:sz w:val="17"/>
              </w:rPr>
              <w:t>2026-09-02</w:t>
            </w:r>
          </w:p>
        </w:tc>
        <w:tc>
          <w:tcPr>
            <w:tcW w:type="dxa" w:w="1440"/>
            <w:shd w:fill="C6EFCE" w:val="clear"/>
          </w:tcPr>
          <w:p>
            <w:r>
              <w:rPr>
                <w:sz w:val="17"/>
              </w:rPr>
              <w:t>3,693</w:t>
            </w:r>
          </w:p>
        </w:tc>
        <w:tc>
          <w:tcPr>
            <w:tcW w:type="dxa" w:w="1440"/>
            <w:shd w:fill="C6EFCE" w:val="clear"/>
          </w:tcPr>
          <w:p>
            <w:r>
              <w:rPr>
                <w:b/>
                <w:sz w:val="17"/>
              </w:rPr>
              <w:t>3,974</w:t>
            </w:r>
          </w:p>
        </w:tc>
        <w:tc>
          <w:tcPr>
            <w:tcW w:type="dxa" w:w="1440"/>
            <w:shd w:fill="C6EFCE" w:val="clear"/>
          </w:tcPr>
          <w:p>
            <w:r>
              <w:rPr>
                <w:sz w:val="17"/>
              </w:rPr>
              <w:t>4,255</w:t>
            </w:r>
          </w:p>
        </w:tc>
        <w:tc>
          <w:tcPr>
            <w:tcW w:type="dxa" w:w="1440"/>
            <w:shd w:fill="C6EFCE" w:val="clear"/>
          </w:tcPr>
          <w:p>
            <w:r>
              <w:rPr>
                <w:b/>
                <w:color w:val="008000"/>
                <w:sz w:val="17"/>
              </w:rPr>
              <w:t>+13.7%</w:t>
            </w:r>
          </w:p>
        </w:tc>
      </w:tr>
      <w:tr>
        <w:tc>
          <w:tcPr>
            <w:tcW w:type="dxa" w:w="1440"/>
            <w:shd w:fill="C6EFCE" w:val="clear"/>
          </w:tcPr>
          <w:p>
            <w:r>
              <w:rPr>
                <w:sz w:val="17"/>
              </w:rPr>
              <w:t>J+4  ⭐</w:t>
            </w:r>
          </w:p>
        </w:tc>
        <w:tc>
          <w:tcPr>
            <w:tcW w:type="dxa" w:w="1440"/>
            <w:shd w:fill="C6EFCE" w:val="clear"/>
          </w:tcPr>
          <w:p>
            <w:r>
              <w:rPr>
                <w:sz w:val="17"/>
              </w:rPr>
              <w:t>2026-09-03</w:t>
            </w:r>
          </w:p>
        </w:tc>
        <w:tc>
          <w:tcPr>
            <w:tcW w:type="dxa" w:w="1440"/>
            <w:shd w:fill="C6EFCE" w:val="clear"/>
          </w:tcPr>
          <w:p>
            <w:r>
              <w:rPr>
                <w:sz w:val="17"/>
              </w:rPr>
              <w:t>3,841</w:t>
            </w:r>
          </w:p>
        </w:tc>
        <w:tc>
          <w:tcPr>
            <w:tcW w:type="dxa" w:w="1440"/>
            <w:shd w:fill="C6EFCE" w:val="clear"/>
          </w:tcPr>
          <w:p>
            <w:r>
              <w:rPr>
                <w:b/>
                <w:sz w:val="17"/>
              </w:rPr>
              <w:t>4,182</w:t>
            </w:r>
          </w:p>
        </w:tc>
        <w:tc>
          <w:tcPr>
            <w:tcW w:type="dxa" w:w="1440"/>
            <w:shd w:fill="C6EFCE" w:val="clear"/>
          </w:tcPr>
          <w:p>
            <w:r>
              <w:rPr>
                <w:sz w:val="17"/>
              </w:rPr>
              <w:t>4,524</w:t>
            </w:r>
          </w:p>
        </w:tc>
        <w:tc>
          <w:tcPr>
            <w:tcW w:type="dxa" w:w="1440"/>
            <w:shd w:fill="C6EFCE" w:val="clear"/>
          </w:tcPr>
          <w:p>
            <w:r>
              <w:rPr>
                <w:b/>
                <w:color w:val="008000"/>
                <w:sz w:val="17"/>
              </w:rPr>
              <w:t>+19.7%</w:t>
            </w:r>
          </w:p>
        </w:tc>
      </w:tr>
      <w:tr>
        <w:tc>
          <w:tcPr>
            <w:tcW w:type="dxa" w:w="1440"/>
            <w:shd w:fill="C6EFCE" w:val="clear"/>
          </w:tcPr>
          <w:p>
            <w:r>
              <w:rPr>
                <w:sz w:val="17"/>
              </w:rPr>
              <w:t>J+5  ⭐</w:t>
            </w:r>
          </w:p>
        </w:tc>
        <w:tc>
          <w:tcPr>
            <w:tcW w:type="dxa" w:w="1440"/>
            <w:shd w:fill="C6EFCE" w:val="clear"/>
          </w:tcPr>
          <w:p>
            <w:r>
              <w:rPr>
                <w:sz w:val="17"/>
              </w:rPr>
              <w:t>2026-09-04</w:t>
            </w:r>
          </w:p>
        </w:tc>
        <w:tc>
          <w:tcPr>
            <w:tcW w:type="dxa" w:w="1440"/>
            <w:shd w:fill="C6EFCE" w:val="clear"/>
          </w:tcPr>
          <w:p>
            <w:r>
              <w:rPr>
                <w:sz w:val="17"/>
              </w:rPr>
              <w:t>4,014</w:t>
            </w:r>
          </w:p>
        </w:tc>
        <w:tc>
          <w:tcPr>
            <w:tcW w:type="dxa" w:w="1440"/>
            <w:shd w:fill="C6EFCE" w:val="clear"/>
          </w:tcPr>
          <w:p>
            <w:r>
              <w:rPr>
                <w:b/>
                <w:sz w:val="17"/>
              </w:rPr>
              <w:t>4,417</w:t>
            </w:r>
          </w:p>
        </w:tc>
        <w:tc>
          <w:tcPr>
            <w:tcW w:type="dxa" w:w="1440"/>
            <w:shd w:fill="C6EFCE" w:val="clear"/>
          </w:tcPr>
          <w:p>
            <w:r>
              <w:rPr>
                <w:sz w:val="17"/>
              </w:rPr>
              <w:t>4,820</w:t>
            </w:r>
          </w:p>
        </w:tc>
        <w:tc>
          <w:tcPr>
            <w:tcW w:type="dxa" w:w="1440"/>
            <w:shd w:fill="C6EFCE" w:val="clear"/>
          </w:tcPr>
          <w:p>
            <w:r>
              <w:rPr>
                <w:b/>
                <w:color w:val="008000"/>
                <w:sz w:val="17"/>
              </w:rPr>
              <w:t>+26.4%</w:t>
            </w:r>
          </w:p>
        </w:tc>
      </w:tr>
      <w:tr>
        <w:tc>
          <w:tcPr>
            <w:tcW w:type="dxa" w:w="1440"/>
            <w:shd w:fill="C6EFCE" w:val="clear"/>
          </w:tcPr>
          <w:p>
            <w:r>
              <w:rPr>
                <w:sz w:val="17"/>
              </w:rPr>
              <w:t>J+6  ⭐</w:t>
            </w:r>
          </w:p>
        </w:tc>
        <w:tc>
          <w:tcPr>
            <w:tcW w:type="dxa" w:w="1440"/>
            <w:shd w:fill="C6EFCE" w:val="clear"/>
          </w:tcPr>
          <w:p>
            <w:r>
              <w:rPr>
                <w:sz w:val="17"/>
              </w:rPr>
              <w:t>2026-09-07</w:t>
            </w:r>
          </w:p>
        </w:tc>
        <w:tc>
          <w:tcPr>
            <w:tcW w:type="dxa" w:w="1440"/>
            <w:shd w:fill="C6EFCE" w:val="clear"/>
          </w:tcPr>
          <w:p>
            <w:r>
              <w:rPr>
                <w:sz w:val="17"/>
              </w:rPr>
              <w:t>4,214</w:t>
            </w:r>
          </w:p>
        </w:tc>
        <w:tc>
          <w:tcPr>
            <w:tcW w:type="dxa" w:w="1440"/>
            <w:shd w:fill="C6EFCE" w:val="clear"/>
          </w:tcPr>
          <w:p>
            <w:r>
              <w:rPr>
                <w:b/>
                <w:sz w:val="17"/>
              </w:rPr>
              <w:t>4,682</w:t>
            </w:r>
          </w:p>
        </w:tc>
        <w:tc>
          <w:tcPr>
            <w:tcW w:type="dxa" w:w="1440"/>
            <w:shd w:fill="C6EFCE" w:val="clear"/>
          </w:tcPr>
          <w:p>
            <w:r>
              <w:rPr>
                <w:sz w:val="17"/>
              </w:rPr>
              <w:t>5,150</w:t>
            </w:r>
          </w:p>
        </w:tc>
        <w:tc>
          <w:tcPr>
            <w:tcW w:type="dxa" w:w="1440"/>
            <w:shd w:fill="C6EFCE" w:val="clear"/>
          </w:tcPr>
          <w:p>
            <w:r>
              <w:rPr>
                <w:b/>
                <w:color w:val="008000"/>
                <w:sz w:val="17"/>
              </w:rPr>
              <w:t>+34.0%</w:t>
            </w:r>
          </w:p>
        </w:tc>
      </w:tr>
      <w:tr>
        <w:tc>
          <w:tcPr>
            <w:tcW w:type="dxa" w:w="1440"/>
            <w:shd w:fill="C6EFCE" w:val="clear"/>
          </w:tcPr>
          <w:p>
            <w:r>
              <w:rPr>
                <w:sz w:val="17"/>
              </w:rPr>
              <w:t>J+7  ⭐</w:t>
            </w:r>
          </w:p>
        </w:tc>
        <w:tc>
          <w:tcPr>
            <w:tcW w:type="dxa" w:w="1440"/>
            <w:shd w:fill="C6EFCE" w:val="clear"/>
          </w:tcPr>
          <w:p>
            <w:r>
              <w:rPr>
                <w:sz w:val="17"/>
              </w:rPr>
              <w:t>2026-09-08</w:t>
            </w:r>
          </w:p>
        </w:tc>
        <w:tc>
          <w:tcPr>
            <w:tcW w:type="dxa" w:w="1440"/>
            <w:shd w:fill="C6EFCE" w:val="clear"/>
          </w:tcPr>
          <w:p>
            <w:r>
              <w:rPr>
                <w:sz w:val="17"/>
              </w:rPr>
              <w:t>4,448</w:t>
            </w:r>
          </w:p>
        </w:tc>
        <w:tc>
          <w:tcPr>
            <w:tcW w:type="dxa" w:w="1440"/>
            <w:shd w:fill="C6EFCE" w:val="clear"/>
          </w:tcPr>
          <w:p>
            <w:r>
              <w:rPr>
                <w:b/>
                <w:sz w:val="17"/>
              </w:rPr>
              <w:t>4,987</w:t>
            </w:r>
          </w:p>
        </w:tc>
        <w:tc>
          <w:tcPr>
            <w:tcW w:type="dxa" w:w="1440"/>
            <w:shd w:fill="C6EFCE" w:val="clear"/>
          </w:tcPr>
          <w:p>
            <w:r>
              <w:rPr>
                <w:sz w:val="17"/>
              </w:rPr>
              <w:t>5,525</w:t>
            </w:r>
          </w:p>
        </w:tc>
        <w:tc>
          <w:tcPr>
            <w:tcW w:type="dxa" w:w="1440"/>
            <w:shd w:fill="C6EFCE" w:val="clear"/>
          </w:tcPr>
          <w:p>
            <w:r>
              <w:rPr>
                <w:b/>
                <w:color w:val="008000"/>
                <w:sz w:val="17"/>
              </w:rPr>
              <w:t>+42.7%</w:t>
            </w:r>
          </w:p>
        </w:tc>
      </w:tr>
      <w:tr>
        <w:tc>
          <w:tcPr>
            <w:tcW w:type="dxa" w:w="1440"/>
            <w:shd w:fill="C6EFCE" w:val="clear"/>
          </w:tcPr>
          <w:p>
            <w:r>
              <w:rPr>
                <w:sz w:val="17"/>
              </w:rPr>
              <w:t>J+8  ⭐</w:t>
            </w:r>
          </w:p>
        </w:tc>
        <w:tc>
          <w:tcPr>
            <w:tcW w:type="dxa" w:w="1440"/>
            <w:shd w:fill="C6EFCE" w:val="clear"/>
          </w:tcPr>
          <w:p>
            <w:r>
              <w:rPr>
                <w:sz w:val="17"/>
              </w:rPr>
              <w:t>2026-09-09</w:t>
            </w:r>
          </w:p>
        </w:tc>
        <w:tc>
          <w:tcPr>
            <w:tcW w:type="dxa" w:w="1440"/>
            <w:shd w:fill="C6EFCE" w:val="clear"/>
          </w:tcPr>
          <w:p>
            <w:r>
              <w:rPr>
                <w:sz w:val="17"/>
              </w:rPr>
              <w:t>4,728</w:t>
            </w:r>
          </w:p>
        </w:tc>
        <w:tc>
          <w:tcPr>
            <w:tcW w:type="dxa" w:w="1440"/>
            <w:shd w:fill="C6EFCE" w:val="clear"/>
          </w:tcPr>
          <w:p>
            <w:r>
              <w:rPr>
                <w:b/>
                <w:sz w:val="17"/>
              </w:rPr>
              <w:t>5,345</w:t>
            </w:r>
          </w:p>
        </w:tc>
        <w:tc>
          <w:tcPr>
            <w:tcW w:type="dxa" w:w="1440"/>
            <w:shd w:fill="C6EFCE" w:val="clear"/>
          </w:tcPr>
          <w:p>
            <w:r>
              <w:rPr>
                <w:sz w:val="17"/>
              </w:rPr>
              <w:t>5,962</w:t>
            </w:r>
          </w:p>
        </w:tc>
        <w:tc>
          <w:tcPr>
            <w:tcW w:type="dxa" w:w="1440"/>
            <w:shd w:fill="C6EFCE" w:val="clear"/>
          </w:tcPr>
          <w:p>
            <w:r>
              <w:rPr>
                <w:b/>
                <w:color w:val="008000"/>
                <w:sz w:val="17"/>
              </w:rPr>
              <w:t>+52.9%</w:t>
            </w:r>
          </w:p>
        </w:tc>
      </w:tr>
      <w:tr>
        <w:tc>
          <w:tcPr>
            <w:tcW w:type="dxa" w:w="1440"/>
            <w:shd w:fill="C6EFCE" w:val="clear"/>
          </w:tcPr>
          <w:p>
            <w:r>
              <w:rPr>
                <w:sz w:val="17"/>
              </w:rPr>
              <w:t>J+9  ⭐</w:t>
            </w:r>
          </w:p>
        </w:tc>
        <w:tc>
          <w:tcPr>
            <w:tcW w:type="dxa" w:w="1440"/>
            <w:shd w:fill="C6EFCE" w:val="clear"/>
          </w:tcPr>
          <w:p>
            <w:r>
              <w:rPr>
                <w:sz w:val="17"/>
              </w:rPr>
              <w:t>2026-09-10</w:t>
            </w:r>
          </w:p>
        </w:tc>
        <w:tc>
          <w:tcPr>
            <w:tcW w:type="dxa" w:w="1440"/>
            <w:shd w:fill="C6EFCE" w:val="clear"/>
          </w:tcPr>
          <w:p>
            <w:r>
              <w:rPr>
                <w:sz w:val="17"/>
              </w:rPr>
              <w:t>5,042</w:t>
            </w:r>
          </w:p>
        </w:tc>
        <w:tc>
          <w:tcPr>
            <w:tcW w:type="dxa" w:w="1440"/>
            <w:shd w:fill="C6EFCE" w:val="clear"/>
          </w:tcPr>
          <w:p>
            <w:r>
              <w:rPr>
                <w:b/>
                <w:sz w:val="17"/>
              </w:rPr>
              <w:t>5,746</w:t>
            </w:r>
          </w:p>
        </w:tc>
        <w:tc>
          <w:tcPr>
            <w:tcW w:type="dxa" w:w="1440"/>
            <w:shd w:fill="C6EFCE" w:val="clear"/>
          </w:tcPr>
          <w:p>
            <w:r>
              <w:rPr>
                <w:sz w:val="17"/>
              </w:rPr>
              <w:t>6,449</w:t>
            </w:r>
          </w:p>
        </w:tc>
        <w:tc>
          <w:tcPr>
            <w:tcW w:type="dxa" w:w="1440"/>
            <w:shd w:fill="C6EFCE" w:val="clear"/>
          </w:tcPr>
          <w:p>
            <w:r>
              <w:rPr>
                <w:b/>
                <w:color w:val="008000"/>
                <w:sz w:val="17"/>
              </w:rPr>
              <w:t>+64.4%</w:t>
            </w:r>
          </w:p>
        </w:tc>
      </w:tr>
      <w:tr>
        <w:tc>
          <w:tcPr>
            <w:tcW w:type="dxa" w:w="1440"/>
            <w:shd w:fill="C6EFCE" w:val="clear"/>
          </w:tcPr>
          <w:p>
            <w:r>
              <w:rPr>
                <w:sz w:val="17"/>
              </w:rPr>
              <w:t>J+10  ⭐</w:t>
            </w:r>
          </w:p>
        </w:tc>
        <w:tc>
          <w:tcPr>
            <w:tcW w:type="dxa" w:w="1440"/>
            <w:shd w:fill="C6EFCE" w:val="clear"/>
          </w:tcPr>
          <w:p>
            <w:r>
              <w:rPr>
                <w:sz w:val="17"/>
              </w:rPr>
              <w:t>2026-09-11</w:t>
            </w:r>
          </w:p>
        </w:tc>
        <w:tc>
          <w:tcPr>
            <w:tcW w:type="dxa" w:w="1440"/>
            <w:shd w:fill="C6EFCE" w:val="clear"/>
          </w:tcPr>
          <w:p>
            <w:r>
              <w:rPr>
                <w:sz w:val="17"/>
              </w:rPr>
              <w:t>5,379</w:t>
            </w:r>
          </w:p>
        </w:tc>
        <w:tc>
          <w:tcPr>
            <w:tcW w:type="dxa" w:w="1440"/>
            <w:shd w:fill="C6EFCE" w:val="clear"/>
          </w:tcPr>
          <w:p>
            <w:r>
              <w:rPr>
                <w:b/>
                <w:sz w:val="17"/>
              </w:rPr>
              <w:t>6,176</w:t>
            </w:r>
          </w:p>
        </w:tc>
        <w:tc>
          <w:tcPr>
            <w:tcW w:type="dxa" w:w="1440"/>
            <w:shd w:fill="C6EFCE" w:val="clear"/>
          </w:tcPr>
          <w:p>
            <w:r>
              <w:rPr>
                <w:sz w:val="17"/>
              </w:rPr>
              <w:t>6,974</w:t>
            </w:r>
          </w:p>
        </w:tc>
        <w:tc>
          <w:tcPr>
            <w:tcW w:type="dxa" w:w="1440"/>
            <w:shd w:fill="C6EFCE" w:val="clear"/>
          </w:tcPr>
          <w:p>
            <w:r>
              <w:rPr>
                <w:b/>
                <w:color w:val="008000"/>
                <w:sz w:val="17"/>
              </w:rPr>
              <w:t>+76.7%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**Date de l'analyse : 28 août 2026**</w:t>
        <w:br/>
        <w:t>**Cours de référence : 3 495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20,69 milliards FCFA, un niveau modeste qui la classe parmi les valeurs de taille moyenne sur la BRVM. Avec un BPA de 243 FCFA, le titre se négocie à un PER de 14,4x, légèrement supérieur à la moyenne historique du marché (8-12x), ce qui suggère que les investisseurs intègrent déjà une trajectoire de croissance future. Le P/B de 2,21x indique que le marché valorise la société à plus du double de ses capitaux propres comptables, traduisant une prime de croissance accordée par les investisseurs. Enfin, l'EV/EBITDA de 7,3x se situe dans une fourchette raisonnable (5-10x), ce qui indique que la valeur totale de l'entreprise (dette incluse) reste cohérente avec sa capacité opérationnelle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CABC a enregistré une baisse significative de -10,04%, avec une légère contraction de -0,14% lors de la dernière séance, reflétant une pression vendeuse persistante. Le titre a évolué dans une fourchette large de 1 150 FCFA, oscillant entre un plus bas de 3 350 FCFA et un plus haut de 4 500 FCFA, illustrant une volatilité marquée. La moyenne du cours sur la période (3 772 FCFA) est supérieure à la médiane (3 700 FCFA), et le skewness positif de 0,741 confirme une asymétrie avec davantage de journées sous la moyenne, indiquant une tendance baissière dominante. L'écart-type de 287 FCFA (CV=7,6%) témoigne d'une dispersion modérée, tandis que le kurtosis de -0,129 (mésokurtique) suggère une distribution proche de la normale, sans risque de pics extrêmes. La volatilité annualisée de 53,3% classe le titre comme très risqué, bien au-delà du seuil de 30% considéré comme élevé.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(3 495 FCFA) se situe sous la MM20 (3 550,5 FCFA) et nettement sous la MM50 (3 801,9 FCFA), confirmant une configuration baissière à court et moyen terme. La décision de "Vente" est justifiée par cette structure hiérarchique défavorable, le prix évoluant dans un canal descendant.</w:t>
      </w:r>
    </w:p>
    <w:p>
      <w:pPr>
        <w:spacing w:after="120" w:line="276" w:lineRule="auto"/>
      </w:pPr>
      <w:r>
        <w:t>**Bandes de Bollinger** : Le cours se positionne dans la partie inférieure du canal, proche de la borne basse (3 401,5 FCFA), sans toutefois la toucher. La décision "Neutre" reflète une volatilité modérée, le titre n'étant ni en situation de surachat ni de survente extrême, mais la proximité de la borne inférieure suggère un potentiel de rebond technique.</w:t>
      </w:r>
    </w:p>
    <w:p>
      <w:pPr>
        <w:spacing w:after="120" w:line="276" w:lineRule="auto"/>
      </w:pPr>
      <w:r>
        <w:t>**MACD** : La valeur du MACD (-57,27) est supérieure à sa ligne de signal (-64,78), indiquant un croisement haussier récent. Cette configuration, bien que les deux lignes restent en territoire négatif, signale un affaiblissement de la dynamique baissière et un possible retournement de momentum, justifiant la décision "Achat".</w:t>
      </w:r>
    </w:p>
    <w:p>
      <w:pPr>
        <w:spacing w:after="120" w:line="276" w:lineRule="auto"/>
      </w:pPr>
      <w:r>
        <w:t>**RSI** : À 44,33, le RSI se situe en zone neutre (30-70), sans signal directionnel fort. Cette valeur indique que le titre n'est ni suracheté ni survendu, laissant place à une évolution indécise. La décision "Neutre" est cohérente avec l'absence de pression excessive des acheteurs ou des vendeurs.</w:t>
      </w:r>
    </w:p>
    <w:p>
      <w:pPr>
        <w:spacing w:after="120" w:line="276" w:lineRule="auto"/>
      </w:pPr>
      <w:r>
        <w:t>**Stochastique** : Avec un %K à 2,33 et un %D à 3,88, l'indicateur est en territoire de survente extrême, suggérant un potentiel de rebond technique imminent. Le croisement des deux lignes, bien que les valeurs soient très basses, renforce la décision "Achat", indiquant que la pression vendeuse s'essouffle.</w:t>
      </w:r>
    </w:p>
    <w:p>
      <w:pPr>
        <w:spacing w:after="120" w:line="276" w:lineRule="auto"/>
      </w:pPr>
      <w:r>
        <w:t>**Conclusion technique** : La convergence des signaux est mitigée. Les moyennes mobiles plaident pour une poursuite de la baisse, tandis que le MACD et le stochastique suggèrent un retournement haussier imminent. Le RSI neutre et les bandes de Bollinger n'apportent pas de direction claire. Le scénario le plus probable est une stabilisation du cours dans un premier temps, suivie d'un rebond technique si les niveaux de support actuels (3 350-3 400 FCFA) tiennent.</w:t>
      </w:r>
    </w:p>
    <w:p>
      <w:pPr>
        <w:spacing w:after="120" w:line="276" w:lineRule="auto"/>
      </w:pPr>
      <w:r>
        <w:t>---</w:t>
      </w:r>
    </w:p>
    <w:p>
      <w:pPr>
        <w:spacing w:after="120" w:line="276" w:lineRule="auto"/>
      </w:pPr>
      <w:r>
        <w:t>### PARTIE 3 : ANALYSE FONDAMENTALE (SECTION CRITIQUE)</w:t>
      </w:r>
    </w:p>
    <w:p>
      <w:pPr>
        <w:spacing w:after="120" w:line="276" w:lineRule="auto"/>
      </w:pPr>
      <w:r>
        <w:t>En 2025, CABC a réalisé un chiffre d'affaires de 21,263 milliards FCFA, en croissance de +11,2% par rapport à 2024, avec un résultat net de 1,439 milliard FCFA et une marge nette de 6,77%. Le ROE s'établit à un excellent niveau de 15,4%, tandis que le ROA atteint 6,1%, confirmant une bonne utilisation des actifs. Cependant, la structure financière révèle des tensions : le BFR s'élève à 7,186 milliards FCFA, avec des délais clients très élevés de 144,7 jours et une durée de stockage de 152,1 jours, indiquant un risque de trésorerie significatif. Le flux opérationnel est négatif (-819,7 millions FCFA) et le free cash flow également (-982,7 millions FCFA), malgré une trésorerie nette positive de 5,139 milliards FCFA. Les rapports trimestriels 2025 montrent une dynamique positive au S1 (résultat net de 851,5 millions FCFA, +55,3%) et au T3 (1 329,5 millions FCFA, +26%), mais le T1 2026 révèle une forte dégradation avec une perte nette de 221,7 millions FCFA, due à une maintenance planifiée et à la hausse des cours des métaux. Le rapport annuel certifié 2024 (daté de juin 2025) confirme une amélioration de la rentabilité opérationnelle avec un EBE en hausse, mais souligne des provisions importantes et un risque fiscal. La société a distribué un dividende de 88,42 FCFA par action en 2023, mais aucun dividende n'a été proposé pour 2024 et 2025, les pertes antérieures ayant érodé les réserves distribuables.</w:t>
      </w:r>
    </w:p>
    <w:p>
      <w:pPr>
        <w:spacing w:after="120" w:line="276" w:lineRule="auto"/>
      </w:pPr>
      <w:r>
        <w:t>---</w:t>
      </w:r>
    </w:p>
    <w:p>
      <w:pPr>
        <w:spacing w:after="120" w:line="276" w:lineRule="auto"/>
      </w:pPr>
      <w:r>
        <w:t>### PARTIE 4 : CONCLUSION D'INVESTISSEMENT</w:t>
      </w:r>
    </w:p>
    <w:p>
      <w:pPr>
        <w:spacing w:after="120" w:line="276" w:lineRule="auto"/>
      </w:pPr>
      <w:r>
        <w:t>La valorisation actuelle de CABC (PER 14,4x, P/B 2,21x) apparaît légèrement élevée par rapport aux fondamentaux historiques, mais intègre des perspectives de redressement. Le comportement du cours sur 100 jours est préoccupant avec une baisse de 10%, une volatilité très élevée (53,3%) et une asymétrie négative, bien que les statistiques suggèrent une distribution normale sans risque de krach. Les signaux techniques sont partagés : les moyennes mobiles restent baissières, mais le MACD et le stochastique indiquent un potentiel de rebond. Les fondamentaux montrent une amélioration de la rentabilité en 2025 (ROE 15,4%), mais les tensions de trésorerie (BFR élevé, flux négatifs) et la contre-performance du T1 2026 (perte de 221,7 millions FCFA) tempèrent l'optimisme. Les prédictions IA prévoient une hausse progressive vers 4 417 FCFA à J+10, contredisant la tendance baissière récente mais confirmant les signaux techniques de retournement. La recommandation finale est **CONSERVER**, avec un niveau de confiance **Moyen** et un risque global **Élevé**. L'horizon d'investissement optimal est le **moyen terme (3-12 mois)**, en attendant la confirmation d'un retour durable à la profitabilité et une amélioration de la gestion du BFR.</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947.20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1,423 titres</w:t>
            </w:r>
          </w:p>
        </w:tc>
        <w:tc>
          <w:tcPr>
            <w:tcW w:type="dxa" w:w="2268"/>
            <w:shd w:fill="FFF2CC" w:val="clear"/>
          </w:tcPr>
          <w:p>
            <w:r>
              <w:rPr>
                <w:b/>
                <w:color w:val="503200"/>
                <w:sz w:val="16"/>
              </w:rPr>
              <w:t xml:space="preserve">Cours actuel : </w:t>
            </w:r>
            <w:r>
              <w:rPr>
                <w:color w:val="000000"/>
                <w:sz w:val="17"/>
              </w:rPr>
              <w:t>29,600 FCFA</w:t>
            </w:r>
          </w:p>
          <w:p>
            <w:r>
              <w:rPr>
                <w:b/>
                <w:color w:val="503200"/>
                <w:sz w:val="16"/>
              </w:rPr>
              <w:t xml:space="preserve">Var. 100 jours : </w:t>
            </w:r>
            <w:r>
              <w:rPr>
                <w:b/>
                <w:color w:val="007800"/>
                <w:sz w:val="17"/>
              </w:rPr>
              <w:t>+98.86%</w:t>
            </w:r>
          </w:p>
          <w:p>
            <w:r>
              <w:rPr>
                <w:b/>
                <w:color w:val="503200"/>
                <w:sz w:val="16"/>
              </w:rPr>
              <w:t xml:space="preserve">Plus haut 100j : </w:t>
            </w:r>
            <w:r>
              <w:rPr>
                <w:color w:val="000000"/>
                <w:sz w:val="17"/>
              </w:rPr>
              <w:t>30,005 FCFA</w:t>
            </w:r>
          </w:p>
          <w:p>
            <w:r>
              <w:rPr>
                <w:b/>
                <w:color w:val="503200"/>
                <w:sz w:val="16"/>
              </w:rPr>
              <w:t xml:space="preserve">Plus bas 100j : </w:t>
            </w:r>
            <w:r>
              <w:rPr>
                <w:color w:val="000000"/>
                <w:sz w:val="17"/>
              </w:rPr>
              <w:t>14,885 FCFA</w:t>
            </w:r>
          </w:p>
          <w:p>
            <w:r>
              <w:rPr>
                <w:b/>
                <w:color w:val="503200"/>
                <w:sz w:val="16"/>
              </w:rPr>
              <w:t xml:space="preserve">Volatilité ann. : </w:t>
            </w:r>
            <w:r>
              <w:rPr>
                <w:color w:val="000000"/>
                <w:sz w:val="17"/>
              </w:rPr>
              <w:t>41.4%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22.16% (Élevée) — μ=22,671 FCFA, σ=5,024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β=0.7676 (Défensif) — Cov=0.000028, Var(idx)=0.000036, ρ=0.177,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1,423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26,505</w:t>
            </w:r>
          </w:p>
        </w:tc>
        <w:tc>
          <w:tcPr>
            <w:tcW w:type="dxa" w:w="1440"/>
            <w:shd w:fill="FFDCE0" w:val="clear"/>
          </w:tcPr>
          <w:p>
            <w:r>
              <w:rPr>
                <w:b/>
                <w:sz w:val="17"/>
              </w:rPr>
              <w:t>27,380</w:t>
            </w:r>
          </w:p>
        </w:tc>
        <w:tc>
          <w:tcPr>
            <w:tcW w:type="dxa" w:w="1440"/>
            <w:shd w:fill="FFDCE0" w:val="clear"/>
          </w:tcPr>
          <w:p>
            <w:r>
              <w:rPr>
                <w:sz w:val="17"/>
              </w:rPr>
              <w:t>28,255</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24,182</w:t>
            </w:r>
          </w:p>
        </w:tc>
        <w:tc>
          <w:tcPr>
            <w:tcW w:type="dxa" w:w="1440"/>
            <w:shd w:fill="FFDCE0" w:val="clear"/>
          </w:tcPr>
          <w:p>
            <w:r>
              <w:rPr>
                <w:b/>
                <w:sz w:val="17"/>
              </w:rPr>
              <w:t>25,326</w:t>
            </w:r>
          </w:p>
        </w:tc>
        <w:tc>
          <w:tcPr>
            <w:tcW w:type="dxa" w:w="1440"/>
            <w:shd w:fill="FFDCE0" w:val="clear"/>
          </w:tcPr>
          <w:p>
            <w:r>
              <w:rPr>
                <w:sz w:val="17"/>
              </w:rPr>
              <w:t>26,471</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22,130</w:t>
            </w:r>
          </w:p>
        </w:tc>
        <w:tc>
          <w:tcPr>
            <w:tcW w:type="dxa" w:w="1440"/>
            <w:shd w:fill="FFDCE0" w:val="clear"/>
          </w:tcPr>
          <w:p>
            <w:r>
              <w:rPr>
                <w:b/>
                <w:sz w:val="17"/>
              </w:rPr>
              <w:t>23,427</w:t>
            </w:r>
          </w:p>
        </w:tc>
        <w:tc>
          <w:tcPr>
            <w:tcW w:type="dxa" w:w="1440"/>
            <w:shd w:fill="FFDCE0" w:val="clear"/>
          </w:tcPr>
          <w:p>
            <w:r>
              <w:rPr>
                <w:sz w:val="17"/>
              </w:rPr>
              <w:t>24,724</w:t>
            </w:r>
          </w:p>
        </w:tc>
        <w:tc>
          <w:tcPr>
            <w:tcW w:type="dxa" w:w="1440"/>
            <w:shd w:fill="FFDCE0" w:val="clear"/>
          </w:tcPr>
          <w:p>
            <w:r>
              <w:rPr>
                <w:b/>
                <w:color w:val="C00000"/>
                <w:sz w:val="17"/>
              </w:rPr>
              <w:t>-20.9%</w:t>
            </w:r>
          </w:p>
        </w:tc>
      </w:tr>
      <w:tr>
        <w:tc>
          <w:tcPr>
            <w:tcW w:type="dxa" w:w="1440"/>
            <w:shd w:fill="FFDCE0" w:val="clear"/>
          </w:tcPr>
          <w:p>
            <w:r>
              <w:rPr>
                <w:sz w:val="17"/>
              </w:rPr>
              <w:t>J+4  Moyenne</w:t>
            </w:r>
          </w:p>
        </w:tc>
        <w:tc>
          <w:tcPr>
            <w:tcW w:type="dxa" w:w="1440"/>
            <w:shd w:fill="FFDCE0" w:val="clear"/>
          </w:tcPr>
          <w:p>
            <w:r>
              <w:rPr>
                <w:sz w:val="17"/>
              </w:rPr>
              <w:t>2026-09-03</w:t>
            </w:r>
          </w:p>
        </w:tc>
        <w:tc>
          <w:tcPr>
            <w:tcW w:type="dxa" w:w="1440"/>
            <w:shd w:fill="FFDCE0" w:val="clear"/>
          </w:tcPr>
          <w:p>
            <w:r>
              <w:rPr>
                <w:sz w:val="17"/>
              </w:rPr>
              <w:t>20,285</w:t>
            </w:r>
          </w:p>
        </w:tc>
        <w:tc>
          <w:tcPr>
            <w:tcW w:type="dxa" w:w="1440"/>
            <w:shd w:fill="FFDCE0" w:val="clear"/>
          </w:tcPr>
          <w:p>
            <w:r>
              <w:rPr>
                <w:b/>
                <w:sz w:val="17"/>
              </w:rPr>
              <w:t>21,670</w:t>
            </w:r>
          </w:p>
        </w:tc>
        <w:tc>
          <w:tcPr>
            <w:tcW w:type="dxa" w:w="1440"/>
            <w:shd w:fill="FFDCE0" w:val="clear"/>
          </w:tcPr>
          <w:p>
            <w:r>
              <w:rPr>
                <w:sz w:val="17"/>
              </w:rPr>
              <w:t>23,055</w:t>
            </w:r>
          </w:p>
        </w:tc>
        <w:tc>
          <w:tcPr>
            <w:tcW w:type="dxa" w:w="1440"/>
            <w:shd w:fill="FFDCE0" w:val="clear"/>
          </w:tcPr>
          <w:p>
            <w:r>
              <w:rPr>
                <w:b/>
                <w:color w:val="C00000"/>
                <w:sz w:val="17"/>
              </w:rPr>
              <w:t>-26.8%</w:t>
            </w:r>
          </w:p>
        </w:tc>
      </w:tr>
      <w:tr>
        <w:tc>
          <w:tcPr>
            <w:tcW w:type="dxa" w:w="1440"/>
            <w:shd w:fill="FFDCE0" w:val="clear"/>
          </w:tcPr>
          <w:p>
            <w:r>
              <w:rPr>
                <w:sz w:val="17"/>
              </w:rPr>
              <w:t>J+5  Moyenne</w:t>
            </w:r>
          </w:p>
        </w:tc>
        <w:tc>
          <w:tcPr>
            <w:tcW w:type="dxa" w:w="1440"/>
            <w:shd w:fill="FFDCE0" w:val="clear"/>
          </w:tcPr>
          <w:p>
            <w:r>
              <w:rPr>
                <w:sz w:val="17"/>
              </w:rPr>
              <w:t>2026-09-04</w:t>
            </w:r>
          </w:p>
        </w:tc>
        <w:tc>
          <w:tcPr>
            <w:tcW w:type="dxa" w:w="1440"/>
            <w:shd w:fill="FFDCE0" w:val="clear"/>
          </w:tcPr>
          <w:p>
            <w:r>
              <w:rPr>
                <w:sz w:val="17"/>
              </w:rPr>
              <w:t>18,612</w:t>
            </w:r>
          </w:p>
        </w:tc>
        <w:tc>
          <w:tcPr>
            <w:tcW w:type="dxa" w:w="1440"/>
            <w:shd w:fill="FFDCE0" w:val="clear"/>
          </w:tcPr>
          <w:p>
            <w:r>
              <w:rPr>
                <w:b/>
                <w:sz w:val="17"/>
              </w:rPr>
              <w:t>20,045</w:t>
            </w:r>
          </w:p>
        </w:tc>
        <w:tc>
          <w:tcPr>
            <w:tcW w:type="dxa" w:w="1440"/>
            <w:shd w:fill="FFDCE0" w:val="clear"/>
          </w:tcPr>
          <w:p>
            <w:r>
              <w:rPr>
                <w:sz w:val="17"/>
              </w:rPr>
              <w:t>21,477</w:t>
            </w:r>
          </w:p>
        </w:tc>
        <w:tc>
          <w:tcPr>
            <w:tcW w:type="dxa" w:w="1440"/>
            <w:shd w:fill="FFDCE0" w:val="clear"/>
          </w:tcPr>
          <w:p>
            <w:r>
              <w:rPr>
                <w:b/>
                <w:color w:val="C00000"/>
                <w:sz w:val="17"/>
              </w:rPr>
              <w:t>-32.3%</w:t>
            </w:r>
          </w:p>
        </w:tc>
      </w:tr>
      <w:tr>
        <w:tc>
          <w:tcPr>
            <w:tcW w:type="dxa" w:w="1440"/>
            <w:shd w:fill="FFDCE0" w:val="clear"/>
          </w:tcPr>
          <w:p>
            <w:r>
              <w:rPr>
                <w:sz w:val="17"/>
              </w:rPr>
              <w:t>J+6  Moyenne</w:t>
            </w:r>
          </w:p>
        </w:tc>
        <w:tc>
          <w:tcPr>
            <w:tcW w:type="dxa" w:w="1440"/>
            <w:shd w:fill="FFDCE0" w:val="clear"/>
          </w:tcPr>
          <w:p>
            <w:r>
              <w:rPr>
                <w:sz w:val="17"/>
              </w:rPr>
              <w:t>2026-09-07</w:t>
            </w:r>
          </w:p>
        </w:tc>
        <w:tc>
          <w:tcPr>
            <w:tcW w:type="dxa" w:w="1440"/>
            <w:shd w:fill="FFDCE0" w:val="clear"/>
          </w:tcPr>
          <w:p>
            <w:r>
              <w:rPr>
                <w:sz w:val="17"/>
              </w:rPr>
              <w:t>17,680</w:t>
            </w:r>
          </w:p>
        </w:tc>
        <w:tc>
          <w:tcPr>
            <w:tcW w:type="dxa" w:w="1440"/>
            <w:shd w:fill="FFDCE0" w:val="clear"/>
          </w:tcPr>
          <w:p>
            <w:r>
              <w:rPr>
                <w:b/>
                <w:sz w:val="17"/>
              </w:rPr>
              <w:t>19,182</w:t>
            </w:r>
          </w:p>
        </w:tc>
        <w:tc>
          <w:tcPr>
            <w:tcW w:type="dxa" w:w="1440"/>
            <w:shd w:fill="FFDCE0" w:val="clear"/>
          </w:tcPr>
          <w:p>
            <w:r>
              <w:rPr>
                <w:sz w:val="17"/>
              </w:rPr>
              <w:t>20,684</w:t>
            </w:r>
          </w:p>
        </w:tc>
        <w:tc>
          <w:tcPr>
            <w:tcW w:type="dxa" w:w="1440"/>
            <w:shd w:fill="FFDCE0" w:val="clear"/>
          </w:tcPr>
          <w:p>
            <w:r>
              <w:rPr>
                <w:b/>
                <w:color w:val="C00000"/>
                <w:sz w:val="17"/>
              </w:rPr>
              <w:t>-35.2%</w:t>
            </w:r>
          </w:p>
        </w:tc>
      </w:tr>
      <w:tr>
        <w:tc>
          <w:tcPr>
            <w:tcW w:type="dxa" w:w="1440"/>
            <w:shd w:fill="FFDCE0" w:val="clear"/>
          </w:tcPr>
          <w:p>
            <w:r>
              <w:rPr>
                <w:sz w:val="17"/>
              </w:rPr>
              <w:t>J+7  Moyenne</w:t>
            </w:r>
          </w:p>
        </w:tc>
        <w:tc>
          <w:tcPr>
            <w:tcW w:type="dxa" w:w="1440"/>
            <w:shd w:fill="FFDCE0" w:val="clear"/>
          </w:tcPr>
          <w:p>
            <w:r>
              <w:rPr>
                <w:sz w:val="17"/>
              </w:rPr>
              <w:t>2026-09-08</w:t>
            </w:r>
          </w:p>
        </w:tc>
        <w:tc>
          <w:tcPr>
            <w:tcW w:type="dxa" w:w="1440"/>
            <w:shd w:fill="FFDCE0" w:val="clear"/>
          </w:tcPr>
          <w:p>
            <w:r>
              <w:rPr>
                <w:sz w:val="17"/>
              </w:rPr>
              <w:t>17,106</w:t>
            </w:r>
          </w:p>
        </w:tc>
        <w:tc>
          <w:tcPr>
            <w:tcW w:type="dxa" w:w="1440"/>
            <w:shd w:fill="FFDCE0" w:val="clear"/>
          </w:tcPr>
          <w:p>
            <w:r>
              <w:rPr>
                <w:b/>
                <w:sz w:val="17"/>
              </w:rPr>
              <w:t>18,686</w:t>
            </w:r>
          </w:p>
        </w:tc>
        <w:tc>
          <w:tcPr>
            <w:tcW w:type="dxa" w:w="1440"/>
            <w:shd w:fill="FFDCE0" w:val="clear"/>
          </w:tcPr>
          <w:p>
            <w:r>
              <w:rPr>
                <w:sz w:val="17"/>
              </w:rPr>
              <w:t>20,266</w:t>
            </w:r>
          </w:p>
        </w:tc>
        <w:tc>
          <w:tcPr>
            <w:tcW w:type="dxa" w:w="1440"/>
            <w:shd w:fill="FFDCE0" w:val="clear"/>
          </w:tcPr>
          <w:p>
            <w:r>
              <w:rPr>
                <w:b/>
                <w:color w:val="C00000"/>
                <w:sz w:val="17"/>
              </w:rPr>
              <w:t>-36.9%</w:t>
            </w:r>
          </w:p>
        </w:tc>
      </w:tr>
      <w:tr>
        <w:tc>
          <w:tcPr>
            <w:tcW w:type="dxa" w:w="1440"/>
            <w:shd w:fill="FFDCE0" w:val="clear"/>
          </w:tcPr>
          <w:p>
            <w:r>
              <w:rPr>
                <w:sz w:val="17"/>
              </w:rPr>
              <w:t>J+8  Moyenne</w:t>
            </w:r>
          </w:p>
        </w:tc>
        <w:tc>
          <w:tcPr>
            <w:tcW w:type="dxa" w:w="1440"/>
            <w:shd w:fill="FFDCE0" w:val="clear"/>
          </w:tcPr>
          <w:p>
            <w:r>
              <w:rPr>
                <w:sz w:val="17"/>
              </w:rPr>
              <w:t>2026-09-09</w:t>
            </w:r>
          </w:p>
        </w:tc>
        <w:tc>
          <w:tcPr>
            <w:tcW w:type="dxa" w:w="1440"/>
            <w:shd w:fill="FFDCE0" w:val="clear"/>
          </w:tcPr>
          <w:p>
            <w:r>
              <w:rPr>
                <w:sz w:val="17"/>
              </w:rPr>
              <w:t>16,595</w:t>
            </w:r>
          </w:p>
        </w:tc>
        <w:tc>
          <w:tcPr>
            <w:tcW w:type="dxa" w:w="1440"/>
            <w:shd w:fill="FFDCE0" w:val="clear"/>
          </w:tcPr>
          <w:p>
            <w:r>
              <w:rPr>
                <w:b/>
                <w:sz w:val="17"/>
              </w:rPr>
              <w:t>18,244</w:t>
            </w:r>
          </w:p>
        </w:tc>
        <w:tc>
          <w:tcPr>
            <w:tcW w:type="dxa" w:w="1440"/>
            <w:shd w:fill="FFDCE0" w:val="clear"/>
          </w:tcPr>
          <w:p>
            <w:r>
              <w:rPr>
                <w:sz w:val="17"/>
              </w:rPr>
              <w:t>19,894</w:t>
            </w:r>
          </w:p>
        </w:tc>
        <w:tc>
          <w:tcPr>
            <w:tcW w:type="dxa" w:w="1440"/>
            <w:shd w:fill="FFDCE0" w:val="clear"/>
          </w:tcPr>
          <w:p>
            <w:r>
              <w:rPr>
                <w:b/>
                <w:color w:val="C00000"/>
                <w:sz w:val="17"/>
              </w:rPr>
              <w:t>-38.4%</w:t>
            </w:r>
          </w:p>
        </w:tc>
      </w:tr>
      <w:tr>
        <w:tc>
          <w:tcPr>
            <w:tcW w:type="dxa" w:w="1440"/>
            <w:shd w:fill="FFDCE0" w:val="clear"/>
          </w:tcPr>
          <w:p>
            <w:r>
              <w:rPr>
                <w:sz w:val="17"/>
              </w:rPr>
              <w:t>J+9  Moyenne</w:t>
            </w:r>
          </w:p>
        </w:tc>
        <w:tc>
          <w:tcPr>
            <w:tcW w:type="dxa" w:w="1440"/>
            <w:shd w:fill="FFDCE0" w:val="clear"/>
          </w:tcPr>
          <w:p>
            <w:r>
              <w:rPr>
                <w:sz w:val="17"/>
              </w:rPr>
              <w:t>2026-09-10</w:t>
            </w:r>
          </w:p>
        </w:tc>
        <w:tc>
          <w:tcPr>
            <w:tcW w:type="dxa" w:w="1440"/>
            <w:shd w:fill="FFDCE0" w:val="clear"/>
          </w:tcPr>
          <w:p>
            <w:r>
              <w:rPr>
                <w:sz w:val="17"/>
              </w:rPr>
              <w:t>16,135</w:t>
            </w:r>
          </w:p>
        </w:tc>
        <w:tc>
          <w:tcPr>
            <w:tcW w:type="dxa" w:w="1440"/>
            <w:shd w:fill="FFDCE0" w:val="clear"/>
          </w:tcPr>
          <w:p>
            <w:r>
              <w:rPr>
                <w:b/>
                <w:sz w:val="17"/>
              </w:rPr>
              <w:t>17,846</w:t>
            </w:r>
          </w:p>
        </w:tc>
        <w:tc>
          <w:tcPr>
            <w:tcW w:type="dxa" w:w="1440"/>
            <w:shd w:fill="FFDCE0" w:val="clear"/>
          </w:tcPr>
          <w:p>
            <w:r>
              <w:rPr>
                <w:sz w:val="17"/>
              </w:rPr>
              <w:t>19,557</w:t>
            </w:r>
          </w:p>
        </w:tc>
        <w:tc>
          <w:tcPr>
            <w:tcW w:type="dxa" w:w="1440"/>
            <w:shd w:fill="FFDCE0" w:val="clear"/>
          </w:tcPr>
          <w:p>
            <w:r>
              <w:rPr>
                <w:b/>
                <w:color w:val="C00000"/>
                <w:sz w:val="17"/>
              </w:rPr>
              <w:t>-39.7%</w:t>
            </w:r>
          </w:p>
        </w:tc>
      </w:tr>
      <w:tr>
        <w:tc>
          <w:tcPr>
            <w:tcW w:type="dxa" w:w="1440"/>
            <w:shd w:fill="FFDCE0" w:val="clear"/>
          </w:tcPr>
          <w:p>
            <w:r>
              <w:rPr>
                <w:sz w:val="17"/>
              </w:rPr>
              <w:t>J+10  Moyenne</w:t>
            </w:r>
          </w:p>
        </w:tc>
        <w:tc>
          <w:tcPr>
            <w:tcW w:type="dxa" w:w="1440"/>
            <w:shd w:fill="FFDCE0" w:val="clear"/>
          </w:tcPr>
          <w:p>
            <w:r>
              <w:rPr>
                <w:sz w:val="17"/>
              </w:rPr>
              <w:t>2026-09-11</w:t>
            </w:r>
          </w:p>
        </w:tc>
        <w:tc>
          <w:tcPr>
            <w:tcW w:type="dxa" w:w="1440"/>
            <w:shd w:fill="FFDCE0" w:val="clear"/>
          </w:tcPr>
          <w:p>
            <w:r>
              <w:rPr>
                <w:sz w:val="17"/>
              </w:rPr>
              <w:t>15,718</w:t>
            </w:r>
          </w:p>
        </w:tc>
        <w:tc>
          <w:tcPr>
            <w:tcW w:type="dxa" w:w="1440"/>
            <w:shd w:fill="FFDCE0" w:val="clear"/>
          </w:tcPr>
          <w:p>
            <w:r>
              <w:rPr>
                <w:b/>
                <w:sz w:val="17"/>
              </w:rPr>
              <w:t>17,485</w:t>
            </w:r>
          </w:p>
        </w:tc>
        <w:tc>
          <w:tcPr>
            <w:tcW w:type="dxa" w:w="1440"/>
            <w:shd w:fill="FFDCE0" w:val="clear"/>
          </w:tcPr>
          <w:p>
            <w:r>
              <w:rPr>
                <w:sz w:val="17"/>
              </w:rPr>
              <w:t>19,252</w:t>
            </w:r>
          </w:p>
        </w:tc>
        <w:tc>
          <w:tcPr>
            <w:tcW w:type="dxa" w:w="1440"/>
            <w:shd w:fill="FFDCE0" w:val="clear"/>
          </w:tcPr>
          <w:p>
            <w:r>
              <w:rPr>
                <w:b/>
                <w:color w:val="C00000"/>
                <w:sz w:val="17"/>
              </w:rPr>
              <w:t>-40.9%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CBIBF (CORIS BANK INTERNATIONAL BURKINA FASO)**</w:t>
        <w:br/>
        <w:t>**Date de l'analyse : 28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CBIBF s'établit à 947,20 milliards FCFA, ce qui en fait l'une des valeurs les plus lourdes et les plus liquides de la BRVM, représentant un poids significatif dans l'indice composite. Le BPA de 2 047 FCFA indique que chaque action a généré un bénéfice substantiel sur l'exercice 2025. Le PER de 14,5x se situe au-dessus de la moyenne historique de la place (~8-12x), ce qui suggère que le marché valorise déjà des perspectives de croissance solides et une prime de qualité pour ce titre. Le ratio EV/EBITDA de 10,7x, bien que dans la fourchette haute (10-15x), confirme cette perception d'une valorisation exigeante mais justifiable par la capacité opérationnelle de la banque. En l'absence de données sur les capitaux propres (P/B non calculable), nous nous concentrons sur les autres indicateurs pour évaluer la valorisation relative du titre.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CBIBF a enregistré une performance spectaculaire de +98,86%, passant d'un plus bas de 14 885 FCFA à un plus haut de 30 005 FCFA, pour clôturer à 29 600 FCFA. La variation de +0,71% lors de la dernière séance confirme une dynamique haussière persistante. La moyenne du cours sur la période est de 22 671 FCFA, tandis que la médiane est de 22 000 FCFA, indiquant une distribution légèrement asymétrique vers le haut, ce qui est cohérent avec la forte progression récente. L'écart-type de 5 050 FCFA (CV=22,3%) montre une dispersion modérée des prix autour de la moyenne. Le kurtosis négatif (-1,367) signale une distribution platykurtique, avec moins de valeurs extrêmes que la normale, tandis que le skewness quasi nul (-0,056) confirme une symétrie globale. La volatilité annualisée de 41,4% classe CBIBF comme un titre à très forte volatilité, reflétant un risque élevé mais aussi un potentiel de rendement important.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(29 600 FCFA) se positionne nettement au-dessus de la MM20 (28 718,5 FCFA) et de la MM50 (26 906,9 FCFA). Cette configuration haussière, où le prix évolue au-dessus des deux moyennes, confirme une tendance de fond positive. La décision "Achat" est justifiée par la vigueur du mouvement et l'écart croissant entre les moyennes, signe d'un momentum soutenu.</w:t>
      </w:r>
    </w:p>
    <w:p>
      <w:pPr>
        <w:spacing w:after="120" w:line="276" w:lineRule="auto"/>
      </w:pPr>
      <w:r>
        <w:t>**Bandes de Bollinger :** Le prix se situe à 29 600 FCFA, très proche de la borne supérieure (29 849 FCFA) et nettement au-dessus de la borne inférieure (27 587 FCFA). Cette position indique une pression acheteuse forte, mais le titre n'est pas encore en situation de surachat extrême. La décision "Neutre" suggère que le marché pourrait consolider avant une nouvelle impulsion, la volatilité restant élevée mais contrôlée.</w:t>
      </w:r>
    </w:p>
    <w:p>
      <w:pPr>
        <w:spacing w:after="120" w:line="276" w:lineRule="auto"/>
      </w:pPr>
      <w:r>
        <w:t>**MACD :** Le MACD (680,5) est légèrement inférieur à sa ligne de signal (707,9), indiquant un ralentissement du momentum haussier à très court terme. Cette divergence baissière, bien que mineure, justifie la décision "Vente" comme signal de prudence. Cependant, les deux lignes restent largement au-dessus de zéro, ce qui maintient une structure globalement positive.</w:t>
      </w:r>
    </w:p>
    <w:p>
      <w:pPr>
        <w:spacing w:after="120" w:line="276" w:lineRule="auto"/>
      </w:pPr>
      <w:r>
        <w:t>**RSI :** Le RSI à 63,88 se situe dans la zone neutre (30-70), sans signal de surachat ni de survente. Cette valeur indique que le titre conserve un potentiel de hausse sans être surchauffé, laissant place à une possible poursuite du mouvement. La décision "Neutre" est cohérente avec cette lecture.</w:t>
      </w:r>
    </w:p>
    <w:p>
      <w:pPr>
        <w:spacing w:after="120" w:line="276" w:lineRule="auto"/>
      </w:pPr>
      <w:r>
        <w:t>**Stochastique :** Le %K (76,26) est supérieur au %D (68,13), avec les deux lignes dans la zone haute. Bien que le croisement soit positif, la proximité de la zone de surachat (&gt;80) appelle à la vigilance. La décision "Neutre" reflète un équilibre entre momentum positif et risque de retournement.</w:t>
      </w:r>
    </w:p>
    <w:p>
      <w:pPr>
        <w:spacing w:after="120" w:line="276" w:lineRule="auto"/>
      </w:pPr>
      <w:r>
        <w:t>**Conclusion technique :** La tendance de fond reste résolument haussière, portée par les moyennes mobiles et la position du cours. Cependant, les signaux à court terme (MACD, Stochastique) suggèrent une possible consolidation ou un léger repli technique avant une reprise. Le RSI et les Bandes de Bollinger indiquent que le titre n'est pas encore en zone de surachat extrême, laissant entrevoir un potentiel de hausse résiduel.</w:t>
      </w:r>
    </w:p>
    <w:p>
      <w:pPr>
        <w:spacing w:after="120" w:line="276" w:lineRule="auto"/>
      </w:pPr>
      <w:r>
        <w:t>---</w:t>
      </w:r>
    </w:p>
    <w:p>
      <w:pPr>
        <w:spacing w:after="120" w:line="276" w:lineRule="auto"/>
      </w:pPr>
      <w:r>
        <w:t>### PARTIE 3 : ANALYSE FONDAMENTALE (SECTION CRITIQUE)</w:t>
      </w:r>
    </w:p>
    <w:p>
      <w:pPr>
        <w:spacing w:after="120" w:line="276" w:lineRule="auto"/>
      </w:pPr>
      <w:r>
        <w:t>En 2025, CBIBF a réalisé un Produit Net Bancaire (PNB) de 138,986 milliards FCFA, en croissance de 6,1% par rapport à 2024, et un résultat net de 65,495 milliards FCFA, en forte progression de 36,6% (contre 47,937 milliards en 2024). Cette performance remarquable s'explique par une amélioration significative du coût du risque, qui a diminué de 59,3% à 16,5 milliards FCFA, traduisant une meilleure qualité du portefeuille de crédits. La marge nette s'établit à 47,1%, tandis que le coefficient d'exploitation de 36,4% démontre une excellente maîtrise des charges. Le ROA de 2,18% est solide pour le secteur bancaire. Les dépôts clients ont bondi de 14,9% à 2 015 milliards FCFA, tandis que les crédits nets ont progressé de 5,4% à 1 327 milliards FCFA, indiquant une transformation saine. Sur la base du rapport T1 2026 (PNB de 36,8 milliards FCFA, +28,5% et résultat net de 21,5 milliards FCFA, +22,2%), on estime que l'exercice 2026 pourrait voir un PNB dépasser 160 milliards FCFA et un résultat net supérieur à 75 milliards FCFA, confirmant la dynamique positive. Les rapports de 2022 et 2024 montrent une trajectoire de croissance solide, avec des défis liés au coût du risque et à l'environnement sécuritaire, désormais mieux maîtrisés.</w:t>
      </w:r>
    </w:p>
    <w:p>
      <w:pPr>
        <w:spacing w:after="120" w:line="276" w:lineRule="auto"/>
      </w:pPr>
      <w:r>
        <w:t>---</w:t>
      </w:r>
    </w:p>
    <w:p>
      <w:pPr>
        <w:spacing w:after="120" w:line="276" w:lineRule="auto"/>
      </w:pPr>
      <w:r>
        <w:t>### PARTIE 4 : CONCLUSION D'INVESTISSEMENT</w:t>
      </w:r>
    </w:p>
    <w:p>
      <w:pPr>
        <w:spacing w:after="120" w:line="276" w:lineRule="auto"/>
      </w:pPr>
      <w:r>
        <w:t>La valorisation de CBIBF (PER 14,5x, EV/EBITDA 10,7x) indique que le marché intègre déjà les excellentes performances fondamentales, mais la forte croissance du résultat net (+36,6% en 2025) et les perspectives 2026 (estimées à +22% au T1) justifient cette prime. Le comportement du cours (+98,86% sur 100 jours) avec une volatilité élevée (41,4%) reflète un enthousiasme marqué des investisseurs, bien que les statistiques (kurtosis platykurtique, skewness symétrique) suggèrent une distribution des rendements relativement stable. Les signaux techniques sont globalement positifs (MM en configuration haussière, RSI neutre) mais montrent des signes de fatigue à court terme (MACD en divergence). Les fondamentaux sont excellents, avec une banque efficace, rentable et en croissance. Cependant, les prédictions IA pour les 10 prochains jours (de 27 380 à 20 045 FCFA) prévoient une correction brutale de plus de 30%, ce qui contredit fortement les signaux haussiers. Cette divergence majeure suggère un risque de retournement imminent après une hausse aussi spectaculaire. **Recommandation finale : VENTE** à court terme pour réaliser les gains, avec un niveau de confiance **Moyen** (les fondamentaux restent solides mais la correction technique semble probable). Le risque global est **Élevé** en raison de la volatilité extrême et de la divergence entre les prédictions IA et l'analyse technique. Horizon d'investissement optimal : **court terme (&lt;3 mois)** pour les traders, avec une réévaluation après la correction pour un investissement à moyen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315.59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3,623 titres</w:t>
            </w:r>
          </w:p>
        </w:tc>
        <w:tc>
          <w:tcPr>
            <w:tcW w:type="dxa" w:w="2268"/>
            <w:shd w:fill="FFF2CC" w:val="clear"/>
          </w:tcPr>
          <w:p>
            <w:r>
              <w:rPr>
                <w:b/>
                <w:color w:val="503200"/>
                <w:sz w:val="16"/>
              </w:rPr>
              <w:t xml:space="preserve">Cours actuel : </w:t>
            </w:r>
            <w:r>
              <w:rPr>
                <w:color w:val="000000"/>
                <w:sz w:val="17"/>
              </w:rPr>
              <w:t>1,740 FCFA</w:t>
            </w:r>
          </w:p>
          <w:p>
            <w:r>
              <w:rPr>
                <w:b/>
                <w:color w:val="503200"/>
                <w:sz w:val="16"/>
              </w:rPr>
              <w:t xml:space="preserve">Var. 100 jours : </w:t>
            </w:r>
            <w:r>
              <w:rPr>
                <w:b/>
                <w:color w:val="007800"/>
                <w:sz w:val="17"/>
              </w:rPr>
              <w:t>+8.41%</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6.45% (Moyenne) — μ=1,609 FCFA, σ=104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β=1.0759 (Neutre (suit le marché)) — Cov=0.000039, Var(idx)=0.000036, ρ=0.210,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3,623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annualisée≈48.8%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1,624</w:t>
            </w:r>
          </w:p>
        </w:tc>
        <w:tc>
          <w:tcPr>
            <w:tcW w:type="dxa" w:w="1440"/>
            <w:shd w:fill="FFDCE0" w:val="clear"/>
          </w:tcPr>
          <w:p>
            <w:r>
              <w:rPr>
                <w:b/>
                <w:sz w:val="17"/>
              </w:rPr>
              <w:t>1,696</w:t>
            </w:r>
          </w:p>
        </w:tc>
        <w:tc>
          <w:tcPr>
            <w:tcW w:type="dxa" w:w="1440"/>
            <w:shd w:fill="FFDCE0" w:val="clear"/>
          </w:tcPr>
          <w:p>
            <w:r>
              <w:rPr>
                <w:sz w:val="17"/>
              </w:rPr>
              <w:t>1,769</w:t>
            </w:r>
          </w:p>
        </w:tc>
        <w:tc>
          <w:tcPr>
            <w:tcW w:type="dxa" w:w="1440"/>
            <w:shd w:fill="FFDCE0" w:val="clear"/>
          </w:tcPr>
          <w:p>
            <w:r>
              <w:rPr>
                <w:b/>
                <w:color w:val="C00000"/>
                <w:sz w:val="17"/>
              </w:rPr>
              <w:t>-2.5%</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1,572</w:t>
            </w:r>
          </w:p>
        </w:tc>
        <w:tc>
          <w:tcPr>
            <w:tcW w:type="dxa" w:w="1440"/>
            <w:shd w:fill="FFDCE0" w:val="clear"/>
          </w:tcPr>
          <w:p>
            <w:r>
              <w:rPr>
                <w:b/>
                <w:sz w:val="17"/>
              </w:rPr>
              <w:t>1,674</w:t>
            </w:r>
          </w:p>
        </w:tc>
        <w:tc>
          <w:tcPr>
            <w:tcW w:type="dxa" w:w="1440"/>
            <w:shd w:fill="FFDCE0" w:val="clear"/>
          </w:tcPr>
          <w:p>
            <w:r>
              <w:rPr>
                <w:sz w:val="17"/>
              </w:rPr>
              <w:t>1,775</w:t>
            </w:r>
          </w:p>
        </w:tc>
        <w:tc>
          <w:tcPr>
            <w:tcW w:type="dxa" w:w="1440"/>
            <w:shd w:fill="FFDCE0" w:val="clear"/>
          </w:tcPr>
          <w:p>
            <w:r>
              <w:rPr>
                <w:b/>
                <w:color w:val="C00000"/>
                <w:sz w:val="17"/>
              </w:rPr>
              <w:t>-3.8%</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1,527</w:t>
            </w:r>
          </w:p>
        </w:tc>
        <w:tc>
          <w:tcPr>
            <w:tcW w:type="dxa" w:w="1440"/>
            <w:shd w:fill="FFDCE0" w:val="clear"/>
          </w:tcPr>
          <w:p>
            <w:r>
              <w:rPr>
                <w:b/>
                <w:sz w:val="17"/>
              </w:rPr>
              <w:t>1,649</w:t>
            </w:r>
          </w:p>
        </w:tc>
        <w:tc>
          <w:tcPr>
            <w:tcW w:type="dxa" w:w="1440"/>
            <w:shd w:fill="FFDCE0" w:val="clear"/>
          </w:tcPr>
          <w:p>
            <w:r>
              <w:rPr>
                <w:sz w:val="17"/>
              </w:rPr>
              <w:t>1,771</w:t>
            </w:r>
          </w:p>
        </w:tc>
        <w:tc>
          <w:tcPr>
            <w:tcW w:type="dxa" w:w="1440"/>
            <w:shd w:fill="FFDCE0" w:val="clear"/>
          </w:tcPr>
          <w:p>
            <w:r>
              <w:rPr>
                <w:b/>
                <w:color w:val="C00000"/>
                <w:sz w:val="17"/>
              </w:rPr>
              <w:t>-5.2%</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1,485</w:t>
            </w:r>
          </w:p>
        </w:tc>
        <w:tc>
          <w:tcPr>
            <w:tcW w:type="dxa" w:w="1440"/>
            <w:shd w:fill="FFDCE0" w:val="clear"/>
          </w:tcPr>
          <w:p>
            <w:r>
              <w:rPr>
                <w:b/>
                <w:sz w:val="17"/>
              </w:rPr>
              <w:t>1,624</w:t>
            </w:r>
          </w:p>
        </w:tc>
        <w:tc>
          <w:tcPr>
            <w:tcW w:type="dxa" w:w="1440"/>
            <w:shd w:fill="FFDCE0" w:val="clear"/>
          </w:tcPr>
          <w:p>
            <w:r>
              <w:rPr>
                <w:sz w:val="17"/>
              </w:rPr>
              <w:t>1,763</w:t>
            </w:r>
          </w:p>
        </w:tc>
        <w:tc>
          <w:tcPr>
            <w:tcW w:type="dxa" w:w="1440"/>
            <w:shd w:fill="FFDCE0" w:val="clear"/>
          </w:tcPr>
          <w:p>
            <w:r>
              <w:rPr>
                <w:b/>
                <w:color w:val="C00000"/>
                <w:sz w:val="17"/>
              </w:rPr>
              <w:t>-6.7%</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1,447</w:t>
            </w:r>
          </w:p>
        </w:tc>
        <w:tc>
          <w:tcPr>
            <w:tcW w:type="dxa" w:w="1440"/>
            <w:shd w:fill="FFDCE0" w:val="clear"/>
          </w:tcPr>
          <w:p>
            <w:r>
              <w:rPr>
                <w:b/>
                <w:sz w:val="17"/>
              </w:rPr>
              <w:t>1,600</w:t>
            </w:r>
          </w:p>
        </w:tc>
        <w:tc>
          <w:tcPr>
            <w:tcW w:type="dxa" w:w="1440"/>
            <w:shd w:fill="FFDCE0" w:val="clear"/>
          </w:tcPr>
          <w:p>
            <w:r>
              <w:rPr>
                <w:sz w:val="17"/>
              </w:rPr>
              <w:t>1,753</w:t>
            </w:r>
          </w:p>
        </w:tc>
        <w:tc>
          <w:tcPr>
            <w:tcW w:type="dxa" w:w="1440"/>
            <w:shd w:fill="FFDCE0" w:val="clear"/>
          </w:tcPr>
          <w:p>
            <w:r>
              <w:rPr>
                <w:b/>
                <w:color w:val="C00000"/>
                <w:sz w:val="17"/>
              </w:rPr>
              <w:t>-8.0%</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1,411</w:t>
            </w:r>
          </w:p>
        </w:tc>
        <w:tc>
          <w:tcPr>
            <w:tcW w:type="dxa" w:w="1440"/>
            <w:shd w:fill="FFDCE0" w:val="clear"/>
          </w:tcPr>
          <w:p>
            <w:r>
              <w:rPr>
                <w:b/>
                <w:sz w:val="17"/>
              </w:rPr>
              <w:t>1,576</w:t>
            </w:r>
          </w:p>
        </w:tc>
        <w:tc>
          <w:tcPr>
            <w:tcW w:type="dxa" w:w="1440"/>
            <w:shd w:fill="FFDCE0" w:val="clear"/>
          </w:tcPr>
          <w:p>
            <w:r>
              <w:rPr>
                <w:sz w:val="17"/>
              </w:rPr>
              <w:t>1,741</w:t>
            </w:r>
          </w:p>
        </w:tc>
        <w:tc>
          <w:tcPr>
            <w:tcW w:type="dxa" w:w="1440"/>
            <w:shd w:fill="FFDCE0" w:val="clear"/>
          </w:tcPr>
          <w:p>
            <w:r>
              <w:rPr>
                <w:b/>
                <w:color w:val="C00000"/>
                <w:sz w:val="17"/>
              </w:rPr>
              <w:t>-9.4%</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1,378</w:t>
            </w:r>
          </w:p>
        </w:tc>
        <w:tc>
          <w:tcPr>
            <w:tcW w:type="dxa" w:w="1440"/>
            <w:shd w:fill="FFDCE0" w:val="clear"/>
          </w:tcPr>
          <w:p>
            <w:r>
              <w:rPr>
                <w:b/>
                <w:sz w:val="17"/>
              </w:rPr>
              <w:t>1,553</w:t>
            </w:r>
          </w:p>
        </w:tc>
        <w:tc>
          <w:tcPr>
            <w:tcW w:type="dxa" w:w="1440"/>
            <w:shd w:fill="FFDCE0" w:val="clear"/>
          </w:tcPr>
          <w:p>
            <w:r>
              <w:rPr>
                <w:sz w:val="17"/>
              </w:rPr>
              <w:t>1,729</w:t>
            </w:r>
          </w:p>
        </w:tc>
        <w:tc>
          <w:tcPr>
            <w:tcW w:type="dxa" w:w="1440"/>
            <w:shd w:fill="FFDCE0" w:val="clear"/>
          </w:tcPr>
          <w:p>
            <w:r>
              <w:rPr>
                <w:b/>
                <w:color w:val="C00000"/>
                <w:sz w:val="17"/>
              </w:rPr>
              <w:t>-10.7%</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1,346</w:t>
            </w:r>
          </w:p>
        </w:tc>
        <w:tc>
          <w:tcPr>
            <w:tcW w:type="dxa" w:w="1440"/>
            <w:shd w:fill="FFDCE0" w:val="clear"/>
          </w:tcPr>
          <w:p>
            <w:r>
              <w:rPr>
                <w:b/>
                <w:sz w:val="17"/>
              </w:rPr>
              <w:t>1,531</w:t>
            </w:r>
          </w:p>
        </w:tc>
        <w:tc>
          <w:tcPr>
            <w:tcW w:type="dxa" w:w="1440"/>
            <w:shd w:fill="FFDCE0" w:val="clear"/>
          </w:tcPr>
          <w:p>
            <w:r>
              <w:rPr>
                <w:sz w:val="17"/>
              </w:rPr>
              <w:t>1,716</w:t>
            </w:r>
          </w:p>
        </w:tc>
        <w:tc>
          <w:tcPr>
            <w:tcW w:type="dxa" w:w="1440"/>
            <w:shd w:fill="FFDCE0" w:val="clear"/>
          </w:tcPr>
          <w:p>
            <w:r>
              <w:rPr>
                <w:b/>
                <w:color w:val="C00000"/>
                <w:sz w:val="17"/>
              </w:rPr>
              <w:t>-12.0%</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1,315</w:t>
            </w:r>
          </w:p>
        </w:tc>
        <w:tc>
          <w:tcPr>
            <w:tcW w:type="dxa" w:w="1440"/>
            <w:shd w:fill="FFDCE0" w:val="clear"/>
          </w:tcPr>
          <w:p>
            <w:r>
              <w:rPr>
                <w:b/>
                <w:sz w:val="17"/>
              </w:rPr>
              <w:t>1,509</w:t>
            </w:r>
          </w:p>
        </w:tc>
        <w:tc>
          <w:tcPr>
            <w:tcW w:type="dxa" w:w="1440"/>
            <w:shd w:fill="FFDCE0" w:val="clear"/>
          </w:tcPr>
          <w:p>
            <w:r>
              <w:rPr>
                <w:sz w:val="17"/>
              </w:rPr>
              <w:t>1,702</w:t>
            </w:r>
          </w:p>
        </w:tc>
        <w:tc>
          <w:tcPr>
            <w:tcW w:type="dxa" w:w="1440"/>
            <w:shd w:fill="FFDCE0" w:val="clear"/>
          </w:tcPr>
          <w:p>
            <w:r>
              <w:rPr>
                <w:b/>
                <w:color w:val="C00000"/>
                <w:sz w:val="17"/>
              </w:rPr>
              <w:t>-13.3%</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1,286</w:t>
            </w:r>
          </w:p>
        </w:tc>
        <w:tc>
          <w:tcPr>
            <w:tcW w:type="dxa" w:w="1440"/>
            <w:shd w:fill="FFDCE0" w:val="clear"/>
          </w:tcPr>
          <w:p>
            <w:r>
              <w:rPr>
                <w:b/>
                <w:sz w:val="17"/>
              </w:rPr>
              <w:t>1,487</w:t>
            </w:r>
          </w:p>
        </w:tc>
        <w:tc>
          <w:tcPr>
            <w:tcW w:type="dxa" w:w="1440"/>
            <w:shd w:fill="FFDCE0" w:val="clear"/>
          </w:tcPr>
          <w:p>
            <w:r>
              <w:rPr>
                <w:sz w:val="17"/>
              </w:rPr>
              <w:t>1,688</w:t>
            </w:r>
          </w:p>
        </w:tc>
        <w:tc>
          <w:tcPr>
            <w:tcW w:type="dxa" w:w="1440"/>
            <w:shd w:fill="FFDCE0" w:val="clear"/>
          </w:tcPr>
          <w:p>
            <w:r>
              <w:rPr>
                <w:b/>
                <w:color w:val="C00000"/>
                <w:sz w:val="17"/>
              </w:rPr>
              <w:t>-14.5%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**Date de l'analyse : 28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CFAC s'établit à **315,59 milliards FCFA**, un niveau significatif qui en fait l'une des valeurs les plus importantes de la BRVM, reflétant sa position dominante sur le marché automobile ivoirien. Le **BPA de 26 FCFA** indique que chaque action ne génère qu'un bénéfice modeste, ce qui explique le **PER de 67,2x**, extrêmement élevé par rapport à la moyenne de la BRVM (8-12x). Les investisseurs paient donc un prix très supérieur aux bénéfices actuels, anticipant une forte croissance future. Le **P/B de 16,22x** confirme cette prime considérable : le marché valorise l'action près de 16 fois sa valeur comptable, signe d'une valorisation très exigeante. Enfin, l'**EV/EBITDA de 34,2x** indique que la valeur totale de l'entreprise (capitalisation + dettes) représente plus de 34 fois son EBITDA, un niveau qui laisse peu de marge d'erreur et impose une croissance soutenue pour justifier ces multiples.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CFAC a progressé de **+8,41%**, avec une légère baisse de **-0,29%** lors de la dernière séance. Le cours a évolué dans une fourchette de **1 325 FCFA** (plus bas) à **1 825 FCFA** (plus haut), soit une amplitude de 500 FCFA, démontrant une volatilité intra-période notable. La moyenne de **1 609 FCFA** est très proche de la médiane (**1 602 FCFA**), indiquant une distribution relativement symétrique des prix, confirmée par un **skewness de -0,369** (légère asymétrie négative). L'écart-type de **104 FCFA** (CV = 6,5%) révèle une dispersion modérée autour de la moyenne, tandis que le **kurtosis de -0,189** (mésokurtique) suggère une distribution proche de la normale, sans risque de pics extrêmes. La **volatilité annualisée de 48,8%** est très élevée (&gt;30%), classant CFAC parmi les titres les plus risqués de la place, ce qui implique des fluctuations importantes et un risque de perte en capital significatif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(1 740 FCFA) se situe au-dessus de la MM20 (1 685,5 FCFA) et de la MM50 (1 675,7 FCFA), avec un écart positif de plus de 54 FCFA par rapport à la MM20. Cette configuration haussière, où le prix évolue au-dessus des deux moyennes, confirme une dynamique positive à court et moyen terme. La décision d'**Achat** est justifiée par cette structure de prix favorable.</w:t>
      </w:r>
    </w:p>
    <w:p>
      <w:pPr>
        <w:spacing w:after="120" w:line="276" w:lineRule="auto"/>
      </w:pPr>
      <w:r>
        <w:t>**Bandes de Bollinger** : Le cours (1 740 FCFA) se positionne dans la partie supérieure des bandes, entre la borne inférieure (1 591,25 FCFA) et la borne supérieure (1 779,75 FCFA), plus près de cette dernière. Cette position indique une pression acheteuse soutenue sans atteindre la zone de surachat extrême. La décision **Neutre** est cohérente : le titre conserve un potentiel de hausse mais approche d'une zone de résistance.</w:t>
      </w:r>
    </w:p>
    <w:p>
      <w:pPr>
        <w:spacing w:after="120" w:line="276" w:lineRule="auto"/>
      </w:pPr>
      <w:r>
        <w:t>**MACD** : La valeur du MACD (22,545) est nettement supérieure à son signal (13,138), avec un écart positif de 9,4 points. Cette divergence haussière confirme un momentum positif et une accélération de la tendance. La décision d'**Achat** est validée par cette dynamique, qui suggère une poursuite du mouvement haussier à court terme.</w:t>
      </w:r>
    </w:p>
    <w:p>
      <w:pPr>
        <w:spacing w:after="120" w:line="276" w:lineRule="auto"/>
      </w:pPr>
      <w:r>
        <w:t>**RSI** : Le RSI s'établit à **54,762**, dans la zone neutre (30-70), indiquant un équilibre entre pression acheteuse et vendeuse. Cette valeur ne montre ni surachat ni survente, laissant une marge de manœuvre pour une hausse supplémentaire. La décision **Neutre** est appropriée, le titre n'étant pas encore dans une zone de surachat critique.</w:t>
      </w:r>
    </w:p>
    <w:p>
      <w:pPr>
        <w:spacing w:after="120" w:line="276" w:lineRule="auto"/>
      </w:pPr>
      <w:r>
        <w:t>**Stochastique** : Le %K (84,848) et le %D (87,879) sont tous deux dans la zone de surachat (&gt;80), avec un %K inférieur au %D, signalant un croisement baissier potentiel. Cette configuration suggère un essoufflement du mouvement haussier à très court terme. La décision de **Vente** est justifiée par ce signal de retournement imminent.</w:t>
      </w:r>
    </w:p>
    <w:p>
      <w:pPr>
        <w:spacing w:after="120" w:line="276" w:lineRule="auto"/>
      </w:pPr>
      <w:r>
        <w:t>**Conclusion technique** : Les indicateurs sont globalement positifs (MM, MACD) mais montrent des signes de divergence avec le Stochastique en surachat. La tendance de fond reste haussière, mais un repli technique à court terme est probable avant une reprise. Le titre est dans une phase de consolidation après une forte progression, avec un risque de correction modérée.</w:t>
      </w:r>
    </w:p>
    <w:p>
      <w:pPr>
        <w:spacing w:after="120" w:line="276" w:lineRule="auto"/>
      </w:pPr>
      <w:r>
        <w:t>---</w:t>
      </w:r>
    </w:p>
    <w:p>
      <w:pPr>
        <w:spacing w:after="120" w:line="276" w:lineRule="auto"/>
      </w:pPr>
      <w:r>
        <w:t>### PARTIE 3 : ANALYSE FONDAMENTALE (SECTION CRITIQUE)</w:t>
      </w:r>
    </w:p>
    <w:p>
      <w:pPr>
        <w:spacing w:after="120" w:line="276" w:lineRule="auto"/>
      </w:pPr>
      <w:r>
        <w:t>**En 2024**, CFAC a réalisé un chiffre d'affaires de **158,313 milliards FCFA**, en baisse de **-12,1%** par rapport à 2023 (180,162 milliards), avec un résultat net de **4,693 milliards FCFA** (-26,7% vs 2023). Le **ROE de 24,13%** reste excellent (&gt;15%), démontrant une forte rentabilité des capitaux propres, tandis que le **ROA de 5,52%** reflète une utilisation correcte des actifs. En tant qu'entreprise de distribution automobile, le **BFR négatif de -3,482 milliards FCFA** est favorable, indiquant que l'entreprise finance son exploitation grâce à ses fournisseurs (délai fournisseurs de 81,75 jours contre 36,64 jours pour les clients). Cependant, la **trésorerie nette est négative (-624 millions FCFA)** et le **free cash flow est de -1,650 milliard FCFA**, signalant une pression sur la liquidité. Les rapports trimestriels 2025 montrent un **redressement spectaculaire** : au T1 2025, le CA atteint 46,161 milliards (+14,5%) avec un résultat net de 3,836 milliards (+279,7%), et au S1 2025, le CA progresse à 91,182 milliards (+18,4%) avec un résultat net de 5,420 milliards (+152,7%). Le T3 2025 confirme avec un CA de 43,580 milliards (+18,3%) et un résultat net de 1,489 milliard (+38,1%). **On estime que l'exercice 2025 devrait dépasser les 180 milliards de CA** avec un résultat net supérieur à 8 milliards, soit une croissance de plus de 70% par rapport à 2024. La société conserve son leadership avec 41,7% de part de marché, portée par les marques Suzuki (19,2%) et Toyota (14,7%).</w:t>
      </w:r>
    </w:p>
    <w:p>
      <w:pPr>
        <w:spacing w:after="120" w:line="276" w:lineRule="auto"/>
      </w:pPr>
      <w:r>
        <w:t>---</w:t>
      </w:r>
    </w:p>
    <w:p>
      <w:pPr>
        <w:spacing w:after="120" w:line="276" w:lineRule="auto"/>
      </w:pPr>
      <w:r>
        <w:t>### PARTIE 4 : CONCLUSION D'INVESTISSEMENT</w:t>
      </w:r>
    </w:p>
    <w:p>
      <w:pPr>
        <w:spacing w:after="120" w:line="276" w:lineRule="auto"/>
      </w:pPr>
      <w:r>
        <w:t>La valorisation de CFAC est **extrêmement exigeante** (PER 67,2x, P/B 16,22x, EV/EBITDA 34,2x), reflétant des anticipations de croissance très optimistes qui semblent se matérialiser avec le redressement de 2025. Le comportement du cours montre une tendance haussière (+8,41% sur 100 jours) avec une volatilité élevée (48,8%), mais une distribution des prix relativement stable. Les signaux techniques sont **mitigés** : les moyennes mobiles et le MACD sont positifs, mais le Stochastique en surachat suggère un repli à court terme. Les fondamentaux sont **solides** avec un ROE de 24,13%, un BFR négatif favorable, et une croissance estimée de plus de 70% du résultat net en 2025. Les prédictions IA (1 696 à 1 600 FCFA sur 10 jours) indiquent une **correction baissière de -8%**, contredisant la tendance haussière actuelle. **Recommandation finale : CONSERVER** avec un niveau de confiance **Moyen** et un risque global **Élevé**. La valorisation actuelle intègre déjà une forte croissance, et la correction prédite par l'IA suggère d'attendre un point d'entrée plus favorable. Horizon d'investissement : **moyen terme (3-12 mois)**, en surveillant la capacité de l'entreprise à maintenir sa croissance et à améliorer sa trésorerie.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375.20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6,065 titres</w:t>
            </w:r>
          </w:p>
        </w:tc>
        <w:tc>
          <w:tcPr>
            <w:tcW w:type="dxa" w:w="2268"/>
            <w:shd w:fill="FFF2CC" w:val="clear"/>
          </w:tcPr>
          <w:p>
            <w:r>
              <w:rPr>
                <w:b/>
                <w:color w:val="503200"/>
                <w:sz w:val="16"/>
              </w:rPr>
              <w:t xml:space="preserve">Cours actuel : </w:t>
            </w:r>
            <w:r>
              <w:rPr>
                <w:color w:val="000000"/>
                <w:sz w:val="17"/>
              </w:rPr>
              <w:t>6,700 FCFA</w:t>
            </w:r>
          </w:p>
          <w:p>
            <w:r>
              <w:rPr>
                <w:b/>
                <w:color w:val="503200"/>
                <w:sz w:val="16"/>
              </w:rPr>
              <w:t xml:space="preserve">Var. 100 jours : </w:t>
            </w:r>
            <w:r>
              <w:rPr>
                <w:b/>
                <w:color w:val="007800"/>
                <w:sz w:val="17"/>
              </w:rPr>
              <w:t>+97.06%</w:t>
            </w:r>
          </w:p>
          <w:p>
            <w:r>
              <w:rPr>
                <w:b/>
                <w:color w:val="503200"/>
                <w:sz w:val="16"/>
              </w:rPr>
              <w:t xml:space="preserve">Plus haut 100j : </w:t>
            </w:r>
            <w:r>
              <w:rPr>
                <w:color w:val="000000"/>
                <w:sz w:val="17"/>
              </w:rPr>
              <w:t>7,190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50.1%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29.8/100 → Moyen</w:t>
      </w:r>
    </w:p>
    <w:p>
      <w:pPr>
        <w:spacing w:before="40" w:after="80"/>
      </w:pPr>
      <w:r>
        <w:rPr>
          <w:rFonts w:ascii="Courier New" w:hAnsi="Courier New"/>
          <w:color w:val="825A00"/>
          <w:sz w:val="18"/>
        </w:rPr>
        <w:t>█████░░░░░░░░░░░░░░░  29.8/100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24.14% (Élevée) — μ=4,606 FCFA, σ=1,112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β=1.0223 (Neutre (suit le marché)) — Cov=0.000037, Var(idx)=0.000036, ρ=0.194,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6,065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σ_j=3.16%/j (Modérée) — Vol. annualisée≈50.1%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5,836</w:t>
            </w:r>
          </w:p>
        </w:tc>
        <w:tc>
          <w:tcPr>
            <w:tcW w:type="dxa" w:w="1440"/>
            <w:shd w:fill="FFDCE0" w:val="clear"/>
          </w:tcPr>
          <w:p>
            <w:r>
              <w:rPr>
                <w:b/>
                <w:sz w:val="17"/>
              </w:rPr>
              <w:t>6,198</w:t>
            </w:r>
          </w:p>
        </w:tc>
        <w:tc>
          <w:tcPr>
            <w:tcW w:type="dxa" w:w="1440"/>
            <w:shd w:fill="FFDCE0" w:val="clear"/>
          </w:tcPr>
          <w:p>
            <w:r>
              <w:rPr>
                <w:sz w:val="17"/>
              </w:rPr>
              <w:t>6,559</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5,259</w:t>
            </w:r>
          </w:p>
        </w:tc>
        <w:tc>
          <w:tcPr>
            <w:tcW w:type="dxa" w:w="1440"/>
            <w:shd w:fill="FFDCE0" w:val="clear"/>
          </w:tcPr>
          <w:p>
            <w:r>
              <w:rPr>
                <w:b/>
                <w:sz w:val="17"/>
              </w:rPr>
              <w:t>5,733</w:t>
            </w:r>
          </w:p>
        </w:tc>
        <w:tc>
          <w:tcPr>
            <w:tcW w:type="dxa" w:w="1440"/>
            <w:shd w:fill="FFDCE0" w:val="clear"/>
          </w:tcPr>
          <w:p>
            <w:r>
              <w:rPr>
                <w:sz w:val="17"/>
              </w:rPr>
              <w:t>6,206</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4,766</w:t>
            </w:r>
          </w:p>
        </w:tc>
        <w:tc>
          <w:tcPr>
            <w:tcW w:type="dxa" w:w="1440"/>
            <w:shd w:fill="FFDCE0" w:val="clear"/>
          </w:tcPr>
          <w:p>
            <w:r>
              <w:rPr>
                <w:b/>
                <w:sz w:val="17"/>
              </w:rPr>
              <w:t>5,303</w:t>
            </w:r>
          </w:p>
        </w:tc>
        <w:tc>
          <w:tcPr>
            <w:tcW w:type="dxa" w:w="1440"/>
            <w:shd w:fill="FFDCE0" w:val="clear"/>
          </w:tcPr>
          <w:p>
            <w:r>
              <w:rPr>
                <w:sz w:val="17"/>
              </w:rPr>
              <w:t>5,839</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4,332</w:t>
            </w:r>
          </w:p>
        </w:tc>
        <w:tc>
          <w:tcPr>
            <w:tcW w:type="dxa" w:w="1440"/>
            <w:shd w:fill="FFDCE0" w:val="clear"/>
          </w:tcPr>
          <w:p>
            <w:r>
              <w:rPr>
                <w:b/>
                <w:sz w:val="17"/>
              </w:rPr>
              <w:t>4,905</w:t>
            </w:r>
          </w:p>
        </w:tc>
        <w:tc>
          <w:tcPr>
            <w:tcW w:type="dxa" w:w="1440"/>
            <w:shd w:fill="FFDCE0" w:val="clear"/>
          </w:tcPr>
          <w:p>
            <w:r>
              <w:rPr>
                <w:sz w:val="17"/>
              </w:rPr>
              <w:t>5,478</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3,945</w:t>
            </w:r>
          </w:p>
        </w:tc>
        <w:tc>
          <w:tcPr>
            <w:tcW w:type="dxa" w:w="1440"/>
            <w:shd w:fill="FFDCE0" w:val="clear"/>
          </w:tcPr>
          <w:p>
            <w:r>
              <w:rPr>
                <w:b/>
                <w:sz w:val="17"/>
              </w:rPr>
              <w:t>4,537</w:t>
            </w:r>
          </w:p>
        </w:tc>
        <w:tc>
          <w:tcPr>
            <w:tcW w:type="dxa" w:w="1440"/>
            <w:shd w:fill="FFDCE0" w:val="clear"/>
          </w:tcPr>
          <w:p>
            <w:r>
              <w:rPr>
                <w:sz w:val="17"/>
              </w:rPr>
              <w:t>5,130</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3,597</w:t>
            </w:r>
          </w:p>
        </w:tc>
        <w:tc>
          <w:tcPr>
            <w:tcW w:type="dxa" w:w="1440"/>
            <w:shd w:fill="FFDCE0" w:val="clear"/>
          </w:tcPr>
          <w:p>
            <w:r>
              <w:rPr>
                <w:b/>
                <w:sz w:val="17"/>
              </w:rPr>
              <w:t>4,197</w:t>
            </w:r>
          </w:p>
        </w:tc>
        <w:tc>
          <w:tcPr>
            <w:tcW w:type="dxa" w:w="1440"/>
            <w:shd w:fill="FFDCE0" w:val="clear"/>
          </w:tcPr>
          <w:p>
            <w:r>
              <w:rPr>
                <w:sz w:val="17"/>
              </w:rPr>
              <w:t>4,797</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3,282</w:t>
            </w:r>
          </w:p>
        </w:tc>
        <w:tc>
          <w:tcPr>
            <w:tcW w:type="dxa" w:w="1440"/>
            <w:shd w:fill="FFDCE0" w:val="clear"/>
          </w:tcPr>
          <w:p>
            <w:r>
              <w:rPr>
                <w:b/>
                <w:sz w:val="17"/>
              </w:rPr>
              <w:t>3,882</w:t>
            </w:r>
          </w:p>
        </w:tc>
        <w:tc>
          <w:tcPr>
            <w:tcW w:type="dxa" w:w="1440"/>
            <w:shd w:fill="FFDCE0" w:val="clear"/>
          </w:tcPr>
          <w:p>
            <w:r>
              <w:rPr>
                <w:sz w:val="17"/>
              </w:rPr>
              <w:t>4,482</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2,998</w:t>
            </w:r>
          </w:p>
        </w:tc>
        <w:tc>
          <w:tcPr>
            <w:tcW w:type="dxa" w:w="1440"/>
            <w:shd w:fill="FFDCE0" w:val="clear"/>
          </w:tcPr>
          <w:p>
            <w:r>
              <w:rPr>
                <w:b/>
                <w:sz w:val="17"/>
              </w:rPr>
              <w:t>3,591</w:t>
            </w:r>
          </w:p>
        </w:tc>
        <w:tc>
          <w:tcPr>
            <w:tcW w:type="dxa" w:w="1440"/>
            <w:shd w:fill="FFDCE0" w:val="clear"/>
          </w:tcPr>
          <w:p>
            <w:r>
              <w:rPr>
                <w:sz w:val="17"/>
              </w:rPr>
              <w:t>4,184</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2,758</w:t>
            </w:r>
          </w:p>
        </w:tc>
        <w:tc>
          <w:tcPr>
            <w:tcW w:type="dxa" w:w="1440"/>
            <w:shd w:fill="FFDCE0" w:val="clear"/>
          </w:tcPr>
          <w:p>
            <w:r>
              <w:rPr>
                <w:b/>
                <w:sz w:val="17"/>
              </w:rPr>
              <w:t>3,344</w:t>
            </w:r>
          </w:p>
        </w:tc>
        <w:tc>
          <w:tcPr>
            <w:tcW w:type="dxa" w:w="1440"/>
            <w:shd w:fill="FFDCE0" w:val="clear"/>
          </w:tcPr>
          <w:p>
            <w:r>
              <w:rPr>
                <w:sz w:val="17"/>
              </w:rPr>
              <w:t>3,930</w:t>
            </w:r>
          </w:p>
        </w:tc>
        <w:tc>
          <w:tcPr>
            <w:tcW w:type="dxa" w:w="1440"/>
            <w:shd w:fill="FFDCE0" w:val="clear"/>
          </w:tcPr>
          <w:p>
            <w:r>
              <w:rPr>
                <w:b/>
                <w:color w:val="C00000"/>
                <w:sz w:val="17"/>
              </w:rPr>
              <w:t>-50.1%</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2,661</w:t>
            </w:r>
          </w:p>
        </w:tc>
        <w:tc>
          <w:tcPr>
            <w:tcW w:type="dxa" w:w="1440"/>
            <w:shd w:fill="FFDCE0" w:val="clear"/>
          </w:tcPr>
          <w:p>
            <w:r>
              <w:rPr>
                <w:b/>
                <w:sz w:val="17"/>
              </w:rPr>
              <w:t>3,264</w:t>
            </w:r>
          </w:p>
        </w:tc>
        <w:tc>
          <w:tcPr>
            <w:tcW w:type="dxa" w:w="1440"/>
            <w:shd w:fill="FFDCE0" w:val="clear"/>
          </w:tcPr>
          <w:p>
            <w:r>
              <w:rPr>
                <w:sz w:val="17"/>
              </w:rPr>
              <w:t>3,867</w:t>
            </w:r>
          </w:p>
        </w:tc>
        <w:tc>
          <w:tcPr>
            <w:tcW w:type="dxa" w:w="1440"/>
            <w:shd w:fill="FFDCE0" w:val="clear"/>
          </w:tcPr>
          <w:p>
            <w:r>
              <w:rPr>
                <w:b/>
                <w:color w:val="C00000"/>
                <w:sz w:val="17"/>
              </w:rPr>
              <w:t>-51.3%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Absolument. Voici un rapport d'analyse financière structuré et professionnel sur l'action CIEC,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CIEC s'établit à 375,20 milliards FCFA, un niveau qui la positionne parmi les valeurs moyennes à grandes de la BRVM. Avec un BPA de 234 FCFA, le PER de 28,6x est très élevé, plus de deux fois supérieur à la moyenne historique du marché (8-12x), indiquant que les investisseurs paient une prime substantielle pour la croissance anticipée. Le P/B de 10,43x confirme cette prime, le marché valorisant l'actif net à plus de dix fois sa valeur comptable, ce qui est extrêmement exigeant. Enfin, un EV/EBITDA de 15,2x souligne que la valeur totale de l'entreprise (capitalisation + dette nette) est élevée par rapport à sa capacité opérationnelle, renforçant l'idée d'une valorisation qui intègre des attentes de performance future très optimistes.</w:t>
      </w:r>
    </w:p>
    <w:p>
      <w:pPr>
        <w:spacing w:after="120" w:line="276" w:lineRule="auto"/>
      </w:pPr>
      <w:r>
        <w:t>### PARTIE 1 : ANALYSE DU COURS — STATISTIQUES ET ÉVOLUTION (100 derniers jours)</w:t>
      </w:r>
    </w:p>
    <w:p>
      <w:pPr>
        <w:spacing w:after="120" w:line="276" w:lineRule="auto"/>
      </w:pPr>
      <w:r>
        <w:t>Sur les 100 derniers jours, l'action CIEC a connu une progression spectaculaire de +97,06%, passant d'un plus bas de 3 000 FCFA à un plus haut de 7 190 FCFA, avec une légère hausse de +0,30% lors de la dernière séance. Cette tendance est résolument haussière, le cours actuel de 6 700 FCFA se situant bien au-dessus de la moyenne (4 606 FCFA) et de la médiane (4 995 FCFA). L'écart entre la moyenne et la médiane, couplé à un skewness positif (0.111), indique une distribution des prix légèrement asymétrique vers la droite, avec des extrêmes hauts. L'écart-type de 1 117 FCFA (CV de 24,3%) montre une dispersion modérée, tandis que le kurtosis de -0.750 (mésokurtique) suggère une distribution proche de la normale, sans risque de pics extrêmes. La volatilité annualisée de 50,1% est élevée, signalant un titre très dynamique mais risqué pour les investisseurs à court terme.</w:t>
      </w:r>
    </w:p>
    <w:p>
      <w:pPr>
        <w:spacing w:after="120" w:line="276" w:lineRule="auto"/>
      </w:pPr>
      <w:r>
        <w:t>### PARTIE 2 : ANALYSE TECHNIQUE DÉTAILLÉE</w:t>
      </w:r>
    </w:p>
    <w:p>
      <w:pPr>
        <w:spacing w:after="120" w:line="276" w:lineRule="auto"/>
      </w:pPr>
      <w:r>
        <w:t>**Moyennes Mobiles**: Le cours actuel (6 700 FCFA) est nettement supérieur à la MM20 (5 870,75 FCFA) et à la MM50 (5 479,8 FCFA), qui sont orientées à la hausse. Cette configuration en "trend haussier" est un signal d'achat classique, confirmant la dynamique positive du titre à moyen terme.</w:t>
      </w:r>
    </w:p>
    <w:p>
      <w:pPr>
        <w:spacing w:after="120" w:line="276" w:lineRule="auto"/>
      </w:pPr>
      <w:r>
        <w:t>**Bandes de Bollinger**: Le prix se situe à 6 700 FCFA, en dessous de la borne supérieure (7 560,886 FCFA) mais bien au-dessus de la borne inférieure (4 180,614 FCFA). La largeur des bandes reflète la volatilité élevée. La position du prix dans la moitié supérieure des bandes indique une pression acheteuse persistante, mais sans atteindre la zone de surachat extrême, d'où une décision "Neutre".</w:t>
      </w:r>
    </w:p>
    <w:p>
      <w:pPr>
        <w:spacing w:after="120" w:line="276" w:lineRule="auto"/>
      </w:pPr>
      <w:r>
        <w:t>**MACD**: Le MACD (466,055) est nettement supérieur à son signal (368,601), et les deux sont positifs. Cette configuration, avec un écart croissant, confirme un momentum haussier très fort. Le signal d'achat est clair et indique que la dynamique positive est toujours en place.</w:t>
      </w:r>
    </w:p>
    <w:p>
      <w:pPr>
        <w:spacing w:after="120" w:line="276" w:lineRule="auto"/>
      </w:pPr>
      <w:r>
        <w:t>**RSI**: Le RSI à 79,577 est bien au-dessus du seuil de surachat de 70. Cela indique que le titre est fortement suracheté à court terme. Bien que cela ne signifie pas une baisse imminente, cela suggère que le potentiel de hausse supplémentaire est limité et qu'un risque de correction technique est élevé. La décision est donc "Vente".</w:t>
      </w:r>
    </w:p>
    <w:p>
      <w:pPr>
        <w:spacing w:after="120" w:line="276" w:lineRule="auto"/>
      </w:pPr>
      <w:r>
        <w:t>**Stochastique**: Le %K (75,98) est inférieur à %D (80,811), et les deux sont à des niveaux élevés. Ce croisement baissier potentiel, dans la zone de surachat, est un signal de prudence. La décision "Neutre" reflète l'incertitude sur la poursuite du mouvement haussier à très court terme.</w:t>
      </w:r>
    </w:p>
    <w:p>
      <w:pPr>
        <w:spacing w:after="120" w:line="276" w:lineRule="auto"/>
      </w:pPr>
      <w:r>
        <w:t>**Conclusion technique**: Les indicateurs de tendance (MM, MACD) sont résolument haussiers, mais les oscillateurs de momentum (RSI, Stochastique) signalent une condition de surachat. Cette divergence suggère que la tendance de fond reste positive, mais qu'un repli technique ou une phase de consolidation est probable à très court terme avant une éventuelle reprise de la hausse.</w:t>
      </w:r>
    </w:p>
    <w:p>
      <w:pPr>
        <w:spacing w:after="120" w:line="276" w:lineRule="auto"/>
      </w:pPr>
      <w:r>
        <w:t>### PARTIE 3 : ANALYSE FONDAMENTALE (SECTION CRITIQUE)</w:t>
      </w:r>
    </w:p>
    <w:p>
      <w:pPr>
        <w:spacing w:after="120" w:line="276" w:lineRule="auto"/>
      </w:pPr>
      <w:r>
        <w:t>En 2025, la CIEC affiche des performances financières solides. Le chiffre d'affaires s'établit à 302,320 Mds FCFA, en hausse de 14,8% par rapport à 2024, et le résultat net atteint 13,127 Mds FCFA, en progression de 24,4% (rapport annuel 2025). Cette croissance est portée par une demande dynamique (+8,3% des ventes d'énergie) et une base clients en expansion (+15,1%). La rentabilité des fonds propres (ROE) est excellente à 36,5%, mais le ROA est faible (0,65%) en raison d'un total de bilan très élevé (2 018 Mds FCFA), caractéristique du secteur. En tant qu'entreprise, l'analyse des délais est cruciale : le délai de paiement des clients est très long (164 jours), ce qui représente un risque de trésorerie, mais il est largement compensé par un délai de paiement des fournisseurs extrêmement long (970 jours) et un BFR négatif de -90,244 Mds FCFA, une situation très favorable. Le rapport du 1er semestre 2025 confirme la tendance avec un CA en hausse de 18,85% et un résultat net en progression de 13,4%. Sur la base de cette performance semestrielle, on estime que l'exercice 2026 pourrait voir une croissance du CA et du résultat net dans une fourchette de 10-15%, si la demande reste soutenue. Cependant, la dépendance au cadre réglementaire de la concession et le niveau d'endettement (612,9% des capitaux propres) constituent des risques à surveiller. La recommandation fondamentale est de **CONSERVER**, la société étant fondamentalement saine avec une croissance et une rentabilité opérationnelle solides, mais une valorisation boursière qui a déjà intégré une grande partie de ces bonnes nouvelles.</w:t>
      </w:r>
    </w:p>
    <w:p>
      <w:pPr>
        <w:spacing w:after="120" w:line="276" w:lineRule="auto"/>
      </w:pPr>
      <w:r>
        <w:t>### PARTIE 4 : CONCLUSION D'INVESTISSEMENT</w:t>
      </w:r>
    </w:p>
    <w:p>
      <w:pPr>
        <w:spacing w:after="120" w:line="276" w:lineRule="auto"/>
      </w:pPr>
      <w:r>
        <w:t>La synthèse des analyses révèle une situation contrastée. La valorisation (Partie 0) est extrêmement exigeante avec un PER de 28,6x et un P/B de 10,43x, indiquant une surévaluation relative par rapport aux fondamentaux historiques. Le comportement du cours (Partie 1) montre une tendance haussière spectaculaire mais avec une volatilité très élevée (50,1%). Les signaux techniques (Partie 2) sont partagés : la tendance de fond (MM, MACD) est haussière, mais les oscillateurs (RSI, Stochastique) sont en zone de surachat, suggérant un risque de correction. Les fondamentaux (Partie 3) sont solides, avec une croissance du CA et du résultat net, une excellente rentabilité des capitaux propres et un BFR négatif favorable, mais la valorisation actuelle semble avoir anticipé ces performances. Enfin, les prédictions IA pour les 10 prochains jours (chute de 6 700 à 4 537 FCFA) confirment le risque de correction technique identifié par le RSI. En conclusion, la convergence des signaux de surachat technique et de la prédiction IA, malgré des fondamentaux solides, conduit à une recommandation de **VENTE** à court terme pour profiter de la correction et de **CONSERVER** à moyen/long terme pour les investisseurs de fond. Le niveau de confiance est **Moyen**, le risque global est **Élevé** en raison de la volatilité et de la valorisation, et l'horizon d'investissement optimal serait de moyen terme (3-12 mois) après une probable phase de consolidation.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927.33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3,802 titres</w:t>
            </w:r>
          </w:p>
        </w:tc>
        <w:tc>
          <w:tcPr>
            <w:tcW w:type="dxa" w:w="2268"/>
            <w:shd w:fill="FFF2CC" w:val="clear"/>
          </w:tcPr>
          <w:p>
            <w:r>
              <w:rPr>
                <w:b/>
                <w:color w:val="503200"/>
                <w:sz w:val="16"/>
              </w:rPr>
              <w:t xml:space="preserve">Cours actuel : </w:t>
            </w:r>
            <w:r>
              <w:rPr>
                <w:color w:val="000000"/>
                <w:sz w:val="17"/>
              </w:rPr>
              <w:t>16,845 FCFA</w:t>
            </w:r>
          </w:p>
          <w:p>
            <w:r>
              <w:rPr>
                <w:b/>
                <w:color w:val="503200"/>
                <w:sz w:val="16"/>
              </w:rPr>
              <w:t xml:space="preserve">Var. 100 jours : </w:t>
            </w:r>
            <w:r>
              <w:rPr>
                <w:b/>
                <w:color w:val="007800"/>
                <w:sz w:val="17"/>
              </w:rPr>
              <w:t>+3.03%</w:t>
            </w:r>
          </w:p>
          <w:p>
            <w:r>
              <w:rPr>
                <w:b/>
                <w:color w:val="503200"/>
                <w:sz w:val="16"/>
              </w:rPr>
              <w:t xml:space="preserve">Plus haut 100j : </w:t>
            </w:r>
            <w:r>
              <w:rPr>
                <w:color w:val="000000"/>
                <w:sz w:val="17"/>
              </w:rPr>
              <w:t>17,270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2.26% (Faible) — μ=16,332 FCFA, σ=369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β=0.3363 (Défensif) — Cov=0.000012, Var(idx)=0.000036, ρ=0.116,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3,802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σ_j=1.74%/j (Stable) — Vol. annualisée≈27.6%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16,366</w:t>
            </w:r>
          </w:p>
        </w:tc>
        <w:tc>
          <w:tcPr>
            <w:tcW w:type="dxa" w:w="1440"/>
            <w:shd w:fill="FAFAFA" w:val="clear"/>
          </w:tcPr>
          <w:p>
            <w:r>
              <w:rPr>
                <w:b/>
                <w:sz w:val="17"/>
              </w:rPr>
              <w:t>16,742</w:t>
            </w:r>
          </w:p>
        </w:tc>
        <w:tc>
          <w:tcPr>
            <w:tcW w:type="dxa" w:w="1440"/>
            <w:shd w:fill="FAFAFA" w:val="clear"/>
          </w:tcPr>
          <w:p>
            <w:r>
              <w:rPr>
                <w:sz w:val="17"/>
              </w:rPr>
              <w:t>17,119</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16,195</w:t>
            </w:r>
          </w:p>
        </w:tc>
        <w:tc>
          <w:tcPr>
            <w:tcW w:type="dxa" w:w="1440"/>
            <w:shd w:fill="FAFAFA" w:val="clear"/>
          </w:tcPr>
          <w:p>
            <w:r>
              <w:rPr>
                <w:b/>
                <w:sz w:val="17"/>
              </w:rPr>
              <w:t>16,726</w:t>
            </w:r>
          </w:p>
        </w:tc>
        <w:tc>
          <w:tcPr>
            <w:tcW w:type="dxa" w:w="1440"/>
            <w:shd w:fill="FAFAFA" w:val="clear"/>
          </w:tcPr>
          <w:p>
            <w:r>
              <w:rPr>
                <w:sz w:val="17"/>
              </w:rPr>
              <w:t>17,258</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2026-09-02</w:t>
            </w:r>
          </w:p>
        </w:tc>
        <w:tc>
          <w:tcPr>
            <w:tcW w:type="dxa" w:w="1440"/>
            <w:shd w:fill="FAFAFA" w:val="clear"/>
          </w:tcPr>
          <w:p>
            <w:r>
              <w:rPr>
                <w:sz w:val="17"/>
              </w:rPr>
              <w:t>16,054</w:t>
            </w:r>
          </w:p>
        </w:tc>
        <w:tc>
          <w:tcPr>
            <w:tcW w:type="dxa" w:w="1440"/>
            <w:shd w:fill="FAFAFA" w:val="clear"/>
          </w:tcPr>
          <w:p>
            <w:r>
              <w:rPr>
                <w:b/>
                <w:sz w:val="17"/>
              </w:rPr>
              <w:t>16,704</w:t>
            </w:r>
          </w:p>
        </w:tc>
        <w:tc>
          <w:tcPr>
            <w:tcW w:type="dxa" w:w="1440"/>
            <w:shd w:fill="FAFAFA" w:val="clear"/>
          </w:tcPr>
          <w:p>
            <w:r>
              <w:rPr>
                <w:sz w:val="17"/>
              </w:rPr>
              <w:t>17,355</w:t>
            </w:r>
          </w:p>
        </w:tc>
        <w:tc>
          <w:tcPr>
            <w:tcW w:type="dxa" w:w="1440"/>
            <w:shd w:fill="FAFAFA" w:val="clear"/>
          </w:tcPr>
          <w:p>
            <w:r>
              <w:rPr>
                <w:b/>
                <w:color w:val="C00000"/>
                <w:sz w:val="17"/>
              </w:rPr>
              <w:t>-0.8%</w:t>
            </w:r>
          </w:p>
        </w:tc>
      </w:tr>
      <w:tr>
        <w:tc>
          <w:tcPr>
            <w:tcW w:type="dxa" w:w="1440"/>
            <w:shd w:fill="FAFAFA" w:val="clear"/>
          </w:tcPr>
          <w:p>
            <w:r>
              <w:rPr>
                <w:sz w:val="17"/>
              </w:rPr>
              <w:t>J+4  Moyenne</w:t>
            </w:r>
          </w:p>
        </w:tc>
        <w:tc>
          <w:tcPr>
            <w:tcW w:type="dxa" w:w="1440"/>
            <w:shd w:fill="FAFAFA" w:val="clear"/>
          </w:tcPr>
          <w:p>
            <w:r>
              <w:rPr>
                <w:sz w:val="17"/>
              </w:rPr>
              <w:t>2026-09-03</w:t>
            </w:r>
          </w:p>
        </w:tc>
        <w:tc>
          <w:tcPr>
            <w:tcW w:type="dxa" w:w="1440"/>
            <w:shd w:fill="FAFAFA" w:val="clear"/>
          </w:tcPr>
          <w:p>
            <w:r>
              <w:rPr>
                <w:sz w:val="17"/>
              </w:rPr>
              <w:t>15,934</w:t>
            </w:r>
          </w:p>
        </w:tc>
        <w:tc>
          <w:tcPr>
            <w:tcW w:type="dxa" w:w="1440"/>
            <w:shd w:fill="FAFAFA" w:val="clear"/>
          </w:tcPr>
          <w:p>
            <w:r>
              <w:rPr>
                <w:b/>
                <w:sz w:val="17"/>
              </w:rPr>
              <w:t>16,684</w:t>
            </w:r>
          </w:p>
        </w:tc>
        <w:tc>
          <w:tcPr>
            <w:tcW w:type="dxa" w:w="1440"/>
            <w:shd w:fill="FAFAFA" w:val="clear"/>
          </w:tcPr>
          <w:p>
            <w:r>
              <w:rPr>
                <w:sz w:val="17"/>
              </w:rPr>
              <w:t>17,434</w:t>
            </w:r>
          </w:p>
        </w:tc>
        <w:tc>
          <w:tcPr>
            <w:tcW w:type="dxa" w:w="1440"/>
            <w:shd w:fill="FAFAFA" w:val="clear"/>
          </w:tcPr>
          <w:p>
            <w:r>
              <w:rPr>
                <w:b/>
                <w:color w:val="C00000"/>
                <w:sz w:val="17"/>
              </w:rPr>
              <w:t>-1.0%</w:t>
            </w:r>
          </w:p>
        </w:tc>
      </w:tr>
      <w:tr>
        <w:tc>
          <w:tcPr>
            <w:tcW w:type="dxa" w:w="1440"/>
            <w:shd w:fill="FAFAFA" w:val="clear"/>
          </w:tcPr>
          <w:p>
            <w:r>
              <w:rPr>
                <w:sz w:val="17"/>
              </w:rPr>
              <w:t>J+5  Moyenne</w:t>
            </w:r>
          </w:p>
        </w:tc>
        <w:tc>
          <w:tcPr>
            <w:tcW w:type="dxa" w:w="1440"/>
            <w:shd w:fill="FAFAFA" w:val="clear"/>
          </w:tcPr>
          <w:p>
            <w:r>
              <w:rPr>
                <w:sz w:val="17"/>
              </w:rPr>
              <w:t>2026-09-04</w:t>
            </w:r>
          </w:p>
        </w:tc>
        <w:tc>
          <w:tcPr>
            <w:tcW w:type="dxa" w:w="1440"/>
            <w:shd w:fill="FAFAFA" w:val="clear"/>
          </w:tcPr>
          <w:p>
            <w:r>
              <w:rPr>
                <w:sz w:val="17"/>
              </w:rPr>
              <w:t>15,828</w:t>
            </w:r>
          </w:p>
        </w:tc>
        <w:tc>
          <w:tcPr>
            <w:tcW w:type="dxa" w:w="1440"/>
            <w:shd w:fill="FAFAFA" w:val="clear"/>
          </w:tcPr>
          <w:p>
            <w:r>
              <w:rPr>
                <w:b/>
                <w:sz w:val="17"/>
              </w:rPr>
              <w:t>16,666</w:t>
            </w:r>
          </w:p>
        </w:tc>
        <w:tc>
          <w:tcPr>
            <w:tcW w:type="dxa" w:w="1440"/>
            <w:shd w:fill="FAFAFA" w:val="clear"/>
          </w:tcPr>
          <w:p>
            <w:r>
              <w:rPr>
                <w:sz w:val="17"/>
              </w:rPr>
              <w:t>17,503</w:t>
            </w:r>
          </w:p>
        </w:tc>
        <w:tc>
          <w:tcPr>
            <w:tcW w:type="dxa" w:w="1440"/>
            <w:shd w:fill="FAFAFA" w:val="clear"/>
          </w:tcPr>
          <w:p>
            <w:r>
              <w:rPr>
                <w:b/>
                <w:color w:val="C00000"/>
                <w:sz w:val="17"/>
              </w:rPr>
              <w:t>-1.1%</w:t>
            </w:r>
          </w:p>
        </w:tc>
      </w:tr>
      <w:tr>
        <w:tc>
          <w:tcPr>
            <w:tcW w:type="dxa" w:w="1440"/>
            <w:shd w:fill="FAFAFA" w:val="clear"/>
          </w:tcPr>
          <w:p>
            <w:r>
              <w:rPr>
                <w:sz w:val="17"/>
              </w:rPr>
              <w:t>J+6  Moyenne</w:t>
            </w:r>
          </w:p>
        </w:tc>
        <w:tc>
          <w:tcPr>
            <w:tcW w:type="dxa" w:w="1440"/>
            <w:shd w:fill="FAFAFA" w:val="clear"/>
          </w:tcPr>
          <w:p>
            <w:r>
              <w:rPr>
                <w:sz w:val="17"/>
              </w:rPr>
              <w:t>2026-09-07</w:t>
            </w:r>
          </w:p>
        </w:tc>
        <w:tc>
          <w:tcPr>
            <w:tcW w:type="dxa" w:w="1440"/>
            <w:shd w:fill="FAFAFA" w:val="clear"/>
          </w:tcPr>
          <w:p>
            <w:r>
              <w:rPr>
                <w:sz w:val="17"/>
              </w:rPr>
              <w:t>15,731</w:t>
            </w:r>
          </w:p>
        </w:tc>
        <w:tc>
          <w:tcPr>
            <w:tcW w:type="dxa" w:w="1440"/>
            <w:shd w:fill="FAFAFA" w:val="clear"/>
          </w:tcPr>
          <w:p>
            <w:r>
              <w:rPr>
                <w:b/>
                <w:sz w:val="17"/>
              </w:rPr>
              <w:t>16,648</w:t>
            </w:r>
          </w:p>
        </w:tc>
        <w:tc>
          <w:tcPr>
            <w:tcW w:type="dxa" w:w="1440"/>
            <w:shd w:fill="FAFAFA" w:val="clear"/>
          </w:tcPr>
          <w:p>
            <w:r>
              <w:rPr>
                <w:sz w:val="17"/>
              </w:rPr>
              <w:t>17,564</w:t>
            </w:r>
          </w:p>
        </w:tc>
        <w:tc>
          <w:tcPr>
            <w:tcW w:type="dxa" w:w="1440"/>
            <w:shd w:fill="FAFAFA" w:val="clear"/>
          </w:tcPr>
          <w:p>
            <w:r>
              <w:rPr>
                <w:b/>
                <w:color w:val="C00000"/>
                <w:sz w:val="17"/>
              </w:rPr>
              <w:t>-1.2%</w:t>
            </w:r>
          </w:p>
        </w:tc>
      </w:tr>
      <w:tr>
        <w:tc>
          <w:tcPr>
            <w:tcW w:type="dxa" w:w="1440"/>
            <w:shd w:fill="FAFAFA" w:val="clear"/>
          </w:tcPr>
          <w:p>
            <w:r>
              <w:rPr>
                <w:sz w:val="17"/>
              </w:rPr>
              <w:t>J+7  Moyenne</w:t>
            </w:r>
          </w:p>
        </w:tc>
        <w:tc>
          <w:tcPr>
            <w:tcW w:type="dxa" w:w="1440"/>
            <w:shd w:fill="FAFAFA" w:val="clear"/>
          </w:tcPr>
          <w:p>
            <w:r>
              <w:rPr>
                <w:sz w:val="17"/>
              </w:rPr>
              <w:t>2026-09-08</w:t>
            </w:r>
          </w:p>
        </w:tc>
        <w:tc>
          <w:tcPr>
            <w:tcW w:type="dxa" w:w="1440"/>
            <w:shd w:fill="FAFAFA" w:val="clear"/>
          </w:tcPr>
          <w:p>
            <w:r>
              <w:rPr>
                <w:sz w:val="17"/>
              </w:rPr>
              <w:t>15,641</w:t>
            </w:r>
          </w:p>
        </w:tc>
        <w:tc>
          <w:tcPr>
            <w:tcW w:type="dxa" w:w="1440"/>
            <w:shd w:fill="FAFAFA" w:val="clear"/>
          </w:tcPr>
          <w:p>
            <w:r>
              <w:rPr>
                <w:b/>
                <w:sz w:val="17"/>
              </w:rPr>
              <w:t>16,630</w:t>
            </w:r>
          </w:p>
        </w:tc>
        <w:tc>
          <w:tcPr>
            <w:tcW w:type="dxa" w:w="1440"/>
            <w:shd w:fill="FAFAFA" w:val="clear"/>
          </w:tcPr>
          <w:p>
            <w:r>
              <w:rPr>
                <w:sz w:val="17"/>
              </w:rPr>
              <w:t>17,619</w:t>
            </w:r>
          </w:p>
        </w:tc>
        <w:tc>
          <w:tcPr>
            <w:tcW w:type="dxa" w:w="1440"/>
            <w:shd w:fill="FAFAFA" w:val="clear"/>
          </w:tcPr>
          <w:p>
            <w:r>
              <w:rPr>
                <w:b/>
                <w:color w:val="C00000"/>
                <w:sz w:val="17"/>
              </w:rPr>
              <w:t>-1.3%</w:t>
            </w:r>
          </w:p>
        </w:tc>
      </w:tr>
      <w:tr>
        <w:tc>
          <w:tcPr>
            <w:tcW w:type="dxa" w:w="1440"/>
            <w:shd w:fill="FAFAFA" w:val="clear"/>
          </w:tcPr>
          <w:p>
            <w:r>
              <w:rPr>
                <w:sz w:val="17"/>
              </w:rPr>
              <w:t>J+8  Moyenne</w:t>
            </w:r>
          </w:p>
        </w:tc>
        <w:tc>
          <w:tcPr>
            <w:tcW w:type="dxa" w:w="1440"/>
            <w:shd w:fill="FAFAFA" w:val="clear"/>
          </w:tcPr>
          <w:p>
            <w:r>
              <w:rPr>
                <w:sz w:val="17"/>
              </w:rPr>
              <w:t>2026-09-09</w:t>
            </w:r>
          </w:p>
        </w:tc>
        <w:tc>
          <w:tcPr>
            <w:tcW w:type="dxa" w:w="1440"/>
            <w:shd w:fill="FAFAFA" w:val="clear"/>
          </w:tcPr>
          <w:p>
            <w:r>
              <w:rPr>
                <w:sz w:val="17"/>
              </w:rPr>
              <w:t>15,556</w:t>
            </w:r>
          </w:p>
        </w:tc>
        <w:tc>
          <w:tcPr>
            <w:tcW w:type="dxa" w:w="1440"/>
            <w:shd w:fill="FAFAFA" w:val="clear"/>
          </w:tcPr>
          <w:p>
            <w:r>
              <w:rPr>
                <w:b/>
                <w:sz w:val="17"/>
              </w:rPr>
              <w:t>16,612</w:t>
            </w:r>
          </w:p>
        </w:tc>
        <w:tc>
          <w:tcPr>
            <w:tcW w:type="dxa" w:w="1440"/>
            <w:shd w:fill="FAFAFA" w:val="clear"/>
          </w:tcPr>
          <w:p>
            <w:r>
              <w:rPr>
                <w:sz w:val="17"/>
              </w:rPr>
              <w:t>17,668</w:t>
            </w:r>
          </w:p>
        </w:tc>
        <w:tc>
          <w:tcPr>
            <w:tcW w:type="dxa" w:w="1440"/>
            <w:shd w:fill="FAFAFA" w:val="clear"/>
          </w:tcPr>
          <w:p>
            <w:r>
              <w:rPr>
                <w:b/>
                <w:color w:val="C00000"/>
                <w:sz w:val="17"/>
              </w:rPr>
              <w:t>-1.4%</w:t>
            </w:r>
          </w:p>
        </w:tc>
      </w:tr>
      <w:tr>
        <w:tc>
          <w:tcPr>
            <w:tcW w:type="dxa" w:w="1440"/>
            <w:shd w:fill="FAFAFA" w:val="clear"/>
          </w:tcPr>
          <w:p>
            <w:r>
              <w:rPr>
                <w:sz w:val="17"/>
              </w:rPr>
              <w:t>J+9  Moyenne</w:t>
            </w:r>
          </w:p>
        </w:tc>
        <w:tc>
          <w:tcPr>
            <w:tcW w:type="dxa" w:w="1440"/>
            <w:shd w:fill="FAFAFA" w:val="clear"/>
          </w:tcPr>
          <w:p>
            <w:r>
              <w:rPr>
                <w:sz w:val="17"/>
              </w:rPr>
              <w:t>2026-09-10</w:t>
            </w:r>
          </w:p>
        </w:tc>
        <w:tc>
          <w:tcPr>
            <w:tcW w:type="dxa" w:w="1440"/>
            <w:shd w:fill="FAFAFA" w:val="clear"/>
          </w:tcPr>
          <w:p>
            <w:r>
              <w:rPr>
                <w:sz w:val="17"/>
              </w:rPr>
              <w:t>15,475</w:t>
            </w:r>
          </w:p>
        </w:tc>
        <w:tc>
          <w:tcPr>
            <w:tcW w:type="dxa" w:w="1440"/>
            <w:shd w:fill="FAFAFA" w:val="clear"/>
          </w:tcPr>
          <w:p>
            <w:r>
              <w:rPr>
                <w:b/>
                <w:sz w:val="17"/>
              </w:rPr>
              <w:t>16,594</w:t>
            </w:r>
          </w:p>
        </w:tc>
        <w:tc>
          <w:tcPr>
            <w:tcW w:type="dxa" w:w="1440"/>
            <w:shd w:fill="FAFAFA" w:val="clear"/>
          </w:tcPr>
          <w:p>
            <w:r>
              <w:rPr>
                <w:sz w:val="17"/>
              </w:rPr>
              <w:t>17,713</w:t>
            </w:r>
          </w:p>
        </w:tc>
        <w:tc>
          <w:tcPr>
            <w:tcW w:type="dxa" w:w="1440"/>
            <w:shd w:fill="FAFAFA" w:val="clear"/>
          </w:tcPr>
          <w:p>
            <w:r>
              <w:rPr>
                <w:b/>
                <w:color w:val="C00000"/>
                <w:sz w:val="17"/>
              </w:rPr>
              <w:t>-1.5%</w:t>
            </w:r>
          </w:p>
        </w:tc>
      </w:tr>
      <w:tr>
        <w:tc>
          <w:tcPr>
            <w:tcW w:type="dxa" w:w="1440"/>
            <w:shd w:fill="FAFAFA" w:val="clear"/>
          </w:tcPr>
          <w:p>
            <w:r>
              <w:rPr>
                <w:sz w:val="17"/>
              </w:rPr>
              <w:t>J+10  Moyenne</w:t>
            </w:r>
          </w:p>
        </w:tc>
        <w:tc>
          <w:tcPr>
            <w:tcW w:type="dxa" w:w="1440"/>
            <w:shd w:fill="FAFAFA" w:val="clear"/>
          </w:tcPr>
          <w:p>
            <w:r>
              <w:rPr>
                <w:sz w:val="17"/>
              </w:rPr>
              <w:t>2026-09-11</w:t>
            </w:r>
          </w:p>
        </w:tc>
        <w:tc>
          <w:tcPr>
            <w:tcW w:type="dxa" w:w="1440"/>
            <w:shd w:fill="FAFAFA" w:val="clear"/>
          </w:tcPr>
          <w:p>
            <w:r>
              <w:rPr>
                <w:sz w:val="17"/>
              </w:rPr>
              <w:t>15,398</w:t>
            </w:r>
          </w:p>
        </w:tc>
        <w:tc>
          <w:tcPr>
            <w:tcW w:type="dxa" w:w="1440"/>
            <w:shd w:fill="FAFAFA" w:val="clear"/>
          </w:tcPr>
          <w:p>
            <w:r>
              <w:rPr>
                <w:b/>
                <w:sz w:val="17"/>
              </w:rPr>
              <w:t>16,577</w:t>
            </w:r>
          </w:p>
        </w:tc>
        <w:tc>
          <w:tcPr>
            <w:tcW w:type="dxa" w:w="1440"/>
            <w:shd w:fill="FAFAFA" w:val="clear"/>
          </w:tcPr>
          <w:p>
            <w:r>
              <w:rPr>
                <w:sz w:val="17"/>
              </w:rPr>
              <w:t>17,755</w:t>
            </w:r>
          </w:p>
        </w:tc>
        <w:tc>
          <w:tcPr>
            <w:tcW w:type="dxa" w:w="1440"/>
            <w:shd w:fill="FAFAFA" w:val="clear"/>
          </w:tcPr>
          <w:p>
            <w:r>
              <w:rPr>
                <w:b/>
                <w:color w:val="C00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ECOC (ECOBANK CÔTE D'IVOIRE)**</w:t>
        <w:br/>
        <w:t>**Date : 28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d'ECOC s'établit à 927,33 milliards FCFA, ce qui en fait l'une des plus importantes capitalisations de la BRVM, reflétant son statut de leader bancaire régional. Le BPA de 1 153 FCFA indique que chaque action génère un bénéfice substantiel. Le PER de 14,6x se situe au-dessus de la moyenne historique de la BRVM (8-12x), signifiant que les investisseurs paient une prime pour la qualité des actifs et la croissance d'ECOC. Le P/B de 4,24x est particulièrement élevé, valorisant fortement les capitaux propres de la banque, ce qui traduit des attentes de croissance élevées. Enfin, l'EV/EBITDA de 14,2x confirme une valorisation exigeante, mais justifiée par la solidité opérationnelle de l'établissement.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ECOC a enregistré une progression totale de +3,03%, avec une stabilité lors de la dernière séance (0,00%). Le cours a évolué dans un range de 15 520 FCFA (plus bas) à 17 270 FCFA (plus haut), démontrant une certaine amplitude de trading. La moyenne (16 332 FCFA) et la médiane (16 300 FCFA) sont très proches, indiquant une distribution symétrique des prix, confirmée par un skewness de 0,201. L'écart-type de 371 FCFA (CV=2,3%) révèle une dispersion très faible, témoignant d'une stabilité remarquable du titre. Le kurtosis de -0,263 (mésokurtique) suggère l'absence de mouvements extrêmes. La volatilité annualisée de 27,6% classe le titre dans une zone modérée, offrant un équilibre entre risque et rendement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(16 845 FCFA) se positionne au-dessus de la MM20 (16 371,25 FCFA) et de la MM50 (16 420,9 FCFA), indiquant une dynamique haussière à court et moyen terme. Cependant, la décision de "Vente" suggère un possible essoufflement, les moyennes mobiles pouvant agir comme résistance à court terme.</w:t>
      </w:r>
    </w:p>
    <w:p>
      <w:pPr>
        <w:spacing w:after="120" w:line="276" w:lineRule="auto"/>
      </w:pPr>
      <w:r>
        <w:t>**Bandes de Bollinger** : Le prix se situe près de la borne supérieure (17 094,524 FCFA), signalant une pression acheteuse. La décision "Neutre" indique que le cours n'est pas en zone de surachat extrême, mais la proximité de la borne supérieure suggère une possible consolidation.</w:t>
      </w:r>
    </w:p>
    <w:p>
      <w:pPr>
        <w:spacing w:after="120" w:line="276" w:lineRule="auto"/>
      </w:pPr>
      <w:r>
        <w:t>**MACD** : La valeur du MACD (153,232) est nettement supérieure à son signal (74,77), confirmant un momentum haussier solide. La décision "Achat" est justifiée par cette divergence positive, qui indique une poursuite probable de la tendance haussière à moyen terme.</w:t>
      </w:r>
    </w:p>
    <w:p>
      <w:pPr>
        <w:spacing w:after="120" w:line="276" w:lineRule="auto"/>
      </w:pPr>
      <w:r>
        <w:t>**RSI** : À 64,692, le RSI se situe en zone neutre mais proche de la zone de surachat (70). La décision "Neutre" suggère que le titre n'est pas encore surchauffé, laissant une marge de progression avant une éventuelle correction.</w:t>
      </w:r>
    </w:p>
    <w:p>
      <w:pPr>
        <w:spacing w:after="120" w:line="276" w:lineRule="auto"/>
      </w:pPr>
      <w:r>
        <w:t>**Stochastique** : Le %K (95,48) et le %D (90,019) sont en zone de surachat extrême, avec une décision "Vente". Ce signal indique une possible correction à court terme, le marché étant temporairement survendu.</w:t>
      </w:r>
    </w:p>
    <w:p>
      <w:pPr>
        <w:spacing w:after="120" w:line="276" w:lineRule="auto"/>
      </w:pPr>
      <w:r>
        <w:t>**Conclusion technique** : Les signaux sont mitigés, avec un MACD haussier et des moyennes mobiles favorables, mais un stochastique en surachat et un RSI proche de la zone critique. Cette divergence suggère une consolidation à court terme avant une reprise de la tendance haussière, à condition que le support des MM50 (16 420 FCFA) tienne.</w:t>
      </w:r>
    </w:p>
    <w:p>
      <w:pPr>
        <w:spacing w:after="120" w:line="276" w:lineRule="auto"/>
      </w:pPr>
      <w:r>
        <w:t>---</w:t>
      </w:r>
    </w:p>
    <w:p>
      <w:pPr>
        <w:spacing w:after="120" w:line="276" w:lineRule="auto"/>
      </w:pPr>
      <w:r>
        <w:t>### PARTIE 3 : ANALYSE FONDAMENTALE (SECTION CRITIQUE)</w:t>
      </w:r>
    </w:p>
    <w:p>
      <w:pPr>
        <w:spacing w:after="120" w:line="276" w:lineRule="auto"/>
      </w:pPr>
      <w:r>
        <w:t>En 2025, ECOC affiche des fondamentaux exceptionnels avec un Produit Net Bancaire (PNB) de 132,725 milliards FCFA, en croissance de 8,5% par rapport à 2024 (122,3 milliards FCFA). Le résultat net atteint 63,482 milliards FCFA, contre 57,5 milliards en 2024, soit une progression de 10,4%. Le ROE s'établit à 29,04% (vs 28,8% en 2024), et le ROA à 3,09%, des niveaux excellents pour le secteur bancaire. Le coefficient d'exploitation de 42,89% témoigne d'une efficacité opérationnelle remarquable, bien en dessous du seuil de 60%. Le coût du risque est maîtrisé à 1,36%, reflétant une bonne qualité du portefeuille de crédits. Les dépôts clientèle (1 626,223 milliards FCFA) couvrent largement les créances (1 050,803 milliards FCFA), avec un ratio de transformation sain. Sur la base des rapports trimestriels 2025 (T1 : PNB 29,7 Mds, T3 : PNB 96,4 Mds), on estime que la dynamique de croissance se poursuit en 2026, avec un PNB annuel projeté autour de 140 milliards FCFA et un résultat net potentiel de 65-70 milliards FCFA. Le rapport T1 2026 confirme cette tendance avec un PNB de 30,8 milliards FCFA (+3,7%), malgré un léger recul du résultat net (-1,6%). La banque maintient une politique de dividende généreuse, avec 888 FCFA brut par action proposé pour 2025, représentant un rendement de 5,3% au cours actuel.</w:t>
      </w:r>
    </w:p>
    <w:p>
      <w:pPr>
        <w:spacing w:after="120" w:line="276" w:lineRule="auto"/>
      </w:pPr>
      <w:r>
        <w:t>---</w:t>
      </w:r>
    </w:p>
    <w:p>
      <w:pPr>
        <w:spacing w:after="120" w:line="276" w:lineRule="auto"/>
      </w:pPr>
      <w:r>
        <w:t>### PARTIE 4 : CONCLUSION D'INVESTISSEMENT</w:t>
      </w:r>
    </w:p>
    <w:p>
      <w:pPr>
        <w:spacing w:after="120" w:line="276" w:lineRule="auto"/>
      </w:pPr>
      <w:r>
        <w:t>La valorisation d'ECOC (PER 14,6x, P/B 4,24x) est exigeante mais justifiée par des fondamentaux solides et une croissance soutenue. Le comportement du cours sur 100 jours (+3,03%) avec une volatilité modérée (27,6%) et une distribution symétrique reflète une stabilité rassurante. Les signaux techniques sont mitigés, avec un MACD haussier mais un stochastique en surachat, suggérant une consolidation à court terme. Les fondamentaux restent excellents, avec un ROE de 29%, un coefficient d'exploitation de 42,9% et une croissance du PNB de 8,5% en 2025. Les prédictions IA (J+1 à J+10) indiquent une légère baisse progressive (de 16 742 à 16 666 FCFA), confirmant la probabilité d'une correction technique à court terme. Cependant, cette baisse potentielle de -1% ne remet pas en cause la tendance haussière de fond. **Recommandation : ACHAT** pour les investisseurs à moyen terme (3-12 mois), avec un niveau de confiance **Élevé** et un risque global **Moyen**. Les investisseurs pourraient profiter d'une éventuelle correction vers 16 400-16 500 FCFA pour renforcer leurs positions, en vue d'un objectif de 17 500-18 000 FCFA à horizon 12 mois.</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1175.47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1,451,578 titres</w:t>
            </w:r>
          </w:p>
        </w:tc>
        <w:tc>
          <w:tcPr>
            <w:tcW w:type="dxa" w:w="2268"/>
            <w:shd w:fill="FFF2CC" w:val="clear"/>
          </w:tcPr>
          <w:p>
            <w:r>
              <w:rPr>
                <w:b/>
                <w:color w:val="503200"/>
                <w:sz w:val="16"/>
              </w:rPr>
              <w:t xml:space="preserve">Cours actuel : </w:t>
            </w:r>
            <w:r>
              <w:rPr>
                <w:color w:val="000000"/>
                <w:sz w:val="17"/>
              </w:rPr>
              <w:t>65 FCFA</w:t>
            </w:r>
          </w:p>
          <w:p>
            <w:r>
              <w:rPr>
                <w:b/>
                <w:color w:val="503200"/>
                <w:sz w:val="16"/>
              </w:rPr>
              <w:t xml:space="preserve">Var. 100 jours : </w:t>
            </w:r>
            <w:r>
              <w:rPr>
                <w:b/>
                <w:color w:val="007800"/>
                <w:sz w:val="17"/>
              </w:rPr>
              <w:t>+96.97%</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65.4%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38.19% (Élevée) — μ=45 FCFA, σ=17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β=2.7202 (Très agressif) — Cov=0.000099, Var(idx)=0.000036, ρ=0.397,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1,451,578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σ_j=4.12%/j (Modérée) — Vol. annualisée≈65.4%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56</w:t>
            </w:r>
          </w:p>
        </w:tc>
        <w:tc>
          <w:tcPr>
            <w:tcW w:type="dxa" w:w="1440"/>
            <w:shd w:fill="FFDCE0" w:val="clear"/>
          </w:tcPr>
          <w:p>
            <w:r>
              <w:rPr>
                <w:b/>
                <w:sz w:val="17"/>
              </w:rPr>
              <w:t>60</w:t>
            </w:r>
          </w:p>
        </w:tc>
        <w:tc>
          <w:tcPr>
            <w:tcW w:type="dxa" w:w="1440"/>
            <w:shd w:fill="FFDCE0" w:val="clear"/>
          </w:tcPr>
          <w:p>
            <w:r>
              <w:rPr>
                <w:sz w:val="17"/>
              </w:rPr>
              <w:t>65</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50</w:t>
            </w:r>
          </w:p>
        </w:tc>
        <w:tc>
          <w:tcPr>
            <w:tcW w:type="dxa" w:w="1440"/>
            <w:shd w:fill="FFDCE0" w:val="clear"/>
          </w:tcPr>
          <w:p>
            <w:r>
              <w:rPr>
                <w:b/>
                <w:sz w:val="17"/>
              </w:rPr>
              <w:t>56</w:t>
            </w:r>
          </w:p>
        </w:tc>
        <w:tc>
          <w:tcPr>
            <w:tcW w:type="dxa" w:w="1440"/>
            <w:shd w:fill="FFDCE0" w:val="clear"/>
          </w:tcPr>
          <w:p>
            <w:r>
              <w:rPr>
                <w:sz w:val="17"/>
              </w:rPr>
              <w:t>62</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45</w:t>
            </w:r>
          </w:p>
        </w:tc>
        <w:tc>
          <w:tcPr>
            <w:tcW w:type="dxa" w:w="1440"/>
            <w:shd w:fill="FFDCE0" w:val="clear"/>
          </w:tcPr>
          <w:p>
            <w:r>
              <w:rPr>
                <w:b/>
                <w:sz w:val="17"/>
              </w:rPr>
              <w:t>51</w:t>
            </w:r>
          </w:p>
        </w:tc>
        <w:tc>
          <w:tcPr>
            <w:tcW w:type="dxa" w:w="1440"/>
            <w:shd w:fill="FFDCE0" w:val="clear"/>
          </w:tcPr>
          <w:p>
            <w:r>
              <w:rPr>
                <w:sz w:val="17"/>
              </w:rPr>
              <w:t>58</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40</w:t>
            </w:r>
          </w:p>
        </w:tc>
        <w:tc>
          <w:tcPr>
            <w:tcW w:type="dxa" w:w="1440"/>
            <w:shd w:fill="FFDCE0" w:val="clear"/>
          </w:tcPr>
          <w:p>
            <w:r>
              <w:rPr>
                <w:b/>
                <w:sz w:val="17"/>
              </w:rPr>
              <w:t>48</w:t>
            </w:r>
          </w:p>
        </w:tc>
        <w:tc>
          <w:tcPr>
            <w:tcW w:type="dxa" w:w="1440"/>
            <w:shd w:fill="FFDCE0" w:val="clear"/>
          </w:tcPr>
          <w:p>
            <w:r>
              <w:rPr>
                <w:sz w:val="17"/>
              </w:rPr>
              <w:t>55</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37</w:t>
            </w:r>
          </w:p>
        </w:tc>
        <w:tc>
          <w:tcPr>
            <w:tcW w:type="dxa" w:w="1440"/>
            <w:shd w:fill="FFDCE0" w:val="clear"/>
          </w:tcPr>
          <w:p>
            <w:r>
              <w:rPr>
                <w:b/>
                <w:sz w:val="17"/>
              </w:rPr>
              <w:t>44</w:t>
            </w:r>
          </w:p>
        </w:tc>
        <w:tc>
          <w:tcPr>
            <w:tcW w:type="dxa" w:w="1440"/>
            <w:shd w:fill="FFDCE0" w:val="clear"/>
          </w:tcPr>
          <w:p>
            <w:r>
              <w:rPr>
                <w:sz w:val="17"/>
              </w:rPr>
              <w:t>51</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33</w:t>
            </w:r>
          </w:p>
        </w:tc>
        <w:tc>
          <w:tcPr>
            <w:tcW w:type="dxa" w:w="1440"/>
            <w:shd w:fill="FFDCE0" w:val="clear"/>
          </w:tcPr>
          <w:p>
            <w:r>
              <w:rPr>
                <w:b/>
                <w:sz w:val="17"/>
              </w:rPr>
              <w:t>41</w:t>
            </w:r>
          </w:p>
        </w:tc>
        <w:tc>
          <w:tcPr>
            <w:tcW w:type="dxa" w:w="1440"/>
            <w:shd w:fill="FFDCE0" w:val="clear"/>
          </w:tcPr>
          <w:p>
            <w:r>
              <w:rPr>
                <w:sz w:val="17"/>
              </w:rPr>
              <w:t>48</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30</w:t>
            </w:r>
          </w:p>
        </w:tc>
        <w:tc>
          <w:tcPr>
            <w:tcW w:type="dxa" w:w="1440"/>
            <w:shd w:fill="FFDCE0" w:val="clear"/>
          </w:tcPr>
          <w:p>
            <w:r>
              <w:rPr>
                <w:b/>
                <w:sz w:val="17"/>
              </w:rPr>
              <w:t>38</w:t>
            </w:r>
          </w:p>
        </w:tc>
        <w:tc>
          <w:tcPr>
            <w:tcW w:type="dxa" w:w="1440"/>
            <w:shd w:fill="FFDCE0" w:val="clear"/>
          </w:tcPr>
          <w:p>
            <w:r>
              <w:rPr>
                <w:sz w:val="17"/>
              </w:rPr>
              <w:t>45</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27</w:t>
            </w:r>
          </w:p>
        </w:tc>
        <w:tc>
          <w:tcPr>
            <w:tcW w:type="dxa" w:w="1440"/>
            <w:shd w:fill="FFDCE0" w:val="clear"/>
          </w:tcPr>
          <w:p>
            <w:r>
              <w:rPr>
                <w:b/>
                <w:sz w:val="17"/>
              </w:rPr>
              <w:t>35</w:t>
            </w:r>
          </w:p>
        </w:tc>
        <w:tc>
          <w:tcPr>
            <w:tcW w:type="dxa" w:w="1440"/>
            <w:shd w:fill="FFDCE0" w:val="clear"/>
          </w:tcPr>
          <w:p>
            <w:r>
              <w:rPr>
                <w:sz w:val="17"/>
              </w:rPr>
              <w:t>42</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25</w:t>
            </w:r>
          </w:p>
        </w:tc>
        <w:tc>
          <w:tcPr>
            <w:tcW w:type="dxa" w:w="1440"/>
            <w:shd w:fill="FFDCE0" w:val="clear"/>
          </w:tcPr>
          <w:p>
            <w:r>
              <w:rPr>
                <w:b/>
                <w:sz w:val="17"/>
              </w:rPr>
              <w:t>32</w:t>
            </w:r>
          </w:p>
        </w:tc>
        <w:tc>
          <w:tcPr>
            <w:tcW w:type="dxa" w:w="1440"/>
            <w:shd w:fill="FFDCE0" w:val="clear"/>
          </w:tcPr>
          <w:p>
            <w:r>
              <w:rPr>
                <w:sz w:val="17"/>
              </w:rPr>
              <w:t>39</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23</w:t>
            </w:r>
          </w:p>
        </w:tc>
        <w:tc>
          <w:tcPr>
            <w:tcW w:type="dxa" w:w="1440"/>
            <w:shd w:fill="FFDCE0" w:val="clear"/>
          </w:tcPr>
          <w:p>
            <w:r>
              <w:rPr>
                <w:b/>
                <w:sz w:val="17"/>
              </w:rPr>
              <w:t>30</w:t>
            </w:r>
          </w:p>
        </w:tc>
        <w:tc>
          <w:tcPr>
            <w:tcW w:type="dxa" w:w="1440"/>
            <w:shd w:fill="FFDCE0" w:val="clear"/>
          </w:tcPr>
          <w:p>
            <w:r>
              <w:rPr>
                <w:sz w:val="17"/>
              </w:rPr>
              <w:t>37</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d'ETIT s'établit à 1 175,47 milliards FCFA, ce qui en fait l'une des plus importantes capitalisations de la BRVM, reflétant le statut de leader panafricain du groupe Ecobank. Avec un BPA de 19 FCFA, le titre se négocie à un PER de 3,4x, très inférieur à la moyenne du marché BRVM (8-12x), ce qui suggère une sous-évaluation manifeste du titre par rapport à ses bénéfices. Le P/B de 0,74x indique que le marché valorise la société en dessous de sa valeur comptable, une situation qui pourrait représenter une opportunité d'achat pour les investisseurs value. Enfin, l'EV/EBITDA de 4,9x confirme cette attractivité, la valeur totale de l'entreprise restant très raisonnable par rapport à sa capacité opérationnelle. Ces ratios, pris ensemble, signalent un potentiel de revalorisation significatif.</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ETIT a enregistré une performance spectaculaire de +96,97%, passant d'un plus bas de 26 FCFA à un plus haut de 78 FCFA, avant de se stabiliser autour de 65 FCFA, avec une légère baisse de -2,99% lors de la dernière séance. La moyenne du cours sur la période est de 45 FCFA, tandis que la médiane s'établit à 34 FCFA, cet écart important (moyenne &gt; médiane) indiquant une distribution asymétrique positive, confirmée par un skewness de 0,506 : la majorité des séances se sont déroulées sous la moyenne, mais quelques fortes hausses ont tiré la moyenne vers le haut. L'écart-type de 17 FCFA (CV=38,4%) révèle une dispersion élevée du cours, tandis que le kurtosis négatif de -1,537 (platykurtique) suggère une distribution aplatie avec peu de valeurs extrêmes. La volatilité annualisée de 65,4% classe le titre dans la catégorie des actifs à très forte volatilité, ce qui implique un risque élevé mais aussi un potentiel de rendement important.</w:t>
      </w:r>
    </w:p>
    <w:p>
      <w:pPr>
        <w:spacing w:after="120" w:line="276" w:lineRule="auto" w:before="240"/>
      </w:pPr>
      <w:r>
        <w:rPr>
          <w:b/>
          <w:color w:val="003366"/>
          <w:sz w:val="24"/>
        </w:rPr>
        <w:t>**PARTIE 2 : ANALYSE TECHNIQUE DÉTAILLÉE**</w:t>
      </w:r>
    </w:p>
    <w:p>
      <w:pPr>
        <w:spacing w:after="120" w:line="276" w:lineRule="auto"/>
      </w:pPr>
      <w:r>
        <w:t>**Moyennes Mobiles** : La MM20 à 66,45 FCFA et la MM50 à 59,76 FCFA sont toutes deux proches du cours actuel de 65 FCFA, avec une MM20 supérieure à la MM50, configuration typique d'une tendance haussière à moyen terme. Le cours se maintient au-dessus de la MM50, confirmant la solidité de la tendance, ce qui justifie la décision d'ACHAT.</w:t>
      </w:r>
    </w:p>
    <w:p>
      <w:pPr>
        <w:spacing w:after="120" w:line="276" w:lineRule="auto"/>
      </w:pPr>
      <w:r>
        <w:t>**Bandes de Bollinger** : Le cours à 65 FCFA se positionne entre la borne supérieure à 69,594 FCFA et la borne inférieure à 63,306 FCFA, proche de la zone médiane. Cette position suggère une volatilité modérée avec un cours qui évolue dans un canal relativement étroit, indiquant une phase de consolidation après la forte hausse, d'où la décision NEUTRE.</w:t>
      </w:r>
    </w:p>
    <w:p>
      <w:pPr>
        <w:spacing w:after="120" w:line="276" w:lineRule="auto"/>
      </w:pPr>
      <w:r>
        <w:t>**MACD** : Le MACD à 1,274 est inférieur à son signal à 2,089, montrant un momentum baissier à court terme malgré une tendance globalement positive. Cette divergence négative suggère un ralentissement de la dynamique haussière, justifiant la décision de VENTE à court terme.</w:t>
      </w:r>
    </w:p>
    <w:p>
      <w:pPr>
        <w:spacing w:after="120" w:line="276" w:lineRule="auto"/>
      </w:pPr>
      <w:r>
        <w:t>**RSI** : Le RSI à 50,0 se situe exactement à la zone neutre, indiquant un équilibre entre les forces acheteuses et vendeuses. Cette valeur ne montre ni surachat ni survente, laissant place à une évolution dans les deux sens, d'où la décision NEUTRE.</w:t>
      </w:r>
    </w:p>
    <w:p>
      <w:pPr>
        <w:spacing w:after="120" w:line="276" w:lineRule="auto"/>
      </w:pPr>
      <w:r>
        <w:t>**Stochastique** : Le %K à 0,0 et le %D à 23,333 indiquent une zone de survente extrême pour le %K, avec un croisement potentiel haussier en perspective. Cette configuration suggère un possible rebond technique à court terme, justifiant la décision d'ACHAT.</w:t>
      </w:r>
    </w:p>
    <w:p>
      <w:pPr>
        <w:spacing w:after="120" w:line="276" w:lineRule="auto"/>
      </w:pPr>
      <w:r>
        <w:t>**Conclusion technique** : Les indicateurs sont mitigés avec une tendance de fond haussière (MM, Stochastique) mais un momentum à court terme négatif (MACD) et des signaux neutres (Bollinger, RSI). La configuration suggère une phase de consolidation après la forte hausse, avec un potentiel de rebond technique, mais nécessite une confirmation pour valider la poursuite de la tendance haussière.</w:t>
      </w:r>
    </w:p>
    <w:p>
      <w:pPr>
        <w:spacing w:after="120" w:line="276" w:lineRule="auto" w:before="240"/>
      </w:pPr>
      <w:r>
        <w:rPr>
          <w:b/>
          <w:color w:val="003366"/>
          <w:sz w:val="24"/>
        </w:rPr>
        <w:t>**PARTIE 3 : ANALYSE FONDAMENTALE (SECTION CRITIQUE)**</w:t>
      </w:r>
    </w:p>
    <w:p>
      <w:pPr>
        <w:spacing w:after="120" w:line="276" w:lineRule="auto"/>
      </w:pPr>
      <w:r>
        <w:t>En 2025, les données structurées montrent un Produit Net Bancaire de 1 424,261 milliards FCFA, un résultat net de 345,523 milliards FCFA, un ROE de 21,62% et un ROA de 1,80%, confirmant une rentabilité solide. Le coefficient d'exploitation de 27,35% est excellent, bien en dessous du seuil de 60%, démontrant une efficacité opérationnelle remarquable. Le coût du risque de 18,97% reste élevé, indiquant un risque de crédit significatif à surveiller. Les dépôts clientèle (14 120,139 milliards FCFA) couvrent largement les créances clientèle (6 570,385 milliards FCFA), soit un ratio de transformation de 46,5%, montrant une gestion prudente de la liquidité. Le rapport semestriel 2026 (daté du 30 juin 2026) confirme la dynamique avec un PNB de 721,318 milliards FCFA (+15%), un résultat net de 166,682 milliards FCFA (+6%) et un coefficient d'exploitation amélioré à 48,4%. Sur la base du rapport T1 2026 (PNB +23%), on estime que l'exercice 2026 devrait dépasser les performances de 2025, avec un PNB potentiel supérieur à 1 500 milliards FCFA. Le rapport annuel 2024 (daté du 31 décembre 2024) montrait déjà une progression du résultat net de +21% à 299,7 milliards FCFA, confirmant une trajectoire ascendante. Les fondamentaux d'ETIT sont solides, avec une croissance soutenue, une rentabilité élevée et une gestion rigoureuse des risques, malgré un coût du risque en hausse qui nécessite une surveillance.</w:t>
      </w:r>
    </w:p>
    <w:p>
      <w:pPr>
        <w:spacing w:after="120" w:line="276" w:lineRule="auto" w:before="240"/>
      </w:pPr>
      <w:r>
        <w:rPr>
          <w:b/>
          <w:color w:val="003366"/>
          <w:sz w:val="24"/>
        </w:rPr>
        <w:t>**PARTIE 4 : CONCLUSION D'INVESTISSEMENT**</w:t>
      </w:r>
    </w:p>
    <w:p>
      <w:pPr>
        <w:spacing w:after="120" w:line="276" w:lineRule="auto"/>
      </w:pPr>
      <w:r>
        <w:t>La valorisation d'ETIT est extrêmement attractive avec un PER de 3,4x, un P/B de 0,74x et un EV/EBITDA de 4,9x, tous largement inférieurs aux moyennes du marché BRVM, indiquant une nette sous-évaluation. Le comportement du cours montre une tendance haussière spectaculaire (+96,97% sur 100 jours) mais avec une volatilité très élevée (65,4%) et une distribution asymétrique positive, signalant un potentiel de rendement mais aussi un risque accru. Les signaux techniques sont mitigés avec une tendance de fond haussière (MM20&gt;MM50, Stochastique en survente) mais un momentum court terme négatif (MACD vendeur, RSI neutre). Les fondamentaux sont excellents avec une croissance soutenue du PNB (+15% au S1 2026), une rentabilité élevée (ROE&gt;21%) et une efficacité opérationnelle remarquable (coefficient d'exploitation &lt;50%). Les prédictions IA indiquent une baisse progressive du cours de 60 FCFA à 44 FCFA sur 10 jours, contredisant les signaux fondamentaux mais cohérentes avec les signaux techniques court terme. La convergence entre la sous-évaluation flagrante, les fondamentaux solides et la tendance haussière de fond suggère une recommandation **ACHAT** avec un niveau de confiance **Élevé**, malgré un risque global **Élevé** dû à la volatilité. L'horizon d'investissement optimal serait le **moyen terme (3-12 mois)**, en attendant une stabilisation du cours après la phase de consolidation technique.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30.46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3,960 titres</w:t>
            </w:r>
          </w:p>
        </w:tc>
        <w:tc>
          <w:tcPr>
            <w:tcW w:type="dxa" w:w="2268"/>
            <w:shd w:fill="FFF2CC" w:val="clear"/>
          </w:tcPr>
          <w:p>
            <w:r>
              <w:rPr>
                <w:b/>
                <w:color w:val="503200"/>
                <w:sz w:val="16"/>
              </w:rPr>
              <w:t xml:space="preserve">Cours actuel : </w:t>
            </w:r>
            <w:r>
              <w:rPr>
                <w:color w:val="000000"/>
                <w:sz w:val="17"/>
              </w:rPr>
              <w:t>2,160 FCFA</w:t>
            </w:r>
          </w:p>
          <w:p>
            <w:r>
              <w:rPr>
                <w:b/>
                <w:color w:val="503200"/>
                <w:sz w:val="16"/>
              </w:rPr>
              <w:t xml:space="preserve">Var. 100 jours : </w:t>
            </w:r>
            <w:r>
              <w:rPr>
                <w:b/>
                <w:color w:val="B40000"/>
                <w:sz w:val="17"/>
              </w:rPr>
              <w:t>-6.09%</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35.3%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6.29% (Moyenne) — μ=2,153 FCFA, σ=135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β=0.7354 (Défensif) — Cov=0.000027, Var(idx)=0.000036, ρ=0.199,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σ_j=2.22%/j (Stable) — Vol. annualisée≈35.3%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2,104</w:t>
            </w:r>
          </w:p>
        </w:tc>
        <w:tc>
          <w:tcPr>
            <w:tcW w:type="dxa" w:w="1440"/>
            <w:shd w:fill="FAFAFA" w:val="clear"/>
          </w:tcPr>
          <w:p>
            <w:r>
              <w:rPr>
                <w:b/>
                <w:sz w:val="17"/>
              </w:rPr>
              <w:t>2,171</w:t>
            </w:r>
          </w:p>
        </w:tc>
        <w:tc>
          <w:tcPr>
            <w:tcW w:type="dxa" w:w="1440"/>
            <w:shd w:fill="FAFAFA" w:val="clear"/>
          </w:tcPr>
          <w:p>
            <w:r>
              <w:rPr>
                <w:sz w:val="17"/>
              </w:rPr>
              <w:t>2,237</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2,086</w:t>
            </w:r>
          </w:p>
        </w:tc>
        <w:tc>
          <w:tcPr>
            <w:tcW w:type="dxa" w:w="1440"/>
            <w:shd w:fill="FAFAFA" w:val="clear"/>
          </w:tcPr>
          <w:p>
            <w:r>
              <w:rPr>
                <w:b/>
                <w:sz w:val="17"/>
              </w:rPr>
              <w:t>2,181</w:t>
            </w:r>
          </w:p>
        </w:tc>
        <w:tc>
          <w:tcPr>
            <w:tcW w:type="dxa" w:w="1440"/>
            <w:shd w:fill="FAFAFA" w:val="clear"/>
          </w:tcPr>
          <w:p>
            <w:r>
              <w:rPr>
                <w:sz w:val="17"/>
              </w:rPr>
              <w:t>2,275</w:t>
            </w:r>
          </w:p>
        </w:tc>
        <w:tc>
          <w:tcPr>
            <w:tcW w:type="dxa" w:w="1440"/>
            <w:shd w:fill="FAFAFA" w:val="clear"/>
          </w:tcPr>
          <w:p>
            <w:r>
              <w:rPr>
                <w:b/>
                <w:color w:val="008000"/>
                <w:sz w:val="17"/>
              </w:rPr>
              <w:t>+1.0%</w:t>
            </w:r>
          </w:p>
        </w:tc>
      </w:tr>
      <w:tr>
        <w:tc>
          <w:tcPr>
            <w:tcW w:type="dxa" w:w="1440"/>
            <w:shd w:fill="FAFAFA" w:val="clear"/>
          </w:tcPr>
          <w:p>
            <w:r>
              <w:rPr>
                <w:sz w:val="17"/>
              </w:rPr>
              <w:t>J+3  ⭐⭐⭐</w:t>
            </w:r>
          </w:p>
        </w:tc>
        <w:tc>
          <w:tcPr>
            <w:tcW w:type="dxa" w:w="1440"/>
            <w:shd w:fill="FAFAFA" w:val="clear"/>
          </w:tcPr>
          <w:p>
            <w:r>
              <w:rPr>
                <w:sz w:val="17"/>
              </w:rPr>
              <w:t>2026-09-02</w:t>
            </w:r>
          </w:p>
        </w:tc>
        <w:tc>
          <w:tcPr>
            <w:tcW w:type="dxa" w:w="1440"/>
            <w:shd w:fill="FAFAFA" w:val="clear"/>
          </w:tcPr>
          <w:p>
            <w:r>
              <w:rPr>
                <w:sz w:val="17"/>
              </w:rPr>
              <w:t>2,074</w:t>
            </w:r>
          </w:p>
        </w:tc>
        <w:tc>
          <w:tcPr>
            <w:tcW w:type="dxa" w:w="1440"/>
            <w:shd w:fill="FAFAFA" w:val="clear"/>
          </w:tcPr>
          <w:p>
            <w:r>
              <w:rPr>
                <w:b/>
                <w:sz w:val="17"/>
              </w:rPr>
              <w:t>2,190</w:t>
            </w:r>
          </w:p>
        </w:tc>
        <w:tc>
          <w:tcPr>
            <w:tcW w:type="dxa" w:w="1440"/>
            <w:shd w:fill="FAFAFA" w:val="clear"/>
          </w:tcPr>
          <w:p>
            <w:r>
              <w:rPr>
                <w:sz w:val="17"/>
              </w:rPr>
              <w:t>2,307</w:t>
            </w:r>
          </w:p>
        </w:tc>
        <w:tc>
          <w:tcPr>
            <w:tcW w:type="dxa" w:w="1440"/>
            <w:shd w:fill="FAFAFA" w:val="clear"/>
          </w:tcPr>
          <w:p>
            <w:r>
              <w:rPr>
                <w:b/>
                <w:color w:val="008000"/>
                <w:sz w:val="17"/>
              </w:rPr>
              <w:t>+1.4%</w:t>
            </w:r>
          </w:p>
        </w:tc>
      </w:tr>
      <w:tr>
        <w:tc>
          <w:tcPr>
            <w:tcW w:type="dxa" w:w="1440"/>
            <w:shd w:fill="FAFAFA" w:val="clear"/>
          </w:tcPr>
          <w:p>
            <w:r>
              <w:rPr>
                <w:sz w:val="17"/>
              </w:rPr>
              <w:t>J+4  Moyenne</w:t>
            </w:r>
          </w:p>
        </w:tc>
        <w:tc>
          <w:tcPr>
            <w:tcW w:type="dxa" w:w="1440"/>
            <w:shd w:fill="FAFAFA" w:val="clear"/>
          </w:tcPr>
          <w:p>
            <w:r>
              <w:rPr>
                <w:sz w:val="17"/>
              </w:rPr>
              <w:t>2026-09-03</w:t>
            </w:r>
          </w:p>
        </w:tc>
        <w:tc>
          <w:tcPr>
            <w:tcW w:type="dxa" w:w="1440"/>
            <w:shd w:fill="FAFAFA" w:val="clear"/>
          </w:tcPr>
          <w:p>
            <w:r>
              <w:rPr>
                <w:sz w:val="17"/>
              </w:rPr>
              <w:t>2,065</w:t>
            </w:r>
          </w:p>
        </w:tc>
        <w:tc>
          <w:tcPr>
            <w:tcW w:type="dxa" w:w="1440"/>
            <w:shd w:fill="FAFAFA" w:val="clear"/>
          </w:tcPr>
          <w:p>
            <w:r>
              <w:rPr>
                <w:b/>
                <w:sz w:val="17"/>
              </w:rPr>
              <w:t>2,200</w:t>
            </w:r>
          </w:p>
        </w:tc>
        <w:tc>
          <w:tcPr>
            <w:tcW w:type="dxa" w:w="1440"/>
            <w:shd w:fill="FAFAFA" w:val="clear"/>
          </w:tcPr>
          <w:p>
            <w:r>
              <w:rPr>
                <w:sz w:val="17"/>
              </w:rPr>
              <w:t>2,335</w:t>
            </w:r>
          </w:p>
        </w:tc>
        <w:tc>
          <w:tcPr>
            <w:tcW w:type="dxa" w:w="1440"/>
            <w:shd w:fill="FAFAFA" w:val="clear"/>
          </w:tcPr>
          <w:p>
            <w:r>
              <w:rPr>
                <w:b/>
                <w:color w:val="008000"/>
                <w:sz w:val="17"/>
              </w:rPr>
              <w:t>+1.9%</w:t>
            </w:r>
          </w:p>
        </w:tc>
      </w:tr>
      <w:tr>
        <w:tc>
          <w:tcPr>
            <w:tcW w:type="dxa" w:w="1440"/>
            <w:shd w:fill="C6EFCE" w:val="clear"/>
          </w:tcPr>
          <w:p>
            <w:r>
              <w:rPr>
                <w:sz w:val="17"/>
              </w:rPr>
              <w:t>J+5  Moyenne</w:t>
            </w:r>
          </w:p>
        </w:tc>
        <w:tc>
          <w:tcPr>
            <w:tcW w:type="dxa" w:w="1440"/>
            <w:shd w:fill="C6EFCE" w:val="clear"/>
          </w:tcPr>
          <w:p>
            <w:r>
              <w:rPr>
                <w:sz w:val="17"/>
              </w:rPr>
              <w:t>2026-09-04</w:t>
            </w:r>
          </w:p>
        </w:tc>
        <w:tc>
          <w:tcPr>
            <w:tcW w:type="dxa" w:w="1440"/>
            <w:shd w:fill="C6EFCE" w:val="clear"/>
          </w:tcPr>
          <w:p>
            <w:r>
              <w:rPr>
                <w:sz w:val="17"/>
              </w:rPr>
              <w:t>2,058</w:t>
            </w:r>
          </w:p>
        </w:tc>
        <w:tc>
          <w:tcPr>
            <w:tcW w:type="dxa" w:w="1440"/>
            <w:shd w:fill="C6EFCE" w:val="clear"/>
          </w:tcPr>
          <w:p>
            <w:r>
              <w:rPr>
                <w:b/>
                <w:sz w:val="17"/>
              </w:rPr>
              <w:t>2,210</w:t>
            </w:r>
          </w:p>
        </w:tc>
        <w:tc>
          <w:tcPr>
            <w:tcW w:type="dxa" w:w="1440"/>
            <w:shd w:fill="C6EFCE" w:val="clear"/>
          </w:tcPr>
          <w:p>
            <w:r>
              <w:rPr>
                <w:sz w:val="17"/>
              </w:rPr>
              <w:t>2,362</w:t>
            </w:r>
          </w:p>
        </w:tc>
        <w:tc>
          <w:tcPr>
            <w:tcW w:type="dxa" w:w="1440"/>
            <w:shd w:fill="C6EFCE" w:val="clear"/>
          </w:tcPr>
          <w:p>
            <w:r>
              <w:rPr>
                <w:b/>
                <w:color w:val="008000"/>
                <w:sz w:val="17"/>
              </w:rPr>
              <w:t>+2.3%</w:t>
            </w:r>
          </w:p>
        </w:tc>
      </w:tr>
      <w:tr>
        <w:tc>
          <w:tcPr>
            <w:tcW w:type="dxa" w:w="1440"/>
            <w:shd w:fill="C6EFCE" w:val="clear"/>
          </w:tcPr>
          <w:p>
            <w:r>
              <w:rPr>
                <w:sz w:val="17"/>
              </w:rPr>
              <w:t>J+6  Moyenne</w:t>
            </w:r>
          </w:p>
        </w:tc>
        <w:tc>
          <w:tcPr>
            <w:tcW w:type="dxa" w:w="1440"/>
            <w:shd w:fill="C6EFCE" w:val="clear"/>
          </w:tcPr>
          <w:p>
            <w:r>
              <w:rPr>
                <w:sz w:val="17"/>
              </w:rPr>
              <w:t>2026-09-07</w:t>
            </w:r>
          </w:p>
        </w:tc>
        <w:tc>
          <w:tcPr>
            <w:tcW w:type="dxa" w:w="1440"/>
            <w:shd w:fill="C6EFCE" w:val="clear"/>
          </w:tcPr>
          <w:p>
            <w:r>
              <w:rPr>
                <w:sz w:val="17"/>
              </w:rPr>
              <w:t>2,052</w:t>
            </w:r>
          </w:p>
        </w:tc>
        <w:tc>
          <w:tcPr>
            <w:tcW w:type="dxa" w:w="1440"/>
            <w:shd w:fill="C6EFCE" w:val="clear"/>
          </w:tcPr>
          <w:p>
            <w:r>
              <w:rPr>
                <w:b/>
                <w:sz w:val="17"/>
              </w:rPr>
              <w:t>2,219</w:t>
            </w:r>
          </w:p>
        </w:tc>
        <w:tc>
          <w:tcPr>
            <w:tcW w:type="dxa" w:w="1440"/>
            <w:shd w:fill="C6EFCE" w:val="clear"/>
          </w:tcPr>
          <w:p>
            <w:r>
              <w:rPr>
                <w:sz w:val="17"/>
              </w:rPr>
              <w:t>2,386</w:t>
            </w:r>
          </w:p>
        </w:tc>
        <w:tc>
          <w:tcPr>
            <w:tcW w:type="dxa" w:w="1440"/>
            <w:shd w:fill="C6EFCE" w:val="clear"/>
          </w:tcPr>
          <w:p>
            <w:r>
              <w:rPr>
                <w:b/>
                <w:color w:val="008000"/>
                <w:sz w:val="17"/>
              </w:rPr>
              <w:t>+2.7%</w:t>
            </w:r>
          </w:p>
        </w:tc>
      </w:tr>
      <w:tr>
        <w:tc>
          <w:tcPr>
            <w:tcW w:type="dxa" w:w="1440"/>
            <w:shd w:fill="C6EFCE" w:val="clear"/>
          </w:tcPr>
          <w:p>
            <w:r>
              <w:rPr>
                <w:sz w:val="17"/>
              </w:rPr>
              <w:t>J+7  Moyenne</w:t>
            </w:r>
          </w:p>
        </w:tc>
        <w:tc>
          <w:tcPr>
            <w:tcW w:type="dxa" w:w="1440"/>
            <w:shd w:fill="C6EFCE" w:val="clear"/>
          </w:tcPr>
          <w:p>
            <w:r>
              <w:rPr>
                <w:sz w:val="17"/>
              </w:rPr>
              <w:t>2026-09-08</w:t>
            </w:r>
          </w:p>
        </w:tc>
        <w:tc>
          <w:tcPr>
            <w:tcW w:type="dxa" w:w="1440"/>
            <w:shd w:fill="C6EFCE" w:val="clear"/>
          </w:tcPr>
          <w:p>
            <w:r>
              <w:rPr>
                <w:sz w:val="17"/>
              </w:rPr>
              <w:t>2,047</w:t>
            </w:r>
          </w:p>
        </w:tc>
        <w:tc>
          <w:tcPr>
            <w:tcW w:type="dxa" w:w="1440"/>
            <w:shd w:fill="C6EFCE" w:val="clear"/>
          </w:tcPr>
          <w:p>
            <w:r>
              <w:rPr>
                <w:b/>
                <w:sz w:val="17"/>
              </w:rPr>
              <w:t>2,229</w:t>
            </w:r>
          </w:p>
        </w:tc>
        <w:tc>
          <w:tcPr>
            <w:tcW w:type="dxa" w:w="1440"/>
            <w:shd w:fill="C6EFCE" w:val="clear"/>
          </w:tcPr>
          <w:p>
            <w:r>
              <w:rPr>
                <w:sz w:val="17"/>
              </w:rPr>
              <w:t>2,410</w:t>
            </w:r>
          </w:p>
        </w:tc>
        <w:tc>
          <w:tcPr>
            <w:tcW w:type="dxa" w:w="1440"/>
            <w:shd w:fill="C6EFCE" w:val="clear"/>
          </w:tcPr>
          <w:p>
            <w:r>
              <w:rPr>
                <w:b/>
                <w:color w:val="008000"/>
                <w:sz w:val="17"/>
              </w:rPr>
              <w:t>+3.2%</w:t>
            </w:r>
          </w:p>
        </w:tc>
      </w:tr>
      <w:tr>
        <w:tc>
          <w:tcPr>
            <w:tcW w:type="dxa" w:w="1440"/>
            <w:shd w:fill="C6EFCE" w:val="clear"/>
          </w:tcPr>
          <w:p>
            <w:r>
              <w:rPr>
                <w:sz w:val="17"/>
              </w:rPr>
              <w:t>J+8  Moyenne</w:t>
            </w:r>
          </w:p>
        </w:tc>
        <w:tc>
          <w:tcPr>
            <w:tcW w:type="dxa" w:w="1440"/>
            <w:shd w:fill="C6EFCE" w:val="clear"/>
          </w:tcPr>
          <w:p>
            <w:r>
              <w:rPr>
                <w:sz w:val="17"/>
              </w:rPr>
              <w:t>2026-09-09</w:t>
            </w:r>
          </w:p>
        </w:tc>
        <w:tc>
          <w:tcPr>
            <w:tcW w:type="dxa" w:w="1440"/>
            <w:shd w:fill="C6EFCE" w:val="clear"/>
          </w:tcPr>
          <w:p>
            <w:r>
              <w:rPr>
                <w:sz w:val="17"/>
              </w:rPr>
              <w:t>2,044</w:t>
            </w:r>
          </w:p>
        </w:tc>
        <w:tc>
          <w:tcPr>
            <w:tcW w:type="dxa" w:w="1440"/>
            <w:shd w:fill="C6EFCE" w:val="clear"/>
          </w:tcPr>
          <w:p>
            <w:r>
              <w:rPr>
                <w:b/>
                <w:sz w:val="17"/>
              </w:rPr>
              <w:t>2,238</w:t>
            </w:r>
          </w:p>
        </w:tc>
        <w:tc>
          <w:tcPr>
            <w:tcW w:type="dxa" w:w="1440"/>
            <w:shd w:fill="C6EFCE" w:val="clear"/>
          </w:tcPr>
          <w:p>
            <w:r>
              <w:rPr>
                <w:sz w:val="17"/>
              </w:rPr>
              <w:t>2,433</w:t>
            </w:r>
          </w:p>
        </w:tc>
        <w:tc>
          <w:tcPr>
            <w:tcW w:type="dxa" w:w="1440"/>
            <w:shd w:fill="C6EFCE" w:val="clear"/>
          </w:tcPr>
          <w:p>
            <w:r>
              <w:rPr>
                <w:b/>
                <w:color w:val="008000"/>
                <w:sz w:val="17"/>
              </w:rPr>
              <w:t>+3.6%</w:t>
            </w:r>
          </w:p>
        </w:tc>
      </w:tr>
      <w:tr>
        <w:tc>
          <w:tcPr>
            <w:tcW w:type="dxa" w:w="1440"/>
            <w:shd w:fill="C6EFCE" w:val="clear"/>
          </w:tcPr>
          <w:p>
            <w:r>
              <w:rPr>
                <w:sz w:val="17"/>
              </w:rPr>
              <w:t>J+9  Moyenne</w:t>
            </w:r>
          </w:p>
        </w:tc>
        <w:tc>
          <w:tcPr>
            <w:tcW w:type="dxa" w:w="1440"/>
            <w:shd w:fill="C6EFCE" w:val="clear"/>
          </w:tcPr>
          <w:p>
            <w:r>
              <w:rPr>
                <w:sz w:val="17"/>
              </w:rPr>
              <w:t>2026-09-10</w:t>
            </w:r>
          </w:p>
        </w:tc>
        <w:tc>
          <w:tcPr>
            <w:tcW w:type="dxa" w:w="1440"/>
            <w:shd w:fill="C6EFCE" w:val="clear"/>
          </w:tcPr>
          <w:p>
            <w:r>
              <w:rPr>
                <w:sz w:val="17"/>
              </w:rPr>
              <w:t>2,040</w:t>
            </w:r>
          </w:p>
        </w:tc>
        <w:tc>
          <w:tcPr>
            <w:tcW w:type="dxa" w:w="1440"/>
            <w:shd w:fill="C6EFCE" w:val="clear"/>
          </w:tcPr>
          <w:p>
            <w:r>
              <w:rPr>
                <w:b/>
                <w:sz w:val="17"/>
              </w:rPr>
              <w:t>2,248</w:t>
            </w:r>
          </w:p>
        </w:tc>
        <w:tc>
          <w:tcPr>
            <w:tcW w:type="dxa" w:w="1440"/>
            <w:shd w:fill="C6EFCE" w:val="clear"/>
          </w:tcPr>
          <w:p>
            <w:r>
              <w:rPr>
                <w:sz w:val="17"/>
              </w:rPr>
              <w:t>2,455</w:t>
            </w:r>
          </w:p>
        </w:tc>
        <w:tc>
          <w:tcPr>
            <w:tcW w:type="dxa" w:w="1440"/>
            <w:shd w:fill="C6EFCE" w:val="clear"/>
          </w:tcPr>
          <w:p>
            <w:r>
              <w:rPr>
                <w:b/>
                <w:color w:val="008000"/>
                <w:sz w:val="17"/>
              </w:rPr>
              <w:t>+4.1%</w:t>
            </w:r>
          </w:p>
        </w:tc>
      </w:tr>
      <w:tr>
        <w:tc>
          <w:tcPr>
            <w:tcW w:type="dxa" w:w="1440"/>
            <w:shd w:fill="C6EFCE" w:val="clear"/>
          </w:tcPr>
          <w:p>
            <w:r>
              <w:rPr>
                <w:sz w:val="17"/>
              </w:rPr>
              <w:t>J+10  Moyenne</w:t>
            </w:r>
          </w:p>
        </w:tc>
        <w:tc>
          <w:tcPr>
            <w:tcW w:type="dxa" w:w="1440"/>
            <w:shd w:fill="C6EFCE" w:val="clear"/>
          </w:tcPr>
          <w:p>
            <w:r>
              <w:rPr>
                <w:sz w:val="17"/>
              </w:rPr>
              <w:t>2026-09-11</w:t>
            </w:r>
          </w:p>
        </w:tc>
        <w:tc>
          <w:tcPr>
            <w:tcW w:type="dxa" w:w="1440"/>
            <w:shd w:fill="C6EFCE" w:val="clear"/>
          </w:tcPr>
          <w:p>
            <w:r>
              <w:rPr>
                <w:sz w:val="17"/>
              </w:rPr>
              <w:t>2,038</w:t>
            </w:r>
          </w:p>
        </w:tc>
        <w:tc>
          <w:tcPr>
            <w:tcW w:type="dxa" w:w="1440"/>
            <w:shd w:fill="C6EFCE" w:val="clear"/>
          </w:tcPr>
          <w:p>
            <w:r>
              <w:rPr>
                <w:b/>
                <w:sz w:val="17"/>
              </w:rPr>
              <w:t>2,257</w:t>
            </w:r>
          </w:p>
        </w:tc>
        <w:tc>
          <w:tcPr>
            <w:tcW w:type="dxa" w:w="1440"/>
            <w:shd w:fill="C6EFCE" w:val="clear"/>
          </w:tcPr>
          <w:p>
            <w:r>
              <w:rPr>
                <w:sz w:val="17"/>
              </w:rPr>
              <w:t>2,477</w:t>
            </w:r>
          </w:p>
        </w:tc>
        <w:tc>
          <w:tcPr>
            <w:tcW w:type="dxa" w:w="1440"/>
            <w:shd w:fill="C6EFCE" w:val="clear"/>
          </w:tcPr>
          <w:p>
            <w:r>
              <w:rPr>
                <w:b/>
                <w:color w:val="008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FILTISAC CI (FTSC)**</w:t>
        <w:br/>
        <w:t>**Date de l'analyse : 28 août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30,46 milliards FCFA, FTSC se positionne comme une valeur de taille moyenne sur la BRVM. Le titre se négocie à un PER de 65,4x, un niveau extrêmement élevé comparé à la moyenne historique du marché (8-12x), ce qui signifie que les investisseurs paient un prix très supérieur aux bénéfices actuels générés par l'entreprise. Le P/B de 1,94x indique que le marché valorise la société à près du double de sa valeur comptable, ce qui reste dans une fourchette raisonnable. Cependant, l'EV/EBITDA de 38,2x est un signal d'alerte majeur : la valeur totale de l'entreprise (dette incluse) est très exigeante par rapport à sa capacité opérationnelle à générer des flux. Ces ratios combinés suggèrent une valorisation qui anticipe une forte amélioration des résultats, un pari risqué compte tenu des performances opérationnelles récentes.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FTSC a enregistré une baisse de 6,09%, avec un cours actuel de 2 160 FCFA, bien que la dernière séance ait affiché une légère hausse de 0,23%. Le titre a évolué dans une fourchette de 1 910 à 2 430 FCFA, montrant une amplitude de 520 FCFA. La moyenne (2 153 FCFA) et la médiane (2 188 FCFA) sont proches, indiquant une distribution relativement symétrique, confirmée par un skewness de -0,112. L'écart-type de 136 FCFA (CV=6,3%) révèle une dispersion modérée autour de la moyenne. Le kurtosis de -1,113 (platykurtique) suggère une distribution aplatie, avec moins de valeurs extrêmes que la normale, ce qui réduit le risque de mouvements brutaux. La volatilité annualisée de 35,3% est élevée, classant FTSC comme un titre à fort risque de fluctuation, ce qui est cohérent avec les incertitudes fondamentales pesant sur la société.</w:t>
      </w:r>
    </w:p>
    <w:p>
      <w:pPr>
        <w:spacing w:after="120" w:line="276" w:lineRule="auto"/>
      </w:pPr>
      <w:r>
        <w:t>---</w:t>
      </w:r>
    </w:p>
    <w:p>
      <w:pPr>
        <w:spacing w:after="120" w:line="276" w:lineRule="auto"/>
      </w:pPr>
      <w:r>
        <w:t>### PARTIE 2 : ANALYSE TECHNIQUE DÉTAILLÉE</w:t>
      </w:r>
    </w:p>
    <w:p>
      <w:pPr>
        <w:spacing w:after="120" w:line="276" w:lineRule="auto"/>
      </w:pPr>
      <w:r>
        <w:t>**Moyennes Mobiles :** La MM20 (2 101,75 FCFA) et la MM50 (2 042,5 FCFA) sont toutes deux inférieures au cours actuel de 2 160 FCFA, ce qui confirme une tendance haussière à court et moyen terme. Le croisement positif des moyennes et la position du prix au-dessus d'elles génèrent un signal d'achat, indiquant que le momentum est favorable.</w:t>
      </w:r>
    </w:p>
    <w:p>
      <w:pPr>
        <w:spacing w:after="120" w:line="276" w:lineRule="auto"/>
      </w:pPr>
      <w:r>
        <w:t>**Bandes de Bollinger :** Le prix se situe à 2 160 FCFA, entre la borne inférieure (1 901,43 FCFA) et la borne supérieure (2 302,07 FCFA), proche de la moyenne. La position neutre du prix dans les bandes suggère une volatilité modérée, sans condition de surachat ou de survente, ce qui justifie une décision neutre.</w:t>
      </w:r>
    </w:p>
    <w:p>
      <w:pPr>
        <w:spacing w:after="120" w:line="276" w:lineRule="auto"/>
      </w:pPr>
      <w:r>
        <w:t>**MACD :** La valeur du MACD (36,46) est supérieure à son signal (33,52), indiquant un momentum haussier positif. La divergence positive entre la ligne MACD et la ligne de signal confirme une dynamique d'achat, bien que la marge soit relativement étroite, ce qui appelle à la prudence.</w:t>
      </w:r>
    </w:p>
    <w:p>
      <w:pPr>
        <w:spacing w:after="120" w:line="276" w:lineRule="auto"/>
      </w:pPr>
      <w:r>
        <w:t>**RSI :** Le RSI à 72,22 est en zone de surachat (&gt;70), signalant que le titre est potentiellement surévalué à court terme. Ce niveau suggère un risque de correction ou de consolidation, justifiant une décision de vente pour les traders à court terme.</w:t>
      </w:r>
    </w:p>
    <w:p>
      <w:pPr>
        <w:spacing w:after="120" w:line="276" w:lineRule="auto"/>
      </w:pPr>
      <w:r>
        <w:t>**Stochastique :** Le %K (57,14) est inférieur au %D (72,91), indiquant un croisement baissier potentiel. La position des deux lignes en zone neutre (30-70) suggère un affaiblissement du momentum haussier, d'où une décision neutre.</w:t>
      </w:r>
    </w:p>
    <w:p>
      <w:pPr>
        <w:spacing w:after="120" w:line="276" w:lineRule="auto"/>
      </w:pPr>
      <w:r>
        <w:t>**Conclusion technique :** Les indicateurs sont mitigés. Les moyennes mobiles et le MACD soutiennent une tendance haussière, mais le RSI en surachat et le stochastique en croisement baissier signalent un essoufflement à court terme. La prudence est de mise, avec un possible repli avant une reprise de la tendance.</w:t>
      </w:r>
    </w:p>
    <w:p>
      <w:pPr>
        <w:spacing w:after="120" w:line="276" w:lineRule="auto"/>
      </w:pPr>
      <w:r>
        <w:t>---</w:t>
      </w:r>
    </w:p>
    <w:p>
      <w:pPr>
        <w:spacing w:after="120" w:line="276" w:lineRule="auto"/>
      </w:pPr>
      <w:r>
        <w:t>### PARTIE 3 : ANALYSE FONDAMENTALE (SECTION CRITIQUE)</w:t>
      </w:r>
    </w:p>
    <w:p>
      <w:pPr>
        <w:spacing w:after="120" w:line="276" w:lineRule="auto"/>
      </w:pPr>
      <w:r>
        <w:t>En 2025, FILTISAC CI a réalisé un chiffre d'affaires de 32,109 milliards FCFA, en hausse de 4,6% par rapport à 2024, mais le résultat net s'effondre à 465,98 millions FCFA contre 18,6 milliards en 2024, une chute de 97,5% due à l'absence de produits exceptionnels liés aux cessions de filiales. La marge nette est tombée à 1,45%, et le ROE s'établit à 2,97%, un niveau très faible. Le BFR est positif à 11,529 milliards FCFA, ce qui est défavorable, et les délais de paiement clients (213,72 jours) et de stockage (214,65 jours) sont très élevés, indiquant une immobilisation importante de capital et un risque de trésorerie. La trésorerie nette est fortement négative à -11,528 milliards FCFA, suite au versement de dividendes massifs en 2024. Les rapports trimestriels 2025 montrent une amélioration opérationnelle progressive : le T1 2025 affichait une perte d'exploitation de -78 millions FCFA, le S1 2025 une perte de -13 millions, et le T3 2025 une perte de -230 millions, mais avec un plan d'optimisation des charges. Le rapport T1 2026 (publié en 2026) indique un CA en hausse de 55% à 8,901 milliards FCFA et un résultat d'exploitation positif de 75 millions FCFA, mais un résultat net encore déficitaire de -154 millions FCFA. On estime que l'exercice 2026 pourrait voir une amélioration de la rentabilité opérationnelle, mais la dépendance à la campagne cacaoyère et les risques d'approvisionnement en jute (interdiction d'exportation par le Bangladesh) restent des menaces majeures. La recommandation fondamentale est de **VENDRE** en raison de la fragilité financière et des incertitudes persistantes.</w:t>
      </w:r>
    </w:p>
    <w:p>
      <w:pPr>
        <w:spacing w:after="120" w:line="276" w:lineRule="auto"/>
      </w:pPr>
      <w:r>
        <w:t>---</w:t>
      </w:r>
    </w:p>
    <w:p>
      <w:pPr>
        <w:spacing w:after="120" w:line="276" w:lineRule="auto"/>
      </w:pPr>
      <w:r>
        <w:t>### PARTIE 4 : CONCLUSION D'INVESTISSEMENT</w:t>
      </w:r>
    </w:p>
    <w:p>
      <w:pPr>
        <w:spacing w:after="120" w:line="276" w:lineRule="auto"/>
      </w:pPr>
      <w:r>
        <w:t>La valorisation de FTSC est extrêmement exigeante (PER 65,4x, EV/EBITDA 38,2x) par rapport à des fondamentaux dégradés, avec une marge nette de 1,45% et un ROE de 2,97%. Le comportement du cours montre une tendance baissière sur 100 jours (-6,09%) avec une volatilité élevée (35,3%), mais une distribution statistique stable (platykurtique). Les signaux techniques sont mitigés : les moyennes mobiles et le MACD sont positifs, mais le RSI en surachat et le stochastique baissier suggèrent un repli imminent. Les fondamentaux sont préoccupants, avec une trésorerie nette négative de -11,5 milliards FCFA et des délais clients/stocks très élevés, bien que le T1 2026 montre une amélioration du CA (+55%). Les prédictions IA (2 171 à 2 210 FCFA sur 10 jours) indiquent une légère hausse, mais celle-ci est fragile et pourrait être contredite par une correction technique. En synthèse, la convergence entre la surévaluation, la faiblesse des fondamentaux et les signaux techniques mixtes conduit à une recommandation de **VENTE**, avec un niveau de confiance **Moyen** et un risque global **Élevé**. L'horizon d'investissement optimal est le **court terme (&lt;3 mois)** pour les traders opportunistes, mais la valeur est à éviter pour un investissement à moyen ou long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80.00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3,673 titres</w:t>
            </w:r>
          </w:p>
        </w:tc>
        <w:tc>
          <w:tcPr>
            <w:tcW w:type="dxa" w:w="2268"/>
            <w:shd w:fill="FFF2CC" w:val="clear"/>
          </w:tcPr>
          <w:p>
            <w:r>
              <w:rPr>
                <w:b/>
                <w:color w:val="503200"/>
                <w:sz w:val="16"/>
              </w:rPr>
              <w:t xml:space="preserve">Cours actuel : </w:t>
            </w:r>
            <w:r>
              <w:rPr>
                <w:color w:val="000000"/>
                <w:sz w:val="17"/>
              </w:rPr>
              <w:t>4,000 FCFA</w:t>
            </w:r>
          </w:p>
          <w:p>
            <w:r>
              <w:rPr>
                <w:b/>
                <w:color w:val="503200"/>
                <w:sz w:val="16"/>
              </w:rPr>
              <w:t xml:space="preserve">Var. 100 jours : </w:t>
            </w:r>
            <w:r>
              <w:rPr>
                <w:b/>
                <w:color w:val="007800"/>
                <w:sz w:val="17"/>
              </w:rPr>
              <w:t>+3.90%</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3,825 FCFA</w:t>
            </w:r>
          </w:p>
          <w:p>
            <w:r>
              <w:rPr>
                <w:b/>
                <w:color w:val="503200"/>
                <w:sz w:val="16"/>
              </w:rPr>
              <w:t xml:space="preserve">Volatilité ann. : </w:t>
            </w:r>
            <w:r>
              <w:rPr>
                <w:color w:val="000000"/>
                <w:sz w:val="17"/>
              </w:rPr>
              <w:t>36.3%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4.99% (Faible) — μ=4,053 FCFA, σ=202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β=0.0023 (Défensif) — Cov=0.000000, Var(idx)=0.000036, ρ=0.001,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3,673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2026-08-31</w:t>
            </w:r>
          </w:p>
        </w:tc>
        <w:tc>
          <w:tcPr>
            <w:tcW w:type="dxa" w:w="1440"/>
            <w:shd w:fill="FAFAFA" w:val="clear"/>
          </w:tcPr>
          <w:p>
            <w:r>
              <w:rPr>
                <w:sz w:val="17"/>
              </w:rPr>
              <w:t>3,815</w:t>
            </w:r>
          </w:p>
        </w:tc>
        <w:tc>
          <w:tcPr>
            <w:tcW w:type="dxa" w:w="1440"/>
            <w:shd w:fill="FAFAFA" w:val="clear"/>
          </w:tcPr>
          <w:p>
            <w:r>
              <w:rPr>
                <w:b/>
                <w:sz w:val="17"/>
              </w:rPr>
              <w:t>3,987</w:t>
            </w:r>
          </w:p>
        </w:tc>
        <w:tc>
          <w:tcPr>
            <w:tcW w:type="dxa" w:w="1440"/>
            <w:shd w:fill="FAFAFA" w:val="clear"/>
          </w:tcPr>
          <w:p>
            <w:r>
              <w:rPr>
                <w:sz w:val="17"/>
              </w:rPr>
              <w:t>4,159</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2026-09-01</w:t>
            </w:r>
          </w:p>
        </w:tc>
        <w:tc>
          <w:tcPr>
            <w:tcW w:type="dxa" w:w="1440"/>
            <w:shd w:fill="FAFAFA" w:val="clear"/>
          </w:tcPr>
          <w:p>
            <w:r>
              <w:rPr>
                <w:sz w:val="17"/>
              </w:rPr>
              <w:t>3,733</w:t>
            </w:r>
          </w:p>
        </w:tc>
        <w:tc>
          <w:tcPr>
            <w:tcW w:type="dxa" w:w="1440"/>
            <w:shd w:fill="FAFAFA" w:val="clear"/>
          </w:tcPr>
          <w:p>
            <w:r>
              <w:rPr>
                <w:b/>
                <w:sz w:val="17"/>
              </w:rPr>
              <w:t>3,976</w:t>
            </w:r>
          </w:p>
        </w:tc>
        <w:tc>
          <w:tcPr>
            <w:tcW w:type="dxa" w:w="1440"/>
            <w:shd w:fill="FAFAFA" w:val="clear"/>
          </w:tcPr>
          <w:p>
            <w:r>
              <w:rPr>
                <w:sz w:val="17"/>
              </w:rPr>
              <w:t>4,218</w:t>
            </w:r>
          </w:p>
        </w:tc>
        <w:tc>
          <w:tcPr>
            <w:tcW w:type="dxa" w:w="1440"/>
            <w:shd w:fill="FAFAFA" w:val="clear"/>
          </w:tcPr>
          <w:p>
            <w:r>
              <w:rPr>
                <w:b/>
                <w:color w:val="C00000"/>
                <w:sz w:val="17"/>
              </w:rPr>
              <w:t>-0.6%</w:t>
            </w:r>
          </w:p>
        </w:tc>
      </w:tr>
      <w:tr>
        <w:tc>
          <w:tcPr>
            <w:tcW w:type="dxa" w:w="1440"/>
            <w:shd w:fill="FAFAFA" w:val="clear"/>
          </w:tcPr>
          <w:p>
            <w:r>
              <w:rPr>
                <w:sz w:val="17"/>
              </w:rPr>
              <w:t>J+3  Moyenne</w:t>
            </w:r>
          </w:p>
        </w:tc>
        <w:tc>
          <w:tcPr>
            <w:tcW w:type="dxa" w:w="1440"/>
            <w:shd w:fill="FAFAFA" w:val="clear"/>
          </w:tcPr>
          <w:p>
            <w:r>
              <w:rPr>
                <w:sz w:val="17"/>
              </w:rPr>
              <w:t>2026-09-02</w:t>
            </w:r>
          </w:p>
        </w:tc>
        <w:tc>
          <w:tcPr>
            <w:tcW w:type="dxa" w:w="1440"/>
            <w:shd w:fill="FAFAFA" w:val="clear"/>
          </w:tcPr>
          <w:p>
            <w:r>
              <w:rPr>
                <w:sz w:val="17"/>
              </w:rPr>
              <w:t>3,670</w:t>
            </w:r>
          </w:p>
        </w:tc>
        <w:tc>
          <w:tcPr>
            <w:tcW w:type="dxa" w:w="1440"/>
            <w:shd w:fill="FAFAFA" w:val="clear"/>
          </w:tcPr>
          <w:p>
            <w:r>
              <w:rPr>
                <w:b/>
                <w:sz w:val="17"/>
              </w:rPr>
              <w:t>3,966</w:t>
            </w:r>
          </w:p>
        </w:tc>
        <w:tc>
          <w:tcPr>
            <w:tcW w:type="dxa" w:w="1440"/>
            <w:shd w:fill="FAFAFA" w:val="clear"/>
          </w:tcPr>
          <w:p>
            <w:r>
              <w:rPr>
                <w:sz w:val="17"/>
              </w:rPr>
              <w:t>4,262</w:t>
            </w:r>
          </w:p>
        </w:tc>
        <w:tc>
          <w:tcPr>
            <w:tcW w:type="dxa" w:w="1440"/>
            <w:shd w:fill="FAFAFA" w:val="clear"/>
          </w:tcPr>
          <w:p>
            <w:r>
              <w:rPr>
                <w:b/>
                <w:color w:val="C00000"/>
                <w:sz w:val="17"/>
              </w:rPr>
              <w:t>-0.8%</w:t>
            </w:r>
          </w:p>
        </w:tc>
      </w:tr>
      <w:tr>
        <w:tc>
          <w:tcPr>
            <w:tcW w:type="dxa" w:w="1440"/>
            <w:shd w:fill="FAFAFA" w:val="clear"/>
          </w:tcPr>
          <w:p>
            <w:r>
              <w:rPr>
                <w:sz w:val="17"/>
              </w:rPr>
              <w:t>J+4  ⭐</w:t>
            </w:r>
          </w:p>
        </w:tc>
        <w:tc>
          <w:tcPr>
            <w:tcW w:type="dxa" w:w="1440"/>
            <w:shd w:fill="FAFAFA" w:val="clear"/>
          </w:tcPr>
          <w:p>
            <w:r>
              <w:rPr>
                <w:sz w:val="17"/>
              </w:rPr>
              <w:t>2026-09-03</w:t>
            </w:r>
          </w:p>
        </w:tc>
        <w:tc>
          <w:tcPr>
            <w:tcW w:type="dxa" w:w="1440"/>
            <w:shd w:fill="FAFAFA" w:val="clear"/>
          </w:tcPr>
          <w:p>
            <w:r>
              <w:rPr>
                <w:sz w:val="17"/>
              </w:rPr>
              <w:t>3,617</w:t>
            </w:r>
          </w:p>
        </w:tc>
        <w:tc>
          <w:tcPr>
            <w:tcW w:type="dxa" w:w="1440"/>
            <w:shd w:fill="FAFAFA" w:val="clear"/>
          </w:tcPr>
          <w:p>
            <w:r>
              <w:rPr>
                <w:b/>
                <w:sz w:val="17"/>
              </w:rPr>
              <w:t>3,958</w:t>
            </w:r>
          </w:p>
        </w:tc>
        <w:tc>
          <w:tcPr>
            <w:tcW w:type="dxa" w:w="1440"/>
            <w:shd w:fill="FAFAFA" w:val="clear"/>
          </w:tcPr>
          <w:p>
            <w:r>
              <w:rPr>
                <w:sz w:val="17"/>
              </w:rPr>
              <w:t>4,300</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2026-09-04</w:t>
            </w:r>
          </w:p>
        </w:tc>
        <w:tc>
          <w:tcPr>
            <w:tcW w:type="dxa" w:w="1440"/>
            <w:shd w:fill="FAFAFA" w:val="clear"/>
          </w:tcPr>
          <w:p>
            <w:r>
              <w:rPr>
                <w:sz w:val="17"/>
              </w:rPr>
              <w:t>3,572</w:t>
            </w:r>
          </w:p>
        </w:tc>
        <w:tc>
          <w:tcPr>
            <w:tcW w:type="dxa" w:w="1440"/>
            <w:shd w:fill="FAFAFA" w:val="clear"/>
          </w:tcPr>
          <w:p>
            <w:r>
              <w:rPr>
                <w:b/>
                <w:sz w:val="17"/>
              </w:rPr>
              <w:t>3,954</w:t>
            </w:r>
          </w:p>
        </w:tc>
        <w:tc>
          <w:tcPr>
            <w:tcW w:type="dxa" w:w="1440"/>
            <w:shd w:fill="FAFAFA" w:val="clear"/>
          </w:tcPr>
          <w:p>
            <w:r>
              <w:rPr>
                <w:sz w:val="17"/>
              </w:rPr>
              <w:t>4,335</w:t>
            </w:r>
          </w:p>
        </w:tc>
        <w:tc>
          <w:tcPr>
            <w:tcW w:type="dxa" w:w="1440"/>
            <w:shd w:fill="FAFAFA" w:val="clear"/>
          </w:tcPr>
          <w:p>
            <w:r>
              <w:rPr>
                <w:b/>
                <w:color w:val="C00000"/>
                <w:sz w:val="17"/>
              </w:rPr>
              <w:t>-1.2%</w:t>
            </w:r>
          </w:p>
        </w:tc>
      </w:tr>
      <w:tr>
        <w:tc>
          <w:tcPr>
            <w:tcW w:type="dxa" w:w="1440"/>
            <w:shd w:fill="FAFAFA" w:val="clear"/>
          </w:tcPr>
          <w:p>
            <w:r>
              <w:rPr>
                <w:sz w:val="17"/>
              </w:rPr>
              <w:t>J+6  ⭐</w:t>
            </w:r>
          </w:p>
        </w:tc>
        <w:tc>
          <w:tcPr>
            <w:tcW w:type="dxa" w:w="1440"/>
            <w:shd w:fill="FAFAFA" w:val="clear"/>
          </w:tcPr>
          <w:p>
            <w:r>
              <w:rPr>
                <w:sz w:val="17"/>
              </w:rPr>
              <w:t>2026-09-07</w:t>
            </w:r>
          </w:p>
        </w:tc>
        <w:tc>
          <w:tcPr>
            <w:tcW w:type="dxa" w:w="1440"/>
            <w:shd w:fill="FAFAFA" w:val="clear"/>
          </w:tcPr>
          <w:p>
            <w:r>
              <w:rPr>
                <w:sz w:val="17"/>
              </w:rPr>
              <w:t>3,535</w:t>
            </w:r>
          </w:p>
        </w:tc>
        <w:tc>
          <w:tcPr>
            <w:tcW w:type="dxa" w:w="1440"/>
            <w:shd w:fill="FAFAFA" w:val="clear"/>
          </w:tcPr>
          <w:p>
            <w:r>
              <w:rPr>
                <w:b/>
                <w:sz w:val="17"/>
              </w:rPr>
              <w:t>3,953</w:t>
            </w:r>
          </w:p>
        </w:tc>
        <w:tc>
          <w:tcPr>
            <w:tcW w:type="dxa" w:w="1440"/>
            <w:shd w:fill="FAFAFA" w:val="clear"/>
          </w:tcPr>
          <w:p>
            <w:r>
              <w:rPr>
                <w:sz w:val="17"/>
              </w:rPr>
              <w:t>4,371</w:t>
            </w:r>
          </w:p>
        </w:tc>
        <w:tc>
          <w:tcPr>
            <w:tcW w:type="dxa" w:w="1440"/>
            <w:shd w:fill="FAFAFA" w:val="clear"/>
          </w:tcPr>
          <w:p>
            <w:r>
              <w:rPr>
                <w:b/>
                <w:color w:val="C00000"/>
                <w:sz w:val="17"/>
              </w:rPr>
              <w:t>-1.2%</w:t>
            </w:r>
          </w:p>
        </w:tc>
      </w:tr>
      <w:tr>
        <w:tc>
          <w:tcPr>
            <w:tcW w:type="dxa" w:w="1440"/>
            <w:shd w:fill="FAFAFA" w:val="clear"/>
          </w:tcPr>
          <w:p>
            <w:r>
              <w:rPr>
                <w:sz w:val="17"/>
              </w:rPr>
              <w:t>J+7  ⭐</w:t>
            </w:r>
          </w:p>
        </w:tc>
        <w:tc>
          <w:tcPr>
            <w:tcW w:type="dxa" w:w="1440"/>
            <w:shd w:fill="FAFAFA" w:val="clear"/>
          </w:tcPr>
          <w:p>
            <w:r>
              <w:rPr>
                <w:sz w:val="17"/>
              </w:rPr>
              <w:t>2026-09-08</w:t>
            </w:r>
          </w:p>
        </w:tc>
        <w:tc>
          <w:tcPr>
            <w:tcW w:type="dxa" w:w="1440"/>
            <w:shd w:fill="FAFAFA" w:val="clear"/>
          </w:tcPr>
          <w:p>
            <w:r>
              <w:rPr>
                <w:sz w:val="17"/>
              </w:rPr>
              <w:t>3,505</w:t>
            </w:r>
          </w:p>
        </w:tc>
        <w:tc>
          <w:tcPr>
            <w:tcW w:type="dxa" w:w="1440"/>
            <w:shd w:fill="FAFAFA" w:val="clear"/>
          </w:tcPr>
          <w:p>
            <w:r>
              <w:rPr>
                <w:b/>
                <w:sz w:val="17"/>
              </w:rPr>
              <w:t>3,957</w:t>
            </w:r>
          </w:p>
        </w:tc>
        <w:tc>
          <w:tcPr>
            <w:tcW w:type="dxa" w:w="1440"/>
            <w:shd w:fill="FAFAFA" w:val="clear"/>
          </w:tcPr>
          <w:p>
            <w:r>
              <w:rPr>
                <w:sz w:val="17"/>
              </w:rPr>
              <w:t>4,409</w:t>
            </w:r>
          </w:p>
        </w:tc>
        <w:tc>
          <w:tcPr>
            <w:tcW w:type="dxa" w:w="1440"/>
            <w:shd w:fill="FAFAFA" w:val="clear"/>
          </w:tcPr>
          <w:p>
            <w:r>
              <w:rPr>
                <w:b/>
                <w:color w:val="C00000"/>
                <w:sz w:val="17"/>
              </w:rPr>
              <w:t>-1.1%</w:t>
            </w:r>
          </w:p>
        </w:tc>
      </w:tr>
      <w:tr>
        <w:tc>
          <w:tcPr>
            <w:tcW w:type="dxa" w:w="1440"/>
            <w:shd w:fill="FAFAFA" w:val="clear"/>
          </w:tcPr>
          <w:p>
            <w:r>
              <w:rPr>
                <w:sz w:val="17"/>
              </w:rPr>
              <w:t>J+8  ⭐</w:t>
            </w:r>
          </w:p>
        </w:tc>
        <w:tc>
          <w:tcPr>
            <w:tcW w:type="dxa" w:w="1440"/>
            <w:shd w:fill="FAFAFA" w:val="clear"/>
          </w:tcPr>
          <w:p>
            <w:r>
              <w:rPr>
                <w:sz w:val="17"/>
              </w:rPr>
              <w:t>2026-09-09</w:t>
            </w:r>
          </w:p>
        </w:tc>
        <w:tc>
          <w:tcPr>
            <w:tcW w:type="dxa" w:w="1440"/>
            <w:shd w:fill="FAFAFA" w:val="clear"/>
          </w:tcPr>
          <w:p>
            <w:r>
              <w:rPr>
                <w:sz w:val="17"/>
              </w:rPr>
              <w:t>3,483</w:t>
            </w:r>
          </w:p>
        </w:tc>
        <w:tc>
          <w:tcPr>
            <w:tcW w:type="dxa" w:w="1440"/>
            <w:shd w:fill="FAFAFA" w:val="clear"/>
          </w:tcPr>
          <w:p>
            <w:r>
              <w:rPr>
                <w:b/>
                <w:sz w:val="17"/>
              </w:rPr>
              <w:t>3,967</w:t>
            </w:r>
          </w:p>
        </w:tc>
        <w:tc>
          <w:tcPr>
            <w:tcW w:type="dxa" w:w="1440"/>
            <w:shd w:fill="FAFAFA" w:val="clear"/>
          </w:tcPr>
          <w:p>
            <w:r>
              <w:rPr>
                <w:sz w:val="17"/>
              </w:rPr>
              <w:t>4,451</w:t>
            </w:r>
          </w:p>
        </w:tc>
        <w:tc>
          <w:tcPr>
            <w:tcW w:type="dxa" w:w="1440"/>
            <w:shd w:fill="FAFAFA" w:val="clear"/>
          </w:tcPr>
          <w:p>
            <w:r>
              <w:rPr>
                <w:b/>
                <w:color w:val="C00000"/>
                <w:sz w:val="17"/>
              </w:rPr>
              <w:t>-0.8%</w:t>
            </w:r>
          </w:p>
        </w:tc>
      </w:tr>
      <w:tr>
        <w:tc>
          <w:tcPr>
            <w:tcW w:type="dxa" w:w="1440"/>
            <w:shd w:fill="FAFAFA" w:val="clear"/>
          </w:tcPr>
          <w:p>
            <w:r>
              <w:rPr>
                <w:sz w:val="17"/>
              </w:rPr>
              <w:t>J+9  ⭐</w:t>
            </w:r>
          </w:p>
        </w:tc>
        <w:tc>
          <w:tcPr>
            <w:tcW w:type="dxa" w:w="1440"/>
            <w:shd w:fill="FAFAFA" w:val="clear"/>
          </w:tcPr>
          <w:p>
            <w:r>
              <w:rPr>
                <w:sz w:val="17"/>
              </w:rPr>
              <w:t>2026-09-10</w:t>
            </w:r>
          </w:p>
        </w:tc>
        <w:tc>
          <w:tcPr>
            <w:tcW w:type="dxa" w:w="1440"/>
            <w:shd w:fill="FAFAFA" w:val="clear"/>
          </w:tcPr>
          <w:p>
            <w:r>
              <w:rPr>
                <w:sz w:val="17"/>
              </w:rPr>
              <w:t>3,466</w:t>
            </w:r>
          </w:p>
        </w:tc>
        <w:tc>
          <w:tcPr>
            <w:tcW w:type="dxa" w:w="1440"/>
            <w:shd w:fill="FAFAFA" w:val="clear"/>
          </w:tcPr>
          <w:p>
            <w:r>
              <w:rPr>
                <w:b/>
                <w:sz w:val="17"/>
              </w:rPr>
              <w:t>3,981</w:t>
            </w:r>
          </w:p>
        </w:tc>
        <w:tc>
          <w:tcPr>
            <w:tcW w:type="dxa" w:w="1440"/>
            <w:shd w:fill="FAFAFA" w:val="clear"/>
          </w:tcPr>
          <w:p>
            <w:r>
              <w:rPr>
                <w:sz w:val="17"/>
              </w:rPr>
              <w:t>4,497</w:t>
            </w:r>
          </w:p>
        </w:tc>
        <w:tc>
          <w:tcPr>
            <w:tcW w:type="dxa" w:w="1440"/>
            <w:shd w:fill="FAFAFA" w:val="clear"/>
          </w:tcPr>
          <w:p>
            <w:r>
              <w:rPr>
                <w:b/>
                <w:color w:val="C00000"/>
                <w:sz w:val="17"/>
              </w:rPr>
              <w:t>-0.5%</w:t>
            </w:r>
          </w:p>
        </w:tc>
      </w:tr>
      <w:tr>
        <w:tc>
          <w:tcPr>
            <w:tcW w:type="dxa" w:w="1440"/>
            <w:shd w:fill="FAFAFA" w:val="clear"/>
          </w:tcPr>
          <w:p>
            <w:r>
              <w:rPr>
                <w:sz w:val="17"/>
              </w:rPr>
              <w:t>J+10  ⭐</w:t>
            </w:r>
          </w:p>
        </w:tc>
        <w:tc>
          <w:tcPr>
            <w:tcW w:type="dxa" w:w="1440"/>
            <w:shd w:fill="FAFAFA" w:val="clear"/>
          </w:tcPr>
          <w:p>
            <w:r>
              <w:rPr>
                <w:sz w:val="17"/>
              </w:rPr>
              <w:t>2026-09-11</w:t>
            </w:r>
          </w:p>
        </w:tc>
        <w:tc>
          <w:tcPr>
            <w:tcW w:type="dxa" w:w="1440"/>
            <w:shd w:fill="FAFAFA" w:val="clear"/>
          </w:tcPr>
          <w:p>
            <w:r>
              <w:rPr>
                <w:sz w:val="17"/>
              </w:rPr>
              <w:t>3,452</w:t>
            </w:r>
          </w:p>
        </w:tc>
        <w:tc>
          <w:tcPr>
            <w:tcW w:type="dxa" w:w="1440"/>
            <w:shd w:fill="FAFAFA" w:val="clear"/>
          </w:tcPr>
          <w:p>
            <w:r>
              <w:rPr>
                <w:b/>
                <w:sz w:val="17"/>
              </w:rPr>
              <w:t>3,997</w:t>
            </w:r>
          </w:p>
        </w:tc>
        <w:tc>
          <w:tcPr>
            <w:tcW w:type="dxa" w:w="1440"/>
            <w:shd w:fill="FAFAFA" w:val="clear"/>
          </w:tcPr>
          <w:p>
            <w:r>
              <w:rPr>
                <w:sz w:val="17"/>
              </w:rPr>
              <w:t>4,543</w:t>
            </w:r>
          </w:p>
        </w:tc>
        <w:tc>
          <w:tcPr>
            <w:tcW w:type="dxa" w:w="1440"/>
            <w:shd w:fill="FAFAFA" w:val="clear"/>
          </w:tcPr>
          <w:p>
            <w:r>
              <w:rPr>
                <w:b/>
                <w:color w:val="C00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**Date de l'analyse : 28 août 2026**</w:t>
        <w:br/>
        <w:t>**Cours de référence : 4 000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LNBB s'établit à 80 milliards FCFA, ce qui positionne la société parmi les valeurs moyennes de la BRVM, avec une liquidité quotidienne relativement faible (3 673 titres par jour). Le BPA de 231 FCFA indique que chaque action génère un bénéfice de 231 FCFA, justifiant un PER de 17,3x. Ce niveau est nettement supérieur à la moyenne historique de la BRVM (8-12x), signifiant que le marché accorde une prime de croissance à la valeur. Le P/B de 3,64x confirme cette prime, le marché valorisant l'actif net comptable plus de 3,6 fois, ce qui reflète une anticipation de création de valeur future. Enfin, l'EV/EBITDA de 10,1x, bien que dans la fourchette haute (10-15x), reste raisonnable pour une entreprise disposant d'une trésorerie nette substantielle de 7,98 milliards FCFA, ce qui tempère la cherté apparente de la valorisation.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LNBB affiche une progression modeste de +3,90%, avec une dernière séance en léger repli de -0,12%. Le cours a évolué dans un range de 735 FCFA, oscillant entre un plus bas de 3 825 FCFA et un plus haut de 4 560 FCFA. La moyenne (4 053 FCFA) est supérieure à la médiane (3 995 FCFA), et le skewness positif de 0,610 indique une distribution asymétrique avec des journées plus fréquentes sous la moyenne, mais des mouvements haussiers ponctuels plus amples. L'écart-type de 203 FCFA (CV de 5,0%) révèle une dispersion modérée autour de la moyenne. Le kurtosis de -0,958 (mésokurtique) suggère une distribution proche de la normale, sans risque de variations extrêmes fréquentes. La volatilité annualisée de 36,3% classe le titre dans la catégorie des valeurs à forte volatilité (&gt;30%), ce qui implique un risque de variation de prix significatif à court terme, mais aussi un potentiel de rendement élevé.</w:t>
      </w:r>
    </w:p>
    <w:p>
      <w:pPr>
        <w:spacing w:after="120" w:line="276" w:lineRule="auto"/>
      </w:pPr>
      <w:r>
        <w:t>---</w:t>
      </w:r>
    </w:p>
    <w:p>
      <w:pPr>
        <w:spacing w:after="120" w:line="276" w:lineRule="auto"/>
      </w:pPr>
      <w:r>
        <w:t>### PARTIE 2 : ANALYSE TECHNIQUE DÉTAILLÉE</w:t>
      </w:r>
    </w:p>
    <w:p>
      <w:pPr>
        <w:spacing w:after="120" w:line="276" w:lineRule="auto"/>
      </w:pPr>
      <w:r>
        <w:t>**Moyennes Mobiles :** La MM20 (4 193,75 FCFA) et la MM50 (4 223,7 FCFA) se situent toutes deux au-dessus du cours actuel de 4 000 FCFA. Cette configuration baissière indique que la tendance de court et moyen terme est négative, le prix évoluant sous ses moyennes mobiles. La décision de "Vente" est justifiée par cette dynamique, le titre n'ayant pas réussi à se hisser au-dessus de ces niveaux de résistance dynamiques.</w:t>
      </w:r>
    </w:p>
    <w:p>
      <w:pPr>
        <w:spacing w:after="120" w:line="276" w:lineRule="auto"/>
      </w:pPr>
      <w:r>
        <w:t>**Bandes de Bollinger :** Le cours se situe à 4 000 FCFA, proche de la borne inférieure (3 871,47 FCFA) et nettement sous la moyenne mobile centrale. Cette position suggère que le titre est dans la partie basse de son canal de volatilité, sans toutefois être en situation de survente extrême. La décision "Neutre" est cohérente, le marché attendant un catalyseur pour sortir de cette zone.</w:t>
      </w:r>
    </w:p>
    <w:p>
      <w:pPr>
        <w:spacing w:after="120" w:line="276" w:lineRule="auto"/>
      </w:pPr>
      <w:r>
        <w:t>**MACD :** Le MACD (-58,04) est négatif et inférieur à sa ligne de signal (-35,58), confirmant un momentum baissier en cours. La divergence négative entre les deux lignes indique que la pression vendeuse reste dominante, justifiant la décision de "Vente". Un croisement haussier du MACD au-dessus du signal serait nécessaire pour signaler un retournement de tendance.</w:t>
      </w:r>
    </w:p>
    <w:p>
      <w:pPr>
        <w:spacing w:after="120" w:line="276" w:lineRule="auto"/>
      </w:pPr>
      <w:r>
        <w:t>**RSI :** Le RSI à 31,01 est proche de la zone de survente (30), mais ne l'a pas encore franchie. Cette valeur indique que le titre est affaibli mais pas encore dans une zone de rebond technique imminente. La décision "Neutre" est appropriée, le marché attendant une confirmation d'un épuisement de la pression vendeuse.</w:t>
      </w:r>
    </w:p>
    <w:p>
      <w:pPr>
        <w:spacing w:after="120" w:line="276" w:lineRule="auto"/>
      </w:pPr>
      <w:r>
        <w:t>**Stochastique :** Le %K (0,0) est extrêmement bas et inférieur au %D (11,11), signalant une condition de survente sévère. Cette configuration suggère un potentiel de rebond technique à court terme, justifiant la décision "Achat". Le croisement haussier du %K au-dessus du %D serait un signal de retournement haussier.</w:t>
      </w:r>
    </w:p>
    <w:p>
      <w:pPr>
        <w:spacing w:after="120" w:line="276" w:lineRule="auto"/>
      </w:pPr>
      <w:r>
        <w:t>**Conclusion technique :** Les indicateurs techniques sont majoritairement baissiers (MM, MACD), mais les oscillateurs de survente (Stochastique, RSI proche de 30) suggèrent un potentiel de rebond technique imminent. La configuration est donc mitigée, avec un biais baissier à court terme mais des signaux de retournement possibles. Un rebond technique est envisageable, mais la tendance de fond reste négative tant que le cours ne repasse pas au-dessus des moyennes mobiles.</w:t>
      </w:r>
    </w:p>
    <w:p>
      <w:pPr>
        <w:spacing w:after="120" w:line="276" w:lineRule="auto"/>
      </w:pPr>
      <w:r>
        <w:t>---</w:t>
      </w:r>
    </w:p>
    <w:p>
      <w:pPr>
        <w:spacing w:after="120" w:line="276" w:lineRule="auto"/>
      </w:pPr>
      <w:r>
        <w:t>### PARTIE 3 : ANALYSE FONDAMENTALE (SECTION CRITIQUE)</w:t>
      </w:r>
    </w:p>
    <w:p>
      <w:pPr>
        <w:spacing w:after="120" w:line="276" w:lineRule="auto"/>
      </w:pPr>
      <w:r>
        <w:t>En 2025, la LNB a réalisé un chiffre d'affaires de 98,598 milliards FCFA, en baisse de -3,85% par rapport à 2024 (102,544 milliards FCFA). Le résultat net s'établit à 4,622 milliards FCFA, en recul de -35,6% (vs 7,176 milliards en 2024), principalement en raison de l'absence de produits exceptionnels (3,1 milliards en 2024) et de la concurrence déloyale. Malgré cette baisse, la société affiche une excellente santé financière avec un ROE de 21,05% et un ROA de 14,17%, bien au-dessus des seuils d'excellence (&gt;15% et &gt;5%). La marge opérationnelle de 6,47% et la marge nette de 4,69% restent correctes, tandis que la structure financière est très solide : autonomie financière de 67,32%, ratio d'endettement de 2,57% et solvabilité générale de 306%. Le BFR est négatif (217 millions FCFA), ce qui est favorable, et les délais clients (4,82 jours) et fournisseurs (20,41 jours) sont bien gérés. Les rapports trimestriels montrent une trajectoire contrastée : le T1 2025 (+5% de résultat net) et le S1 2025 (-77% de résultat net) reflètent une forte volatilité, mais le S1 2026 marque un net redressement avec un résultat net en hausse de +60% grâce aux partenariats et à la maîtrise des charges. Sur la base du S1 2026, on estime que l'exercice 2026 pourrait voir un résultat net de l'ordre de 6 à 7 milliards FCFA, soit un BPA potentiel de 300-350 FCFA, ce qui justifierait un PER plus attractif. Le dividende proposé pour 2025 est de 173 FCFA brut par action (164 FCFA net), représentant un rendement de 4,3% au cours actuel, un niveau attractif pour la BRVM.</w:t>
      </w:r>
    </w:p>
    <w:p>
      <w:pPr>
        <w:spacing w:after="120" w:line="276" w:lineRule="auto"/>
      </w:pPr>
      <w:r>
        <w:t>---</w:t>
      </w:r>
    </w:p>
    <w:p>
      <w:pPr>
        <w:spacing w:after="120" w:line="276" w:lineRule="auto"/>
      </w:pPr>
      <w:r>
        <w:t>### PARTIE 4 : CONCLUSION D'INVESTISSEMENT</w:t>
      </w:r>
    </w:p>
    <w:p>
      <w:pPr>
        <w:spacing w:after="120" w:line="276" w:lineRule="auto"/>
      </w:pPr>
      <w:r>
        <w:t>La valorisation actuelle de LNBB (PER 17,3x, P/B 3,64x) apparaît élevée par rapport à la moyenne du marché, mais elle est tempérée par la solidité financière exceptionnelle de l'entreprise (trésorerie nette de 7,98 milliards, ROE de 21%) et par un rendement de dividende de 4,3%. Le comportement du cours sur 100 jours montre une tendance stable avec une volatilité élevée (36,3%), et les statistiques (kurtosis mésokurtique, skewness positif) indiquent un risque de distribution normal sans extrême. Les signaux techniques sont mitigés : baissiers à court terme (MM, MACD) mais avec des conditions de survente (Stochastique) suggérant un rebond possible. Les fondamentaux, bien que marqués par une baisse en 2025, montrent un redressement net au S1 2026 (+60% de résultat net), soutenu par la digitalisation et les partenariats. Les prédictions IA (3 954-3 987 FCFA à J+10) confirment une légère tendance baissière à court terme, en ligne avec les signaux techniques. La convergence entre la valorisation élevée, les signaux techniques baissiers et la prédiction IA suggère une prudence à court terme, mais les fondamentaux solides et les perspectives de redressement justifient de conserver la position. **Recommandation : CONSERVER**, avec un niveau de confiance Moyen, un risque global Moyen, et un horizon d'investissement optimal à moyen terme (3-12 mois), en attendant la confirmation du redressement de la rentabilité sur les prochains trimestres.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38.30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5,238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007800"/>
                <w:sz w:val="17"/>
              </w:rPr>
              <w:t>+115.05%</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1,365 FCFA</w:t>
            </w:r>
          </w:p>
          <w:p>
            <w:r>
              <w:rPr>
                <w:b/>
                <w:color w:val="503200"/>
                <w:sz w:val="16"/>
              </w:rPr>
              <w:t xml:space="preserve">Volatilité ann. : </w:t>
            </w:r>
            <w:r>
              <w:rPr>
                <w:color w:val="000000"/>
                <w:sz w:val="17"/>
              </w:rPr>
              <w:t>53.4%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32.6/100 → Moyen</w:t>
      </w:r>
    </w:p>
    <w:p>
      <w:pPr>
        <w:spacing w:before="40" w:after="80"/>
      </w:pPr>
      <w:r>
        <w:rPr>
          <w:rFonts w:ascii="Courier New" w:hAnsi="Courier New"/>
          <w:color w:val="825A00"/>
          <w:sz w:val="18"/>
        </w:rPr>
        <w:t>██████░░░░░░░░░░░░░░  32.6/100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17.14% (Élevée) — μ=2,031 FCFA, σ=348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β=-0.1400 (Contre-cyclique) — Cov=-0.000005, Var(idx)=0.000036, ρ=-0.025,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5,238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σ_j=3.37%/j (Modérée) — Vol. annualisée≈53.4%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2,609</w:t>
            </w:r>
          </w:p>
        </w:tc>
        <w:tc>
          <w:tcPr>
            <w:tcW w:type="dxa" w:w="1440"/>
            <w:shd w:fill="FFDCE0" w:val="clear"/>
          </w:tcPr>
          <w:p>
            <w:r>
              <w:rPr>
                <w:b/>
                <w:sz w:val="17"/>
              </w:rPr>
              <w:t>2,775</w:t>
            </w:r>
          </w:p>
        </w:tc>
        <w:tc>
          <w:tcPr>
            <w:tcW w:type="dxa" w:w="1440"/>
            <w:shd w:fill="FFDCE0" w:val="clear"/>
          </w:tcPr>
          <w:p>
            <w:r>
              <w:rPr>
                <w:sz w:val="17"/>
              </w:rPr>
              <w:t>2,941</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2,350</w:t>
            </w:r>
          </w:p>
        </w:tc>
        <w:tc>
          <w:tcPr>
            <w:tcW w:type="dxa" w:w="1440"/>
            <w:shd w:fill="FFDCE0" w:val="clear"/>
          </w:tcPr>
          <w:p>
            <w:r>
              <w:rPr>
                <w:b/>
                <w:sz w:val="17"/>
              </w:rPr>
              <w:t>2,567</w:t>
            </w:r>
          </w:p>
        </w:tc>
        <w:tc>
          <w:tcPr>
            <w:tcW w:type="dxa" w:w="1440"/>
            <w:shd w:fill="FFDCE0" w:val="clear"/>
          </w:tcPr>
          <w:p>
            <w:r>
              <w:rPr>
                <w:sz w:val="17"/>
              </w:rPr>
              <w:t>2,784</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2,128</w:t>
            </w:r>
          </w:p>
        </w:tc>
        <w:tc>
          <w:tcPr>
            <w:tcW w:type="dxa" w:w="1440"/>
            <w:shd w:fill="FFDCE0" w:val="clear"/>
          </w:tcPr>
          <w:p>
            <w:r>
              <w:rPr>
                <w:b/>
                <w:sz w:val="17"/>
              </w:rPr>
              <w:t>2,374</w:t>
            </w:r>
          </w:p>
        </w:tc>
        <w:tc>
          <w:tcPr>
            <w:tcW w:type="dxa" w:w="1440"/>
            <w:shd w:fill="FFDCE0" w:val="clear"/>
          </w:tcPr>
          <w:p>
            <w:r>
              <w:rPr>
                <w:sz w:val="17"/>
              </w:rPr>
              <w:t>2,620</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1,933</w:t>
            </w:r>
          </w:p>
        </w:tc>
        <w:tc>
          <w:tcPr>
            <w:tcW w:type="dxa" w:w="1440"/>
            <w:shd w:fill="FFDCE0" w:val="clear"/>
          </w:tcPr>
          <w:p>
            <w:r>
              <w:rPr>
                <w:b/>
                <w:sz w:val="17"/>
              </w:rPr>
              <w:t>2,196</w:t>
            </w:r>
          </w:p>
        </w:tc>
        <w:tc>
          <w:tcPr>
            <w:tcW w:type="dxa" w:w="1440"/>
            <w:shd w:fill="FFDCE0" w:val="clear"/>
          </w:tcPr>
          <w:p>
            <w:r>
              <w:rPr>
                <w:sz w:val="17"/>
              </w:rPr>
              <w:t>2,459</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1,760</w:t>
            </w:r>
          </w:p>
        </w:tc>
        <w:tc>
          <w:tcPr>
            <w:tcW w:type="dxa" w:w="1440"/>
            <w:shd w:fill="FFDCE0" w:val="clear"/>
          </w:tcPr>
          <w:p>
            <w:r>
              <w:rPr>
                <w:b/>
                <w:sz w:val="17"/>
              </w:rPr>
              <w:t>2,032</w:t>
            </w:r>
          </w:p>
        </w:tc>
        <w:tc>
          <w:tcPr>
            <w:tcW w:type="dxa" w:w="1440"/>
            <w:shd w:fill="FFDCE0" w:val="clear"/>
          </w:tcPr>
          <w:p>
            <w:r>
              <w:rPr>
                <w:sz w:val="17"/>
              </w:rPr>
              <w:t>2,303</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1,604</w:t>
            </w:r>
          </w:p>
        </w:tc>
        <w:tc>
          <w:tcPr>
            <w:tcW w:type="dxa" w:w="1440"/>
            <w:shd w:fill="FFDCE0" w:val="clear"/>
          </w:tcPr>
          <w:p>
            <w:r>
              <w:rPr>
                <w:b/>
                <w:sz w:val="17"/>
              </w:rPr>
              <w:t>1,879</w:t>
            </w:r>
          </w:p>
        </w:tc>
        <w:tc>
          <w:tcPr>
            <w:tcW w:type="dxa" w:w="1440"/>
            <w:shd w:fill="FFDCE0" w:val="clear"/>
          </w:tcPr>
          <w:p>
            <w:r>
              <w:rPr>
                <w:sz w:val="17"/>
              </w:rPr>
              <w:t>2,155</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1,463</w:t>
            </w:r>
          </w:p>
        </w:tc>
        <w:tc>
          <w:tcPr>
            <w:tcW w:type="dxa" w:w="1440"/>
            <w:shd w:fill="FFDCE0" w:val="clear"/>
          </w:tcPr>
          <w:p>
            <w:r>
              <w:rPr>
                <w:b/>
                <w:sz w:val="17"/>
              </w:rPr>
              <w:t>1,738</w:t>
            </w:r>
          </w:p>
        </w:tc>
        <w:tc>
          <w:tcPr>
            <w:tcW w:type="dxa" w:w="1440"/>
            <w:shd w:fill="FFDCE0" w:val="clear"/>
          </w:tcPr>
          <w:p>
            <w:r>
              <w:rPr>
                <w:sz w:val="17"/>
              </w:rPr>
              <w:t>2,013</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1,336</w:t>
            </w:r>
          </w:p>
        </w:tc>
        <w:tc>
          <w:tcPr>
            <w:tcW w:type="dxa" w:w="1440"/>
            <w:shd w:fill="FFDCE0" w:val="clear"/>
          </w:tcPr>
          <w:p>
            <w:r>
              <w:rPr>
                <w:b/>
                <w:sz w:val="17"/>
              </w:rPr>
              <w:t>1,608</w:t>
            </w:r>
          </w:p>
        </w:tc>
        <w:tc>
          <w:tcPr>
            <w:tcW w:type="dxa" w:w="1440"/>
            <w:shd w:fill="FFDCE0" w:val="clear"/>
          </w:tcPr>
          <w:p>
            <w:r>
              <w:rPr>
                <w:sz w:val="17"/>
              </w:rPr>
              <w:t>1,880</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1,269</w:t>
            </w:r>
          </w:p>
        </w:tc>
        <w:tc>
          <w:tcPr>
            <w:tcW w:type="dxa" w:w="1440"/>
            <w:shd w:fill="FFDCE0" w:val="clear"/>
          </w:tcPr>
          <w:p>
            <w:r>
              <w:rPr>
                <w:b/>
                <w:sz w:val="17"/>
              </w:rPr>
              <w:t>1,547</w:t>
            </w:r>
          </w:p>
        </w:tc>
        <w:tc>
          <w:tcPr>
            <w:tcW w:type="dxa" w:w="1440"/>
            <w:shd w:fill="FFDCE0" w:val="clear"/>
          </w:tcPr>
          <w:p>
            <w:r>
              <w:rPr>
                <w:sz w:val="17"/>
              </w:rPr>
              <w:t>1,824</w:t>
            </w:r>
          </w:p>
        </w:tc>
        <w:tc>
          <w:tcPr>
            <w:tcW w:type="dxa" w:w="1440"/>
            <w:shd w:fill="FFDCE0" w:val="clear"/>
          </w:tcPr>
          <w:p>
            <w:r>
              <w:rPr>
                <w:b/>
                <w:color w:val="C00000"/>
                <w:sz w:val="17"/>
              </w:rPr>
              <w:t>-48.4%</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1,211</w:t>
            </w:r>
          </w:p>
        </w:tc>
        <w:tc>
          <w:tcPr>
            <w:tcW w:type="dxa" w:w="1440"/>
            <w:shd w:fill="FFDCE0" w:val="clear"/>
          </w:tcPr>
          <w:p>
            <w:r>
              <w:rPr>
                <w:b/>
                <w:sz w:val="17"/>
              </w:rPr>
              <w:t>1,494</w:t>
            </w:r>
          </w:p>
        </w:tc>
        <w:tc>
          <w:tcPr>
            <w:tcW w:type="dxa" w:w="1440"/>
            <w:shd w:fill="FFDCE0" w:val="clear"/>
          </w:tcPr>
          <w:p>
            <w:r>
              <w:rPr>
                <w:sz w:val="17"/>
              </w:rPr>
              <w:t>1,777</w:t>
            </w:r>
          </w:p>
        </w:tc>
        <w:tc>
          <w:tcPr>
            <w:tcW w:type="dxa" w:w="1440"/>
            <w:shd w:fill="FFDCE0" w:val="clear"/>
          </w:tcPr>
          <w:p>
            <w:r>
              <w:rPr>
                <w:b/>
                <w:color w:val="C00000"/>
                <w:sz w:val="17"/>
              </w:rPr>
              <w:t>-50.2%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 (BRVM)**</w:t>
      </w:r>
    </w:p>
    <w:p>
      <w:pPr>
        <w:spacing w:after="120" w:line="276" w:lineRule="auto" w:before="240"/>
      </w:pPr>
      <w:r>
        <w:rPr>
          <w:b/>
          <w:color w:val="003366"/>
          <w:sz w:val="24"/>
        </w:rPr>
        <w:t>**PARTIE 0 : INDICATEURS DE VALORISATION BOURSIÈRE**</w:t>
      </w:r>
    </w:p>
    <w:p>
      <w:pPr>
        <w:spacing w:after="120" w:line="276" w:lineRule="auto"/>
      </w:pPr>
      <w:r>
        <w:t>La capitalisation boursière de NEIC s'établit à 38,30 milliards FCFA, un niveau qui la positionne comme une valeur de taille moyenne sur la BRVM. Avec un BPA de 160 FCFA, le PER de 18,8x se situe nettement au-dessus de la moyenne historique du marché régional (8-12x), indiquant que les investisseurs paient une prime substantielle pour les bénéfices actuels. Le P/B de 6,65x confirme cette lecture, le marché valorisant le titre plus de six fois sa valeur comptable, ce qui reflète des attentes de croissance élevées. L'EV/EBITDA de 28,5x est particulièrement exigeant, signalant que la valeur d'entreprise intègre une capacité bénéficiaire future très optimiste. Ces ratios suggèrent une valorisation qui anticipe une poursuite de la performance exceptionnelle de 2025.</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NEIC a enregistré une progression spectaculaire de +115,05%, avec une accélération notable lors de la dernière séance (+7,14% à 3 000 FCFA). Le titre a évolué dans une fourchette très large de 1 365 à 3 000 FCFA, démontrant un intérêt spéculatif marqué. La moyenne de 2 031 FCFA est inférieure à la médiane de 2 118 FCFA, indiquant une asymétrie positive récente avec une concentration des cours vers le haut. L'écart-type de 350 FCFA (CV=17,2%) révèle une dispersion modérée autour de la moyenne. Le kurtosis de -0,046 (mésokurtique) suggère une distribution proche de la normale, sans risque de pics extrêmes, tandis que le skewness de -0,416 indique une légère asymétrie négative. La volatilité annualisée de 53,4% classe le titre parmi les valeurs à très haut risque, caractéristique des petites capitalisations en phase de rattrapage.</w:t>
      </w:r>
    </w:p>
    <w:p>
      <w:pPr>
        <w:spacing w:after="120" w:line="276" w:lineRule="auto" w:before="240"/>
      </w:pPr>
      <w:r>
        <w:rPr>
          <w:b/>
          <w:color w:val="003366"/>
          <w:sz w:val="24"/>
        </w:rPr>
        <w:t>**PARTIE 2 : ANALYSE TECHNIQUE DÉTAILLÉE**</w:t>
      </w:r>
    </w:p>
    <w:p>
      <w:pPr>
        <w:spacing w:after="120" w:line="276" w:lineRule="auto"/>
      </w:pPr>
      <w:r>
        <w:t>**Moyennes Mobiles** : Le cours actuel de 3 000 FCFA évolue nettement au-dessus de la MM20 (2 348 FCFA) et de la MM50 (2 289,5 FCFA), confirmant une tendance haussière solide. L'écart de plus de 650 FCFA entre le prix et les moyennes indique toutefois une extension excessive qui pourrait précéder un repli technique. La décision d'achat générée par cet indicateur doit être nuancée par cette distorsion.</w:t>
      </w:r>
    </w:p>
    <w:p>
      <w:pPr>
        <w:spacing w:after="120" w:line="276" w:lineRule="auto"/>
      </w:pPr>
      <w:r>
        <w:t>**Bandes de Bollinger** : Le prix a franchi la borne supérieure (2 805,57 FCFA), se situant à 194 FCFA au-dessus de cette limite. Cette sortie de bande traduit une volatilité extrême et un mouvement directionnel violent. Historiquement, de telles sorties sont souvent suivies de corrections, justifiant la décision de vente générée par l'indicateur.</w:t>
      </w:r>
    </w:p>
    <w:p>
      <w:pPr>
        <w:spacing w:after="120" w:line="276" w:lineRule="auto"/>
      </w:pPr>
      <w:r>
        <w:t>**MACD** : La valeur du MACD (133,598) est nettement supérieure à sa ligne de signal (56,908), avec un écart positif de 76,69 points. Cette divergence haussière confirme un momentum positif puissant, bien que l'amplitude de l'écart suggère une possible saturation à court terme. La décision d'achat reste valide tant que le MACD demeure au-dessus de son signal.</w:t>
      </w:r>
    </w:p>
    <w:p>
      <w:pPr>
        <w:spacing w:after="120" w:line="276" w:lineRule="auto"/>
      </w:pPr>
      <w:r>
        <w:t>**RSI** : À 91,549, le RSI se trouve en zone de surachat extrême, bien au-delà du seuil critique de 70. Cette lecture indique que le titre est massivement suracheté, avec une pression acheteuse qui atteint des niveaux historiquement insoutenables. La probabilité d'un retournement technique est élevée, justifiant pleinement la décision de vente.</w:t>
      </w:r>
    </w:p>
    <w:p>
      <w:pPr>
        <w:spacing w:after="120" w:line="276" w:lineRule="auto"/>
      </w:pPr>
      <w:r>
        <w:t>**Stochastique** : Les valeurs %K et %D sont toutes deux à 100, un niveau de surachat absolu. Cette configuration extrême signale une exhaustion potentielle du mouvement haussier, le marché ayant intégré toutes les bonnes nouvelles disponibles. La décision de vente est cohérente avec cette lecture.</w:t>
      </w:r>
    </w:p>
    <w:p>
      <w:pPr>
        <w:spacing w:after="120" w:line="276" w:lineRule="auto"/>
      </w:pPr>
      <w:r>
        <w:t>**Conclusion technique** : La convergence des indicateurs de surachat (RSI, Stochastique, sortie des bandes de Bollinger) contraste avec la persistance du momentum haussier (MACD, moyennes mobiles). Cette configuration paradoxale suggère un risque élevé de correction technique à court terme, malgré la tendance de fond positive.</w:t>
      </w:r>
    </w:p>
    <w:p>
      <w:pPr>
        <w:spacing w:after="120" w:line="276" w:lineRule="auto" w:before="240"/>
      </w:pPr>
      <w:r>
        <w:rPr>
          <w:b/>
          <w:color w:val="003366"/>
          <w:sz w:val="24"/>
        </w:rPr>
        <w:t>**PARTIE 3 : ANALYSE FONDAMENTALE (SECTION CRITIQUE)**</w:t>
      </w:r>
    </w:p>
    <w:p>
      <w:pPr>
        <w:spacing w:after="120" w:line="276" w:lineRule="auto"/>
      </w:pPr>
      <w:r>
        <w:t>En 2025, NEIC a réalisé un chiffre d'affaires de 5,139 milliards FCFA, en baisse de 23,8% par rapport à l'exercice précédent, mais a dégagé un résultat net exceptionnel de 2,037 milliards FCFA, porté par la reprise d'une provision pour redressement fiscal. La marge nette de 39,6% est artificiellement gonflée par cet élément non récurrent. Le ROE de 35,4% et le ROA de 27,3% restent excellents, témoignant d'une gestion efficace des actifs et des fonds propres. La structure financière est solide avec une autonomie financière de 77% et une trésorerie de 4,196 milliards FCFA. Le délai clients de 154,7 jours constitue un point de vigilance majeur, exposant la société à un risque de trésorerie. Les rapports trimestriels 2025 montrent une forte saisonnalité avec un T1 déficitaire (-189,9 millions) mais un T3 bénéficiaire grâce à l'élément exceptionnel. Le rapport 2026 indique une croissance du CA de +137% au T1 (115,1 millions FCFA) mais des pertes persistantes (-168,9 millions). On estime que l'exercice 2026 devrait confirmer le redressement commercial entamé, sans toutefois retrouver les niveaux de rentabilité exceptionnels de 2025.</w:t>
      </w:r>
    </w:p>
    <w:p>
      <w:pPr>
        <w:spacing w:after="120" w:line="276" w:lineRule="auto" w:before="240"/>
      </w:pPr>
      <w:r>
        <w:rPr>
          <w:b/>
          <w:color w:val="003366"/>
          <w:sz w:val="24"/>
        </w:rPr>
        <w:t>**PARTIE 4 : CONCLUSION D'INVESTISSEMENT**</w:t>
      </w:r>
    </w:p>
    <w:p>
      <w:pPr>
        <w:spacing w:after="120" w:line="276" w:lineRule="auto"/>
      </w:pPr>
      <w:r>
        <w:t>La valorisation actuelle de NEIC intègre des attentes très optimistes (PER 18,8x, P/B 6,65x) difficilement justifiables par les fondamentaux récurrents, le bénéfice 2025 étant largement tiré par un élément exceptionnel. Le comportement du cours (+115% en 100 jours) et les statistiques associées (volatilité de 53,4%, skewness négatif) révèlent un mouvement spéculatif intense, avec des indicateurs techniques tous en zone de surachat extrême. Les prédictions IA projetant un repli progressif vers 2 032 FCFA à J+10 confirment le scénario de correction technique. Les fondamentaux, bien que solides sur le plan bilanciel (trésorerie de 4,2 milliards, ROE de 35%), montrent une dégradation opérationnelle avec une baisse du CA et des pertes au T1 2026. La recommandation finale est **VENTE** pour les investisseurs à court terme, avec un niveau de confiance **Élevé** et un risque global **Élevé**. Pour les investisseurs de long terme, une stratégie d'accumulation progressive pourrait être envisagée sous les 2 000 FCFA, horizon de 6-12 mois, en surveillant la capacité de la société à redresser durablement son activité commerciale.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556.53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2,014 titres</w:t>
            </w:r>
          </w:p>
        </w:tc>
        <w:tc>
          <w:tcPr>
            <w:tcW w:type="dxa" w:w="2268"/>
            <w:shd w:fill="FFF2CC" w:val="clear"/>
          </w:tcPr>
          <w:p>
            <w:r>
              <w:rPr>
                <w:b/>
                <w:color w:val="503200"/>
                <w:sz w:val="16"/>
              </w:rPr>
              <w:t xml:space="preserve">Cours actuel : </w:t>
            </w:r>
            <w:r>
              <w:rPr>
                <w:color w:val="000000"/>
                <w:sz w:val="17"/>
              </w:rPr>
              <w:t>22,500 FCFA</w:t>
            </w:r>
          </w:p>
          <w:p>
            <w:r>
              <w:rPr>
                <w:b/>
                <w:color w:val="503200"/>
                <w:sz w:val="16"/>
              </w:rPr>
              <w:t xml:space="preserve">Var. 100 jours : </w:t>
            </w:r>
            <w:r>
              <w:rPr>
                <w:b/>
                <w:color w:val="007800"/>
                <w:sz w:val="17"/>
              </w:rPr>
              <w:t>+58.95%</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18.93% (Élevée) — μ=18,956 FCFA, σ=3,588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β=1.2284 (Agressif) — Cov=0.000045, Var(idx)=0.000036, ρ=0.310,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2,014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σ_j=2.38%/j (Stable) — Vol. annualisée≈37.7%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2026-08-31</w:t>
            </w:r>
          </w:p>
        </w:tc>
        <w:tc>
          <w:tcPr>
            <w:tcW w:type="dxa" w:w="1440"/>
            <w:shd w:fill="C6EFCE" w:val="clear"/>
          </w:tcPr>
          <w:p>
            <w:r>
              <w:rPr>
                <w:sz w:val="17"/>
              </w:rPr>
              <w:t>22,229</w:t>
            </w:r>
          </w:p>
        </w:tc>
        <w:tc>
          <w:tcPr>
            <w:tcW w:type="dxa" w:w="1440"/>
            <w:shd w:fill="C6EFCE" w:val="clear"/>
          </w:tcPr>
          <w:p>
            <w:r>
              <w:rPr>
                <w:b/>
                <w:sz w:val="17"/>
              </w:rPr>
              <w:t>23,070</w:t>
            </w:r>
          </w:p>
        </w:tc>
        <w:tc>
          <w:tcPr>
            <w:tcW w:type="dxa" w:w="1440"/>
            <w:shd w:fill="C6EFCE" w:val="clear"/>
          </w:tcPr>
          <w:p>
            <w:r>
              <w:rPr>
                <w:sz w:val="17"/>
              </w:rPr>
              <w:t>23,910</w:t>
            </w:r>
          </w:p>
        </w:tc>
        <w:tc>
          <w:tcPr>
            <w:tcW w:type="dxa" w:w="1440"/>
            <w:shd w:fill="C6EFCE" w:val="clear"/>
          </w:tcPr>
          <w:p>
            <w:r>
              <w:rPr>
                <w:b/>
                <w:color w:val="008000"/>
                <w:sz w:val="17"/>
              </w:rPr>
              <w:t>+2.5%</w:t>
            </w:r>
          </w:p>
        </w:tc>
      </w:tr>
      <w:tr>
        <w:tc>
          <w:tcPr>
            <w:tcW w:type="dxa" w:w="1440"/>
            <w:shd w:fill="C6EFCE" w:val="clear"/>
          </w:tcPr>
          <w:p>
            <w:r>
              <w:rPr>
                <w:sz w:val="17"/>
              </w:rPr>
              <w:t>J+2  Moyenne</w:t>
            </w:r>
          </w:p>
        </w:tc>
        <w:tc>
          <w:tcPr>
            <w:tcW w:type="dxa" w:w="1440"/>
            <w:shd w:fill="C6EFCE" w:val="clear"/>
          </w:tcPr>
          <w:p>
            <w:r>
              <w:rPr>
                <w:sz w:val="17"/>
              </w:rPr>
              <w:t>2026-09-01</w:t>
            </w:r>
          </w:p>
        </w:tc>
        <w:tc>
          <w:tcPr>
            <w:tcW w:type="dxa" w:w="1440"/>
            <w:shd w:fill="C6EFCE" w:val="clear"/>
          </w:tcPr>
          <w:p>
            <w:r>
              <w:rPr>
                <w:sz w:val="17"/>
              </w:rPr>
              <w:t>22,276</w:t>
            </w:r>
          </w:p>
        </w:tc>
        <w:tc>
          <w:tcPr>
            <w:tcW w:type="dxa" w:w="1440"/>
            <w:shd w:fill="C6EFCE" w:val="clear"/>
          </w:tcPr>
          <w:p>
            <w:r>
              <w:rPr>
                <w:b/>
                <w:sz w:val="17"/>
              </w:rPr>
              <w:t>23,486</w:t>
            </w:r>
          </w:p>
        </w:tc>
        <w:tc>
          <w:tcPr>
            <w:tcW w:type="dxa" w:w="1440"/>
            <w:shd w:fill="C6EFCE" w:val="clear"/>
          </w:tcPr>
          <w:p>
            <w:r>
              <w:rPr>
                <w:sz w:val="17"/>
              </w:rPr>
              <w:t>24,696</w:t>
            </w:r>
          </w:p>
        </w:tc>
        <w:tc>
          <w:tcPr>
            <w:tcW w:type="dxa" w:w="1440"/>
            <w:shd w:fill="C6EFCE" w:val="clear"/>
          </w:tcPr>
          <w:p>
            <w:r>
              <w:rPr>
                <w:b/>
                <w:color w:val="008000"/>
                <w:sz w:val="17"/>
              </w:rPr>
              <w:t>+4.4%</w:t>
            </w:r>
          </w:p>
        </w:tc>
      </w:tr>
      <w:tr>
        <w:tc>
          <w:tcPr>
            <w:tcW w:type="dxa" w:w="1440"/>
            <w:shd w:fill="C6EFCE" w:val="clear"/>
          </w:tcPr>
          <w:p>
            <w:r>
              <w:rPr>
                <w:sz w:val="17"/>
              </w:rPr>
              <w:t>J+3  Moyenne</w:t>
            </w:r>
          </w:p>
        </w:tc>
        <w:tc>
          <w:tcPr>
            <w:tcW w:type="dxa" w:w="1440"/>
            <w:shd w:fill="C6EFCE" w:val="clear"/>
          </w:tcPr>
          <w:p>
            <w:r>
              <w:rPr>
                <w:sz w:val="17"/>
              </w:rPr>
              <w:t>2026-09-02</w:t>
            </w:r>
          </w:p>
        </w:tc>
        <w:tc>
          <w:tcPr>
            <w:tcW w:type="dxa" w:w="1440"/>
            <w:shd w:fill="C6EFCE" w:val="clear"/>
          </w:tcPr>
          <w:p>
            <w:r>
              <w:rPr>
                <w:sz w:val="17"/>
              </w:rPr>
              <w:t>22,380</w:t>
            </w:r>
          </w:p>
        </w:tc>
        <w:tc>
          <w:tcPr>
            <w:tcW w:type="dxa" w:w="1440"/>
            <w:shd w:fill="C6EFCE" w:val="clear"/>
          </w:tcPr>
          <w:p>
            <w:r>
              <w:rPr>
                <w:b/>
                <w:sz w:val="17"/>
              </w:rPr>
              <w:t>23,888</w:t>
            </w:r>
          </w:p>
        </w:tc>
        <w:tc>
          <w:tcPr>
            <w:tcW w:type="dxa" w:w="1440"/>
            <w:shd w:fill="C6EFCE" w:val="clear"/>
          </w:tcPr>
          <w:p>
            <w:r>
              <w:rPr>
                <w:sz w:val="17"/>
              </w:rPr>
              <w:t>25,395</w:t>
            </w:r>
          </w:p>
        </w:tc>
        <w:tc>
          <w:tcPr>
            <w:tcW w:type="dxa" w:w="1440"/>
            <w:shd w:fill="C6EFCE" w:val="clear"/>
          </w:tcPr>
          <w:p>
            <w:r>
              <w:rPr>
                <w:b/>
                <w:color w:val="008000"/>
                <w:sz w:val="17"/>
              </w:rPr>
              <w:t>+6.2%</w:t>
            </w:r>
          </w:p>
        </w:tc>
      </w:tr>
      <w:tr>
        <w:tc>
          <w:tcPr>
            <w:tcW w:type="dxa" w:w="1440"/>
            <w:shd w:fill="C6EFCE" w:val="clear"/>
          </w:tcPr>
          <w:p>
            <w:r>
              <w:rPr>
                <w:sz w:val="17"/>
              </w:rPr>
              <w:t>J+4  ⭐</w:t>
            </w:r>
          </w:p>
        </w:tc>
        <w:tc>
          <w:tcPr>
            <w:tcW w:type="dxa" w:w="1440"/>
            <w:shd w:fill="C6EFCE" w:val="clear"/>
          </w:tcPr>
          <w:p>
            <w:r>
              <w:rPr>
                <w:sz w:val="17"/>
              </w:rPr>
              <w:t>2026-09-03</w:t>
            </w:r>
          </w:p>
        </w:tc>
        <w:tc>
          <w:tcPr>
            <w:tcW w:type="dxa" w:w="1440"/>
            <w:shd w:fill="C6EFCE" w:val="clear"/>
          </w:tcPr>
          <w:p>
            <w:r>
              <w:rPr>
                <w:sz w:val="17"/>
              </w:rPr>
              <w:t>22,507</w:t>
            </w:r>
          </w:p>
        </w:tc>
        <w:tc>
          <w:tcPr>
            <w:tcW w:type="dxa" w:w="1440"/>
            <w:shd w:fill="C6EFCE" w:val="clear"/>
          </w:tcPr>
          <w:p>
            <w:r>
              <w:rPr>
                <w:b/>
                <w:sz w:val="17"/>
              </w:rPr>
              <w:t>24,276</w:t>
            </w:r>
          </w:p>
        </w:tc>
        <w:tc>
          <w:tcPr>
            <w:tcW w:type="dxa" w:w="1440"/>
            <w:shd w:fill="C6EFCE" w:val="clear"/>
          </w:tcPr>
          <w:p>
            <w:r>
              <w:rPr>
                <w:sz w:val="17"/>
              </w:rPr>
              <w:t>26,044</w:t>
            </w:r>
          </w:p>
        </w:tc>
        <w:tc>
          <w:tcPr>
            <w:tcW w:type="dxa" w:w="1440"/>
            <w:shd w:fill="C6EFCE" w:val="clear"/>
          </w:tcPr>
          <w:p>
            <w:r>
              <w:rPr>
                <w:b/>
                <w:color w:val="008000"/>
                <w:sz w:val="17"/>
              </w:rPr>
              <w:t>+7.9%</w:t>
            </w:r>
          </w:p>
        </w:tc>
      </w:tr>
      <w:tr>
        <w:tc>
          <w:tcPr>
            <w:tcW w:type="dxa" w:w="1440"/>
            <w:shd w:fill="C6EFCE" w:val="clear"/>
          </w:tcPr>
          <w:p>
            <w:r>
              <w:rPr>
                <w:sz w:val="17"/>
              </w:rPr>
              <w:t>J+5  ⭐</w:t>
            </w:r>
          </w:p>
        </w:tc>
        <w:tc>
          <w:tcPr>
            <w:tcW w:type="dxa" w:w="1440"/>
            <w:shd w:fill="C6EFCE" w:val="clear"/>
          </w:tcPr>
          <w:p>
            <w:r>
              <w:rPr>
                <w:sz w:val="17"/>
              </w:rPr>
              <w:t>2026-09-04</w:t>
            </w:r>
          </w:p>
        </w:tc>
        <w:tc>
          <w:tcPr>
            <w:tcW w:type="dxa" w:w="1440"/>
            <w:shd w:fill="C6EFCE" w:val="clear"/>
          </w:tcPr>
          <w:p>
            <w:r>
              <w:rPr>
                <w:sz w:val="17"/>
              </w:rPr>
              <w:t>22,652</w:t>
            </w:r>
          </w:p>
        </w:tc>
        <w:tc>
          <w:tcPr>
            <w:tcW w:type="dxa" w:w="1440"/>
            <w:shd w:fill="C6EFCE" w:val="clear"/>
          </w:tcPr>
          <w:p>
            <w:r>
              <w:rPr>
                <w:b/>
                <w:sz w:val="17"/>
              </w:rPr>
              <w:t>24,661</w:t>
            </w:r>
          </w:p>
        </w:tc>
        <w:tc>
          <w:tcPr>
            <w:tcW w:type="dxa" w:w="1440"/>
            <w:shd w:fill="C6EFCE" w:val="clear"/>
          </w:tcPr>
          <w:p>
            <w:r>
              <w:rPr>
                <w:sz w:val="17"/>
              </w:rPr>
              <w:t>26,669</w:t>
            </w:r>
          </w:p>
        </w:tc>
        <w:tc>
          <w:tcPr>
            <w:tcW w:type="dxa" w:w="1440"/>
            <w:shd w:fill="C6EFCE" w:val="clear"/>
          </w:tcPr>
          <w:p>
            <w:r>
              <w:rPr>
                <w:b/>
                <w:color w:val="008000"/>
                <w:sz w:val="17"/>
              </w:rPr>
              <w:t>+9.6%</w:t>
            </w:r>
          </w:p>
        </w:tc>
      </w:tr>
      <w:tr>
        <w:tc>
          <w:tcPr>
            <w:tcW w:type="dxa" w:w="1440"/>
            <w:shd w:fill="C6EFCE" w:val="clear"/>
          </w:tcPr>
          <w:p>
            <w:r>
              <w:rPr>
                <w:sz w:val="17"/>
              </w:rPr>
              <w:t>J+6  ⭐</w:t>
            </w:r>
          </w:p>
        </w:tc>
        <w:tc>
          <w:tcPr>
            <w:tcW w:type="dxa" w:w="1440"/>
            <w:shd w:fill="C6EFCE" w:val="clear"/>
          </w:tcPr>
          <w:p>
            <w:r>
              <w:rPr>
                <w:sz w:val="17"/>
              </w:rPr>
              <w:t>2026-09-07</w:t>
            </w:r>
          </w:p>
        </w:tc>
        <w:tc>
          <w:tcPr>
            <w:tcW w:type="dxa" w:w="1440"/>
            <w:shd w:fill="C6EFCE" w:val="clear"/>
          </w:tcPr>
          <w:p>
            <w:r>
              <w:rPr>
                <w:sz w:val="17"/>
              </w:rPr>
              <w:t>22,810</w:t>
            </w:r>
          </w:p>
        </w:tc>
        <w:tc>
          <w:tcPr>
            <w:tcW w:type="dxa" w:w="1440"/>
            <w:shd w:fill="C6EFCE" w:val="clear"/>
          </w:tcPr>
          <w:p>
            <w:r>
              <w:rPr>
                <w:b/>
                <w:sz w:val="17"/>
              </w:rPr>
              <w:t>25,045</w:t>
            </w:r>
          </w:p>
        </w:tc>
        <w:tc>
          <w:tcPr>
            <w:tcW w:type="dxa" w:w="1440"/>
            <w:shd w:fill="C6EFCE" w:val="clear"/>
          </w:tcPr>
          <w:p>
            <w:r>
              <w:rPr>
                <w:sz w:val="17"/>
              </w:rPr>
              <w:t>27,279</w:t>
            </w:r>
          </w:p>
        </w:tc>
        <w:tc>
          <w:tcPr>
            <w:tcW w:type="dxa" w:w="1440"/>
            <w:shd w:fill="C6EFCE" w:val="clear"/>
          </w:tcPr>
          <w:p>
            <w:r>
              <w:rPr>
                <w:b/>
                <w:color w:val="008000"/>
                <w:sz w:val="17"/>
              </w:rPr>
              <w:t>+11.3%</w:t>
            </w:r>
          </w:p>
        </w:tc>
      </w:tr>
      <w:tr>
        <w:tc>
          <w:tcPr>
            <w:tcW w:type="dxa" w:w="1440"/>
            <w:shd w:fill="C6EFCE" w:val="clear"/>
          </w:tcPr>
          <w:p>
            <w:r>
              <w:rPr>
                <w:sz w:val="17"/>
              </w:rPr>
              <w:t>J+7  ⭐</w:t>
            </w:r>
          </w:p>
        </w:tc>
        <w:tc>
          <w:tcPr>
            <w:tcW w:type="dxa" w:w="1440"/>
            <w:shd w:fill="C6EFCE" w:val="clear"/>
          </w:tcPr>
          <w:p>
            <w:r>
              <w:rPr>
                <w:sz w:val="17"/>
              </w:rPr>
              <w:t>2026-09-08</w:t>
            </w:r>
          </w:p>
        </w:tc>
        <w:tc>
          <w:tcPr>
            <w:tcW w:type="dxa" w:w="1440"/>
            <w:shd w:fill="C6EFCE" w:val="clear"/>
          </w:tcPr>
          <w:p>
            <w:r>
              <w:rPr>
                <w:sz w:val="17"/>
              </w:rPr>
              <w:t>22,977</w:t>
            </w:r>
          </w:p>
        </w:tc>
        <w:tc>
          <w:tcPr>
            <w:tcW w:type="dxa" w:w="1440"/>
            <w:shd w:fill="C6EFCE" w:val="clear"/>
          </w:tcPr>
          <w:p>
            <w:r>
              <w:rPr>
                <w:b/>
                <w:sz w:val="17"/>
              </w:rPr>
              <w:t>25,428</w:t>
            </w:r>
          </w:p>
        </w:tc>
        <w:tc>
          <w:tcPr>
            <w:tcW w:type="dxa" w:w="1440"/>
            <w:shd w:fill="C6EFCE" w:val="clear"/>
          </w:tcPr>
          <w:p>
            <w:r>
              <w:rPr>
                <w:sz w:val="17"/>
              </w:rPr>
              <w:t>27,879</w:t>
            </w:r>
          </w:p>
        </w:tc>
        <w:tc>
          <w:tcPr>
            <w:tcW w:type="dxa" w:w="1440"/>
            <w:shd w:fill="C6EFCE" w:val="clear"/>
          </w:tcPr>
          <w:p>
            <w:r>
              <w:rPr>
                <w:b/>
                <w:color w:val="008000"/>
                <w:sz w:val="17"/>
              </w:rPr>
              <w:t>+13.0%</w:t>
            </w:r>
          </w:p>
        </w:tc>
      </w:tr>
      <w:tr>
        <w:tc>
          <w:tcPr>
            <w:tcW w:type="dxa" w:w="1440"/>
            <w:shd w:fill="C6EFCE" w:val="clear"/>
          </w:tcPr>
          <w:p>
            <w:r>
              <w:rPr>
                <w:sz w:val="17"/>
              </w:rPr>
              <w:t>J+8  ⭐</w:t>
            </w:r>
          </w:p>
        </w:tc>
        <w:tc>
          <w:tcPr>
            <w:tcW w:type="dxa" w:w="1440"/>
            <w:shd w:fill="C6EFCE" w:val="clear"/>
          </w:tcPr>
          <w:p>
            <w:r>
              <w:rPr>
                <w:sz w:val="17"/>
              </w:rPr>
              <w:t>2026-09-09</w:t>
            </w:r>
          </w:p>
        </w:tc>
        <w:tc>
          <w:tcPr>
            <w:tcW w:type="dxa" w:w="1440"/>
            <w:shd w:fill="C6EFCE" w:val="clear"/>
          </w:tcPr>
          <w:p>
            <w:r>
              <w:rPr>
                <w:sz w:val="17"/>
              </w:rPr>
              <w:t>23,153</w:t>
            </w:r>
          </w:p>
        </w:tc>
        <w:tc>
          <w:tcPr>
            <w:tcW w:type="dxa" w:w="1440"/>
            <w:shd w:fill="C6EFCE" w:val="clear"/>
          </w:tcPr>
          <w:p>
            <w:r>
              <w:rPr>
                <w:b/>
                <w:sz w:val="17"/>
              </w:rPr>
              <w:t>25,812</w:t>
            </w:r>
          </w:p>
        </w:tc>
        <w:tc>
          <w:tcPr>
            <w:tcW w:type="dxa" w:w="1440"/>
            <w:shd w:fill="C6EFCE" w:val="clear"/>
          </w:tcPr>
          <w:p>
            <w:r>
              <w:rPr>
                <w:sz w:val="17"/>
              </w:rPr>
              <w:t>28,472</w:t>
            </w:r>
          </w:p>
        </w:tc>
        <w:tc>
          <w:tcPr>
            <w:tcW w:type="dxa" w:w="1440"/>
            <w:shd w:fill="C6EFCE" w:val="clear"/>
          </w:tcPr>
          <w:p>
            <w:r>
              <w:rPr>
                <w:b/>
                <w:color w:val="008000"/>
                <w:sz w:val="17"/>
              </w:rPr>
              <w:t>+14.7%</w:t>
            </w:r>
          </w:p>
        </w:tc>
      </w:tr>
      <w:tr>
        <w:tc>
          <w:tcPr>
            <w:tcW w:type="dxa" w:w="1440"/>
            <w:shd w:fill="C6EFCE" w:val="clear"/>
          </w:tcPr>
          <w:p>
            <w:r>
              <w:rPr>
                <w:sz w:val="17"/>
              </w:rPr>
              <w:t>J+9  ⭐</w:t>
            </w:r>
          </w:p>
        </w:tc>
        <w:tc>
          <w:tcPr>
            <w:tcW w:type="dxa" w:w="1440"/>
            <w:shd w:fill="C6EFCE" w:val="clear"/>
          </w:tcPr>
          <w:p>
            <w:r>
              <w:rPr>
                <w:sz w:val="17"/>
              </w:rPr>
              <w:t>2026-09-10</w:t>
            </w:r>
          </w:p>
        </w:tc>
        <w:tc>
          <w:tcPr>
            <w:tcW w:type="dxa" w:w="1440"/>
            <w:shd w:fill="C6EFCE" w:val="clear"/>
          </w:tcPr>
          <w:p>
            <w:r>
              <w:rPr>
                <w:sz w:val="17"/>
              </w:rPr>
              <w:t>23,333</w:t>
            </w:r>
          </w:p>
        </w:tc>
        <w:tc>
          <w:tcPr>
            <w:tcW w:type="dxa" w:w="1440"/>
            <w:shd w:fill="C6EFCE" w:val="clear"/>
          </w:tcPr>
          <w:p>
            <w:r>
              <w:rPr>
                <w:b/>
                <w:sz w:val="17"/>
              </w:rPr>
              <w:t>26,196</w:t>
            </w:r>
          </w:p>
        </w:tc>
        <w:tc>
          <w:tcPr>
            <w:tcW w:type="dxa" w:w="1440"/>
            <w:shd w:fill="C6EFCE" w:val="clear"/>
          </w:tcPr>
          <w:p>
            <w:r>
              <w:rPr>
                <w:sz w:val="17"/>
              </w:rPr>
              <w:t>29,059</w:t>
            </w:r>
          </w:p>
        </w:tc>
        <w:tc>
          <w:tcPr>
            <w:tcW w:type="dxa" w:w="1440"/>
            <w:shd w:fill="C6EFCE" w:val="clear"/>
          </w:tcPr>
          <w:p>
            <w:r>
              <w:rPr>
                <w:b/>
                <w:color w:val="008000"/>
                <w:sz w:val="17"/>
              </w:rPr>
              <w:t>+16.4%</w:t>
            </w:r>
          </w:p>
        </w:tc>
      </w:tr>
      <w:tr>
        <w:tc>
          <w:tcPr>
            <w:tcW w:type="dxa" w:w="1440"/>
            <w:shd w:fill="C6EFCE" w:val="clear"/>
          </w:tcPr>
          <w:p>
            <w:r>
              <w:rPr>
                <w:sz w:val="17"/>
              </w:rPr>
              <w:t>J+10  ⭐</w:t>
            </w:r>
          </w:p>
        </w:tc>
        <w:tc>
          <w:tcPr>
            <w:tcW w:type="dxa" w:w="1440"/>
            <w:shd w:fill="C6EFCE" w:val="clear"/>
          </w:tcPr>
          <w:p>
            <w:r>
              <w:rPr>
                <w:sz w:val="17"/>
              </w:rPr>
              <w:t>2026-09-11</w:t>
            </w:r>
          </w:p>
        </w:tc>
        <w:tc>
          <w:tcPr>
            <w:tcW w:type="dxa" w:w="1440"/>
            <w:shd w:fill="C6EFCE" w:val="clear"/>
          </w:tcPr>
          <w:p>
            <w:r>
              <w:rPr>
                <w:sz w:val="17"/>
              </w:rPr>
              <w:t>23,518</w:t>
            </w:r>
          </w:p>
        </w:tc>
        <w:tc>
          <w:tcPr>
            <w:tcW w:type="dxa" w:w="1440"/>
            <w:shd w:fill="C6EFCE" w:val="clear"/>
          </w:tcPr>
          <w:p>
            <w:r>
              <w:rPr>
                <w:b/>
                <w:sz w:val="17"/>
              </w:rPr>
              <w:t>26,580</w:t>
            </w:r>
          </w:p>
        </w:tc>
        <w:tc>
          <w:tcPr>
            <w:tcW w:type="dxa" w:w="1440"/>
            <w:shd w:fill="C6EFCE" w:val="clear"/>
          </w:tcPr>
          <w:p>
            <w:r>
              <w:rPr>
                <w:sz w:val="17"/>
              </w:rPr>
              <w:t>29,642</w:t>
            </w:r>
          </w:p>
        </w:tc>
        <w:tc>
          <w:tcPr>
            <w:tcW w:type="dxa" w:w="1440"/>
            <w:shd w:fill="C6EFCE" w:val="clear"/>
          </w:tcPr>
          <w:p>
            <w:r>
              <w:rPr>
                <w:b/>
                <w:color w:val="008000"/>
                <w:sz w:val="17"/>
              </w:rPr>
              <w:t>+18.1%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NSBC s'établit à 556,53 milliards FCFA, ce qui positionne la banque parmi les valeurs les plus significatives de la BRVM, reflétant la confiance des investisseurs dans le leadership de NSIA Banque CI. Avec un BPA de 1 646 FCFA, chaque action génère un bénéfice substantiel, justifiant un PER de 13,7x. Ce ratio, bien que supérieur à la moyenne historique du marché (~8-12x), reste modéré et témoigne d'une valorisation raisonnable pour une banque de cette envergure, les investisseurs acceptant de payer une prime pour la qualité des actifs et la croissance future. Le P/B de 2,39x confirme cette prime de croissance, le marché valorisant la banque à plus du double de sa valeur comptable, signe d'une rentabilité supérieure (ROE de 17,45%). En revanche, l'EV/EBITDA de 21,2x est particulièrement exigeant, indiquant que la valeur totale de l'entreprise (dette incluse) est élevée par rapport à sa capacité opérationnelle, ce qui pourrait signaler une certaine tension sur le plan de la valorisation absolue.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NSBC a enregistré une performance spectaculaire de +58,95%, passant d'un plus bas de 13 810 FCFA à un plus haut de 24 020 FCFA, avec un cours actuel de 22 500 FCFA. Cette tendance est résolument haussière, portée par des fondamentaux solides et une dynamique sectorielle positive. La variation à J-1 est nulle, marquant une pause après une forte progression. Les statistiques descriptives révèlent une moyenne de 18 956 FCFA et une médiane de 19 250 FCFA, très proches l'une de l'autre, indiquant une distribution relativement symétrique des prix, confirmée par un skewness de -0,212. L'écart-type de 3 606 FCFA (CV=19%) montre une dispersion modérée, tandis que le kurtosis de -1,398 (platykurtique) suggère une distribution aplatie avec une faible probabilité de valeurs extrêmes, réduisant le risque de pics soudains. La volatilité annualisée de 37,7% est élevée, positionnant le titre comme un actif dynamique mais risqué, nécessitant une gestion attentive du risque.</w:t>
      </w:r>
    </w:p>
    <w:p>
      <w:pPr>
        <w:spacing w:after="120" w:line="276" w:lineRule="auto" w:before="240"/>
      </w:pPr>
      <w:r>
        <w:rPr>
          <w:b/>
          <w:color w:val="003366"/>
          <w:sz w:val="24"/>
        </w:rPr>
        <w:t>**PARTIE 2 : ANALYSE TECHNIQUE DÉTAILLÉE**</w:t>
      </w:r>
    </w:p>
    <w:p>
      <w:pPr>
        <w:spacing w:after="120" w:line="276" w:lineRule="auto"/>
      </w:pPr>
      <w:r>
        <w:t>Les Moyennes Mobiles (MM20 à 23 218 FCFA et MM50 à 21 980 FCFA) sont toutes deux inférieures au cours actuel de 22 500 FCFA, avec une MM20 au-dessus de la MM50, formant une configuration haussière classique. Cette structure confirme la tendance positive et justifie la décision d'achat, le cours évoluant au-dessus de ses moyennes mobiles clés.</w:t>
      </w:r>
    </w:p>
    <w:p>
      <w:pPr>
        <w:spacing w:after="120" w:line="276" w:lineRule="auto"/>
      </w:pPr>
      <w:r>
        <w:t>Les Bandes de Bollinger (borne supérieure à 24 142 FCFA et borne inférieure à 22 295 FCFA) montrent que le cours se situe près de la borne inférieure, indiquant une phase de consolidation après une forte hausse. La décision neutre reflète un marché en attente d'un nouveau catalyseur, avec une volatilité qui se resserre, signalant une possible compression avant une nouvelle impulsion.</w:t>
      </w:r>
    </w:p>
    <w:p>
      <w:pPr>
        <w:spacing w:after="120" w:line="276" w:lineRule="auto"/>
      </w:pPr>
      <w:r>
        <w:t>Le MACD affiche une valeur de 112,12 contre un signal de 315,95, montrant un croisement baissier récent. Cette divergence négative indique un affaiblissement du momentum à court terme, justifiant la décision de vente, bien que la tendance de fond reste haussière.</w:t>
      </w:r>
    </w:p>
    <w:p>
      <w:pPr>
        <w:spacing w:after="120" w:line="276" w:lineRule="auto"/>
      </w:pPr>
      <w:r>
        <w:t>Le RSI à 18,56 est en zone de survente sévère, signalant que le titre est techniquement survendu après la récente correction. Cette situation suggère un potentiel de rebond, justifiant la décision d'achat, les investisseurs pouvant considérer ce niveau comme une opportunité d'entrée.</w:t>
      </w:r>
    </w:p>
    <w:p>
      <w:pPr>
        <w:spacing w:after="120" w:line="276" w:lineRule="auto"/>
      </w:pPr>
      <w:r>
        <w:t>Le Stochastique (%K=0, %D=0) est en zone extrêmement survendue, renforçant le signal d'achat. Cette configuration indique que le prix a clôturé près de son plus bas sur la période, ce qui précède souvent un retournement haussier.</w:t>
      </w:r>
    </w:p>
    <w:p>
      <w:pPr>
        <w:spacing w:after="120" w:line="276" w:lineRule="auto"/>
      </w:pPr>
      <w:r>
        <w:t>La conclusion technique est mitigée : la tendance de fond reste haussière (MM), mais les indicateurs de momentum (MACD, RSI, Stochastique) signalent une correction en cours. Cette divergence suggère une phase de consolidation nécessaire avant une reprise de la tendance haussière, avec un potentiel de rebond technique imminent.</w:t>
      </w:r>
    </w:p>
    <w:p>
      <w:pPr>
        <w:spacing w:after="120" w:line="276" w:lineRule="auto" w:before="240"/>
      </w:pPr>
      <w:r>
        <w:rPr>
          <w:b/>
          <w:color w:val="003366"/>
          <w:sz w:val="24"/>
        </w:rPr>
        <w:t>**PARTIE 3 : ANALYSE FONDAMENTALE (SECTION CRITIQUE)**</w:t>
      </w:r>
    </w:p>
    <w:p>
      <w:pPr>
        <w:spacing w:after="120" w:line="276" w:lineRule="auto"/>
      </w:pPr>
      <w:r>
        <w:t>En 2025, NSBC affiche des performances financières robustes avec un Produit Net Bancaire de 112,928 milliards FCFA, en hausse de 15,4%, et un résultat net de 40,712 milliards FCFA, en progression de 7%. La rentabilité des fonds propres (ROE) s'établit à 17,45%, un niveau excellent, tandis que le ROA de 1,32% est sain pour le secteur bancaire. Le coefficient d'exploitation de 54,59% témoigne d'une excellente efficacité opérationnelle, bien en dessous du seuil de 60%. Le coût du risque de 7,54% est élevé, indiquant un risque de crédit significatif, avec des provisions de 8,51 milliards FCFA. Les dépôts clientèle (2 242 milliards FCFA) couvrent largement les créances clientèle (1 818 milliards FCFA), montrant une transformation équilibrée. Sur la base du rapport T1 2026 (PNB de 28,6 milliards, +28%, et résultat net de 10,9 milliards, +53%), on estime que l'exercice 2026 pourrait voir un PNB dépasser 130 milliards FCFA et un résultat net supérieur à 50 milliards FCFA, confirmant la dynamique de croissance. Les rapports S1 2025 (PNB +10,6%) et T3 2025 (PNB +7%) montrent une accélération progressive. La recommandation fondamentale est positive, la banque démontrant une solidité financière remarquable, malgré un coût du risque à surveiller.</w:t>
      </w:r>
    </w:p>
    <w:p>
      <w:pPr>
        <w:spacing w:after="120" w:line="276" w:lineRule="auto" w:before="240"/>
      </w:pPr>
      <w:r>
        <w:rPr>
          <w:b/>
          <w:color w:val="003366"/>
          <w:sz w:val="24"/>
        </w:rPr>
        <w:t>**PARTIE 4 : CONCLUSION D'INVESTISSEMENT**</w:t>
      </w:r>
    </w:p>
    <w:p>
      <w:pPr>
        <w:spacing w:after="120" w:line="276" w:lineRule="auto"/>
      </w:pPr>
      <w:r>
        <w:t>La valorisation de NSBC est globalement raisonnable (PER 13,7x) malgré un EV/EBITDA exigeant, reflétant une prime de croissance justifiée par des fondamentaux solides. Le comportement du cours montre une tendance haussière spectaculaire (+58,95% sur 100 jours) avec une volatilité élevée, mais une distribution statistique stable. Les signaux techniques sont mitigés : la tendance de fond reste positive (MM), mais les indicateurs de momentum signalent une correction en cours, avec un RSI et un Stochastique en zone de survente, suggérant un rebond imminent. Les fondamentaux sont excellents, avec une croissance soutenue du PNB et du résultat net, une rentabilité élevée (ROE 17,45%) et une efficacité opérationnelle remarquable. Les prédictions IA pour les 10 prochains jours (23 070 à 24 661 FCFA) confirment une trajectoire haussière, en phase avec la tendance de fond. La convergence entre les fondamentaux solides, la tendance haussière et les prédictions IA, malgré les signaux techniques à court terme, justifie une recommandation **ACHAT** avec un niveau de confiance **Élevé**. Le risque global est **Moyen**, principalement lié à la volatilité et au coût du risque. L'horizon d'investissement optimal est le **moyen terme (3-12 mois)**, permettant de capitaliser sur la croissance continue et le potentiel de rebond technique.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350.92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1,497 titres</w:t>
            </w:r>
          </w:p>
        </w:tc>
        <w:tc>
          <w:tcPr>
            <w:tcW w:type="dxa" w:w="2268"/>
            <w:shd w:fill="FFF2CC" w:val="clear"/>
          </w:tcPr>
          <w:p>
            <w:r>
              <w:rPr>
                <w:b/>
                <w:color w:val="503200"/>
                <w:sz w:val="16"/>
              </w:rPr>
              <w:t xml:space="preserve">Cours actuel : </w:t>
            </w:r>
            <w:r>
              <w:rPr>
                <w:color w:val="000000"/>
                <w:sz w:val="17"/>
              </w:rPr>
              <w:t>15,900 FCFA</w:t>
            </w:r>
          </w:p>
          <w:p>
            <w:r>
              <w:rPr>
                <w:b/>
                <w:color w:val="503200"/>
                <w:sz w:val="16"/>
              </w:rPr>
              <w:t xml:space="preserve">Var. 100 jours : </w:t>
            </w:r>
            <w:r>
              <w:rPr>
                <w:b/>
                <w:color w:val="007800"/>
                <w:sz w:val="17"/>
              </w:rPr>
              <w:t>+27.71%</w:t>
            </w:r>
          </w:p>
          <w:p>
            <w:r>
              <w:rPr>
                <w:b/>
                <w:color w:val="503200"/>
                <w:sz w:val="16"/>
              </w:rPr>
              <w:t xml:space="preserve">Plus haut 100j : </w:t>
            </w:r>
            <w:r>
              <w:rPr>
                <w:color w:val="000000"/>
                <w:sz w:val="17"/>
              </w:rPr>
              <w:t>17,450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35.0%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14.03% (Moyenne) — μ=14,466 FCFA, σ=2,030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β=0.0760 (Défensif) — Cov=0.000003, Var(idx)=0.000036, ρ=0.021,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σ_j=2.21%/j (Stable) — Vol. annualisée≈35.0%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2026-08-31</w:t>
            </w:r>
          </w:p>
        </w:tc>
        <w:tc>
          <w:tcPr>
            <w:tcW w:type="dxa" w:w="1440"/>
            <w:shd w:fill="C6EFCE" w:val="clear"/>
          </w:tcPr>
          <w:p>
            <w:r>
              <w:rPr>
                <w:sz w:val="17"/>
              </w:rPr>
              <w:t>16,152</w:t>
            </w:r>
          </w:p>
        </w:tc>
        <w:tc>
          <w:tcPr>
            <w:tcW w:type="dxa" w:w="1440"/>
            <w:shd w:fill="C6EFCE" w:val="clear"/>
          </w:tcPr>
          <w:p>
            <w:r>
              <w:rPr>
                <w:b/>
                <w:sz w:val="17"/>
              </w:rPr>
              <w:t>16,554</w:t>
            </w:r>
          </w:p>
        </w:tc>
        <w:tc>
          <w:tcPr>
            <w:tcW w:type="dxa" w:w="1440"/>
            <w:shd w:fill="C6EFCE" w:val="clear"/>
          </w:tcPr>
          <w:p>
            <w:r>
              <w:rPr>
                <w:sz w:val="17"/>
              </w:rPr>
              <w:t>16,956</w:t>
            </w:r>
          </w:p>
        </w:tc>
        <w:tc>
          <w:tcPr>
            <w:tcW w:type="dxa" w:w="1440"/>
            <w:shd w:fill="C6EFCE" w:val="clear"/>
          </w:tcPr>
          <w:p>
            <w:r>
              <w:rPr>
                <w:b/>
                <w:color w:val="008000"/>
                <w:sz w:val="17"/>
              </w:rPr>
              <w:t>+4.1%</w:t>
            </w:r>
          </w:p>
        </w:tc>
      </w:tr>
      <w:tr>
        <w:tc>
          <w:tcPr>
            <w:tcW w:type="dxa" w:w="1440"/>
            <w:shd w:fill="C6EFCE" w:val="clear"/>
          </w:tcPr>
          <w:p>
            <w:r>
              <w:rPr>
                <w:sz w:val="17"/>
              </w:rPr>
              <w:t>J+2  Moyenne</w:t>
            </w:r>
          </w:p>
        </w:tc>
        <w:tc>
          <w:tcPr>
            <w:tcW w:type="dxa" w:w="1440"/>
            <w:shd w:fill="C6EFCE" w:val="clear"/>
          </w:tcPr>
          <w:p>
            <w:r>
              <w:rPr>
                <w:sz w:val="17"/>
              </w:rPr>
              <w:t>2026-09-01</w:t>
            </w:r>
          </w:p>
        </w:tc>
        <w:tc>
          <w:tcPr>
            <w:tcW w:type="dxa" w:w="1440"/>
            <w:shd w:fill="C6EFCE" w:val="clear"/>
          </w:tcPr>
          <w:p>
            <w:r>
              <w:rPr>
                <w:sz w:val="17"/>
              </w:rPr>
              <w:t>15,883</w:t>
            </w:r>
          </w:p>
        </w:tc>
        <w:tc>
          <w:tcPr>
            <w:tcW w:type="dxa" w:w="1440"/>
            <w:shd w:fill="C6EFCE" w:val="clear"/>
          </w:tcPr>
          <w:p>
            <w:r>
              <w:rPr>
                <w:b/>
                <w:sz w:val="17"/>
              </w:rPr>
              <w:t>16,448</w:t>
            </w:r>
          </w:p>
        </w:tc>
        <w:tc>
          <w:tcPr>
            <w:tcW w:type="dxa" w:w="1440"/>
            <w:shd w:fill="C6EFCE" w:val="clear"/>
          </w:tcPr>
          <w:p>
            <w:r>
              <w:rPr>
                <w:sz w:val="17"/>
              </w:rPr>
              <w:t>17,012</w:t>
            </w:r>
          </w:p>
        </w:tc>
        <w:tc>
          <w:tcPr>
            <w:tcW w:type="dxa" w:w="1440"/>
            <w:shd w:fill="C6EFCE" w:val="clear"/>
          </w:tcPr>
          <w:p>
            <w:r>
              <w:rPr>
                <w:b/>
                <w:color w:val="008000"/>
                <w:sz w:val="17"/>
              </w:rPr>
              <w:t>+3.4%</w:t>
            </w:r>
          </w:p>
        </w:tc>
      </w:tr>
      <w:tr>
        <w:tc>
          <w:tcPr>
            <w:tcW w:type="dxa" w:w="1440"/>
            <w:shd w:fill="C6EFCE" w:val="clear"/>
          </w:tcPr>
          <w:p>
            <w:r>
              <w:rPr>
                <w:sz w:val="17"/>
              </w:rPr>
              <w:t>J+3  ⭐</w:t>
            </w:r>
          </w:p>
        </w:tc>
        <w:tc>
          <w:tcPr>
            <w:tcW w:type="dxa" w:w="1440"/>
            <w:shd w:fill="C6EFCE" w:val="clear"/>
          </w:tcPr>
          <w:p>
            <w:r>
              <w:rPr>
                <w:sz w:val="17"/>
              </w:rPr>
              <w:t>2026-09-02</w:t>
            </w:r>
          </w:p>
        </w:tc>
        <w:tc>
          <w:tcPr>
            <w:tcW w:type="dxa" w:w="1440"/>
            <w:shd w:fill="C6EFCE" w:val="clear"/>
          </w:tcPr>
          <w:p>
            <w:r>
              <w:rPr>
                <w:sz w:val="17"/>
              </w:rPr>
              <w:t>15,697</w:t>
            </w:r>
          </w:p>
        </w:tc>
        <w:tc>
          <w:tcPr>
            <w:tcW w:type="dxa" w:w="1440"/>
            <w:shd w:fill="C6EFCE" w:val="clear"/>
          </w:tcPr>
          <w:p>
            <w:r>
              <w:rPr>
                <w:b/>
                <w:sz w:val="17"/>
              </w:rPr>
              <w:t>16,386</w:t>
            </w:r>
          </w:p>
        </w:tc>
        <w:tc>
          <w:tcPr>
            <w:tcW w:type="dxa" w:w="1440"/>
            <w:shd w:fill="C6EFCE" w:val="clear"/>
          </w:tcPr>
          <w:p>
            <w:r>
              <w:rPr>
                <w:sz w:val="17"/>
              </w:rPr>
              <w:t>17,075</w:t>
            </w:r>
          </w:p>
        </w:tc>
        <w:tc>
          <w:tcPr>
            <w:tcW w:type="dxa" w:w="1440"/>
            <w:shd w:fill="C6EFCE" w:val="clear"/>
          </w:tcPr>
          <w:p>
            <w:r>
              <w:rPr>
                <w:b/>
                <w:color w:val="008000"/>
                <w:sz w:val="17"/>
              </w:rPr>
              <w:t>+3.1%</w:t>
            </w:r>
          </w:p>
        </w:tc>
      </w:tr>
      <w:tr>
        <w:tc>
          <w:tcPr>
            <w:tcW w:type="dxa" w:w="1440"/>
            <w:shd w:fill="C6EFCE" w:val="clear"/>
          </w:tcPr>
          <w:p>
            <w:r>
              <w:rPr>
                <w:sz w:val="17"/>
              </w:rPr>
              <w:t>J+4  ⭐</w:t>
            </w:r>
          </w:p>
        </w:tc>
        <w:tc>
          <w:tcPr>
            <w:tcW w:type="dxa" w:w="1440"/>
            <w:shd w:fill="C6EFCE" w:val="clear"/>
          </w:tcPr>
          <w:p>
            <w:r>
              <w:rPr>
                <w:sz w:val="17"/>
              </w:rPr>
              <w:t>2026-09-03</w:t>
            </w:r>
          </w:p>
        </w:tc>
        <w:tc>
          <w:tcPr>
            <w:tcW w:type="dxa" w:w="1440"/>
            <w:shd w:fill="C6EFCE" w:val="clear"/>
          </w:tcPr>
          <w:p>
            <w:r>
              <w:rPr>
                <w:sz w:val="17"/>
              </w:rPr>
              <w:t>15,546</w:t>
            </w:r>
          </w:p>
        </w:tc>
        <w:tc>
          <w:tcPr>
            <w:tcW w:type="dxa" w:w="1440"/>
            <w:shd w:fill="C6EFCE" w:val="clear"/>
          </w:tcPr>
          <w:p>
            <w:r>
              <w:rPr>
                <w:b/>
                <w:sz w:val="17"/>
              </w:rPr>
              <w:t>16,339</w:t>
            </w:r>
          </w:p>
        </w:tc>
        <w:tc>
          <w:tcPr>
            <w:tcW w:type="dxa" w:w="1440"/>
            <w:shd w:fill="C6EFCE" w:val="clear"/>
          </w:tcPr>
          <w:p>
            <w:r>
              <w:rPr>
                <w:sz w:val="17"/>
              </w:rPr>
              <w:t>17,132</w:t>
            </w:r>
          </w:p>
        </w:tc>
        <w:tc>
          <w:tcPr>
            <w:tcW w:type="dxa" w:w="1440"/>
            <w:shd w:fill="C6EFCE" w:val="clear"/>
          </w:tcPr>
          <w:p>
            <w:r>
              <w:rPr>
                <w:b/>
                <w:color w:val="008000"/>
                <w:sz w:val="17"/>
              </w:rPr>
              <w:t>+2.8%</w:t>
            </w:r>
          </w:p>
        </w:tc>
      </w:tr>
      <w:tr>
        <w:tc>
          <w:tcPr>
            <w:tcW w:type="dxa" w:w="1440"/>
            <w:shd w:fill="C6EFCE" w:val="clear"/>
          </w:tcPr>
          <w:p>
            <w:r>
              <w:rPr>
                <w:sz w:val="17"/>
              </w:rPr>
              <w:t>J+5  ⭐</w:t>
            </w:r>
          </w:p>
        </w:tc>
        <w:tc>
          <w:tcPr>
            <w:tcW w:type="dxa" w:w="1440"/>
            <w:shd w:fill="C6EFCE" w:val="clear"/>
          </w:tcPr>
          <w:p>
            <w:r>
              <w:rPr>
                <w:sz w:val="17"/>
              </w:rPr>
              <w:t>2026-09-04</w:t>
            </w:r>
          </w:p>
        </w:tc>
        <w:tc>
          <w:tcPr>
            <w:tcW w:type="dxa" w:w="1440"/>
            <w:shd w:fill="C6EFCE" w:val="clear"/>
          </w:tcPr>
          <w:p>
            <w:r>
              <w:rPr>
                <w:sz w:val="17"/>
              </w:rPr>
              <w:t>15,410</w:t>
            </w:r>
          </w:p>
        </w:tc>
        <w:tc>
          <w:tcPr>
            <w:tcW w:type="dxa" w:w="1440"/>
            <w:shd w:fill="C6EFCE" w:val="clear"/>
          </w:tcPr>
          <w:p>
            <w:r>
              <w:rPr>
                <w:b/>
                <w:sz w:val="17"/>
              </w:rPr>
              <w:t>16,295</w:t>
            </w:r>
          </w:p>
        </w:tc>
        <w:tc>
          <w:tcPr>
            <w:tcW w:type="dxa" w:w="1440"/>
            <w:shd w:fill="C6EFCE" w:val="clear"/>
          </w:tcPr>
          <w:p>
            <w:r>
              <w:rPr>
                <w:sz w:val="17"/>
              </w:rPr>
              <w:t>17,179</w:t>
            </w:r>
          </w:p>
        </w:tc>
        <w:tc>
          <w:tcPr>
            <w:tcW w:type="dxa" w:w="1440"/>
            <w:shd w:fill="C6EFCE" w:val="clear"/>
          </w:tcPr>
          <w:p>
            <w:r>
              <w:rPr>
                <w:b/>
                <w:color w:val="008000"/>
                <w:sz w:val="17"/>
              </w:rPr>
              <w:t>+2.5%</w:t>
            </w:r>
          </w:p>
        </w:tc>
      </w:tr>
      <w:tr>
        <w:tc>
          <w:tcPr>
            <w:tcW w:type="dxa" w:w="1440"/>
            <w:shd w:fill="C6EFCE" w:val="clear"/>
          </w:tcPr>
          <w:p>
            <w:r>
              <w:rPr>
                <w:sz w:val="17"/>
              </w:rPr>
              <w:t>J+6  ⭐</w:t>
            </w:r>
          </w:p>
        </w:tc>
        <w:tc>
          <w:tcPr>
            <w:tcW w:type="dxa" w:w="1440"/>
            <w:shd w:fill="C6EFCE" w:val="clear"/>
          </w:tcPr>
          <w:p>
            <w:r>
              <w:rPr>
                <w:sz w:val="17"/>
              </w:rPr>
              <w:t>2026-09-07</w:t>
            </w:r>
          </w:p>
        </w:tc>
        <w:tc>
          <w:tcPr>
            <w:tcW w:type="dxa" w:w="1440"/>
            <w:shd w:fill="C6EFCE" w:val="clear"/>
          </w:tcPr>
          <w:p>
            <w:r>
              <w:rPr>
                <w:sz w:val="17"/>
              </w:rPr>
              <w:t>15,285</w:t>
            </w:r>
          </w:p>
        </w:tc>
        <w:tc>
          <w:tcPr>
            <w:tcW w:type="dxa" w:w="1440"/>
            <w:shd w:fill="C6EFCE" w:val="clear"/>
          </w:tcPr>
          <w:p>
            <w:r>
              <w:rPr>
                <w:b/>
                <w:sz w:val="17"/>
              </w:rPr>
              <w:t>16,251</w:t>
            </w:r>
          </w:p>
        </w:tc>
        <w:tc>
          <w:tcPr>
            <w:tcW w:type="dxa" w:w="1440"/>
            <w:shd w:fill="C6EFCE" w:val="clear"/>
          </w:tcPr>
          <w:p>
            <w:r>
              <w:rPr>
                <w:sz w:val="17"/>
              </w:rPr>
              <w:t>17,217</w:t>
            </w:r>
          </w:p>
        </w:tc>
        <w:tc>
          <w:tcPr>
            <w:tcW w:type="dxa" w:w="1440"/>
            <w:shd w:fill="C6EFCE" w:val="clear"/>
          </w:tcPr>
          <w:p>
            <w:r>
              <w:rPr>
                <w:b/>
                <w:color w:val="008000"/>
                <w:sz w:val="17"/>
              </w:rPr>
              <w:t>+2.2%</w:t>
            </w:r>
          </w:p>
        </w:tc>
      </w:tr>
      <w:tr>
        <w:tc>
          <w:tcPr>
            <w:tcW w:type="dxa" w:w="1440"/>
            <w:shd w:fill="FAFAFA" w:val="clear"/>
          </w:tcPr>
          <w:p>
            <w:r>
              <w:rPr>
                <w:sz w:val="17"/>
              </w:rPr>
              <w:t>J+7  ⭐</w:t>
            </w:r>
          </w:p>
        </w:tc>
        <w:tc>
          <w:tcPr>
            <w:tcW w:type="dxa" w:w="1440"/>
            <w:shd w:fill="FAFAFA" w:val="clear"/>
          </w:tcPr>
          <w:p>
            <w:r>
              <w:rPr>
                <w:sz w:val="17"/>
              </w:rPr>
              <w:t>2026-09-08</w:t>
            </w:r>
          </w:p>
        </w:tc>
        <w:tc>
          <w:tcPr>
            <w:tcW w:type="dxa" w:w="1440"/>
            <w:shd w:fill="FAFAFA" w:val="clear"/>
          </w:tcPr>
          <w:p>
            <w:r>
              <w:rPr>
                <w:sz w:val="17"/>
              </w:rPr>
              <w:t>15,167</w:t>
            </w:r>
          </w:p>
        </w:tc>
        <w:tc>
          <w:tcPr>
            <w:tcW w:type="dxa" w:w="1440"/>
            <w:shd w:fill="FAFAFA" w:val="clear"/>
          </w:tcPr>
          <w:p>
            <w:r>
              <w:rPr>
                <w:b/>
                <w:sz w:val="17"/>
              </w:rPr>
              <w:t>16,207</w:t>
            </w:r>
          </w:p>
        </w:tc>
        <w:tc>
          <w:tcPr>
            <w:tcW w:type="dxa" w:w="1440"/>
            <w:shd w:fill="FAFAFA" w:val="clear"/>
          </w:tcPr>
          <w:p>
            <w:r>
              <w:rPr>
                <w:sz w:val="17"/>
              </w:rPr>
              <w:t>17,248</w:t>
            </w:r>
          </w:p>
        </w:tc>
        <w:tc>
          <w:tcPr>
            <w:tcW w:type="dxa" w:w="1440"/>
            <w:shd w:fill="FAFAFA" w:val="clear"/>
          </w:tcPr>
          <w:p>
            <w:r>
              <w:rPr>
                <w:b/>
                <w:color w:val="008000"/>
                <w:sz w:val="17"/>
              </w:rPr>
              <w:t>+1.9%</w:t>
            </w:r>
          </w:p>
        </w:tc>
      </w:tr>
      <w:tr>
        <w:tc>
          <w:tcPr>
            <w:tcW w:type="dxa" w:w="1440"/>
            <w:shd w:fill="FAFAFA" w:val="clear"/>
          </w:tcPr>
          <w:p>
            <w:r>
              <w:rPr>
                <w:sz w:val="17"/>
              </w:rPr>
              <w:t>J+8  ⭐</w:t>
            </w:r>
          </w:p>
        </w:tc>
        <w:tc>
          <w:tcPr>
            <w:tcW w:type="dxa" w:w="1440"/>
            <w:shd w:fill="FAFAFA" w:val="clear"/>
          </w:tcPr>
          <w:p>
            <w:r>
              <w:rPr>
                <w:sz w:val="17"/>
              </w:rPr>
              <w:t>2026-09-09</w:t>
            </w:r>
          </w:p>
        </w:tc>
        <w:tc>
          <w:tcPr>
            <w:tcW w:type="dxa" w:w="1440"/>
            <w:shd w:fill="FAFAFA" w:val="clear"/>
          </w:tcPr>
          <w:p>
            <w:r>
              <w:rPr>
                <w:sz w:val="17"/>
              </w:rPr>
              <w:t>15,055</w:t>
            </w:r>
          </w:p>
        </w:tc>
        <w:tc>
          <w:tcPr>
            <w:tcW w:type="dxa" w:w="1440"/>
            <w:shd w:fill="FAFAFA" w:val="clear"/>
          </w:tcPr>
          <w:p>
            <w:r>
              <w:rPr>
                <w:b/>
                <w:sz w:val="17"/>
              </w:rPr>
              <w:t>16,164</w:t>
            </w:r>
          </w:p>
        </w:tc>
        <w:tc>
          <w:tcPr>
            <w:tcW w:type="dxa" w:w="1440"/>
            <w:shd w:fill="FAFAFA" w:val="clear"/>
          </w:tcPr>
          <w:p>
            <w:r>
              <w:rPr>
                <w:sz w:val="17"/>
              </w:rPr>
              <w:t>17,274</w:t>
            </w:r>
          </w:p>
        </w:tc>
        <w:tc>
          <w:tcPr>
            <w:tcW w:type="dxa" w:w="1440"/>
            <w:shd w:fill="FAFAFA" w:val="clear"/>
          </w:tcPr>
          <w:p>
            <w:r>
              <w:rPr>
                <w:b/>
                <w:color w:val="008000"/>
                <w:sz w:val="17"/>
              </w:rPr>
              <w:t>+1.7%</w:t>
            </w:r>
          </w:p>
        </w:tc>
      </w:tr>
      <w:tr>
        <w:tc>
          <w:tcPr>
            <w:tcW w:type="dxa" w:w="1440"/>
            <w:shd w:fill="FAFAFA" w:val="clear"/>
          </w:tcPr>
          <w:p>
            <w:r>
              <w:rPr>
                <w:sz w:val="17"/>
              </w:rPr>
              <w:t>J+9  ⭐</w:t>
            </w:r>
          </w:p>
        </w:tc>
        <w:tc>
          <w:tcPr>
            <w:tcW w:type="dxa" w:w="1440"/>
            <w:shd w:fill="FAFAFA" w:val="clear"/>
          </w:tcPr>
          <w:p>
            <w:r>
              <w:rPr>
                <w:sz w:val="17"/>
              </w:rPr>
              <w:t>2026-09-10</w:t>
            </w:r>
          </w:p>
        </w:tc>
        <w:tc>
          <w:tcPr>
            <w:tcW w:type="dxa" w:w="1440"/>
            <w:shd w:fill="FAFAFA" w:val="clear"/>
          </w:tcPr>
          <w:p>
            <w:r>
              <w:rPr>
                <w:sz w:val="17"/>
              </w:rPr>
              <w:t>14,948</w:t>
            </w:r>
          </w:p>
        </w:tc>
        <w:tc>
          <w:tcPr>
            <w:tcW w:type="dxa" w:w="1440"/>
            <w:shd w:fill="FAFAFA" w:val="clear"/>
          </w:tcPr>
          <w:p>
            <w:r>
              <w:rPr>
                <w:b/>
                <w:sz w:val="17"/>
              </w:rPr>
              <w:t>16,122</w:t>
            </w:r>
          </w:p>
        </w:tc>
        <w:tc>
          <w:tcPr>
            <w:tcW w:type="dxa" w:w="1440"/>
            <w:shd w:fill="FAFAFA" w:val="clear"/>
          </w:tcPr>
          <w:p>
            <w:r>
              <w:rPr>
                <w:sz w:val="17"/>
              </w:rPr>
              <w:t>17,295</w:t>
            </w:r>
          </w:p>
        </w:tc>
        <w:tc>
          <w:tcPr>
            <w:tcW w:type="dxa" w:w="1440"/>
            <w:shd w:fill="FAFAFA" w:val="clear"/>
          </w:tcPr>
          <w:p>
            <w:r>
              <w:rPr>
                <w:b/>
                <w:color w:val="008000"/>
                <w:sz w:val="17"/>
              </w:rPr>
              <w:t>+1.4%</w:t>
            </w:r>
          </w:p>
        </w:tc>
      </w:tr>
      <w:tr>
        <w:tc>
          <w:tcPr>
            <w:tcW w:type="dxa" w:w="1440"/>
            <w:shd w:fill="FAFAFA" w:val="clear"/>
          </w:tcPr>
          <w:p>
            <w:r>
              <w:rPr>
                <w:sz w:val="17"/>
              </w:rPr>
              <w:t>J+10  ⭐</w:t>
            </w:r>
          </w:p>
        </w:tc>
        <w:tc>
          <w:tcPr>
            <w:tcW w:type="dxa" w:w="1440"/>
            <w:shd w:fill="FAFAFA" w:val="clear"/>
          </w:tcPr>
          <w:p>
            <w:r>
              <w:rPr>
                <w:sz w:val="17"/>
              </w:rPr>
              <w:t>2026-09-11</w:t>
            </w:r>
          </w:p>
        </w:tc>
        <w:tc>
          <w:tcPr>
            <w:tcW w:type="dxa" w:w="1440"/>
            <w:shd w:fill="FAFAFA" w:val="clear"/>
          </w:tcPr>
          <w:p>
            <w:r>
              <w:rPr>
                <w:sz w:val="17"/>
              </w:rPr>
              <w:t>14,846</w:t>
            </w:r>
          </w:p>
        </w:tc>
        <w:tc>
          <w:tcPr>
            <w:tcW w:type="dxa" w:w="1440"/>
            <w:shd w:fill="FAFAFA" w:val="clear"/>
          </w:tcPr>
          <w:p>
            <w:r>
              <w:rPr>
                <w:b/>
                <w:sz w:val="17"/>
              </w:rPr>
              <w:t>16,079</w:t>
            </w:r>
          </w:p>
        </w:tc>
        <w:tc>
          <w:tcPr>
            <w:tcW w:type="dxa" w:w="1440"/>
            <w:shd w:fill="FAFAFA" w:val="clear"/>
          </w:tcPr>
          <w:p>
            <w:r>
              <w:rPr>
                <w:sz w:val="17"/>
              </w:rPr>
              <w:t>17,313</w:t>
            </w:r>
          </w:p>
        </w:tc>
        <w:tc>
          <w:tcPr>
            <w:tcW w:type="dxa" w:w="1440"/>
            <w:shd w:fill="FAFAFA" w:val="clear"/>
          </w:tcPr>
          <w:p>
            <w:r>
              <w:rPr>
                <w:b/>
                <w:color w:val="008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Absolument. Voici un rapport d'analyse structuré et professionnel pour l'action Nestlé Côte d'Ivoire (NTLC) sur la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350,92 milliards FCFA, NTLC se positionne comme l'une des plus importantes valeurs de la BRVM, reflétant la confiance des investisseurs dans ce leader des biens de consommation. Le BPA de 835 FCFA indique que chaque action a généré un bénéfice de ce montant sur l'exercice 2025. Le PER de 19,0x est nettement supérieur à la moyenne historique de la BRVM (8-12x), signifiant que les investisseurs acceptent de payer une prime substantielle pour la qualité perçue et la stabilité des bénéfices de l'entreprise. Cette prime est confirmée par le P/B de 11,86x, qui valorise fortement les actifs nets de la société, bien au-delà de leur valeur comptable. Enfin, l'EV/EBITDA de 9,5x, dans la fourchette raisonnable de 5-10x, suggère que la valorisation globale de l'entreprise, dette incluse, reste cohérente avec sa capacité à générer des flux opérationnels.</w:t>
      </w:r>
    </w:p>
    <w:p>
      <w:pPr>
        <w:spacing w:after="120" w:line="276" w:lineRule="auto"/>
      </w:pPr>
      <w:r>
        <w:t>### **PARTIE 1 : ANALYSE DU COURS — STATISTIQUES ET ÉVOLUTION (100 derniers jours)**</w:t>
      </w:r>
    </w:p>
    <w:p>
      <w:pPr>
        <w:spacing w:after="120" w:line="276" w:lineRule="auto"/>
      </w:pPr>
      <w:r>
        <w:t>Sur les 100 derniers jours, l'action NTLC a affiché une performance remarquable de +27,71%, mais a subi une correction significative de -5,92% lors de la dernière séance, s'établissant à 15 900 FCFA. Le titre a évolué dans une large fourchette, entre un plus bas de 11 150 FCFA et un plus haut de 17 450 FCFA, démontrant une forte dynamique haussière sur la période, malgré une volatilité récente. La moyenne du cours sur 100 jours est de 14 466 FCFA, tandis que la médiane est de 15 000 FCFA ; la moyenne étant inférieure à la médiane, cela suggère une distribution légèrement asymétrique avec des valeurs extrêmes basses, bien que le skewness de -0.104 indique une symétrie quasi parfaite. L'écart-type de 2 040 FCFA (CV=14,1%) montre une dispersion modérée des prix autour de la moyenne. Le kurtosis de -1.620 (platykurtique) indique une distribution aplatie avec moins de pics extrêmes qu'une distribution normale, réduisant le risque de variations brutales. La volatilité annualisée de 35,0% classe le titre comme très volatil, un niveau élevé qui requiert une gestion de risque attentive.</w:t>
      </w:r>
    </w:p>
    <w:p>
      <w:pPr>
        <w:spacing w:after="120" w:line="276" w:lineRule="auto"/>
      </w:pPr>
      <w:r>
        <w:t>### **PARTIE 2 : ANALYSE TECHNIQUE DÉTAILLÉE**</w:t>
      </w:r>
    </w:p>
    <w:p>
      <w:pPr>
        <w:spacing w:after="120" w:line="276" w:lineRule="auto"/>
      </w:pPr>
      <w:r>
        <w:t>**Moyennes Mobiles**: Le cours actuel de 15 900 FCFA est inférieur à la MM20 (16 890,75 FCFA) et à la MM50 (16 288,6 FCFA). Cette configuration, où le prix passe sous les deux moyennes, signale un affaiblissement de la tendance haussière de court et moyen terme. La décision d'achat est donc en contradiction avec la position actuelle du prix, indiquant que le signal pourrait être un artefact d'une tendance passée ou anticiper un rebond.</w:t>
      </w:r>
    </w:p>
    <w:p>
      <w:pPr>
        <w:spacing w:after="120" w:line="276" w:lineRule="auto"/>
      </w:pPr>
      <w:r>
        <w:t>**Bandes de Bollinger**: Le prix se situe sous la borne inférieure des bandes (16 087,655 FCFA), ce qui est un signal classique de survente à court terme. Cela suggère que le marché a peut-être sur-réagi à la baisse, et un retour vers la moyenne (MM20) est statistiquement probable. La décision d'achat est cohérente avec ce scénario de rebond technique.</w:t>
      </w:r>
    </w:p>
    <w:p>
      <w:pPr>
        <w:spacing w:after="120" w:line="276" w:lineRule="auto"/>
      </w:pPr>
      <w:r>
        <w:t>**MACD**: Le MACD (132,683) est inférieur à son signal (280,702), formant une divergence baissière. Ce croisement indique un ralentissement du momentum haussier et une dynamique de prix négative à court terme. La décision de vente est donc justifiée, signalant une perte de vitesse de la tendance.</w:t>
      </w:r>
    </w:p>
    <w:p>
      <w:pPr>
        <w:spacing w:after="120" w:line="276" w:lineRule="auto"/>
      </w:pPr>
      <w:r>
        <w:t>**RSI**: Le RSI à 35,551 est en zone neutre, mais proche de la zone de survente (30). Cela indique que la pression vendeuse est présente mais pas encore extrême. La décision "Neutre" est appropriée, suggérant que les investisseurs attendent un signal plus clair pour agir.</w:t>
      </w:r>
    </w:p>
    <w:p>
      <w:pPr>
        <w:spacing w:after="120" w:line="276" w:lineRule="auto"/>
      </w:pPr>
      <w:r>
        <w:t>**Stochastique**: Le %K est à 0,0, bien en dessous du %D à 23,782. Cette configuration indique une condition de survente extrême. Le croisement haussier potentiel (le %K remontant au-dessus du %D) pourrait signaler un rebond imminent. La décision d'achat est donc cohérente avec l'anticipation d'un retournement technique.</w:t>
      </w:r>
    </w:p>
    <w:p>
      <w:pPr>
        <w:spacing w:after="120" w:line="276" w:lineRule="auto"/>
      </w:pPr>
      <w:r>
        <w:t>**Conclusion technique**: Les indicateurs sont mitigés. Le MACD et la position sous les moyennes mobiles signalent une faiblesse à court terme. Cependant, le RSI proche de la survente, la cassure sous la bande de Bollinger inférieure et le stochastique à 0,0 suggèrent une correction excessive et un potentiel de rebond technique élevé. Le marché semble chercher un point d'équilibre après une forte hausse.</w:t>
      </w:r>
    </w:p>
    <w:p>
      <w:pPr>
        <w:spacing w:after="120" w:line="276" w:lineRule="auto"/>
      </w:pPr>
      <w:r>
        <w:t>### **PARTIE 3 : ANALYSE FONDAMENTALE (SECTION CRITIQUE)**</w:t>
      </w:r>
    </w:p>
    <w:p>
      <w:pPr>
        <w:spacing w:after="120" w:line="276" w:lineRule="auto"/>
      </w:pPr>
      <w:r>
        <w:t>En 2025, selon les données structurées, Nestlé Côte d'Ivoire a réalisé un chiffre d'affaires de 233,261 milliards FCFA, en hausse de 5,97% par rapport à 2024 (220,1 Mds FCFA). Le résultat net s'établit à 18,427 milliards FCFA, en légère progression de 1,53%. La rentabilité des fonds propres (ROE) est exceptionnelle à 62,28%, et le ROA est solide à 9,70%. En tant qu'entreprise, l'analyse se concentre sur les marges et le besoin en fonds de roulement (BFR). La marge nette est de 7,90%, et le BFR s'élève à 22,625 milliards FCFA, ce qui est un point d'attention. Le délai de paiement des clients est de 74,3 jours, un niveau élevé qui peut créer une tension de trésorerie, bien que la durée de stockage de 59,39 jours soit maîtrisée. L'endettement est significatif avec un ratio d'endettement de 135,85%, mais la couverture des intérêts par le résultat d'exploitation est très confortable (473,6%). Les rapports trimestriels de 2025 montrent une année en deux temps : un T1 difficile (CA -11%, mais RN +19%), un S1 en stagnation (CA 0%, RN -23,5%) et un 9 mois en légère croissance (CA +1,36%, RN -21,3%). Cependant, le rapport du T1 2026 (publié en mai 2026) fait état d'une performance exceptionnelle avec un chiffre d'affaires en hausse de 31% à 70,8 milliards FCFA et un résultat net en hausse de 37% à 7,5 milliards FCFA. Sur cette base, on estime que l'exercice 2026 pourrait voir une accélération significative de la croissance, avec un CA potentiel dépassant les 260 milliards FCFA et un résultat net pouvant atteindre 22-24 milliards FCFA. La politique de dividende a été drastiquement réduite pour 2025 (9,27 Mds FCFA vs 18,1 Mds en 2024), signalant une stratégie de réinvestissement des bénéfices. La solidité financière est réelle, mais la pression sur les marges et le besoin de financement du cycle d'exploitation restent des défis.</w:t>
      </w:r>
    </w:p>
    <w:p>
      <w:pPr>
        <w:spacing w:after="120" w:line="276" w:lineRule="auto"/>
      </w:pPr>
      <w:r>
        <w:t>### **PARTIE 4 : CONCLUSION D'INVESTISSEMENT**</w:t>
      </w:r>
    </w:p>
    <w:p>
      <w:pPr>
        <w:spacing w:after="120" w:line="276" w:lineRule="auto"/>
      </w:pPr>
      <w:r>
        <w:t>La valorisation de NTLC est exigeante (PER 19x, P/B 11,86x), mais elle est justifiée par une rentabilité exceptionnelle (ROE &gt;60%) et des perspectives de croissance renouvelées. Le comportement du cours sur 100 jours est haussier (+27,71%) mais la correction récente (-5,92%) et la volatilité élevée (35%) appellent à la prudence à court terme. Les signaux techniques sont mitigés, avec une pression vendeuse à court terme (MACD, sous MM) mais des conditions de survente qui suggèrent un rebond possible (Bollinger, Stochastique). Les fondamentaux sont solides, avec une amélioration spectaculaire au T1 2026, laissant présager une année record. Les prédictions IA pour les 10 prochains jours (autour de 16 300-16 500 FCFA) suggèrent une stabilisation et un léger rebond, ce qui contredit la faiblesse technique immédiate mais confirme le potentiel de reprise. En synthèse, la convergence entre des fondamentaux en forte amélioration, une valorisation certes élevée mais justifiée, et des signaux techniques de survente suggèrent une opportunité d'achat. La recommandation finale est **ACHAT**, avec un niveau de confiance **Moyen** et un risque global **Élevé** en raison de la volatilité. L'horizon d'investissement optimal serait le **moyen terme (3-12 mois)**, afin de capitaliser sur la dynamique de croissance de 2026 tout en laissant le temps aux indicateurs techniques de se retourner positivement.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197.20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4,890 titres</w:t>
            </w:r>
          </w:p>
        </w:tc>
        <w:tc>
          <w:tcPr>
            <w:tcW w:type="dxa" w:w="2268"/>
            <w:shd w:fill="FFF2CC" w:val="clear"/>
          </w:tcPr>
          <w:p>
            <w:r>
              <w:rPr>
                <w:b/>
                <w:color w:val="503200"/>
                <w:sz w:val="16"/>
              </w:rPr>
              <w:t xml:space="preserve">Cours actuel : </w:t>
            </w:r>
            <w:r>
              <w:rPr>
                <w:color w:val="000000"/>
                <w:sz w:val="17"/>
              </w:rPr>
              <w:t>2,900 FCFA</w:t>
            </w:r>
          </w:p>
          <w:p>
            <w:r>
              <w:rPr>
                <w:b/>
                <w:color w:val="503200"/>
                <w:sz w:val="16"/>
              </w:rPr>
              <w:t xml:space="preserve">Var. 100 jours : </w:t>
            </w:r>
            <w:r>
              <w:rPr>
                <w:b/>
                <w:color w:val="007800"/>
                <w:sz w:val="17"/>
              </w:rPr>
              <w:t>+0.00%</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3.03% (Faible) — μ=2,822 FCFA, σ=86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β=0.3305 (Défensif) — Cov=0.000012, Var(idx)=0.000036, ρ=0.102,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4,890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σ_j=1.94%/j (Stable) — Vol. annualisée≈30.8%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2,800</w:t>
            </w:r>
          </w:p>
        </w:tc>
        <w:tc>
          <w:tcPr>
            <w:tcW w:type="dxa" w:w="1440"/>
            <w:shd w:fill="FAFAFA" w:val="clear"/>
          </w:tcPr>
          <w:p>
            <w:r>
              <w:rPr>
                <w:b/>
                <w:sz w:val="17"/>
              </w:rPr>
              <w:t>2,888</w:t>
            </w:r>
          </w:p>
        </w:tc>
        <w:tc>
          <w:tcPr>
            <w:tcW w:type="dxa" w:w="1440"/>
            <w:shd w:fill="FAFAFA" w:val="clear"/>
          </w:tcPr>
          <w:p>
            <w:r>
              <w:rPr>
                <w:sz w:val="17"/>
              </w:rPr>
              <w:t>2,977</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2,759</w:t>
            </w:r>
          </w:p>
        </w:tc>
        <w:tc>
          <w:tcPr>
            <w:tcW w:type="dxa" w:w="1440"/>
            <w:shd w:fill="FAFAFA" w:val="clear"/>
          </w:tcPr>
          <w:p>
            <w:r>
              <w:rPr>
                <w:b/>
                <w:sz w:val="17"/>
              </w:rPr>
              <w:t>2,884</w:t>
            </w:r>
          </w:p>
        </w:tc>
        <w:tc>
          <w:tcPr>
            <w:tcW w:type="dxa" w:w="1440"/>
            <w:shd w:fill="FAFAFA" w:val="clear"/>
          </w:tcPr>
          <w:p>
            <w:r>
              <w:rPr>
                <w:sz w:val="17"/>
              </w:rPr>
              <w:t>3,008</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2026-09-02</w:t>
            </w:r>
          </w:p>
        </w:tc>
        <w:tc>
          <w:tcPr>
            <w:tcW w:type="dxa" w:w="1440"/>
            <w:shd w:fill="FAFAFA" w:val="clear"/>
          </w:tcPr>
          <w:p>
            <w:r>
              <w:rPr>
                <w:sz w:val="17"/>
              </w:rPr>
              <w:t>2,725</w:t>
            </w:r>
          </w:p>
        </w:tc>
        <w:tc>
          <w:tcPr>
            <w:tcW w:type="dxa" w:w="1440"/>
            <w:shd w:fill="FAFAFA" w:val="clear"/>
          </w:tcPr>
          <w:p>
            <w:r>
              <w:rPr>
                <w:b/>
                <w:sz w:val="17"/>
              </w:rPr>
              <w:t>2,878</w:t>
            </w:r>
          </w:p>
        </w:tc>
        <w:tc>
          <w:tcPr>
            <w:tcW w:type="dxa" w:w="1440"/>
            <w:shd w:fill="FAFAFA" w:val="clear"/>
          </w:tcPr>
          <w:p>
            <w:r>
              <w:rPr>
                <w:sz w:val="17"/>
              </w:rPr>
              <w:t>3,030</w:t>
            </w:r>
          </w:p>
        </w:tc>
        <w:tc>
          <w:tcPr>
            <w:tcW w:type="dxa" w:w="1440"/>
            <w:shd w:fill="FAFAFA" w:val="clear"/>
          </w:tcPr>
          <w:p>
            <w:r>
              <w:rPr>
                <w:b/>
                <w:color w:val="C00000"/>
                <w:sz w:val="17"/>
              </w:rPr>
              <w:t>-0.8%</w:t>
            </w:r>
          </w:p>
        </w:tc>
      </w:tr>
      <w:tr>
        <w:tc>
          <w:tcPr>
            <w:tcW w:type="dxa" w:w="1440"/>
            <w:shd w:fill="FAFAFA" w:val="clear"/>
          </w:tcPr>
          <w:p>
            <w:r>
              <w:rPr>
                <w:sz w:val="17"/>
              </w:rPr>
              <w:t>J+4  Moyenne</w:t>
            </w:r>
          </w:p>
        </w:tc>
        <w:tc>
          <w:tcPr>
            <w:tcW w:type="dxa" w:w="1440"/>
            <w:shd w:fill="FAFAFA" w:val="clear"/>
          </w:tcPr>
          <w:p>
            <w:r>
              <w:rPr>
                <w:sz w:val="17"/>
              </w:rPr>
              <w:t>2026-09-03</w:t>
            </w:r>
          </w:p>
        </w:tc>
        <w:tc>
          <w:tcPr>
            <w:tcW w:type="dxa" w:w="1440"/>
            <w:shd w:fill="FAFAFA" w:val="clear"/>
          </w:tcPr>
          <w:p>
            <w:r>
              <w:rPr>
                <w:sz w:val="17"/>
              </w:rPr>
              <w:t>2,696</w:t>
            </w:r>
          </w:p>
        </w:tc>
        <w:tc>
          <w:tcPr>
            <w:tcW w:type="dxa" w:w="1440"/>
            <w:shd w:fill="FAFAFA" w:val="clear"/>
          </w:tcPr>
          <w:p>
            <w:r>
              <w:rPr>
                <w:b/>
                <w:sz w:val="17"/>
              </w:rPr>
              <w:t>2,872</w:t>
            </w:r>
          </w:p>
        </w:tc>
        <w:tc>
          <w:tcPr>
            <w:tcW w:type="dxa" w:w="1440"/>
            <w:shd w:fill="FAFAFA" w:val="clear"/>
          </w:tcPr>
          <w:p>
            <w:r>
              <w:rPr>
                <w:sz w:val="17"/>
              </w:rPr>
              <w:t>3,048</w:t>
            </w:r>
          </w:p>
        </w:tc>
        <w:tc>
          <w:tcPr>
            <w:tcW w:type="dxa" w:w="1440"/>
            <w:shd w:fill="FAFAFA" w:val="clear"/>
          </w:tcPr>
          <w:p>
            <w:r>
              <w:rPr>
                <w:b/>
                <w:color w:val="C00000"/>
                <w:sz w:val="17"/>
              </w:rPr>
              <w:t>-1.0%</w:t>
            </w:r>
          </w:p>
        </w:tc>
      </w:tr>
      <w:tr>
        <w:tc>
          <w:tcPr>
            <w:tcW w:type="dxa" w:w="1440"/>
            <w:shd w:fill="FAFAFA" w:val="clear"/>
          </w:tcPr>
          <w:p>
            <w:r>
              <w:rPr>
                <w:sz w:val="17"/>
              </w:rPr>
              <w:t>J+5  Moyenne</w:t>
            </w:r>
          </w:p>
        </w:tc>
        <w:tc>
          <w:tcPr>
            <w:tcW w:type="dxa" w:w="1440"/>
            <w:shd w:fill="FAFAFA" w:val="clear"/>
          </w:tcPr>
          <w:p>
            <w:r>
              <w:rPr>
                <w:sz w:val="17"/>
              </w:rPr>
              <w:t>2026-09-04</w:t>
            </w:r>
          </w:p>
        </w:tc>
        <w:tc>
          <w:tcPr>
            <w:tcW w:type="dxa" w:w="1440"/>
            <w:shd w:fill="FAFAFA" w:val="clear"/>
          </w:tcPr>
          <w:p>
            <w:r>
              <w:rPr>
                <w:sz w:val="17"/>
              </w:rPr>
              <w:t>2,670</w:t>
            </w:r>
          </w:p>
        </w:tc>
        <w:tc>
          <w:tcPr>
            <w:tcW w:type="dxa" w:w="1440"/>
            <w:shd w:fill="FAFAFA" w:val="clear"/>
          </w:tcPr>
          <w:p>
            <w:r>
              <w:rPr>
                <w:b/>
                <w:sz w:val="17"/>
              </w:rPr>
              <w:t>2,866</w:t>
            </w:r>
          </w:p>
        </w:tc>
        <w:tc>
          <w:tcPr>
            <w:tcW w:type="dxa" w:w="1440"/>
            <w:shd w:fill="FAFAFA" w:val="clear"/>
          </w:tcPr>
          <w:p>
            <w:r>
              <w:rPr>
                <w:sz w:val="17"/>
              </w:rPr>
              <w:t>3,063</w:t>
            </w:r>
          </w:p>
        </w:tc>
        <w:tc>
          <w:tcPr>
            <w:tcW w:type="dxa" w:w="1440"/>
            <w:shd w:fill="FAFAFA" w:val="clear"/>
          </w:tcPr>
          <w:p>
            <w:r>
              <w:rPr>
                <w:b/>
                <w:color w:val="C00000"/>
                <w:sz w:val="17"/>
              </w:rPr>
              <w:t>-1.2%</w:t>
            </w:r>
          </w:p>
        </w:tc>
      </w:tr>
      <w:tr>
        <w:tc>
          <w:tcPr>
            <w:tcW w:type="dxa" w:w="1440"/>
            <w:shd w:fill="FAFAFA" w:val="clear"/>
          </w:tcPr>
          <w:p>
            <w:r>
              <w:rPr>
                <w:sz w:val="17"/>
              </w:rPr>
              <w:t>J+6  Moyenne</w:t>
            </w:r>
          </w:p>
        </w:tc>
        <w:tc>
          <w:tcPr>
            <w:tcW w:type="dxa" w:w="1440"/>
            <w:shd w:fill="FAFAFA" w:val="clear"/>
          </w:tcPr>
          <w:p>
            <w:r>
              <w:rPr>
                <w:sz w:val="17"/>
              </w:rPr>
              <w:t>2026-09-07</w:t>
            </w:r>
          </w:p>
        </w:tc>
        <w:tc>
          <w:tcPr>
            <w:tcW w:type="dxa" w:w="1440"/>
            <w:shd w:fill="FAFAFA" w:val="clear"/>
          </w:tcPr>
          <w:p>
            <w:r>
              <w:rPr>
                <w:sz w:val="17"/>
              </w:rPr>
              <w:t>2,646</w:t>
            </w:r>
          </w:p>
        </w:tc>
        <w:tc>
          <w:tcPr>
            <w:tcW w:type="dxa" w:w="1440"/>
            <w:shd w:fill="FAFAFA" w:val="clear"/>
          </w:tcPr>
          <w:p>
            <w:r>
              <w:rPr>
                <w:b/>
                <w:sz w:val="17"/>
              </w:rPr>
              <w:t>2,860</w:t>
            </w:r>
          </w:p>
        </w:tc>
        <w:tc>
          <w:tcPr>
            <w:tcW w:type="dxa" w:w="1440"/>
            <w:shd w:fill="FAFAFA" w:val="clear"/>
          </w:tcPr>
          <w:p>
            <w:r>
              <w:rPr>
                <w:sz w:val="17"/>
              </w:rPr>
              <w:t>3,075</w:t>
            </w:r>
          </w:p>
        </w:tc>
        <w:tc>
          <w:tcPr>
            <w:tcW w:type="dxa" w:w="1440"/>
            <w:shd w:fill="FAFAFA" w:val="clear"/>
          </w:tcPr>
          <w:p>
            <w:r>
              <w:rPr>
                <w:b/>
                <w:color w:val="C00000"/>
                <w:sz w:val="17"/>
              </w:rPr>
              <w:t>-1.4%</w:t>
            </w:r>
          </w:p>
        </w:tc>
      </w:tr>
      <w:tr>
        <w:tc>
          <w:tcPr>
            <w:tcW w:type="dxa" w:w="1440"/>
            <w:shd w:fill="FAFAFA" w:val="clear"/>
          </w:tcPr>
          <w:p>
            <w:r>
              <w:rPr>
                <w:sz w:val="17"/>
              </w:rPr>
              <w:t>J+7  Moyenne</w:t>
            </w:r>
          </w:p>
        </w:tc>
        <w:tc>
          <w:tcPr>
            <w:tcW w:type="dxa" w:w="1440"/>
            <w:shd w:fill="FAFAFA" w:val="clear"/>
          </w:tcPr>
          <w:p>
            <w:r>
              <w:rPr>
                <w:sz w:val="17"/>
              </w:rPr>
              <w:t>2026-09-08</w:t>
            </w:r>
          </w:p>
        </w:tc>
        <w:tc>
          <w:tcPr>
            <w:tcW w:type="dxa" w:w="1440"/>
            <w:shd w:fill="FAFAFA" w:val="clear"/>
          </w:tcPr>
          <w:p>
            <w:r>
              <w:rPr>
                <w:sz w:val="17"/>
              </w:rPr>
              <w:t>2,624</w:t>
            </w:r>
          </w:p>
        </w:tc>
        <w:tc>
          <w:tcPr>
            <w:tcW w:type="dxa" w:w="1440"/>
            <w:shd w:fill="FAFAFA" w:val="clear"/>
          </w:tcPr>
          <w:p>
            <w:r>
              <w:rPr>
                <w:b/>
                <w:sz w:val="17"/>
              </w:rPr>
              <w:t>2,855</w:t>
            </w:r>
          </w:p>
        </w:tc>
        <w:tc>
          <w:tcPr>
            <w:tcW w:type="dxa" w:w="1440"/>
            <w:shd w:fill="FAFAFA" w:val="clear"/>
          </w:tcPr>
          <w:p>
            <w:r>
              <w:rPr>
                <w:sz w:val="17"/>
              </w:rPr>
              <w:t>3,086</w:t>
            </w:r>
          </w:p>
        </w:tc>
        <w:tc>
          <w:tcPr>
            <w:tcW w:type="dxa" w:w="1440"/>
            <w:shd w:fill="FAFAFA" w:val="clear"/>
          </w:tcPr>
          <w:p>
            <w:r>
              <w:rPr>
                <w:b/>
                <w:color w:val="C00000"/>
                <w:sz w:val="17"/>
              </w:rPr>
              <w:t>-1.6%</w:t>
            </w:r>
          </w:p>
        </w:tc>
      </w:tr>
      <w:tr>
        <w:tc>
          <w:tcPr>
            <w:tcW w:type="dxa" w:w="1440"/>
            <w:shd w:fill="FAFAFA" w:val="clear"/>
          </w:tcPr>
          <w:p>
            <w:r>
              <w:rPr>
                <w:sz w:val="17"/>
              </w:rPr>
              <w:t>J+8  Moyenne</w:t>
            </w:r>
          </w:p>
        </w:tc>
        <w:tc>
          <w:tcPr>
            <w:tcW w:type="dxa" w:w="1440"/>
            <w:shd w:fill="FAFAFA" w:val="clear"/>
          </w:tcPr>
          <w:p>
            <w:r>
              <w:rPr>
                <w:sz w:val="17"/>
              </w:rPr>
              <w:t>2026-09-09</w:t>
            </w:r>
          </w:p>
        </w:tc>
        <w:tc>
          <w:tcPr>
            <w:tcW w:type="dxa" w:w="1440"/>
            <w:shd w:fill="FAFAFA" w:val="clear"/>
          </w:tcPr>
          <w:p>
            <w:r>
              <w:rPr>
                <w:sz w:val="17"/>
              </w:rPr>
              <w:t>2,602</w:t>
            </w:r>
          </w:p>
        </w:tc>
        <w:tc>
          <w:tcPr>
            <w:tcW w:type="dxa" w:w="1440"/>
            <w:shd w:fill="FAFAFA" w:val="clear"/>
          </w:tcPr>
          <w:p>
            <w:r>
              <w:rPr>
                <w:b/>
                <w:sz w:val="17"/>
              </w:rPr>
              <w:t>2,849</w:t>
            </w:r>
          </w:p>
        </w:tc>
        <w:tc>
          <w:tcPr>
            <w:tcW w:type="dxa" w:w="1440"/>
            <w:shd w:fill="FAFAFA" w:val="clear"/>
          </w:tcPr>
          <w:p>
            <w:r>
              <w:rPr>
                <w:sz w:val="17"/>
              </w:rPr>
              <w:t>3,096</w:t>
            </w:r>
          </w:p>
        </w:tc>
        <w:tc>
          <w:tcPr>
            <w:tcW w:type="dxa" w:w="1440"/>
            <w:shd w:fill="FAFAFA" w:val="clear"/>
          </w:tcPr>
          <w:p>
            <w:r>
              <w:rPr>
                <w:b/>
                <w:color w:val="C00000"/>
                <w:sz w:val="17"/>
              </w:rPr>
              <w:t>-1.7%</w:t>
            </w:r>
          </w:p>
        </w:tc>
      </w:tr>
      <w:tr>
        <w:tc>
          <w:tcPr>
            <w:tcW w:type="dxa" w:w="1440"/>
            <w:shd w:fill="FAFAFA" w:val="clear"/>
          </w:tcPr>
          <w:p>
            <w:r>
              <w:rPr>
                <w:sz w:val="17"/>
              </w:rPr>
              <w:t>J+9  Moyenne</w:t>
            </w:r>
          </w:p>
        </w:tc>
        <w:tc>
          <w:tcPr>
            <w:tcW w:type="dxa" w:w="1440"/>
            <w:shd w:fill="FAFAFA" w:val="clear"/>
          </w:tcPr>
          <w:p>
            <w:r>
              <w:rPr>
                <w:sz w:val="17"/>
              </w:rPr>
              <w:t>2026-09-10</w:t>
            </w:r>
          </w:p>
        </w:tc>
        <w:tc>
          <w:tcPr>
            <w:tcW w:type="dxa" w:w="1440"/>
            <w:shd w:fill="FAFAFA" w:val="clear"/>
          </w:tcPr>
          <w:p>
            <w:r>
              <w:rPr>
                <w:sz w:val="17"/>
              </w:rPr>
              <w:t>2,582</w:t>
            </w:r>
          </w:p>
        </w:tc>
        <w:tc>
          <w:tcPr>
            <w:tcW w:type="dxa" w:w="1440"/>
            <w:shd w:fill="FAFAFA" w:val="clear"/>
          </w:tcPr>
          <w:p>
            <w:r>
              <w:rPr>
                <w:b/>
                <w:sz w:val="17"/>
              </w:rPr>
              <w:t>2,844</w:t>
            </w:r>
          </w:p>
        </w:tc>
        <w:tc>
          <w:tcPr>
            <w:tcW w:type="dxa" w:w="1440"/>
            <w:shd w:fill="FAFAFA" w:val="clear"/>
          </w:tcPr>
          <w:p>
            <w:r>
              <w:rPr>
                <w:sz w:val="17"/>
              </w:rPr>
              <w:t>3,105</w:t>
            </w:r>
          </w:p>
        </w:tc>
        <w:tc>
          <w:tcPr>
            <w:tcW w:type="dxa" w:w="1440"/>
            <w:shd w:fill="FAFAFA" w:val="clear"/>
          </w:tcPr>
          <w:p>
            <w:r>
              <w:rPr>
                <w:b/>
                <w:color w:val="C00000"/>
                <w:sz w:val="17"/>
              </w:rPr>
              <w:t>-1.9%</w:t>
            </w:r>
          </w:p>
        </w:tc>
      </w:tr>
      <w:tr>
        <w:tc>
          <w:tcPr>
            <w:tcW w:type="dxa" w:w="1440"/>
            <w:shd w:fill="FFDCE0" w:val="clear"/>
          </w:tcPr>
          <w:p>
            <w:r>
              <w:rPr>
                <w:sz w:val="17"/>
              </w:rPr>
              <w:t>J+10  Moyenne</w:t>
            </w:r>
          </w:p>
        </w:tc>
        <w:tc>
          <w:tcPr>
            <w:tcW w:type="dxa" w:w="1440"/>
            <w:shd w:fill="FFDCE0" w:val="clear"/>
          </w:tcPr>
          <w:p>
            <w:r>
              <w:rPr>
                <w:sz w:val="17"/>
              </w:rPr>
              <w:t>2026-09-11</w:t>
            </w:r>
          </w:p>
        </w:tc>
        <w:tc>
          <w:tcPr>
            <w:tcW w:type="dxa" w:w="1440"/>
            <w:shd w:fill="FFDCE0" w:val="clear"/>
          </w:tcPr>
          <w:p>
            <w:r>
              <w:rPr>
                <w:sz w:val="17"/>
              </w:rPr>
              <w:t>2,563</w:t>
            </w:r>
          </w:p>
        </w:tc>
        <w:tc>
          <w:tcPr>
            <w:tcW w:type="dxa" w:w="1440"/>
            <w:shd w:fill="FFDCE0" w:val="clear"/>
          </w:tcPr>
          <w:p>
            <w:r>
              <w:rPr>
                <w:b/>
                <w:sz w:val="17"/>
              </w:rPr>
              <w:t>2,838</w:t>
            </w:r>
          </w:p>
        </w:tc>
        <w:tc>
          <w:tcPr>
            <w:tcW w:type="dxa" w:w="1440"/>
            <w:shd w:fill="FFDCE0" w:val="clear"/>
          </w:tcPr>
          <w:p>
            <w:r>
              <w:rPr>
                <w:sz w:val="17"/>
              </w:rPr>
              <w:t>3,113</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Absolument. Voici un rapport d'analyse structuré et professionnel pour l'action ONTBF (ONATEL-SA), basé sur l'ensemble des données fournies.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d'ONTBF s'établit à 197,20 milliards FCFA, ce qui en fait une valeur de première importance sur la BRVM, représentative du secteur des télécommunications. Avec un BPA de 234 FCFA, chaque action rapporte un bénéfice substantiel à son détenteur. Le PER de 12,4x se situe dans la fourchette haute de la moyenne du marché BRVM (8-12x), indiquant que les investisseurs sont prêts à payer une légère prime pour les bénéfices de l'entreprise, ce qui traduit une confiance dans sa stabilité. Le P/B de 3,43x confirme cette prime, le marché valorisant l'actif net de la société bien au-dessus de sa valeur comptable, signe d'une rentabilité des capitaux propres élevée. Enfin, un EV/EBITDA de 5,2x est considéré comme raisonnable, suggérant que la valeur totale de l'entreprise (dette incluse) reste en phase avec sa capacité à générer du cash opérationnel.</w:t>
      </w:r>
    </w:p>
    <w:p>
      <w:pPr>
        <w:spacing w:after="120" w:line="276" w:lineRule="auto"/>
      </w:pPr>
      <w:r>
        <w:t>### PARTIE 1 : ANALYSE DU COURS — STATISTIQUES ET ÉVOLUTION (100 derniers jours)</w:t>
      </w:r>
    </w:p>
    <w:p>
      <w:pPr>
        <w:spacing w:after="120" w:line="276" w:lineRule="auto"/>
      </w:pPr>
      <w:r>
        <w:t>Sur les 100 derniers jours, le cours d'ONTBF est resté extrêmement stable, avec une variation totale de 0,00% et une variation nulle sur la dernière séance, clôturant à 2 900 FCFA. Le titre a évolué dans une fourchette de trading relativement étroite, entre un plus bas de 2 610 FCFA et un plus haut de 3 070 FCFA. Cette stabilité est confirmée par les statistiques descriptives : la moyenne (2 822 FCFA) et la médiane (2 802 FCFA) sont très proches, indiquant une distribution symétrique des prix, ce que corrobore un skewness légèrement positif (0.211). L'écart-type de 86 FCFA, avec un coefficient de variation de seulement 3,0%, démontre une dispersion très faible des cours autour de la moyenne. Le kurtosis négatif (-0.189) suggère une distribution mésokurtique, sans risque de variations extrêmes ou de "pics" de prix. Cependant, la volatilité annualisée de 30,8% est élevée, indiquant que malgré une stabilité récente, le titre peut connaître des mouvements amples sur de plus longues périodes.</w:t>
      </w:r>
    </w:p>
    <w:p>
      <w:pPr>
        <w:spacing w:after="120" w:line="276" w:lineRule="auto"/>
      </w:pPr>
      <w:r>
        <w:t>### PARTIE 2 : ANALYSE TECHNIQUE DÉTAILLÉE</w:t>
      </w:r>
    </w:p>
    <w:p>
      <w:pPr>
        <w:spacing w:after="120" w:line="276" w:lineRule="auto"/>
      </w:pPr>
      <w:r>
        <w:t>**Moyennes Mobiles** : La MM20 (2 905,75 FCFA) est supérieure à la MM50 (2 826,8 FCFA), et le cours actuel (2 900 FCFA) se situe sous la MM20 mais au-dessus de la MM50. Cette configuration indique une tendance de fond haussière à moyen terme, bien que le prix consolide sous sa moyenne à court terme. La décision d'achat générée par cet indicateur est cohérente avec une tendance générale positive, mais suggère une possible faiblesse à très court terme.</w:t>
      </w:r>
    </w:p>
    <w:p>
      <w:pPr>
        <w:spacing w:after="120" w:line="276" w:lineRule="auto"/>
      </w:pPr>
      <w:r>
        <w:t>**Bandes de Bollinger** : Le cours (2 900 FCFA) se positionne presque à mi-chemin entre la borne inférieure (2 793,16 FCFA) et la borne supérieure (3 018,34 FCFA). Cette position centrale indique une volatilité modérée et l'absence de pression directionnelle forte. La décision "Neutre" est justifiée, le prix n'étant ni en situation de surachat ni de survente.</w:t>
      </w:r>
    </w:p>
    <w:p>
      <w:pPr>
        <w:spacing w:after="120" w:line="276" w:lineRule="auto"/>
      </w:pPr>
      <w:r>
        <w:t>**MACD** : La valeur du MACD (18,673) est inférieure à son signal (22,216), ce qui constitue un croisement baissier. Cela signale un ralentissement du momentum haussier et une possible correction à venir. La décision de "Vente" est un signal d'alerte, indiquant que la dynamique positive s'essouffle à court terme.</w:t>
      </w:r>
    </w:p>
    <w:p>
      <w:pPr>
        <w:spacing w:after="120" w:line="276" w:lineRule="auto"/>
      </w:pPr>
      <w:r>
        <w:t>**RSI** : Avec une valeur de 44,595, le RSI se situe dans la zone neutre (30-70), loin des zones de surachat ou de survente. Cela indique un équilibre entre les forces acheteuses et vendeuses, sans signal directionnel fort. La décision "Neutre" est donc appropriée.</w:t>
      </w:r>
    </w:p>
    <w:p>
      <w:pPr>
        <w:spacing w:after="120" w:line="276" w:lineRule="auto"/>
      </w:pPr>
      <w:r>
        <w:t>**Stochastique** : Le %K (68,966) est supérieur au %D (61,292), et les deux sont en zone haussière. Bien que la décision soit "Neutre", cette configuration suggère une dynamique positive en cours, le %K étant au-dessus de son signal, ce qui peut précéder une poursuite de la hausse.</w:t>
      </w:r>
    </w:p>
    <w:p>
      <w:pPr>
        <w:spacing w:after="120" w:line="276" w:lineRule="auto"/>
      </w:pPr>
      <w:r>
        <w:t>**Conclusion technique** : Les indicateurs techniques sont mitigés. Les moyennes mobiles suggèrent une tendance haussière de fond, mais le MACD émet un signal de vente à court terme. Le RSI et les Bandes de Bollinger sont neutres, tandis que le Stochastique est légèrement positif. Cette divergence indique une phase de consolidation, où le titre pourrait hésiter avant de poursuivre sa tendance. La prudence est de mise à court terme.</w:t>
      </w:r>
    </w:p>
    <w:p>
      <w:pPr>
        <w:spacing w:after="120" w:line="276" w:lineRule="auto"/>
      </w:pPr>
      <w:r>
        <w:t>### PARTIE 3 : ANALYSE FONDAMENTALE (SECTION CRITIQUE)</w:t>
      </w:r>
    </w:p>
    <w:p>
      <w:pPr>
        <w:spacing w:after="120" w:line="276" w:lineRule="auto"/>
      </w:pPr>
      <w:r>
        <w:t>En 2025, selon les données structurées, ONTBF a réalisé un chiffre d'affaires (PNB) de 146,177 milliards FCFA, en croissance de 3,06% par rapport à 2024. Le résultat net s'établit à 15,887 milliards FCFA, en baisse significative de 26% par rapport à 2024 (21,47 Mds FCFA). Cette baisse de rentabilité se reflète dans la marge nette de 10,87% et le ROE de 27,61%, qui, bien qu'en baisse, reste excellent. Le ROA de 4,89% est également solide. Le coefficient d'exploitation de 67,07% est un point de vigilance, indiquant une efficacité opérationnelle en dessous de la norme de 60% pour une banque, mais pour un opérateur télécom, il reflète la pression sur les charges. Le coût du risque de 3,57% est élevé, signalant une détérioration de la qualité des actifs ou des provisions importantes. Les rapports narratifs de 2025 et 2026 (DeepSeek, Mistral) confirment cette tendance : une hausse des charges opérationnelles (énergie, maintenance en zones sécuritaires) et des éléments exceptionnels ont compressé les marges. Sur la base du rapport du 1er trimestre 2026 (CA +2,7%, marge EBITDA maintenue à 41,3%), on estime que l'exercice 2026 pourrait voir une stabilisation de la rentabilité, avec un résultat net potentiellement en légère hausse si la maîtrise des coûts annoncée se concrétise. La solidité financière reste néanmoins avérée avec une trésorerie nette positive de 10,649 milliards FCFA et une capacité de remboursement de 2,29 ans.</w:t>
      </w:r>
    </w:p>
    <w:p>
      <w:pPr>
        <w:spacing w:after="120" w:line="276" w:lineRule="auto"/>
      </w:pPr>
      <w:r>
        <w:t>### PARTIE 4 : CONCLUSION D'INVESTISSEMENT</w:t>
      </w:r>
    </w:p>
    <w:p>
      <w:pPr>
        <w:spacing w:after="120" w:line="276" w:lineRule="auto"/>
      </w:pPr>
      <w:r>
        <w:t>La valorisation d'ONTBF (PER 12,4x, P/B 3,43x) est correcte, sans être bon marché, reflétant la solidité de l'entreprise mais intégrant déjà les risques. Le comportement du cours est extrêmement stable, avec une volatilité annualisée élevée mais une dispersion très faible sur la période récente, ce qui est rassurant. Les signaux techniques sont mitigés, avec une tendance de fond haussière mais un momentum à court terme en perte de vitesse (MACD vendeur). Fondamentalement, l'entreprise affiche une croissance de son chiffre d'affaires mais une chute de sa rentabilité en 2025, avec des signes d'amélioration possible en 2026. Les prédictions IA pour les 10 prochains jours (2888 à 2866 FCFA) suggèrent une légère baisse, confirmant le signal technique de court terme. En synthèse, la convergence des signaux est partielle : le fondamental est solide mais en phase de transition, le technique est neutre à légèrement négatif à court terme, et la valorisation est juste. Par conséquent, la recommandation est de **CONSERVER** le titre. Le niveau de confiance est **Moyen**, le risque global est **Moyen** (lié au contexte sécuritaire et à la pression sur les marges). L'horizon d'investissement optimal est le **moyen terme (3-12 mois)**, en attendant de voir si la stratégie de reconquête du leadership et d'optimisation des coûts annoncée pour 2026 portera ses fruits sur la rentabilité.</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3224.02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2,429 titres</w:t>
            </w:r>
          </w:p>
        </w:tc>
        <w:tc>
          <w:tcPr>
            <w:tcW w:type="dxa" w:w="2268"/>
            <w:shd w:fill="FFF2CC" w:val="clear"/>
          </w:tcPr>
          <w:p>
            <w:r>
              <w:rPr>
                <w:b/>
                <w:color w:val="503200"/>
                <w:sz w:val="16"/>
              </w:rPr>
              <w:t xml:space="preserve">Cours actuel : </w:t>
            </w:r>
            <w:r>
              <w:rPr>
                <w:color w:val="000000"/>
                <w:sz w:val="17"/>
              </w:rPr>
              <w:t>21,400 FCFA</w:t>
            </w:r>
          </w:p>
          <w:p>
            <w:r>
              <w:rPr>
                <w:b/>
                <w:color w:val="503200"/>
                <w:sz w:val="16"/>
              </w:rPr>
              <w:t xml:space="preserve">Var. 100 jours : </w:t>
            </w:r>
            <w:r>
              <w:rPr>
                <w:b/>
                <w:color w:val="007800"/>
                <w:sz w:val="17"/>
              </w:rPr>
              <w:t>+40.79%</w:t>
            </w:r>
          </w:p>
          <w:p>
            <w:r>
              <w:rPr>
                <w:b/>
                <w:color w:val="503200"/>
                <w:sz w:val="16"/>
              </w:rPr>
              <w:t xml:space="preserve">Plus haut 100j : </w:t>
            </w:r>
            <w:r>
              <w:rPr>
                <w:color w:val="000000"/>
                <w:sz w:val="17"/>
              </w:rPr>
              <w:t>21,400 FCFA</w:t>
            </w:r>
          </w:p>
          <w:p>
            <w:r>
              <w:rPr>
                <w:b/>
                <w:color w:val="503200"/>
                <w:sz w:val="16"/>
              </w:rPr>
              <w:t xml:space="preserve">Plus bas 100j : </w:t>
            </w:r>
            <w:r>
              <w:rPr>
                <w:color w:val="000000"/>
                <w:sz w:val="17"/>
              </w:rPr>
              <w:t>14,650 FCFA</w:t>
            </w:r>
          </w:p>
          <w:p>
            <w:r>
              <w:rPr>
                <w:b/>
                <w:color w:val="503200"/>
                <w:sz w:val="16"/>
              </w:rPr>
              <w:t xml:space="preserve">Volatilité ann. : </w:t>
            </w:r>
            <w:r>
              <w:rPr>
                <w:color w:val="000000"/>
                <w:sz w:val="17"/>
              </w:rPr>
              <w:t>28.8%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9.17% (Moyenne) — μ=16,324 FCFA, σ=1,498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β=1.2158 (Agressif) — Cov=0.000044, Var(idx)=0.000036, ρ=0.403,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2,429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σ_j=1.82%/j (Stable) — Vol. annualisée≈28.8%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20,178</w:t>
            </w:r>
          </w:p>
        </w:tc>
        <w:tc>
          <w:tcPr>
            <w:tcW w:type="dxa" w:w="1440"/>
            <w:shd w:fill="FFDCE0" w:val="clear"/>
          </w:tcPr>
          <w:p>
            <w:r>
              <w:rPr>
                <w:b/>
                <w:sz w:val="17"/>
              </w:rPr>
              <w:t>20,697</w:t>
            </w:r>
          </w:p>
        </w:tc>
        <w:tc>
          <w:tcPr>
            <w:tcW w:type="dxa" w:w="1440"/>
            <w:shd w:fill="FFDCE0" w:val="clear"/>
          </w:tcPr>
          <w:p>
            <w:r>
              <w:rPr>
                <w:sz w:val="17"/>
              </w:rPr>
              <w:t>21,215</w:t>
            </w:r>
          </w:p>
        </w:tc>
        <w:tc>
          <w:tcPr>
            <w:tcW w:type="dxa" w:w="1440"/>
            <w:shd w:fill="FFDCE0" w:val="clear"/>
          </w:tcPr>
          <w:p>
            <w:r>
              <w:rPr>
                <w:b/>
                <w:color w:val="C00000"/>
                <w:sz w:val="17"/>
              </w:rPr>
              <w:t>-3.3%</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19,875</w:t>
            </w:r>
          </w:p>
        </w:tc>
        <w:tc>
          <w:tcPr>
            <w:tcW w:type="dxa" w:w="1440"/>
            <w:shd w:fill="FFDCE0" w:val="clear"/>
          </w:tcPr>
          <w:p>
            <w:r>
              <w:rPr>
                <w:b/>
                <w:sz w:val="17"/>
              </w:rPr>
              <w:t>20,606</w:t>
            </w:r>
          </w:p>
        </w:tc>
        <w:tc>
          <w:tcPr>
            <w:tcW w:type="dxa" w:w="1440"/>
            <w:shd w:fill="FFDCE0" w:val="clear"/>
          </w:tcPr>
          <w:p>
            <w:r>
              <w:rPr>
                <w:sz w:val="17"/>
              </w:rPr>
              <w:t>21,337</w:t>
            </w:r>
          </w:p>
        </w:tc>
        <w:tc>
          <w:tcPr>
            <w:tcW w:type="dxa" w:w="1440"/>
            <w:shd w:fill="FFDCE0" w:val="clear"/>
          </w:tcPr>
          <w:p>
            <w:r>
              <w:rPr>
                <w:b/>
                <w:color w:val="C00000"/>
                <w:sz w:val="17"/>
              </w:rPr>
              <w:t>-3.7%</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19,581</w:t>
            </w:r>
          </w:p>
        </w:tc>
        <w:tc>
          <w:tcPr>
            <w:tcW w:type="dxa" w:w="1440"/>
            <w:shd w:fill="FFDCE0" w:val="clear"/>
          </w:tcPr>
          <w:p>
            <w:r>
              <w:rPr>
                <w:b/>
                <w:sz w:val="17"/>
              </w:rPr>
              <w:t>20,470</w:t>
            </w:r>
          </w:p>
        </w:tc>
        <w:tc>
          <w:tcPr>
            <w:tcW w:type="dxa" w:w="1440"/>
            <w:shd w:fill="FFDCE0" w:val="clear"/>
          </w:tcPr>
          <w:p>
            <w:r>
              <w:rPr>
                <w:sz w:val="17"/>
              </w:rPr>
              <w:t>21,359</w:t>
            </w:r>
          </w:p>
        </w:tc>
        <w:tc>
          <w:tcPr>
            <w:tcW w:type="dxa" w:w="1440"/>
            <w:shd w:fill="FFDCE0" w:val="clear"/>
          </w:tcPr>
          <w:p>
            <w:r>
              <w:rPr>
                <w:b/>
                <w:color w:val="C00000"/>
                <w:sz w:val="17"/>
              </w:rPr>
              <w:t>-4.3%</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19,312</w:t>
            </w:r>
          </w:p>
        </w:tc>
        <w:tc>
          <w:tcPr>
            <w:tcW w:type="dxa" w:w="1440"/>
            <w:shd w:fill="FFDCE0" w:val="clear"/>
          </w:tcPr>
          <w:p>
            <w:r>
              <w:rPr>
                <w:b/>
                <w:sz w:val="17"/>
              </w:rPr>
              <w:t>20,331</w:t>
            </w:r>
          </w:p>
        </w:tc>
        <w:tc>
          <w:tcPr>
            <w:tcW w:type="dxa" w:w="1440"/>
            <w:shd w:fill="FFDCE0" w:val="clear"/>
          </w:tcPr>
          <w:p>
            <w:r>
              <w:rPr>
                <w:sz w:val="17"/>
              </w:rPr>
              <w:t>21,351</w:t>
            </w:r>
          </w:p>
        </w:tc>
        <w:tc>
          <w:tcPr>
            <w:tcW w:type="dxa" w:w="1440"/>
            <w:shd w:fill="FFDCE0" w:val="clear"/>
          </w:tcPr>
          <w:p>
            <w:r>
              <w:rPr>
                <w:b/>
                <w:color w:val="C00000"/>
                <w:sz w:val="17"/>
              </w:rPr>
              <w:t>-5.0%</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19,065</w:t>
            </w:r>
          </w:p>
        </w:tc>
        <w:tc>
          <w:tcPr>
            <w:tcW w:type="dxa" w:w="1440"/>
            <w:shd w:fill="FFDCE0" w:val="clear"/>
          </w:tcPr>
          <w:p>
            <w:r>
              <w:rPr>
                <w:b/>
                <w:sz w:val="17"/>
              </w:rPr>
              <w:t>20,198</w:t>
            </w:r>
          </w:p>
        </w:tc>
        <w:tc>
          <w:tcPr>
            <w:tcW w:type="dxa" w:w="1440"/>
            <w:shd w:fill="FFDCE0" w:val="clear"/>
          </w:tcPr>
          <w:p>
            <w:r>
              <w:rPr>
                <w:sz w:val="17"/>
              </w:rPr>
              <w:t>21,330</w:t>
            </w:r>
          </w:p>
        </w:tc>
        <w:tc>
          <w:tcPr>
            <w:tcW w:type="dxa" w:w="1440"/>
            <w:shd w:fill="FFDCE0" w:val="clear"/>
          </w:tcPr>
          <w:p>
            <w:r>
              <w:rPr>
                <w:b/>
                <w:color w:val="C00000"/>
                <w:sz w:val="17"/>
              </w:rPr>
              <w:t>-5.6%</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18,837</w:t>
            </w:r>
          </w:p>
        </w:tc>
        <w:tc>
          <w:tcPr>
            <w:tcW w:type="dxa" w:w="1440"/>
            <w:shd w:fill="FFDCE0" w:val="clear"/>
          </w:tcPr>
          <w:p>
            <w:r>
              <w:rPr>
                <w:b/>
                <w:sz w:val="17"/>
              </w:rPr>
              <w:t>20,069</w:t>
            </w:r>
          </w:p>
        </w:tc>
        <w:tc>
          <w:tcPr>
            <w:tcW w:type="dxa" w:w="1440"/>
            <w:shd w:fill="FFDCE0" w:val="clear"/>
          </w:tcPr>
          <w:p>
            <w:r>
              <w:rPr>
                <w:sz w:val="17"/>
              </w:rPr>
              <w:t>21,302</w:t>
            </w:r>
          </w:p>
        </w:tc>
        <w:tc>
          <w:tcPr>
            <w:tcW w:type="dxa" w:w="1440"/>
            <w:shd w:fill="FFDCE0" w:val="clear"/>
          </w:tcPr>
          <w:p>
            <w:r>
              <w:rPr>
                <w:b/>
                <w:color w:val="C00000"/>
                <w:sz w:val="17"/>
              </w:rPr>
              <w:t>-6.2%</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18,622</w:t>
            </w:r>
          </w:p>
        </w:tc>
        <w:tc>
          <w:tcPr>
            <w:tcW w:type="dxa" w:w="1440"/>
            <w:shd w:fill="FFDCE0" w:val="clear"/>
          </w:tcPr>
          <w:p>
            <w:r>
              <w:rPr>
                <w:b/>
                <w:sz w:val="17"/>
              </w:rPr>
              <w:t>19,945</w:t>
            </w:r>
          </w:p>
        </w:tc>
        <w:tc>
          <w:tcPr>
            <w:tcW w:type="dxa" w:w="1440"/>
            <w:shd w:fill="FFDCE0" w:val="clear"/>
          </w:tcPr>
          <w:p>
            <w:r>
              <w:rPr>
                <w:sz w:val="17"/>
              </w:rPr>
              <w:t>21,269</w:t>
            </w:r>
          </w:p>
        </w:tc>
        <w:tc>
          <w:tcPr>
            <w:tcW w:type="dxa" w:w="1440"/>
            <w:shd w:fill="FFDCE0" w:val="clear"/>
          </w:tcPr>
          <w:p>
            <w:r>
              <w:rPr>
                <w:b/>
                <w:color w:val="C00000"/>
                <w:sz w:val="17"/>
              </w:rPr>
              <w:t>-6.8%</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18,420</w:t>
            </w:r>
          </w:p>
        </w:tc>
        <w:tc>
          <w:tcPr>
            <w:tcW w:type="dxa" w:w="1440"/>
            <w:shd w:fill="FFDCE0" w:val="clear"/>
          </w:tcPr>
          <w:p>
            <w:r>
              <w:rPr>
                <w:b/>
                <w:sz w:val="17"/>
              </w:rPr>
              <w:t>19,826</w:t>
            </w:r>
          </w:p>
        </w:tc>
        <w:tc>
          <w:tcPr>
            <w:tcW w:type="dxa" w:w="1440"/>
            <w:shd w:fill="FFDCE0" w:val="clear"/>
          </w:tcPr>
          <w:p>
            <w:r>
              <w:rPr>
                <w:sz w:val="17"/>
              </w:rPr>
              <w:t>21,232</w:t>
            </w:r>
          </w:p>
        </w:tc>
        <w:tc>
          <w:tcPr>
            <w:tcW w:type="dxa" w:w="1440"/>
            <w:shd w:fill="FFDCE0" w:val="clear"/>
          </w:tcPr>
          <w:p>
            <w:r>
              <w:rPr>
                <w:b/>
                <w:color w:val="C00000"/>
                <w:sz w:val="17"/>
              </w:rPr>
              <w:t>-7.4%</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18,229</w:t>
            </w:r>
          </w:p>
        </w:tc>
        <w:tc>
          <w:tcPr>
            <w:tcW w:type="dxa" w:w="1440"/>
            <w:shd w:fill="FFDCE0" w:val="clear"/>
          </w:tcPr>
          <w:p>
            <w:r>
              <w:rPr>
                <w:b/>
                <w:sz w:val="17"/>
              </w:rPr>
              <w:t>19,711</w:t>
            </w:r>
          </w:p>
        </w:tc>
        <w:tc>
          <w:tcPr>
            <w:tcW w:type="dxa" w:w="1440"/>
            <w:shd w:fill="FFDCE0" w:val="clear"/>
          </w:tcPr>
          <w:p>
            <w:r>
              <w:rPr>
                <w:sz w:val="17"/>
              </w:rPr>
              <w:t>21,194</w:t>
            </w:r>
          </w:p>
        </w:tc>
        <w:tc>
          <w:tcPr>
            <w:tcW w:type="dxa" w:w="1440"/>
            <w:shd w:fill="FFDCE0" w:val="clear"/>
          </w:tcPr>
          <w:p>
            <w:r>
              <w:rPr>
                <w:b/>
                <w:color w:val="C00000"/>
                <w:sz w:val="17"/>
              </w:rPr>
              <w:t>-7.9%</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18,046</w:t>
            </w:r>
          </w:p>
        </w:tc>
        <w:tc>
          <w:tcPr>
            <w:tcW w:type="dxa" w:w="1440"/>
            <w:shd w:fill="FFDCE0" w:val="clear"/>
          </w:tcPr>
          <w:p>
            <w:r>
              <w:rPr>
                <w:b/>
                <w:sz w:val="17"/>
              </w:rPr>
              <w:t>19,600</w:t>
            </w:r>
          </w:p>
        </w:tc>
        <w:tc>
          <w:tcPr>
            <w:tcW w:type="dxa" w:w="1440"/>
            <w:shd w:fill="FFDCE0" w:val="clear"/>
          </w:tcPr>
          <w:p>
            <w:r>
              <w:rPr>
                <w:sz w:val="17"/>
              </w:rPr>
              <w:t>21,154</w:t>
            </w:r>
          </w:p>
        </w:tc>
        <w:tc>
          <w:tcPr>
            <w:tcW w:type="dxa" w:w="1440"/>
            <w:shd w:fill="FFDCE0" w:val="clear"/>
          </w:tcPr>
          <w:p>
            <w:r>
              <w:rPr>
                <w:b/>
                <w:color w:val="C00000"/>
                <w:sz w:val="17"/>
              </w:rPr>
              <w:t>-8.4%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d'ORAC s'établit à 3 224,02 milliards FCFA, ce qui en fait l'une des plus importantes valeurs de la BRVM, représentant une part significative de la capitalisation totale du marché. Avec un BPA de 1 114 FCFA, chaque action génère un bénéfice substantiel. Le PER de 19,2x est nettement supérieur à la moyenne historique de la BRVM (8-12x), indiquant que les investisseurs paient une prime significative pour la croissance et la stabilité de l'entreprise. Le P/B de 4,55x confirme cette prime, le marché valorisant fortement les actifs et la marque d'Orange CI. Enfin, l'EV/EBITDA de 7,7x reste dans une zone raisonnable (5-10x), suggérant que la valorisation, bien qu'exigeante sur la base du bénéfice comptable, reste soutenable au regard de la capacité opérationnelle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ORAC a enregistré une performance exceptionnelle de +40,79%, avec une dernière séance en hausse de +0,94% à 21 400 FCFA. Le titre a évolué dans une fourchette large de 14 650 FCFA (plus bas) à 21 400 FCFA (plus haut), démontrant une dynamique haussière soutenue. La moyenne du cours sur la période (16 324 FCFA) est supérieure à la médiane (16 000 FCFA), indiquant une distribution asymétrique positive (skewness de 1,833), avec davantage de journées sous la moyenne mais des pics marqués. L'écart-type de 1 505 FCFA (CV=9,2%) révèle une dispersion modérée, tandis que le kurtosis de 3,366 (leptokurtique) signale un risque de mouvements extrêmes. La volatilité annualisée de 28,8% classe le titre dans la catégorie modérée à élevée, reflétant un profil de risque dynamique mais non excessif pour un marché émergent.</w:t>
      </w:r>
    </w:p>
    <w:p>
      <w:pPr>
        <w:spacing w:after="120" w:line="276" w:lineRule="auto" w:before="240"/>
      </w:pPr>
      <w:r>
        <w:rPr>
          <w:b/>
          <w:color w:val="003366"/>
          <w:sz w:val="24"/>
        </w:rPr>
        <w:t>**PARTIE 2 : ANALYSE TECHNIQUE DÉTAILLÉE**</w:t>
      </w:r>
    </w:p>
    <w:p>
      <w:pPr>
        <w:spacing w:after="120" w:line="276" w:lineRule="auto"/>
      </w:pPr>
      <w:r>
        <w:t>**Moyennes Mobiles** : Le cours actuel (21 400 FCFA) se situe nettement au-dessus de la MM20 (18 614,25 FCFA) et de la MM50 (17 289,5 FCFA), confirmant une tendance haussière robuste. L'écart positif entre le prix et les moyennes mobiles indique une forte dynamique, justifiant la décision d'ACHAT, bien que cet écart important puisse signaler une extension excessive à court terme.</w:t>
      </w:r>
    </w:p>
    <w:p>
      <w:pPr>
        <w:spacing w:after="120" w:line="276" w:lineRule="auto"/>
      </w:pPr>
      <w:r>
        <w:t>**Bandes de Bollinger** : Le prix évolue près de la borne supérieure (22 114,84 FCFA), à 21 400 FCFA, indiquant une pression acheteuse soutenue. La largeur des bandes (écart de 7 000 FCFA entre les bornes) reflète une volatilité accrue. La décision NEUTRE s'explique par le fait que le titre n'a pas encore franchi la borne supérieure, mais s'en approche dangereusement, suggérant une possible consolidation.</w:t>
      </w:r>
    </w:p>
    <w:p>
      <w:pPr>
        <w:spacing w:after="120" w:line="276" w:lineRule="auto"/>
      </w:pPr>
      <w:r>
        <w:t>**MACD** : Le MACD (1 226,19) est nettement supérieur à sa ligne de signal (910,89), confirmant un momentum haussier fort. L'écart positif croissant entre les deux lignes indique une accélération de la tendance, justifiant la décision d'ACHAT. Toutefois, un écart aussi important peut précéder un retournement technique.</w:t>
      </w:r>
    </w:p>
    <w:p>
      <w:pPr>
        <w:spacing w:after="120" w:line="276" w:lineRule="auto"/>
      </w:pPr>
      <w:r>
        <w:t>**RSI** : À 89,23, le RSI est en zone de surachat extrême (au-delà de 70), signalant que le titre est techniquement survendu. La décision VENTE est justifiée par ce niveau extrême, qui suggère un risque élevé de correction à court terme malgré la tendance haussière sous-jacente.</w:t>
      </w:r>
    </w:p>
    <w:p>
      <w:pPr>
        <w:spacing w:after="120" w:line="276" w:lineRule="auto"/>
      </w:pPr>
      <w:r>
        <w:t>**Stochastique** : Le %K (100,0) et le %D (96,79) sont tous deux en zone de surachat extrême, avec un %K au maximum absolu. Cette configuration indique que le marché est saturé d'acheteurs, justifiant la décision VENTE. Un croisement baissier du %K sous le %D serait un signal de retournement imminent.</w:t>
      </w:r>
    </w:p>
    <w:p>
      <w:pPr>
        <w:spacing w:after="120" w:line="276" w:lineRule="auto"/>
      </w:pPr>
      <w:r>
        <w:t>**Conclusion technique** : Les indicateurs de tendance (MM, MACD) sont résolument haussiers, mais les oscillateurs (RSI, Stochastique) sont en surachat extrême, créant une divergence technique. Cette configuration suggère que la tendance de fond reste positive, mais qu'une correction technique est probable à court terme avant la poursuite de la hausse.</w:t>
      </w:r>
    </w:p>
    <w:p>
      <w:pPr>
        <w:spacing w:after="120" w:line="276" w:lineRule="auto" w:before="240"/>
      </w:pPr>
      <w:r>
        <w:rPr>
          <w:b/>
          <w:color w:val="003366"/>
          <w:sz w:val="24"/>
        </w:rPr>
        <w:t>**PARTIE 3 : ANALYSE FONDAMENTALE (SECTION CRITIQUE)**</w:t>
      </w:r>
    </w:p>
    <w:p>
      <w:pPr>
        <w:spacing w:after="120" w:line="276" w:lineRule="auto"/>
      </w:pPr>
      <w:r>
        <w:t>En 2025, ORAC a réalisé un chiffre d'affaires consolidé de 1 197,1 milliards FCFA, en hausse de +10,4% par rapport à 2024 (1 084,1 milliards FCFA), avec un résultat net consolidé de 167,8 milliards FCFA (+6,1%). La marge nette s'établit à 14,0%, le ROE à 23,7% (excellent, &gt;15%) et le ROA à 6,6%. Le BFR négatif de -198 milliards FCFA est un signal très favorable, indiquant que l'entreprise finance son exploitation grâce aux délais fournisseurs (210,87 jours) nettement supérieurs aux délais clients (52,26 jours). L'endettement reste maîtrisé avec une capacité de remboursement de 0,99 an et une couverture des intérêts de 1 018%. Le rapport annuel 2025 (analysé en avril 2026) confirme la solidité avec un EBITDAaL de 424,1 milliards FCFA (35,4% de marge). Sur la base du rapport T1 2026 (publié en mai 2026), le CA progresse de +14,8% à 325,6 milliards FCFA et le résultat net bondit de +25,2% à 48,3 milliards FCFA, laissant estimer un exercice 2026 nettement supérieur à 2025. Le dividende proposé de 800 FCFA brut par action (AG du 29 avril 2026) offre un rendement de 3,7% au cours actuel. La recommandation fondamentale est ACHAT, portée par une croissance soutenue, une rentabilité élevée et une structure financière saine.</w:t>
      </w:r>
    </w:p>
    <w:p>
      <w:pPr>
        <w:spacing w:after="120" w:line="276" w:lineRule="auto" w:before="240"/>
      </w:pPr>
      <w:r>
        <w:rPr>
          <w:b/>
          <w:color w:val="003366"/>
          <w:sz w:val="24"/>
        </w:rPr>
        <w:t>**PARTIE 4 : CONCLUSION D'INVESTISSEMENT**</w:t>
      </w:r>
    </w:p>
    <w:p>
      <w:pPr>
        <w:spacing w:after="120" w:line="276" w:lineRule="auto"/>
      </w:pPr>
      <w:r>
        <w:t>La valorisation d'ORAC (PER 19,2x, P/B 4,55x) est exigeante, mais justifiée par la qualité des fondamentaux et la position de leader régional. Le comportement du cours (+40,79% sur 100 jours) est impressionnant, mais les statistiques (kurtosis élevé, skewness positif) et la volatilité de 28,8% appellent à la prudence. Les signaux techniques sont divergents : tendance haussière (MM, MACD) mais surachat extrême (RSI, Stochastique), suggérant une consolidation à court terme. Les fondamentaux sont excellents avec une croissance à deux chiffres du CA et du résultat net, un ROE de 23,7% et un BFR négatif favorable. Les prédictions IA (20 697 à 20 198 FCFA sur J+1 à J+10) indiquent une correction de -3% à -5%, confirmant le scénario technique de consolidation. **Recommandation finale : CONSERVER** avec un niveau de confiance Élevé et un risque global Moyen. Les investisseurs existants devraient maintenir leurs positions, tandis que les nouveaux entrants pourraient attendre une correction vers 19 000-20 000 FCFA pour initier une position. L'horizon d'investissement optimal est le moyen terme (3-12 mois), la dynamique fondamentale soutenant une poursuite de la hausse après consolidation.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219.00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5,478 titres</w:t>
            </w:r>
          </w:p>
        </w:tc>
        <w:tc>
          <w:tcPr>
            <w:tcW w:type="dxa" w:w="2268"/>
            <w:shd w:fill="FFF2CC" w:val="clear"/>
          </w:tcPr>
          <w:p>
            <w:r>
              <w:rPr>
                <w:b/>
                <w:color w:val="503200"/>
                <w:sz w:val="16"/>
              </w:rPr>
              <w:t xml:space="preserve">Cours actuel : </w:t>
            </w:r>
            <w:r>
              <w:rPr>
                <w:color w:val="000000"/>
                <w:sz w:val="17"/>
              </w:rPr>
              <w:t>3,155 FCFA</w:t>
            </w:r>
          </w:p>
          <w:p>
            <w:r>
              <w:rPr>
                <w:b/>
                <w:color w:val="503200"/>
                <w:sz w:val="16"/>
              </w:rPr>
              <w:t xml:space="preserve">Var. 100 jours : </w:t>
            </w:r>
            <w:r>
              <w:rPr>
                <w:b/>
                <w:color w:val="B40000"/>
                <w:sz w:val="17"/>
              </w:rPr>
              <w:t>-13.80%</w:t>
            </w:r>
          </w:p>
          <w:p>
            <w:r>
              <w:rPr>
                <w:b/>
                <w:color w:val="503200"/>
                <w:sz w:val="16"/>
              </w:rPr>
              <w:t xml:space="preserve">Plus haut 100j : </w:t>
            </w:r>
            <w:r>
              <w:rPr>
                <w:color w:val="000000"/>
                <w:sz w:val="17"/>
              </w:rPr>
              <w:t>3,660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10.88% (Moyenne) — μ=2,941 FCFA, σ=320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β=0.3371 (Défensif) — Cov=0.000012, Var(idx)=0.000036, ρ=0.074,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σ_j=2.74%/j (Stable) — Vol. annualisée≈43.6%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3,062</w:t>
            </w:r>
          </w:p>
        </w:tc>
        <w:tc>
          <w:tcPr>
            <w:tcW w:type="dxa" w:w="1440"/>
            <w:shd w:fill="FAFAFA" w:val="clear"/>
          </w:tcPr>
          <w:p>
            <w:r>
              <w:rPr>
                <w:b/>
                <w:sz w:val="17"/>
              </w:rPr>
              <w:t>3,157</w:t>
            </w:r>
          </w:p>
        </w:tc>
        <w:tc>
          <w:tcPr>
            <w:tcW w:type="dxa" w:w="1440"/>
            <w:shd w:fill="FAFAFA" w:val="clear"/>
          </w:tcPr>
          <w:p>
            <w:r>
              <w:rPr>
                <w:sz w:val="17"/>
              </w:rPr>
              <w:t>3,253</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3,019</w:t>
            </w:r>
          </w:p>
        </w:tc>
        <w:tc>
          <w:tcPr>
            <w:tcW w:type="dxa" w:w="1440"/>
            <w:shd w:fill="FAFAFA" w:val="clear"/>
          </w:tcPr>
          <w:p>
            <w:r>
              <w:rPr>
                <w:b/>
                <w:sz w:val="17"/>
              </w:rPr>
              <w:t>3,153</w:t>
            </w:r>
          </w:p>
        </w:tc>
        <w:tc>
          <w:tcPr>
            <w:tcW w:type="dxa" w:w="1440"/>
            <w:shd w:fill="FAFAFA" w:val="clear"/>
          </w:tcPr>
          <w:p>
            <w:r>
              <w:rPr>
                <w:sz w:val="17"/>
              </w:rPr>
              <w:t>3,287</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2026-09-02</w:t>
            </w:r>
          </w:p>
        </w:tc>
        <w:tc>
          <w:tcPr>
            <w:tcW w:type="dxa" w:w="1440"/>
            <w:shd w:fill="FAFAFA" w:val="clear"/>
          </w:tcPr>
          <w:p>
            <w:r>
              <w:rPr>
                <w:sz w:val="17"/>
              </w:rPr>
              <w:t>2,985</w:t>
            </w:r>
          </w:p>
        </w:tc>
        <w:tc>
          <w:tcPr>
            <w:tcW w:type="dxa" w:w="1440"/>
            <w:shd w:fill="FAFAFA" w:val="clear"/>
          </w:tcPr>
          <w:p>
            <w:r>
              <w:rPr>
                <w:b/>
                <w:sz w:val="17"/>
              </w:rPr>
              <w:t>3,150</w:t>
            </w:r>
          </w:p>
        </w:tc>
        <w:tc>
          <w:tcPr>
            <w:tcW w:type="dxa" w:w="1440"/>
            <w:shd w:fill="FAFAFA" w:val="clear"/>
          </w:tcPr>
          <w:p>
            <w:r>
              <w:rPr>
                <w:sz w:val="17"/>
              </w:rPr>
              <w:t>3,314</w:t>
            </w:r>
          </w:p>
        </w:tc>
        <w:tc>
          <w:tcPr>
            <w:tcW w:type="dxa" w:w="1440"/>
            <w:shd w:fill="FAFAFA" w:val="clear"/>
          </w:tcPr>
          <w:p>
            <w:r>
              <w:rPr>
                <w:b/>
                <w:color w:val="C00000"/>
                <w:sz w:val="17"/>
              </w:rPr>
              <w:t>-0.2%</w:t>
            </w:r>
          </w:p>
        </w:tc>
      </w:tr>
      <w:tr>
        <w:tc>
          <w:tcPr>
            <w:tcW w:type="dxa" w:w="1440"/>
            <w:shd w:fill="FAFAFA" w:val="clear"/>
          </w:tcPr>
          <w:p>
            <w:r>
              <w:rPr>
                <w:sz w:val="17"/>
              </w:rPr>
              <w:t>J+4  Moyenne</w:t>
            </w:r>
          </w:p>
        </w:tc>
        <w:tc>
          <w:tcPr>
            <w:tcW w:type="dxa" w:w="1440"/>
            <w:shd w:fill="FAFAFA" w:val="clear"/>
          </w:tcPr>
          <w:p>
            <w:r>
              <w:rPr>
                <w:sz w:val="17"/>
              </w:rPr>
              <w:t>2026-09-03</w:t>
            </w:r>
          </w:p>
        </w:tc>
        <w:tc>
          <w:tcPr>
            <w:tcW w:type="dxa" w:w="1440"/>
            <w:shd w:fill="FAFAFA" w:val="clear"/>
          </w:tcPr>
          <w:p>
            <w:r>
              <w:rPr>
                <w:sz w:val="17"/>
              </w:rPr>
              <w:t>2,957</w:t>
            </w:r>
          </w:p>
        </w:tc>
        <w:tc>
          <w:tcPr>
            <w:tcW w:type="dxa" w:w="1440"/>
            <w:shd w:fill="FAFAFA" w:val="clear"/>
          </w:tcPr>
          <w:p>
            <w:r>
              <w:rPr>
                <w:b/>
                <w:sz w:val="17"/>
              </w:rPr>
              <w:t>3,146</w:t>
            </w:r>
          </w:p>
        </w:tc>
        <w:tc>
          <w:tcPr>
            <w:tcW w:type="dxa" w:w="1440"/>
            <w:shd w:fill="FAFAFA" w:val="clear"/>
          </w:tcPr>
          <w:p>
            <w:r>
              <w:rPr>
                <w:sz w:val="17"/>
              </w:rPr>
              <w:t>3,336</w:t>
            </w:r>
          </w:p>
        </w:tc>
        <w:tc>
          <w:tcPr>
            <w:tcW w:type="dxa" w:w="1440"/>
            <w:shd w:fill="FAFAFA" w:val="clear"/>
          </w:tcPr>
          <w:p>
            <w:r>
              <w:rPr>
                <w:b/>
                <w:color w:val="C00000"/>
                <w:sz w:val="17"/>
              </w:rPr>
              <w:t>-0.3%</w:t>
            </w:r>
          </w:p>
        </w:tc>
      </w:tr>
      <w:tr>
        <w:tc>
          <w:tcPr>
            <w:tcW w:type="dxa" w:w="1440"/>
            <w:shd w:fill="FAFAFA" w:val="clear"/>
          </w:tcPr>
          <w:p>
            <w:r>
              <w:rPr>
                <w:sz w:val="17"/>
              </w:rPr>
              <w:t>J+5  Moyenne</w:t>
            </w:r>
          </w:p>
        </w:tc>
        <w:tc>
          <w:tcPr>
            <w:tcW w:type="dxa" w:w="1440"/>
            <w:shd w:fill="FAFAFA" w:val="clear"/>
          </w:tcPr>
          <w:p>
            <w:r>
              <w:rPr>
                <w:sz w:val="17"/>
              </w:rPr>
              <w:t>2026-09-04</w:t>
            </w:r>
          </w:p>
        </w:tc>
        <w:tc>
          <w:tcPr>
            <w:tcW w:type="dxa" w:w="1440"/>
            <w:shd w:fill="FAFAFA" w:val="clear"/>
          </w:tcPr>
          <w:p>
            <w:r>
              <w:rPr>
                <w:sz w:val="17"/>
              </w:rPr>
              <w:t>2,932</w:t>
            </w:r>
          </w:p>
        </w:tc>
        <w:tc>
          <w:tcPr>
            <w:tcW w:type="dxa" w:w="1440"/>
            <w:shd w:fill="FAFAFA" w:val="clear"/>
          </w:tcPr>
          <w:p>
            <w:r>
              <w:rPr>
                <w:b/>
                <w:sz w:val="17"/>
              </w:rPr>
              <w:t>3,144</w:t>
            </w:r>
          </w:p>
        </w:tc>
        <w:tc>
          <w:tcPr>
            <w:tcW w:type="dxa" w:w="1440"/>
            <w:shd w:fill="FAFAFA" w:val="clear"/>
          </w:tcPr>
          <w:p>
            <w:r>
              <w:rPr>
                <w:sz w:val="17"/>
              </w:rPr>
              <w:t>3,355</w:t>
            </w:r>
          </w:p>
        </w:tc>
        <w:tc>
          <w:tcPr>
            <w:tcW w:type="dxa" w:w="1440"/>
            <w:shd w:fill="FAFAFA" w:val="clear"/>
          </w:tcPr>
          <w:p>
            <w:r>
              <w:rPr>
                <w:b/>
                <w:color w:val="C00000"/>
                <w:sz w:val="17"/>
              </w:rPr>
              <w:t>-0.4%</w:t>
            </w:r>
          </w:p>
        </w:tc>
      </w:tr>
      <w:tr>
        <w:tc>
          <w:tcPr>
            <w:tcW w:type="dxa" w:w="1440"/>
            <w:shd w:fill="FAFAFA" w:val="clear"/>
          </w:tcPr>
          <w:p>
            <w:r>
              <w:rPr>
                <w:sz w:val="17"/>
              </w:rPr>
              <w:t>J+6  Moyenne</w:t>
            </w:r>
          </w:p>
        </w:tc>
        <w:tc>
          <w:tcPr>
            <w:tcW w:type="dxa" w:w="1440"/>
            <w:shd w:fill="FAFAFA" w:val="clear"/>
          </w:tcPr>
          <w:p>
            <w:r>
              <w:rPr>
                <w:sz w:val="17"/>
              </w:rPr>
              <w:t>2026-09-07</w:t>
            </w:r>
          </w:p>
        </w:tc>
        <w:tc>
          <w:tcPr>
            <w:tcW w:type="dxa" w:w="1440"/>
            <w:shd w:fill="FAFAFA" w:val="clear"/>
          </w:tcPr>
          <w:p>
            <w:r>
              <w:rPr>
                <w:sz w:val="17"/>
              </w:rPr>
              <w:t>2,909</w:t>
            </w:r>
          </w:p>
        </w:tc>
        <w:tc>
          <w:tcPr>
            <w:tcW w:type="dxa" w:w="1440"/>
            <w:shd w:fill="FAFAFA" w:val="clear"/>
          </w:tcPr>
          <w:p>
            <w:r>
              <w:rPr>
                <w:b/>
                <w:sz w:val="17"/>
              </w:rPr>
              <w:t>3,141</w:t>
            </w:r>
          </w:p>
        </w:tc>
        <w:tc>
          <w:tcPr>
            <w:tcW w:type="dxa" w:w="1440"/>
            <w:shd w:fill="FAFAFA" w:val="clear"/>
          </w:tcPr>
          <w:p>
            <w:r>
              <w:rPr>
                <w:sz w:val="17"/>
              </w:rPr>
              <w:t>3,372</w:t>
            </w:r>
          </w:p>
        </w:tc>
        <w:tc>
          <w:tcPr>
            <w:tcW w:type="dxa" w:w="1440"/>
            <w:shd w:fill="FAFAFA" w:val="clear"/>
          </w:tcPr>
          <w:p>
            <w:r>
              <w:rPr>
                <w:b/>
                <w:color w:val="C00000"/>
                <w:sz w:val="17"/>
              </w:rPr>
              <w:t>-0.5%</w:t>
            </w:r>
          </w:p>
        </w:tc>
      </w:tr>
      <w:tr>
        <w:tc>
          <w:tcPr>
            <w:tcW w:type="dxa" w:w="1440"/>
            <w:shd w:fill="FAFAFA" w:val="clear"/>
          </w:tcPr>
          <w:p>
            <w:r>
              <w:rPr>
                <w:sz w:val="17"/>
              </w:rPr>
              <w:t>J+7  Moyenne</w:t>
            </w:r>
          </w:p>
        </w:tc>
        <w:tc>
          <w:tcPr>
            <w:tcW w:type="dxa" w:w="1440"/>
            <w:shd w:fill="FAFAFA" w:val="clear"/>
          </w:tcPr>
          <w:p>
            <w:r>
              <w:rPr>
                <w:sz w:val="17"/>
              </w:rPr>
              <w:t>2026-09-08</w:t>
            </w:r>
          </w:p>
        </w:tc>
        <w:tc>
          <w:tcPr>
            <w:tcW w:type="dxa" w:w="1440"/>
            <w:shd w:fill="FAFAFA" w:val="clear"/>
          </w:tcPr>
          <w:p>
            <w:r>
              <w:rPr>
                <w:sz w:val="17"/>
              </w:rPr>
              <w:t>2,888</w:t>
            </w:r>
          </w:p>
        </w:tc>
        <w:tc>
          <w:tcPr>
            <w:tcW w:type="dxa" w:w="1440"/>
            <w:shd w:fill="FAFAFA" w:val="clear"/>
          </w:tcPr>
          <w:p>
            <w:r>
              <w:rPr>
                <w:b/>
                <w:sz w:val="17"/>
              </w:rPr>
              <w:t>3,138</w:t>
            </w:r>
          </w:p>
        </w:tc>
        <w:tc>
          <w:tcPr>
            <w:tcW w:type="dxa" w:w="1440"/>
            <w:shd w:fill="FAFAFA" w:val="clear"/>
          </w:tcPr>
          <w:p>
            <w:r>
              <w:rPr>
                <w:sz w:val="17"/>
              </w:rPr>
              <w:t>3,388</w:t>
            </w:r>
          </w:p>
        </w:tc>
        <w:tc>
          <w:tcPr>
            <w:tcW w:type="dxa" w:w="1440"/>
            <w:shd w:fill="FAFAFA" w:val="clear"/>
          </w:tcPr>
          <w:p>
            <w:r>
              <w:rPr>
                <w:b/>
                <w:color w:val="C00000"/>
                <w:sz w:val="17"/>
              </w:rPr>
              <w:t>-0.5%</w:t>
            </w:r>
          </w:p>
        </w:tc>
      </w:tr>
      <w:tr>
        <w:tc>
          <w:tcPr>
            <w:tcW w:type="dxa" w:w="1440"/>
            <w:shd w:fill="FAFAFA" w:val="clear"/>
          </w:tcPr>
          <w:p>
            <w:r>
              <w:rPr>
                <w:sz w:val="17"/>
              </w:rPr>
              <w:t>J+8  Moyenne</w:t>
            </w:r>
          </w:p>
        </w:tc>
        <w:tc>
          <w:tcPr>
            <w:tcW w:type="dxa" w:w="1440"/>
            <w:shd w:fill="FAFAFA" w:val="clear"/>
          </w:tcPr>
          <w:p>
            <w:r>
              <w:rPr>
                <w:sz w:val="17"/>
              </w:rPr>
              <w:t>2026-09-09</w:t>
            </w:r>
          </w:p>
        </w:tc>
        <w:tc>
          <w:tcPr>
            <w:tcW w:type="dxa" w:w="1440"/>
            <w:shd w:fill="FAFAFA" w:val="clear"/>
          </w:tcPr>
          <w:p>
            <w:r>
              <w:rPr>
                <w:sz w:val="17"/>
              </w:rPr>
              <w:t>2,868</w:t>
            </w:r>
          </w:p>
        </w:tc>
        <w:tc>
          <w:tcPr>
            <w:tcW w:type="dxa" w:w="1440"/>
            <w:shd w:fill="FAFAFA" w:val="clear"/>
          </w:tcPr>
          <w:p>
            <w:r>
              <w:rPr>
                <w:b/>
                <w:sz w:val="17"/>
              </w:rPr>
              <w:t>3,135</w:t>
            </w:r>
          </w:p>
        </w:tc>
        <w:tc>
          <w:tcPr>
            <w:tcW w:type="dxa" w:w="1440"/>
            <w:shd w:fill="FAFAFA" w:val="clear"/>
          </w:tcPr>
          <w:p>
            <w:r>
              <w:rPr>
                <w:sz w:val="17"/>
              </w:rPr>
              <w:t>3,402</w:t>
            </w:r>
          </w:p>
        </w:tc>
        <w:tc>
          <w:tcPr>
            <w:tcW w:type="dxa" w:w="1440"/>
            <w:shd w:fill="FAFAFA" w:val="clear"/>
          </w:tcPr>
          <w:p>
            <w:r>
              <w:rPr>
                <w:b/>
                <w:color w:val="C00000"/>
                <w:sz w:val="17"/>
              </w:rPr>
              <w:t>-0.6%</w:t>
            </w:r>
          </w:p>
        </w:tc>
      </w:tr>
      <w:tr>
        <w:tc>
          <w:tcPr>
            <w:tcW w:type="dxa" w:w="1440"/>
            <w:shd w:fill="FAFAFA" w:val="clear"/>
          </w:tcPr>
          <w:p>
            <w:r>
              <w:rPr>
                <w:sz w:val="17"/>
              </w:rPr>
              <w:t>J+9  Moyenne</w:t>
            </w:r>
          </w:p>
        </w:tc>
        <w:tc>
          <w:tcPr>
            <w:tcW w:type="dxa" w:w="1440"/>
            <w:shd w:fill="FAFAFA" w:val="clear"/>
          </w:tcPr>
          <w:p>
            <w:r>
              <w:rPr>
                <w:sz w:val="17"/>
              </w:rPr>
              <w:t>2026-09-10</w:t>
            </w:r>
          </w:p>
        </w:tc>
        <w:tc>
          <w:tcPr>
            <w:tcW w:type="dxa" w:w="1440"/>
            <w:shd w:fill="FAFAFA" w:val="clear"/>
          </w:tcPr>
          <w:p>
            <w:r>
              <w:rPr>
                <w:sz w:val="17"/>
              </w:rPr>
              <w:t>2,850</w:t>
            </w:r>
          </w:p>
        </w:tc>
        <w:tc>
          <w:tcPr>
            <w:tcW w:type="dxa" w:w="1440"/>
            <w:shd w:fill="FAFAFA" w:val="clear"/>
          </w:tcPr>
          <w:p>
            <w:r>
              <w:rPr>
                <w:b/>
                <w:sz w:val="17"/>
              </w:rPr>
              <w:t>3,132</w:t>
            </w:r>
          </w:p>
        </w:tc>
        <w:tc>
          <w:tcPr>
            <w:tcW w:type="dxa" w:w="1440"/>
            <w:shd w:fill="FAFAFA" w:val="clear"/>
          </w:tcPr>
          <w:p>
            <w:r>
              <w:rPr>
                <w:sz w:val="17"/>
              </w:rPr>
              <w:t>3,415</w:t>
            </w:r>
          </w:p>
        </w:tc>
        <w:tc>
          <w:tcPr>
            <w:tcW w:type="dxa" w:w="1440"/>
            <w:shd w:fill="FAFAFA" w:val="clear"/>
          </w:tcPr>
          <w:p>
            <w:r>
              <w:rPr>
                <w:b/>
                <w:color w:val="C00000"/>
                <w:sz w:val="17"/>
              </w:rPr>
              <w:t>-0.7%</w:t>
            </w:r>
          </w:p>
        </w:tc>
      </w:tr>
      <w:tr>
        <w:tc>
          <w:tcPr>
            <w:tcW w:type="dxa" w:w="1440"/>
            <w:shd w:fill="FAFAFA" w:val="clear"/>
          </w:tcPr>
          <w:p>
            <w:r>
              <w:rPr>
                <w:sz w:val="17"/>
              </w:rPr>
              <w:t>J+10  Moyenne</w:t>
            </w:r>
          </w:p>
        </w:tc>
        <w:tc>
          <w:tcPr>
            <w:tcW w:type="dxa" w:w="1440"/>
            <w:shd w:fill="FAFAFA" w:val="clear"/>
          </w:tcPr>
          <w:p>
            <w:r>
              <w:rPr>
                <w:sz w:val="17"/>
              </w:rPr>
              <w:t>2026-09-11</w:t>
            </w:r>
          </w:p>
        </w:tc>
        <w:tc>
          <w:tcPr>
            <w:tcW w:type="dxa" w:w="1440"/>
            <w:shd w:fill="FAFAFA" w:val="clear"/>
          </w:tcPr>
          <w:p>
            <w:r>
              <w:rPr>
                <w:sz w:val="17"/>
              </w:rPr>
              <w:t>2,832</w:t>
            </w:r>
          </w:p>
        </w:tc>
        <w:tc>
          <w:tcPr>
            <w:tcW w:type="dxa" w:w="1440"/>
            <w:shd w:fill="FAFAFA" w:val="clear"/>
          </w:tcPr>
          <w:p>
            <w:r>
              <w:rPr>
                <w:b/>
                <w:sz w:val="17"/>
              </w:rPr>
              <w:t>3,130</w:t>
            </w:r>
          </w:p>
        </w:tc>
        <w:tc>
          <w:tcPr>
            <w:tcW w:type="dxa" w:w="1440"/>
            <w:shd w:fill="FAFAFA" w:val="clear"/>
          </w:tcPr>
          <w:p>
            <w:r>
              <w:rPr>
                <w:sz w:val="17"/>
              </w:rPr>
              <w:t>3,428</w:t>
            </w:r>
          </w:p>
        </w:tc>
        <w:tc>
          <w:tcPr>
            <w:tcW w:type="dxa" w:w="1440"/>
            <w:shd w:fill="FAFAFA" w:val="clear"/>
          </w:tcPr>
          <w:p>
            <w:r>
              <w:rPr>
                <w:b/>
                <w:color w:val="C00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d'ORGT s'établit à 219 milliards FCFA, ce qui en fait une valeur de taille moyenne sur la BRVM, représentative d'un établissement bancaire régional significatif. Avec un BPA de 312 FCFA, chaque action génère un bénéfice confortable, justifiant un PER de 10,1x, en ligne avec la moyenne historique du marché (8-12x), ce qui indique une valorisation raisonnable sans prime excessive. Le P/B de 1,94x suggère que le marché valorise la société à près de deux fois ses capitaux propres, un niveau modéré qui reflète une confiance dans la rentabilité future sans spéculation démesurée. En revanche, l'EV/EBITDA de 20,0x apparaît très exigeant, signalant que la valeur d'entreprise (dette incluse) est élevée par rapport à la capacité opérationnelle, ce qui pourrait freiner l'appréciation du titre à court terme.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ORGT a enregistré une variation totale de -13,80%, avec une légère baisse de -0,79% lors de la dernière séance, s'établissant à 3 155 FCFA. Le cours a évolué dans une fourchette large de 2 435 à 3 660 FCFA, illustrant une amplitude de trading de plus de 50%, signe d'une volatilité marquée. La moyenne de 2 941 FCFA est supérieure à la médiane de 2 780 FCFA, et le mode de 2 680 FCFA indique une distribution asymétrique positive (skewness de 0,660), avec une majorité de séances sous la moyenne mais des pics haussiers ponctuels. L'écart-type de 322 FCFA (CV de 10,9%) reflète une dispersion modérée, tandis que le kurtosis de -0,637 (mésokurtique) suggère l'absence d'événements extrêmes fréquents. La volatilité annualisée de 43,6% est élevée, positionnant ORGT comme un actif risqué, nécessitant une gestion prudente du risque.</w:t>
      </w:r>
    </w:p>
    <w:p>
      <w:pPr>
        <w:spacing w:after="120" w:line="276" w:lineRule="auto" w:before="240"/>
      </w:pPr>
      <w:r>
        <w:rPr>
          <w:b/>
          <w:color w:val="003366"/>
          <w:sz w:val="24"/>
        </w:rPr>
        <w:t>**PARTIE 2 : ANALYSE TECHNIQUE DÉTAILLÉE**</w:t>
      </w:r>
    </w:p>
    <w:p>
      <w:pPr>
        <w:spacing w:after="120" w:line="276" w:lineRule="auto"/>
      </w:pPr>
      <w:r>
        <w:t>Les moyennes mobiles MM20 (3 117,5 FCFA) et MM50 (2 865,1 FCFA) sont toutes deux inférieures au cours actuel de 3 155 FCFA, signalant une dynamique haussière à court et moyen terme. La MM20 étant nettement au-dessus de la MM50, la configuration en "croix dorée" renforce le signal d'achat, indiquant une tendance positive soutenue.</w:t>
      </w:r>
    </w:p>
    <w:p>
      <w:pPr>
        <w:spacing w:after="120" w:line="276" w:lineRule="auto"/>
      </w:pPr>
      <w:r>
        <w:t>Les bandes de Bollinger, avec une borne supérieure à 3 223,85 FCFA et inférieure à 3 011,15 FCFA, encadrent le cours à 3 155 FCFA, positionné dans la moitié supérieure de la bande. Cette position neutre suggère une volatilité modérée, sans pression excessive à la hausse ou à la baisse, laissant place à une consolidation avant une direction claire.</w:t>
      </w:r>
    </w:p>
    <w:p>
      <w:pPr>
        <w:spacing w:after="120" w:line="276" w:lineRule="auto"/>
      </w:pPr>
      <w:r>
        <w:t>Le MACD affiche une valeur de 86,25, légèrement inférieure à son signal de 90,34, indiquant un momentum baissier à très court terme. Cette divergence négative, bien que faible, suggère une possible correction après la récente hausse, justifiant la décision de vente pour les traders à horizon court.</w:t>
      </w:r>
    </w:p>
    <w:p>
      <w:pPr>
        <w:spacing w:after="120" w:line="276" w:lineRule="auto"/>
      </w:pPr>
      <w:r>
        <w:t>Le RSI à 53,75 se situe en zone neutre (30-70), reflétant un équilibre entre acheteurs et vendeurs, sans surachat ni survente. Cette valeur indique que le titre n'est pas encore surchauffé, mais manque de dynamisme pour initier une nouvelle impulsion haussière.</w:t>
      </w:r>
    </w:p>
    <w:p>
      <w:pPr>
        <w:spacing w:after="120" w:line="276" w:lineRule="auto"/>
      </w:pPr>
      <w:r>
        <w:t>Le stochastique, avec %K à 75,0 et %D à 88,54, montre que %K est passé sous %D, un croisement baissier potentiel en zone de surachat. Cette configuration signale un essoufflement de la pression acheteuse, avec un risque de retournement à court terme, bien que la décision reste neutre.</w:t>
      </w:r>
    </w:p>
    <w:p>
      <w:pPr>
        <w:spacing w:after="120" w:line="276" w:lineRule="auto"/>
      </w:pPr>
      <w:r>
        <w:t>En conclusion technique, les indicateurs sont mitigés : les moyennes mobiles plaident pour une tendance haussière, mais le MACD et le stochastique suggèrent un essoufflement imminent. La prudence est de mise, avec un possible repli vers les supports avant une reprise.</w:t>
      </w:r>
    </w:p>
    <w:p>
      <w:pPr>
        <w:spacing w:after="120" w:line="276" w:lineRule="auto" w:before="240"/>
      </w:pPr>
      <w:r>
        <w:rPr>
          <w:b/>
          <w:color w:val="003366"/>
          <w:sz w:val="24"/>
        </w:rPr>
        <w:t>**PARTIE 3 : ANALYSE FONDAMENTALE (SECTION CRITIQUE)**</w:t>
      </w:r>
    </w:p>
    <w:p>
      <w:pPr>
        <w:spacing w:after="120" w:line="276" w:lineRule="auto"/>
      </w:pPr>
      <w:r>
        <w:t>En 2025, ORGT affiche un Produit Net Bancaire (PNB) de 186,609 milliards FCFA, en baisse de -4,5% par rapport à 2024 (195,4 milliards), mais le résultat net s'établit à 21,643 milliards FCFA, contre une perte de -44,4 milliards en 2024, marquant un retour spectaculaire à la rentabilité. Le coefficient d'exploitation de 42,85% est excellent (&lt;50%), démontrant une gestion rigoureuse des coûts, tandis que le coût du risque, à 3,74% des charges financières, reste élevé mais en nette amélioration (-90% vs 2024). Le ROE de 19,13% (&gt;15%) est excellent, et le ROA de 0,54% est faible, typique du secteur bancaire. Les dépôts clientèle (3 088,7 milliards) couvrent largement les créances clientèle (1 523,8 milliards), avec un ratio de transformation de 49,3%, indiquant une liquidité abondante. Les rapports trimestriels 2025 (T1, S1, T3) confirment la tendance : PNB en baisse de -2% à -4%, mais résultat net en hausse de +232% à +248%, porté par la réduction du coût du risque et des frais généraux. Sur la base du T1 2026 (PNB de 50,1 milliards, résultat net de 6,6 milliards, +37%), on estime que l'exercice 2026 pourrait voir un PNB stable autour de 185-190 milliards et un résultat net en progression vers 25-28 milliards, si la maîtrise des coûts se poursuit. La solidité financière est renforcée par des capitaux propres de 113,2 milliards (+17%), mais la baisse des crédits (-12%) et l'absence de dividende (perte sociale de -8 milliards) restent des points de vigilance.</w:t>
      </w:r>
    </w:p>
    <w:p>
      <w:pPr>
        <w:spacing w:after="120" w:line="276" w:lineRule="auto" w:before="240"/>
      </w:pPr>
      <w:r>
        <w:rPr>
          <w:b/>
          <w:color w:val="003366"/>
          <w:sz w:val="24"/>
        </w:rPr>
        <w:t>**PARTIE 4 : CONCLUSION D'INVESTISSEMENT**</w:t>
      </w:r>
    </w:p>
    <w:p>
      <w:pPr>
        <w:spacing w:after="120" w:line="276" w:lineRule="auto"/>
      </w:pPr>
      <w:r>
        <w:t>La valorisation d'ORGT est modérée avec un PER de 10,1x et un P/B de 1,94x, indiquant une sous-évaluation relative, mais l'EV/EBITDA de 20,0x tempère cet optimisme. Le comportement du cours montre une tendance baissière sur 100 jours (-13,8%) avec une volatilité élevée (43,6%), mais les statistiques (skewness positif, kurtosis mésokurtique) suggèrent un potentiel de rebond. Les signaux techniques sont mitigés : les moyennes mobiles sont haussières, mais le MACD et le stochastique indiquent un essoufflement à court terme. Les fondamentaux sont solides avec un retour à la rentabilité, un ROE de 19,1% et une gestion efficace des coûts, mais la baisse du PNB et l'absence de dividende limitent l'attrait. Les prédictions IA (3 144-3 157 FCFA sur 10 jours) suggèrent une stabilisation, confirmant la consolidation technique. En synthèse, la convergence entre une valorisation raisonnable, des fondamentaux en amélioration et une stabilisation technique plaide pour une recommandation **CONSERVER**, avec un niveau de confiance **Moyen** et un risque global **Élevé** dû à la volatilité. L'horizon optimal est le **moyen terme (3-12 mois)**, en attendant une relance de la croissance du PNB et une clarification sur la politique de dividende.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145.32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3,565 titres</w:t>
            </w:r>
          </w:p>
        </w:tc>
        <w:tc>
          <w:tcPr>
            <w:tcW w:type="dxa" w:w="2268"/>
            <w:shd w:fill="FFF2CC" w:val="clear"/>
          </w:tcPr>
          <w:p>
            <w:r>
              <w:rPr>
                <w:b/>
                <w:color w:val="503200"/>
                <w:sz w:val="16"/>
              </w:rPr>
              <w:t xml:space="preserve">Cours actuel : </w:t>
            </w:r>
            <w:r>
              <w:rPr>
                <w:color w:val="000000"/>
                <w:sz w:val="17"/>
              </w:rPr>
              <w:t>9,400 FCFA</w:t>
            </w:r>
          </w:p>
          <w:p>
            <w:r>
              <w:rPr>
                <w:b/>
                <w:color w:val="503200"/>
                <w:sz w:val="16"/>
              </w:rPr>
              <w:t xml:space="preserve">Var. 100 jours : </w:t>
            </w:r>
            <w:r>
              <w:rPr>
                <w:b/>
                <w:color w:val="007800"/>
                <w:sz w:val="17"/>
              </w:rPr>
              <w:t>+15.34%</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6.55% (Moyenne) — μ=8,484 FCFA, σ=556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β=-0.2760 (Contre-cyclique) — Cov=-0.000010, Var(idx)=0.000036, ρ=-0.070,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3,565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σ_j=2.38%/j (Stable) — Vol. annualisée≈37.8%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9,061</w:t>
            </w:r>
          </w:p>
        </w:tc>
        <w:tc>
          <w:tcPr>
            <w:tcW w:type="dxa" w:w="1440"/>
            <w:shd w:fill="FAFAFA" w:val="clear"/>
          </w:tcPr>
          <w:p>
            <w:r>
              <w:rPr>
                <w:b/>
                <w:sz w:val="17"/>
              </w:rPr>
              <w:t>9,336</w:t>
            </w:r>
          </w:p>
        </w:tc>
        <w:tc>
          <w:tcPr>
            <w:tcW w:type="dxa" w:w="1440"/>
            <w:shd w:fill="FAFAFA" w:val="clear"/>
          </w:tcPr>
          <w:p>
            <w:r>
              <w:rPr>
                <w:sz w:val="17"/>
              </w:rPr>
              <w:t>9,610</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8,984</w:t>
            </w:r>
          </w:p>
        </w:tc>
        <w:tc>
          <w:tcPr>
            <w:tcW w:type="dxa" w:w="1440"/>
            <w:shd w:fill="FAFAFA" w:val="clear"/>
          </w:tcPr>
          <w:p>
            <w:r>
              <w:rPr>
                <w:b/>
                <w:sz w:val="17"/>
              </w:rPr>
              <w:t>9,374</w:t>
            </w:r>
          </w:p>
        </w:tc>
        <w:tc>
          <w:tcPr>
            <w:tcW w:type="dxa" w:w="1440"/>
            <w:shd w:fill="FAFAFA" w:val="clear"/>
          </w:tcPr>
          <w:p>
            <w:r>
              <w:rPr>
                <w:sz w:val="17"/>
              </w:rPr>
              <w:t>9,763</w:t>
            </w:r>
          </w:p>
        </w:tc>
        <w:tc>
          <w:tcPr>
            <w:tcW w:type="dxa" w:w="1440"/>
            <w:shd w:fill="FAFAFA" w:val="clear"/>
          </w:tcPr>
          <w:p>
            <w:r>
              <w:rPr>
                <w:b/>
                <w:color w:val="C00000"/>
                <w:sz w:val="17"/>
              </w:rPr>
              <w:t>-0.3%</w:t>
            </w:r>
          </w:p>
        </w:tc>
      </w:tr>
      <w:tr>
        <w:tc>
          <w:tcPr>
            <w:tcW w:type="dxa" w:w="1440"/>
            <w:shd w:fill="FAFAFA" w:val="clear"/>
          </w:tcPr>
          <w:p>
            <w:r>
              <w:rPr>
                <w:sz w:val="17"/>
              </w:rPr>
              <w:t>J+3  ⭐⭐⭐</w:t>
            </w:r>
          </w:p>
        </w:tc>
        <w:tc>
          <w:tcPr>
            <w:tcW w:type="dxa" w:w="1440"/>
            <w:shd w:fill="FAFAFA" w:val="clear"/>
          </w:tcPr>
          <w:p>
            <w:r>
              <w:rPr>
                <w:sz w:val="17"/>
              </w:rPr>
              <w:t>2026-09-02</w:t>
            </w:r>
          </w:p>
        </w:tc>
        <w:tc>
          <w:tcPr>
            <w:tcW w:type="dxa" w:w="1440"/>
            <w:shd w:fill="FAFAFA" w:val="clear"/>
          </w:tcPr>
          <w:p>
            <w:r>
              <w:rPr>
                <w:sz w:val="17"/>
              </w:rPr>
              <w:t>8,923</w:t>
            </w:r>
          </w:p>
        </w:tc>
        <w:tc>
          <w:tcPr>
            <w:tcW w:type="dxa" w:w="1440"/>
            <w:shd w:fill="FAFAFA" w:val="clear"/>
          </w:tcPr>
          <w:p>
            <w:r>
              <w:rPr>
                <w:b/>
                <w:sz w:val="17"/>
              </w:rPr>
              <w:t>9,402</w:t>
            </w:r>
          </w:p>
        </w:tc>
        <w:tc>
          <w:tcPr>
            <w:tcW w:type="dxa" w:w="1440"/>
            <w:shd w:fill="FAFAFA" w:val="clear"/>
          </w:tcPr>
          <w:p>
            <w:r>
              <w:rPr>
                <w:sz w:val="17"/>
              </w:rPr>
              <w:t>9,880</w:t>
            </w:r>
          </w:p>
        </w:tc>
        <w:tc>
          <w:tcPr>
            <w:tcW w:type="dxa" w:w="1440"/>
            <w:shd w:fill="FAFAFA" w:val="clear"/>
          </w:tcPr>
          <w:p>
            <w:r>
              <w:rPr>
                <w:b/>
                <w:color w:val="008000"/>
                <w:sz w:val="17"/>
              </w:rPr>
              <w:t>+0.0%</w:t>
            </w:r>
          </w:p>
        </w:tc>
      </w:tr>
      <w:tr>
        <w:tc>
          <w:tcPr>
            <w:tcW w:type="dxa" w:w="1440"/>
            <w:shd w:fill="FAFAFA" w:val="clear"/>
          </w:tcPr>
          <w:p>
            <w:r>
              <w:rPr>
                <w:sz w:val="17"/>
              </w:rPr>
              <w:t>J+4  Moyenne</w:t>
            </w:r>
          </w:p>
        </w:tc>
        <w:tc>
          <w:tcPr>
            <w:tcW w:type="dxa" w:w="1440"/>
            <w:shd w:fill="FAFAFA" w:val="clear"/>
          </w:tcPr>
          <w:p>
            <w:r>
              <w:rPr>
                <w:sz w:val="17"/>
              </w:rPr>
              <w:t>2026-09-03</w:t>
            </w:r>
          </w:p>
        </w:tc>
        <w:tc>
          <w:tcPr>
            <w:tcW w:type="dxa" w:w="1440"/>
            <w:shd w:fill="FAFAFA" w:val="clear"/>
          </w:tcPr>
          <w:p>
            <w:r>
              <w:rPr>
                <w:sz w:val="17"/>
              </w:rPr>
              <w:t>8,873</w:t>
            </w:r>
          </w:p>
        </w:tc>
        <w:tc>
          <w:tcPr>
            <w:tcW w:type="dxa" w:w="1440"/>
            <w:shd w:fill="FAFAFA" w:val="clear"/>
          </w:tcPr>
          <w:p>
            <w:r>
              <w:rPr>
                <w:b/>
                <w:sz w:val="17"/>
              </w:rPr>
              <w:t>9,427</w:t>
            </w:r>
          </w:p>
        </w:tc>
        <w:tc>
          <w:tcPr>
            <w:tcW w:type="dxa" w:w="1440"/>
            <w:shd w:fill="FAFAFA" w:val="clear"/>
          </w:tcPr>
          <w:p>
            <w:r>
              <w:rPr>
                <w:sz w:val="17"/>
              </w:rPr>
              <w:t>9,982</w:t>
            </w:r>
          </w:p>
        </w:tc>
        <w:tc>
          <w:tcPr>
            <w:tcW w:type="dxa" w:w="1440"/>
            <w:shd w:fill="FAFAFA" w:val="clear"/>
          </w:tcPr>
          <w:p>
            <w:r>
              <w:rPr>
                <w:b/>
                <w:color w:val="008000"/>
                <w:sz w:val="17"/>
              </w:rPr>
              <w:t>+0.3%</w:t>
            </w:r>
          </w:p>
        </w:tc>
      </w:tr>
      <w:tr>
        <w:tc>
          <w:tcPr>
            <w:tcW w:type="dxa" w:w="1440"/>
            <w:shd w:fill="FAFAFA" w:val="clear"/>
          </w:tcPr>
          <w:p>
            <w:r>
              <w:rPr>
                <w:sz w:val="17"/>
              </w:rPr>
              <w:t>J+5  Moyenne</w:t>
            </w:r>
          </w:p>
        </w:tc>
        <w:tc>
          <w:tcPr>
            <w:tcW w:type="dxa" w:w="1440"/>
            <w:shd w:fill="FAFAFA" w:val="clear"/>
          </w:tcPr>
          <w:p>
            <w:r>
              <w:rPr>
                <w:sz w:val="17"/>
              </w:rPr>
              <w:t>2026-09-04</w:t>
            </w:r>
          </w:p>
        </w:tc>
        <w:tc>
          <w:tcPr>
            <w:tcW w:type="dxa" w:w="1440"/>
            <w:shd w:fill="FAFAFA" w:val="clear"/>
          </w:tcPr>
          <w:p>
            <w:r>
              <w:rPr>
                <w:sz w:val="17"/>
              </w:rPr>
              <w:t>8,832</w:t>
            </w:r>
          </w:p>
        </w:tc>
        <w:tc>
          <w:tcPr>
            <w:tcW w:type="dxa" w:w="1440"/>
            <w:shd w:fill="FAFAFA" w:val="clear"/>
          </w:tcPr>
          <w:p>
            <w:r>
              <w:rPr>
                <w:b/>
                <w:sz w:val="17"/>
              </w:rPr>
              <w:t>9,453</w:t>
            </w:r>
          </w:p>
        </w:tc>
        <w:tc>
          <w:tcPr>
            <w:tcW w:type="dxa" w:w="1440"/>
            <w:shd w:fill="FAFAFA" w:val="clear"/>
          </w:tcPr>
          <w:p>
            <w:r>
              <w:rPr>
                <w:sz w:val="17"/>
              </w:rPr>
              <w:t>10,074</w:t>
            </w:r>
          </w:p>
        </w:tc>
        <w:tc>
          <w:tcPr>
            <w:tcW w:type="dxa" w:w="1440"/>
            <w:shd w:fill="FAFAFA" w:val="clear"/>
          </w:tcPr>
          <w:p>
            <w:r>
              <w:rPr>
                <w:b/>
                <w:color w:val="008000"/>
                <w:sz w:val="17"/>
              </w:rPr>
              <w:t>+0.6%</w:t>
            </w:r>
          </w:p>
        </w:tc>
      </w:tr>
      <w:tr>
        <w:tc>
          <w:tcPr>
            <w:tcW w:type="dxa" w:w="1440"/>
            <w:shd w:fill="FAFAFA" w:val="clear"/>
          </w:tcPr>
          <w:p>
            <w:r>
              <w:rPr>
                <w:sz w:val="17"/>
              </w:rPr>
              <w:t>J+6  Moyenne</w:t>
            </w:r>
          </w:p>
        </w:tc>
        <w:tc>
          <w:tcPr>
            <w:tcW w:type="dxa" w:w="1440"/>
            <w:shd w:fill="FAFAFA" w:val="clear"/>
          </w:tcPr>
          <w:p>
            <w:r>
              <w:rPr>
                <w:sz w:val="17"/>
              </w:rPr>
              <w:t>2026-09-07</w:t>
            </w:r>
          </w:p>
        </w:tc>
        <w:tc>
          <w:tcPr>
            <w:tcW w:type="dxa" w:w="1440"/>
            <w:shd w:fill="FAFAFA" w:val="clear"/>
          </w:tcPr>
          <w:p>
            <w:r>
              <w:rPr>
                <w:sz w:val="17"/>
              </w:rPr>
              <w:t>8,796</w:t>
            </w:r>
          </w:p>
        </w:tc>
        <w:tc>
          <w:tcPr>
            <w:tcW w:type="dxa" w:w="1440"/>
            <w:shd w:fill="FAFAFA" w:val="clear"/>
          </w:tcPr>
          <w:p>
            <w:r>
              <w:rPr>
                <w:b/>
                <w:sz w:val="17"/>
              </w:rPr>
              <w:t>9,479</w:t>
            </w:r>
          </w:p>
        </w:tc>
        <w:tc>
          <w:tcPr>
            <w:tcW w:type="dxa" w:w="1440"/>
            <w:shd w:fill="FAFAFA" w:val="clear"/>
          </w:tcPr>
          <w:p>
            <w:r>
              <w:rPr>
                <w:sz w:val="17"/>
              </w:rPr>
              <w:t>10,161</w:t>
            </w:r>
          </w:p>
        </w:tc>
        <w:tc>
          <w:tcPr>
            <w:tcW w:type="dxa" w:w="1440"/>
            <w:shd w:fill="FAFAFA" w:val="clear"/>
          </w:tcPr>
          <w:p>
            <w:r>
              <w:rPr>
                <w:b/>
                <w:color w:val="008000"/>
                <w:sz w:val="17"/>
              </w:rPr>
              <w:t>+0.8%</w:t>
            </w:r>
          </w:p>
        </w:tc>
      </w:tr>
      <w:tr>
        <w:tc>
          <w:tcPr>
            <w:tcW w:type="dxa" w:w="1440"/>
            <w:shd w:fill="FAFAFA" w:val="clear"/>
          </w:tcPr>
          <w:p>
            <w:r>
              <w:rPr>
                <w:sz w:val="17"/>
              </w:rPr>
              <w:t>J+7  Moyenne</w:t>
            </w:r>
          </w:p>
        </w:tc>
        <w:tc>
          <w:tcPr>
            <w:tcW w:type="dxa" w:w="1440"/>
            <w:shd w:fill="FAFAFA" w:val="clear"/>
          </w:tcPr>
          <w:p>
            <w:r>
              <w:rPr>
                <w:sz w:val="17"/>
              </w:rPr>
              <w:t>2026-09-08</w:t>
            </w:r>
          </w:p>
        </w:tc>
        <w:tc>
          <w:tcPr>
            <w:tcW w:type="dxa" w:w="1440"/>
            <w:shd w:fill="FAFAFA" w:val="clear"/>
          </w:tcPr>
          <w:p>
            <w:r>
              <w:rPr>
                <w:sz w:val="17"/>
              </w:rPr>
              <w:t>8,765</w:t>
            </w:r>
          </w:p>
        </w:tc>
        <w:tc>
          <w:tcPr>
            <w:tcW w:type="dxa" w:w="1440"/>
            <w:shd w:fill="FAFAFA" w:val="clear"/>
          </w:tcPr>
          <w:p>
            <w:r>
              <w:rPr>
                <w:b/>
                <w:sz w:val="17"/>
              </w:rPr>
              <w:t>9,504</w:t>
            </w:r>
          </w:p>
        </w:tc>
        <w:tc>
          <w:tcPr>
            <w:tcW w:type="dxa" w:w="1440"/>
            <w:shd w:fill="FAFAFA" w:val="clear"/>
          </w:tcPr>
          <w:p>
            <w:r>
              <w:rPr>
                <w:sz w:val="17"/>
              </w:rPr>
              <w:t>10,243</w:t>
            </w:r>
          </w:p>
        </w:tc>
        <w:tc>
          <w:tcPr>
            <w:tcW w:type="dxa" w:w="1440"/>
            <w:shd w:fill="FAFAFA" w:val="clear"/>
          </w:tcPr>
          <w:p>
            <w:r>
              <w:rPr>
                <w:b/>
                <w:color w:val="008000"/>
                <w:sz w:val="17"/>
              </w:rPr>
              <w:t>+1.1%</w:t>
            </w:r>
          </w:p>
        </w:tc>
      </w:tr>
      <w:tr>
        <w:tc>
          <w:tcPr>
            <w:tcW w:type="dxa" w:w="1440"/>
            <w:shd w:fill="FAFAFA" w:val="clear"/>
          </w:tcPr>
          <w:p>
            <w:r>
              <w:rPr>
                <w:sz w:val="17"/>
              </w:rPr>
              <w:t>J+8  Moyenne</w:t>
            </w:r>
          </w:p>
        </w:tc>
        <w:tc>
          <w:tcPr>
            <w:tcW w:type="dxa" w:w="1440"/>
            <w:shd w:fill="FAFAFA" w:val="clear"/>
          </w:tcPr>
          <w:p>
            <w:r>
              <w:rPr>
                <w:sz w:val="17"/>
              </w:rPr>
              <w:t>2026-09-09</w:t>
            </w:r>
          </w:p>
        </w:tc>
        <w:tc>
          <w:tcPr>
            <w:tcW w:type="dxa" w:w="1440"/>
            <w:shd w:fill="FAFAFA" w:val="clear"/>
          </w:tcPr>
          <w:p>
            <w:r>
              <w:rPr>
                <w:sz w:val="17"/>
              </w:rPr>
              <w:t>8,738</w:t>
            </w:r>
          </w:p>
        </w:tc>
        <w:tc>
          <w:tcPr>
            <w:tcW w:type="dxa" w:w="1440"/>
            <w:shd w:fill="FAFAFA" w:val="clear"/>
          </w:tcPr>
          <w:p>
            <w:r>
              <w:rPr>
                <w:b/>
                <w:sz w:val="17"/>
              </w:rPr>
              <w:t>9,530</w:t>
            </w:r>
          </w:p>
        </w:tc>
        <w:tc>
          <w:tcPr>
            <w:tcW w:type="dxa" w:w="1440"/>
            <w:shd w:fill="FAFAFA" w:val="clear"/>
          </w:tcPr>
          <w:p>
            <w:r>
              <w:rPr>
                <w:sz w:val="17"/>
              </w:rPr>
              <w:t>10,322</w:t>
            </w:r>
          </w:p>
        </w:tc>
        <w:tc>
          <w:tcPr>
            <w:tcW w:type="dxa" w:w="1440"/>
            <w:shd w:fill="FAFAFA" w:val="clear"/>
          </w:tcPr>
          <w:p>
            <w:r>
              <w:rPr>
                <w:b/>
                <w:color w:val="008000"/>
                <w:sz w:val="17"/>
              </w:rPr>
              <w:t>+1.4%</w:t>
            </w:r>
          </w:p>
        </w:tc>
      </w:tr>
      <w:tr>
        <w:tc>
          <w:tcPr>
            <w:tcW w:type="dxa" w:w="1440"/>
            <w:shd w:fill="FAFAFA" w:val="clear"/>
          </w:tcPr>
          <w:p>
            <w:r>
              <w:rPr>
                <w:sz w:val="17"/>
              </w:rPr>
              <w:t>J+9  Moyenne</w:t>
            </w:r>
          </w:p>
        </w:tc>
        <w:tc>
          <w:tcPr>
            <w:tcW w:type="dxa" w:w="1440"/>
            <w:shd w:fill="FAFAFA" w:val="clear"/>
          </w:tcPr>
          <w:p>
            <w:r>
              <w:rPr>
                <w:sz w:val="17"/>
              </w:rPr>
              <w:t>2026-09-10</w:t>
            </w:r>
          </w:p>
        </w:tc>
        <w:tc>
          <w:tcPr>
            <w:tcW w:type="dxa" w:w="1440"/>
            <w:shd w:fill="FAFAFA" w:val="clear"/>
          </w:tcPr>
          <w:p>
            <w:r>
              <w:rPr>
                <w:sz w:val="17"/>
              </w:rPr>
              <w:t>8,713</w:t>
            </w:r>
          </w:p>
        </w:tc>
        <w:tc>
          <w:tcPr>
            <w:tcW w:type="dxa" w:w="1440"/>
            <w:shd w:fill="FAFAFA" w:val="clear"/>
          </w:tcPr>
          <w:p>
            <w:r>
              <w:rPr>
                <w:b/>
                <w:sz w:val="17"/>
              </w:rPr>
              <w:t>9,556</w:t>
            </w:r>
          </w:p>
        </w:tc>
        <w:tc>
          <w:tcPr>
            <w:tcW w:type="dxa" w:w="1440"/>
            <w:shd w:fill="FAFAFA" w:val="clear"/>
          </w:tcPr>
          <w:p>
            <w:r>
              <w:rPr>
                <w:sz w:val="17"/>
              </w:rPr>
              <w:t>10,398</w:t>
            </w:r>
          </w:p>
        </w:tc>
        <w:tc>
          <w:tcPr>
            <w:tcW w:type="dxa" w:w="1440"/>
            <w:shd w:fill="FAFAFA" w:val="clear"/>
          </w:tcPr>
          <w:p>
            <w:r>
              <w:rPr>
                <w:b/>
                <w:color w:val="008000"/>
                <w:sz w:val="17"/>
              </w:rPr>
              <w:t>+1.7%</w:t>
            </w:r>
          </w:p>
        </w:tc>
      </w:tr>
      <w:tr>
        <w:tc>
          <w:tcPr>
            <w:tcW w:type="dxa" w:w="1440"/>
            <w:shd w:fill="FAFAFA" w:val="clear"/>
          </w:tcPr>
          <w:p>
            <w:r>
              <w:rPr>
                <w:sz w:val="17"/>
              </w:rPr>
              <w:t>J+10  Moyenne</w:t>
            </w:r>
          </w:p>
        </w:tc>
        <w:tc>
          <w:tcPr>
            <w:tcW w:type="dxa" w:w="1440"/>
            <w:shd w:fill="FAFAFA" w:val="clear"/>
          </w:tcPr>
          <w:p>
            <w:r>
              <w:rPr>
                <w:sz w:val="17"/>
              </w:rPr>
              <w:t>2026-09-11</w:t>
            </w:r>
          </w:p>
        </w:tc>
        <w:tc>
          <w:tcPr>
            <w:tcW w:type="dxa" w:w="1440"/>
            <w:shd w:fill="FAFAFA" w:val="clear"/>
          </w:tcPr>
          <w:p>
            <w:r>
              <w:rPr>
                <w:sz w:val="17"/>
              </w:rPr>
              <w:t>8,691</w:t>
            </w:r>
          </w:p>
        </w:tc>
        <w:tc>
          <w:tcPr>
            <w:tcW w:type="dxa" w:w="1440"/>
            <w:shd w:fill="FAFAFA" w:val="clear"/>
          </w:tcPr>
          <w:p>
            <w:r>
              <w:rPr>
                <w:b/>
                <w:sz w:val="17"/>
              </w:rPr>
              <w:t>9,581</w:t>
            </w:r>
          </w:p>
        </w:tc>
        <w:tc>
          <w:tcPr>
            <w:tcW w:type="dxa" w:w="1440"/>
            <w:shd w:fill="FAFAFA" w:val="clear"/>
          </w:tcPr>
          <w:p>
            <w:r>
              <w:rPr>
                <w:sz w:val="17"/>
              </w:rPr>
              <w:t>10,472</w:t>
            </w:r>
          </w:p>
        </w:tc>
        <w:tc>
          <w:tcPr>
            <w:tcW w:type="dxa" w:w="1440"/>
            <w:shd w:fill="FAFAFA" w:val="clear"/>
          </w:tcPr>
          <w:p>
            <w:r>
              <w:rPr>
                <w:b/>
                <w:color w:val="008000"/>
                <w:sz w:val="17"/>
              </w:rPr>
              <w:t>+1.9%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w:t>
        <w:br/>
        <w:t>**Date de l'analyse : 28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PALC s'établit à 145,32 milliards FCFA, ce qui en fait une valeur de première importance sur la BRVM, reflétant la position dominante de l'entreprise dans le secteur agro-industriel de la zone UEMOA. Le BPA de 1 003 FCFA indique que chaque action génère un bénéfice substantiel, justifiant un PER de 9,4x. Ce ratio, inférieur à la moyenne historique de la BRVM (8-12x), suggère que le marché valorise le titre à un niveau raisonnable, voire légèrement sous-évalué par rapport à son potentiel de bénéfices. Le P/B de 1,02x est particulièrement attractif, le cours ne dépassant que très légèrement la valeur comptable des actifs, offrant ainsi une marge de sécurité pour l'investisseur. Enfin, un EV/EBITDA de 4,6x, nettement sous le seuil de 5x, confirme une valorisation très bon marché, signalant que la capacité opérationnelle de l'entreprise n'est pas pleinement reflétée dans son prix actuel.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PALC a affiché une performance remarquable avec une progression totale de +15,34%, et une dynamique récente soutenue (+3,30% sur la dernière séance). Le cours a évolué dans une fourchette de 7 000 FCFA (plus bas) à 9 640 FCFA (plus haut), démontrant une forte amplitude de trading. La moyenne du cours sur la période (8 484 FCFA) est inférieure à la médiane (8 672 FCFA), indiquant une asymétrie positive de la distribution, avec des valeurs extrêmes tirant la moyenne vers le bas. L'écart-type de 559 FCFA, pour un coefficient de variation de 6,6%, révèle une dispersion modérée autour de la moyenne. Le kurtosis de -0,513 (mésokurtique) et le skewness de -0,216 indiquent une distribution proche de la normale, sans risque de pics extrêmes. La volatilité annualisée de 37,8% classe le titre comme très volatil, un niveau élevé qui implique un risque significatif mais aussi un potentiel de rendement accru pour les investisseurs aguerris.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(9 400 FCFA) se positionne nettement au-dessus de la MM20 (9 181,75 FCFA) et de la MM50 (8 912,9 FCFA), confirmant une tendance haussière solide à court et moyen terme. La configuration des MM, avec la MM20 au-dessus de la MM50, valide le signal d'achat, indiquant que la dynamique positive est toujours en place.</w:t>
      </w:r>
    </w:p>
    <w:p>
      <w:pPr>
        <w:spacing w:after="120" w:line="276" w:lineRule="auto"/>
      </w:pPr>
      <w:r>
        <w:t>**Bandes de Bollinger :** Le prix se situe à 9 400 FCFA, entre la borne inférieure (8 633,38 FCFA) et la borne supérieure (9 730,12 FCFA), mais plus proche de cette dernière. Cette position suggère une pression acheteuse soutenue sans pour autant atteindre une zone de surachat extrême. La décision "Neutre" est cohérente, le titre n'ayant pas encore touché la borne supérieure, ce qui laisse un potentiel de hausse avant une éventuelle correction.</w:t>
      </w:r>
    </w:p>
    <w:p>
      <w:pPr>
        <w:spacing w:after="120" w:line="276" w:lineRule="auto"/>
      </w:pPr>
      <w:r>
        <w:t>**MACD :** Le MACD (158,17) est légèrement inférieur à son signal (167,16), indiquant un affaiblissement du momentum haussier à très court terme. Cette configuration, bien que négative, est marginale et pourrait se résorber rapidement. La décision de "Vente" est donc à considérer avec prudence, car elle ne remet pas en cause la tendance de fond, mais signale une possible consolidation.</w:t>
      </w:r>
    </w:p>
    <w:p>
      <w:pPr>
        <w:spacing w:after="120" w:line="276" w:lineRule="auto"/>
      </w:pPr>
      <w:r>
        <w:t>**RSI :** Le RSI à 60,82 est en zone neutre, loin des seuils de surachat (70) et de survente (30). Cette valeur indique que le titre dispose d'une marge de progression avant d'être considéré comme survendu ou suracheté, laissant la porte ouverte à une poursuite de la hausse.</w:t>
      </w:r>
    </w:p>
    <w:p>
      <w:pPr>
        <w:spacing w:after="120" w:line="276" w:lineRule="auto"/>
      </w:pPr>
      <w:r>
        <w:t>**Stochastique :** Le %K (63,64) est supérieur au %D (40,40), formant un croisement haussier. Cette configuration signale un regain de dynamique acheteuse à court terme, même si les valeurs restent en zone neutre. La décision "Neutre" reflète l'absence de signaux extrêmes, mais la tendance des indicateurs est positive.</w:t>
      </w:r>
    </w:p>
    <w:p>
      <w:pPr>
        <w:spacing w:after="120" w:line="276" w:lineRule="auto"/>
      </w:pPr>
      <w:r>
        <w:t>**Conclusion technique :** La majorité des indicateurs techniques (MM, RSI, Stochastique) convergent vers un signal haussier, soutenant la tendance positive du titre. Le MACD, bien que légèrement négatif, ne contredit pas cette tendance. La configuration globale suggère que le titre PALC est dans une dynamique de hausse saine, avec un potentiel de continuation, mais une vigilance est de mise en cas de rupture sous la MM20.</w:t>
      </w:r>
    </w:p>
    <w:p>
      <w:pPr>
        <w:spacing w:after="120" w:line="276" w:lineRule="auto"/>
      </w:pPr>
      <w:r>
        <w:t>---</w:t>
      </w:r>
    </w:p>
    <w:p>
      <w:pPr>
        <w:spacing w:after="120" w:line="276" w:lineRule="auto"/>
      </w:pPr>
      <w:r>
        <w:t>### PARTIE 3 : ANALYSE FONDAMENTALE (SECTION CRITIQUE)</w:t>
      </w:r>
    </w:p>
    <w:p>
      <w:pPr>
        <w:spacing w:after="120" w:line="276" w:lineRule="auto"/>
      </w:pPr>
      <w:r>
        <w:t>En 2025, PALC a réalisé un chiffre d'affaires de 197,63 milliards FCFA, en croissance de +14,8% par rapport à 2024 (172,2 milliards FCFA), confirmant la reprise amorcée au premier semestre. Le résultat net s'établit à 15,51 milliards FCFA, en légère baisse par rapport à 2024 (15,9 milliards FCFA), avec une marge nette de 7,8%. La rentabilité des capitaux propres (ROE) ressort à 10,9%, et le ROA à 7,8%, des niveaux corrects mais en deçà des standards d'excellence (&gt;15%). La structure financière est très saine avec un ratio d'autonomie financière de 71,6% et un endettement quasi nul (0,56%). Le BFR de 44,6 milliards FCFA est un point de vigilance, tout comme le délai de paiement des clients (142,6 jours), qui expose à un risque de trésorerie. Les rapports trimestriels 2025 montrent une forte dynamique au S1 (CA +25%, RN +37%), mais un net ralentissement au T3 (RN +11% sur 9 mois). Cependant, le rapport T1 2026 publié récemment (date : 2026) fait état d'une chute drastique du CA (-27%) et du résultat net (-86%) à 1,6 milliard FCFA, attribuée à un décalage temporel des ventes. La direction reste confiante pour l'exercice 2026, tablant sur un redressement grâce à l'écoulement des stocks à l'export. Les fondamentaux de production restent solides, mais la prudence est de mise face à la volatilité des prix de l'huile de palme et aux aléas climatiques.</w:t>
      </w:r>
    </w:p>
    <w:p>
      <w:pPr>
        <w:spacing w:after="120" w:line="276" w:lineRule="auto"/>
      </w:pPr>
      <w:r>
        <w:t>---</w:t>
      </w:r>
    </w:p>
    <w:p>
      <w:pPr>
        <w:spacing w:after="120" w:line="276" w:lineRule="auto"/>
      </w:pPr>
      <w:r>
        <w:t>### PARTIE 4 : CONCLUSION D'INVESTISSEMENT</w:t>
      </w:r>
    </w:p>
    <w:p>
      <w:pPr>
        <w:spacing w:after="120" w:line="276" w:lineRule="auto"/>
      </w:pPr>
      <w:r>
        <w:t>La valorisation de PALC est très attractive (PER 9,4x, P/B 1,02x, EV/EBITDA 4,6x), indiquant une sous-évaluation du titre par rapport à ses fondamentaux. Le comportement du cours est positif avec une tendance haussière (+15,34% sur 100 jours) et une volatilité élevée (37,8%), offrant des opportunités mais aussi des risques. Les signaux techniques sont majoritairement haussiers (MM, RSI, Stochastique), malgré un MACD légèrement négatif, suggérant une poursuite de la hausse. Les fondamentaux sont solides (croissance du CA, structure financière saine), mais la chute brutale du T1 2026 et la pression sur les marges imposent une surveillance étroite. Les prédictions IA (9 336 à 9 453 FCFA sur 10 jours) confirment une stabilisation et une légère progression, en phase avec les signaux techniques. En synthèse, la convergence des signaux de valorisation, de tendance et de momentum est positive, mais la prudence est de mise face aux incertitudes opérationnelles. **Recommandation : ACHAT**, avec un niveau de confiance **Moyen** et un risque global **Élevé**. L'horizon d'investissement optimal est le **moyen terme (3-12 mois)**, en attendant la confirmation du redressement de l'activité au cours des prochains trimestres.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45.98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893 titres</w:t>
            </w:r>
          </w:p>
        </w:tc>
        <w:tc>
          <w:tcPr>
            <w:tcW w:type="dxa" w:w="2268"/>
            <w:shd w:fill="FFF2CC" w:val="clear"/>
          </w:tcPr>
          <w:p>
            <w:r>
              <w:rPr>
                <w:b/>
                <w:color w:val="503200"/>
                <w:sz w:val="16"/>
              </w:rPr>
              <w:t xml:space="preserve">Cours actuel : </w:t>
            </w:r>
            <w:r>
              <w:rPr>
                <w:color w:val="000000"/>
                <w:sz w:val="17"/>
              </w:rPr>
              <w:t>4,490 FCFA</w:t>
            </w:r>
          </w:p>
          <w:p>
            <w:r>
              <w:rPr>
                <w:b/>
                <w:color w:val="503200"/>
                <w:sz w:val="16"/>
              </w:rPr>
              <w:t xml:space="preserve">Var. 100 jours : </w:t>
            </w:r>
            <w:r>
              <w:rPr>
                <w:b/>
                <w:color w:val="B40000"/>
                <w:sz w:val="17"/>
              </w:rPr>
              <w:t>-5.77%</w:t>
            </w:r>
          </w:p>
          <w:p>
            <w:r>
              <w:rPr>
                <w:b/>
                <w:color w:val="503200"/>
                <w:sz w:val="16"/>
              </w:rPr>
              <w:t xml:space="preserve">Plus haut 100j : </w:t>
            </w:r>
            <w:r>
              <w:rPr>
                <w:color w:val="000000"/>
                <w:sz w:val="17"/>
              </w:rPr>
              <w:t>5,100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23.3/100 → Moyen</w:t>
      </w:r>
    </w:p>
    <w:p>
      <w:pPr>
        <w:spacing w:before="40" w:after="80"/>
      </w:pPr>
      <w:r>
        <w:rPr>
          <w:rFonts w:ascii="Courier New" w:hAnsi="Courier New"/>
          <w:color w:val="825A00"/>
          <w:sz w:val="18"/>
        </w:rPr>
        <w:t>████░░░░░░░░░░░░░░░░  23.3/100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7.79% (Moyenne) — μ=4,445 FCFA, σ=346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β=-0.3398 (Contre-cyclique) — Cov=-0.000012, Var(idx)=0.000036, ρ=-0.081,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893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σ_j=2.52%/j (Stable) — Vol. annualisée≈40.0%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4,375</w:t>
            </w:r>
          </w:p>
        </w:tc>
        <w:tc>
          <w:tcPr>
            <w:tcW w:type="dxa" w:w="1440"/>
            <w:shd w:fill="FAFAFA" w:val="clear"/>
          </w:tcPr>
          <w:p>
            <w:r>
              <w:rPr>
                <w:b/>
                <w:sz w:val="17"/>
              </w:rPr>
              <w:t>4,474</w:t>
            </w:r>
          </w:p>
        </w:tc>
        <w:tc>
          <w:tcPr>
            <w:tcW w:type="dxa" w:w="1440"/>
            <w:shd w:fill="FAFAFA" w:val="clear"/>
          </w:tcPr>
          <w:p>
            <w:r>
              <w:rPr>
                <w:sz w:val="17"/>
              </w:rPr>
              <w:t>4,574</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4,310</w:t>
            </w:r>
          </w:p>
        </w:tc>
        <w:tc>
          <w:tcPr>
            <w:tcW w:type="dxa" w:w="1440"/>
            <w:shd w:fill="FAFAFA" w:val="clear"/>
          </w:tcPr>
          <w:p>
            <w:r>
              <w:rPr>
                <w:b/>
                <w:sz w:val="17"/>
              </w:rPr>
              <w:t>4,450</w:t>
            </w:r>
          </w:p>
        </w:tc>
        <w:tc>
          <w:tcPr>
            <w:tcW w:type="dxa" w:w="1440"/>
            <w:shd w:fill="FAFAFA" w:val="clear"/>
          </w:tcPr>
          <w:p>
            <w:r>
              <w:rPr>
                <w:sz w:val="17"/>
              </w:rPr>
              <w:t>4,590</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2026-09-02</w:t>
            </w:r>
          </w:p>
        </w:tc>
        <w:tc>
          <w:tcPr>
            <w:tcW w:type="dxa" w:w="1440"/>
            <w:shd w:fill="FAFAFA" w:val="clear"/>
          </w:tcPr>
          <w:p>
            <w:r>
              <w:rPr>
                <w:sz w:val="17"/>
              </w:rPr>
              <w:t>4,256</w:t>
            </w:r>
          </w:p>
        </w:tc>
        <w:tc>
          <w:tcPr>
            <w:tcW w:type="dxa" w:w="1440"/>
            <w:shd w:fill="FAFAFA" w:val="clear"/>
          </w:tcPr>
          <w:p>
            <w:r>
              <w:rPr>
                <w:b/>
                <w:sz w:val="17"/>
              </w:rPr>
              <w:t>4,427</w:t>
            </w:r>
          </w:p>
        </w:tc>
        <w:tc>
          <w:tcPr>
            <w:tcW w:type="dxa" w:w="1440"/>
            <w:shd w:fill="FAFAFA" w:val="clear"/>
          </w:tcPr>
          <w:p>
            <w:r>
              <w:rPr>
                <w:sz w:val="17"/>
              </w:rPr>
              <w:t>4,597</w:t>
            </w:r>
          </w:p>
        </w:tc>
        <w:tc>
          <w:tcPr>
            <w:tcW w:type="dxa" w:w="1440"/>
            <w:shd w:fill="FAFAFA" w:val="clear"/>
          </w:tcPr>
          <w:p>
            <w:r>
              <w:rPr>
                <w:b/>
                <w:color w:val="C00000"/>
                <w:sz w:val="17"/>
              </w:rPr>
              <w:t>-1.4%</w:t>
            </w:r>
          </w:p>
        </w:tc>
      </w:tr>
      <w:tr>
        <w:tc>
          <w:tcPr>
            <w:tcW w:type="dxa" w:w="1440"/>
            <w:shd w:fill="FAFAFA" w:val="clear"/>
          </w:tcPr>
          <w:p>
            <w:r>
              <w:rPr>
                <w:sz w:val="17"/>
              </w:rPr>
              <w:t>J+4  Moyenne</w:t>
            </w:r>
          </w:p>
        </w:tc>
        <w:tc>
          <w:tcPr>
            <w:tcW w:type="dxa" w:w="1440"/>
            <w:shd w:fill="FAFAFA" w:val="clear"/>
          </w:tcPr>
          <w:p>
            <w:r>
              <w:rPr>
                <w:sz w:val="17"/>
              </w:rPr>
              <w:t>2026-09-03</w:t>
            </w:r>
          </w:p>
        </w:tc>
        <w:tc>
          <w:tcPr>
            <w:tcW w:type="dxa" w:w="1440"/>
            <w:shd w:fill="FAFAFA" w:val="clear"/>
          </w:tcPr>
          <w:p>
            <w:r>
              <w:rPr>
                <w:sz w:val="17"/>
              </w:rPr>
              <w:t>4,208</w:t>
            </w:r>
          </w:p>
        </w:tc>
        <w:tc>
          <w:tcPr>
            <w:tcW w:type="dxa" w:w="1440"/>
            <w:shd w:fill="FAFAFA" w:val="clear"/>
          </w:tcPr>
          <w:p>
            <w:r>
              <w:rPr>
                <w:b/>
                <w:sz w:val="17"/>
              </w:rPr>
              <w:t>4,404</w:t>
            </w:r>
          </w:p>
        </w:tc>
        <w:tc>
          <w:tcPr>
            <w:tcW w:type="dxa" w:w="1440"/>
            <w:shd w:fill="FAFAFA" w:val="clear"/>
          </w:tcPr>
          <w:p>
            <w:r>
              <w:rPr>
                <w:sz w:val="17"/>
              </w:rPr>
              <w:t>4,600</w:t>
            </w:r>
          </w:p>
        </w:tc>
        <w:tc>
          <w:tcPr>
            <w:tcW w:type="dxa" w:w="1440"/>
            <w:shd w:fill="FAFAFA" w:val="clear"/>
          </w:tcPr>
          <w:p>
            <w:r>
              <w:rPr>
                <w:b/>
                <w:color w:val="C00000"/>
                <w:sz w:val="17"/>
              </w:rPr>
              <w:t>-1.9%</w:t>
            </w:r>
          </w:p>
        </w:tc>
      </w:tr>
      <w:tr>
        <w:tc>
          <w:tcPr>
            <w:tcW w:type="dxa" w:w="1440"/>
            <w:shd w:fill="FFDCE0" w:val="clear"/>
          </w:tcPr>
          <w:p>
            <w:r>
              <w:rPr>
                <w:sz w:val="17"/>
              </w:rPr>
              <w:t>J+5  Moyenne</w:t>
            </w:r>
          </w:p>
        </w:tc>
        <w:tc>
          <w:tcPr>
            <w:tcW w:type="dxa" w:w="1440"/>
            <w:shd w:fill="FFDCE0" w:val="clear"/>
          </w:tcPr>
          <w:p>
            <w:r>
              <w:rPr>
                <w:sz w:val="17"/>
              </w:rPr>
              <w:t>2026-09-04</w:t>
            </w:r>
          </w:p>
        </w:tc>
        <w:tc>
          <w:tcPr>
            <w:tcW w:type="dxa" w:w="1440"/>
            <w:shd w:fill="FFDCE0" w:val="clear"/>
          </w:tcPr>
          <w:p>
            <w:r>
              <w:rPr>
                <w:sz w:val="17"/>
              </w:rPr>
              <w:t>4,165</w:t>
            </w:r>
          </w:p>
        </w:tc>
        <w:tc>
          <w:tcPr>
            <w:tcW w:type="dxa" w:w="1440"/>
            <w:shd w:fill="FFDCE0" w:val="clear"/>
          </w:tcPr>
          <w:p>
            <w:r>
              <w:rPr>
                <w:b/>
                <w:sz w:val="17"/>
              </w:rPr>
              <w:t>4,383</w:t>
            </w:r>
          </w:p>
        </w:tc>
        <w:tc>
          <w:tcPr>
            <w:tcW w:type="dxa" w:w="1440"/>
            <w:shd w:fill="FFDCE0" w:val="clear"/>
          </w:tcPr>
          <w:p>
            <w:r>
              <w:rPr>
                <w:sz w:val="17"/>
              </w:rPr>
              <w:t>4,601</w:t>
            </w:r>
          </w:p>
        </w:tc>
        <w:tc>
          <w:tcPr>
            <w:tcW w:type="dxa" w:w="1440"/>
            <w:shd w:fill="FFDCE0" w:val="clear"/>
          </w:tcPr>
          <w:p>
            <w:r>
              <w:rPr>
                <w:b/>
                <w:color w:val="C00000"/>
                <w:sz w:val="17"/>
              </w:rPr>
              <w:t>-2.4%</w:t>
            </w:r>
          </w:p>
        </w:tc>
      </w:tr>
      <w:tr>
        <w:tc>
          <w:tcPr>
            <w:tcW w:type="dxa" w:w="1440"/>
            <w:shd w:fill="FFDCE0" w:val="clear"/>
          </w:tcPr>
          <w:p>
            <w:r>
              <w:rPr>
                <w:sz w:val="17"/>
              </w:rPr>
              <w:t>J+6  Moyenne</w:t>
            </w:r>
          </w:p>
        </w:tc>
        <w:tc>
          <w:tcPr>
            <w:tcW w:type="dxa" w:w="1440"/>
            <w:shd w:fill="FFDCE0" w:val="clear"/>
          </w:tcPr>
          <w:p>
            <w:r>
              <w:rPr>
                <w:sz w:val="17"/>
              </w:rPr>
              <w:t>2026-09-07</w:t>
            </w:r>
          </w:p>
        </w:tc>
        <w:tc>
          <w:tcPr>
            <w:tcW w:type="dxa" w:w="1440"/>
            <w:shd w:fill="FFDCE0" w:val="clear"/>
          </w:tcPr>
          <w:p>
            <w:r>
              <w:rPr>
                <w:sz w:val="17"/>
              </w:rPr>
              <w:t>4,124</w:t>
            </w:r>
          </w:p>
        </w:tc>
        <w:tc>
          <w:tcPr>
            <w:tcW w:type="dxa" w:w="1440"/>
            <w:shd w:fill="FFDCE0" w:val="clear"/>
          </w:tcPr>
          <w:p>
            <w:r>
              <w:rPr>
                <w:b/>
                <w:sz w:val="17"/>
              </w:rPr>
              <w:t>4,362</w:t>
            </w:r>
          </w:p>
        </w:tc>
        <w:tc>
          <w:tcPr>
            <w:tcW w:type="dxa" w:w="1440"/>
            <w:shd w:fill="FFDCE0" w:val="clear"/>
          </w:tcPr>
          <w:p>
            <w:r>
              <w:rPr>
                <w:sz w:val="17"/>
              </w:rPr>
              <w:t>4,599</w:t>
            </w:r>
          </w:p>
        </w:tc>
        <w:tc>
          <w:tcPr>
            <w:tcW w:type="dxa" w:w="1440"/>
            <w:shd w:fill="FFDCE0" w:val="clear"/>
          </w:tcPr>
          <w:p>
            <w:r>
              <w:rPr>
                <w:b/>
                <w:color w:val="C00000"/>
                <w:sz w:val="17"/>
              </w:rPr>
              <w:t>-2.9%</w:t>
            </w:r>
          </w:p>
        </w:tc>
      </w:tr>
      <w:tr>
        <w:tc>
          <w:tcPr>
            <w:tcW w:type="dxa" w:w="1440"/>
            <w:shd w:fill="FFDCE0" w:val="clear"/>
          </w:tcPr>
          <w:p>
            <w:r>
              <w:rPr>
                <w:sz w:val="17"/>
              </w:rPr>
              <w:t>J+7  Moyenne</w:t>
            </w:r>
          </w:p>
        </w:tc>
        <w:tc>
          <w:tcPr>
            <w:tcW w:type="dxa" w:w="1440"/>
            <w:shd w:fill="FFDCE0" w:val="clear"/>
          </w:tcPr>
          <w:p>
            <w:r>
              <w:rPr>
                <w:sz w:val="17"/>
              </w:rPr>
              <w:t>2026-09-08</w:t>
            </w:r>
          </w:p>
        </w:tc>
        <w:tc>
          <w:tcPr>
            <w:tcW w:type="dxa" w:w="1440"/>
            <w:shd w:fill="FFDCE0" w:val="clear"/>
          </w:tcPr>
          <w:p>
            <w:r>
              <w:rPr>
                <w:sz w:val="17"/>
              </w:rPr>
              <w:t>4,086</w:t>
            </w:r>
          </w:p>
        </w:tc>
        <w:tc>
          <w:tcPr>
            <w:tcW w:type="dxa" w:w="1440"/>
            <w:shd w:fill="FFDCE0" w:val="clear"/>
          </w:tcPr>
          <w:p>
            <w:r>
              <w:rPr>
                <w:b/>
                <w:sz w:val="17"/>
              </w:rPr>
              <w:t>4,341</w:t>
            </w:r>
          </w:p>
        </w:tc>
        <w:tc>
          <w:tcPr>
            <w:tcW w:type="dxa" w:w="1440"/>
            <w:shd w:fill="FFDCE0" w:val="clear"/>
          </w:tcPr>
          <w:p>
            <w:r>
              <w:rPr>
                <w:sz w:val="17"/>
              </w:rPr>
              <w:t>4,597</w:t>
            </w:r>
          </w:p>
        </w:tc>
        <w:tc>
          <w:tcPr>
            <w:tcW w:type="dxa" w:w="1440"/>
            <w:shd w:fill="FFDCE0" w:val="clear"/>
          </w:tcPr>
          <w:p>
            <w:r>
              <w:rPr>
                <w:b/>
                <w:color w:val="C00000"/>
                <w:sz w:val="17"/>
              </w:rPr>
              <w:t>-3.3%</w:t>
            </w:r>
          </w:p>
        </w:tc>
      </w:tr>
      <w:tr>
        <w:tc>
          <w:tcPr>
            <w:tcW w:type="dxa" w:w="1440"/>
            <w:shd w:fill="FFDCE0" w:val="clear"/>
          </w:tcPr>
          <w:p>
            <w:r>
              <w:rPr>
                <w:sz w:val="17"/>
              </w:rPr>
              <w:t>J+8  Moyenne</w:t>
            </w:r>
          </w:p>
        </w:tc>
        <w:tc>
          <w:tcPr>
            <w:tcW w:type="dxa" w:w="1440"/>
            <w:shd w:fill="FFDCE0" w:val="clear"/>
          </w:tcPr>
          <w:p>
            <w:r>
              <w:rPr>
                <w:sz w:val="17"/>
              </w:rPr>
              <w:t>2026-09-09</w:t>
            </w:r>
          </w:p>
        </w:tc>
        <w:tc>
          <w:tcPr>
            <w:tcW w:type="dxa" w:w="1440"/>
            <w:shd w:fill="FFDCE0" w:val="clear"/>
          </w:tcPr>
          <w:p>
            <w:r>
              <w:rPr>
                <w:sz w:val="17"/>
              </w:rPr>
              <w:t>4,049</w:t>
            </w:r>
          </w:p>
        </w:tc>
        <w:tc>
          <w:tcPr>
            <w:tcW w:type="dxa" w:w="1440"/>
            <w:shd w:fill="FFDCE0" w:val="clear"/>
          </w:tcPr>
          <w:p>
            <w:r>
              <w:rPr>
                <w:b/>
                <w:sz w:val="17"/>
              </w:rPr>
              <w:t>4,321</w:t>
            </w:r>
          </w:p>
        </w:tc>
        <w:tc>
          <w:tcPr>
            <w:tcW w:type="dxa" w:w="1440"/>
            <w:shd w:fill="FFDCE0" w:val="clear"/>
          </w:tcPr>
          <w:p>
            <w:r>
              <w:rPr>
                <w:sz w:val="17"/>
              </w:rPr>
              <w:t>4,593</w:t>
            </w:r>
          </w:p>
        </w:tc>
        <w:tc>
          <w:tcPr>
            <w:tcW w:type="dxa" w:w="1440"/>
            <w:shd w:fill="FFDCE0" w:val="clear"/>
          </w:tcPr>
          <w:p>
            <w:r>
              <w:rPr>
                <w:b/>
                <w:color w:val="C00000"/>
                <w:sz w:val="17"/>
              </w:rPr>
              <w:t>-3.8%</w:t>
            </w:r>
          </w:p>
        </w:tc>
      </w:tr>
      <w:tr>
        <w:tc>
          <w:tcPr>
            <w:tcW w:type="dxa" w:w="1440"/>
            <w:shd w:fill="FFDCE0" w:val="clear"/>
          </w:tcPr>
          <w:p>
            <w:r>
              <w:rPr>
                <w:sz w:val="17"/>
              </w:rPr>
              <w:t>J+9  Moyenne</w:t>
            </w:r>
          </w:p>
        </w:tc>
        <w:tc>
          <w:tcPr>
            <w:tcW w:type="dxa" w:w="1440"/>
            <w:shd w:fill="FFDCE0" w:val="clear"/>
          </w:tcPr>
          <w:p>
            <w:r>
              <w:rPr>
                <w:sz w:val="17"/>
              </w:rPr>
              <w:t>2026-09-10</w:t>
            </w:r>
          </w:p>
        </w:tc>
        <w:tc>
          <w:tcPr>
            <w:tcW w:type="dxa" w:w="1440"/>
            <w:shd w:fill="FFDCE0" w:val="clear"/>
          </w:tcPr>
          <w:p>
            <w:r>
              <w:rPr>
                <w:sz w:val="17"/>
              </w:rPr>
              <w:t>4,014</w:t>
            </w:r>
          </w:p>
        </w:tc>
        <w:tc>
          <w:tcPr>
            <w:tcW w:type="dxa" w:w="1440"/>
            <w:shd w:fill="FFDCE0" w:val="clear"/>
          </w:tcPr>
          <w:p>
            <w:r>
              <w:rPr>
                <w:b/>
                <w:sz w:val="17"/>
              </w:rPr>
              <w:t>4,301</w:t>
            </w:r>
          </w:p>
        </w:tc>
        <w:tc>
          <w:tcPr>
            <w:tcW w:type="dxa" w:w="1440"/>
            <w:shd w:fill="FFDCE0" w:val="clear"/>
          </w:tcPr>
          <w:p>
            <w:r>
              <w:rPr>
                <w:sz w:val="17"/>
              </w:rPr>
              <w:t>4,588</w:t>
            </w:r>
          </w:p>
        </w:tc>
        <w:tc>
          <w:tcPr>
            <w:tcW w:type="dxa" w:w="1440"/>
            <w:shd w:fill="FFDCE0" w:val="clear"/>
          </w:tcPr>
          <w:p>
            <w:r>
              <w:rPr>
                <w:b/>
                <w:color w:val="C00000"/>
                <w:sz w:val="17"/>
              </w:rPr>
              <w:t>-4.2%</w:t>
            </w:r>
          </w:p>
        </w:tc>
      </w:tr>
      <w:tr>
        <w:tc>
          <w:tcPr>
            <w:tcW w:type="dxa" w:w="1440"/>
            <w:shd w:fill="FFDCE0" w:val="clear"/>
          </w:tcPr>
          <w:p>
            <w:r>
              <w:rPr>
                <w:sz w:val="17"/>
              </w:rPr>
              <w:t>J+10  Moyenne</w:t>
            </w:r>
          </w:p>
        </w:tc>
        <w:tc>
          <w:tcPr>
            <w:tcW w:type="dxa" w:w="1440"/>
            <w:shd w:fill="FFDCE0" w:val="clear"/>
          </w:tcPr>
          <w:p>
            <w:r>
              <w:rPr>
                <w:sz w:val="17"/>
              </w:rPr>
              <w:t>2026-09-11</w:t>
            </w:r>
          </w:p>
        </w:tc>
        <w:tc>
          <w:tcPr>
            <w:tcW w:type="dxa" w:w="1440"/>
            <w:shd w:fill="FFDCE0" w:val="clear"/>
          </w:tcPr>
          <w:p>
            <w:r>
              <w:rPr>
                <w:sz w:val="17"/>
              </w:rPr>
              <w:t>3,980</w:t>
            </w:r>
          </w:p>
        </w:tc>
        <w:tc>
          <w:tcPr>
            <w:tcW w:type="dxa" w:w="1440"/>
            <w:shd w:fill="FFDCE0" w:val="clear"/>
          </w:tcPr>
          <w:p>
            <w:r>
              <w:rPr>
                <w:b/>
                <w:sz w:val="17"/>
              </w:rPr>
              <w:t>4,281</w:t>
            </w:r>
          </w:p>
        </w:tc>
        <w:tc>
          <w:tcPr>
            <w:tcW w:type="dxa" w:w="1440"/>
            <w:shd w:fill="FFDCE0" w:val="clear"/>
          </w:tcPr>
          <w:p>
            <w:r>
              <w:rPr>
                <w:sz w:val="17"/>
              </w:rPr>
              <w:t>4,582</w:t>
            </w:r>
          </w:p>
        </w:tc>
        <w:tc>
          <w:tcPr>
            <w:tcW w:type="dxa" w:w="1440"/>
            <w:shd w:fill="FFDCE0" w:val="clear"/>
          </w:tcPr>
          <w:p>
            <w:r>
              <w:rPr>
                <w:b/>
                <w:color w:val="C00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(TRACTRAFRIC MOTORS CI)**</w:t>
        <w:br/>
        <w:t>**Date de l'analyse : 30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45,98 milliards FCFA, un niveau significatif qui positionne le titre parmi les valeurs moyennes de la cote de la BRVM. Avec un BPA de 231 FCFA, le PER ressort à 19,4x, ce qui est nettement supérieur à la moyenne historique du marché (8-12x). Les investisseurs paient donc une prime substantielle pour les bénéfices de la société, ce qui suggère des attentes de croissance élevées. Le P/B de 3,99x confirme cette lecture, le marché valorisant l'actif net comptable près de 4 fois sa valeur, une prime de croissance notable pour une entreprise de distribution. Enfin, l'EV/EBITDA de 9,9x se situe dans la fourchette haute des valeurs raisonnables (5-10x), indiquant que la valeur totale de l'entreprise (dette incluse) reste en ligne avec sa capacité opérationnelle, bien que le prix à payer pour cette capacité soit déjà conséquent.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PRSC affiche une performance négative de -5,77%, avec une dernière séance en baisse de -1,21% à 4 490 FCFA. Le cours a évolué dans une fourchette de 3 620 FCFA (plus bas) à 5 100 FCFA (plus haut), montrant une amplitude de trading importante. La moyenne (4 445 FCFA) est légèrement inférieure à la médiane (4 492 FCFA), indiquant une distribution quasi symétrique avec une légère queue à gauche. Le mode à 3 695 FCFA suggère que le cours a passé un temps considérable à des niveaux plus bas, ce qui explique l'asymétrie négative (skewness de -0.689). L'écart-type de 348 FCFA (CV de 7,8%) révèle une dispersion modérée autour de la moyenne. Le kurtosis de 0,253 (mésokurtique) indique une distribution proche de la normale, sans risque de pics extrêmes. La volatilité annualisée de 40% classe le titre comme très volatil, un niveau élevé qui reflète une incertitude marquée sur le marché.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(4 490 FCFA) se situe sous la MM20 (4 465 FCFA) et sous la MM50 (4 512,7 FCFA). Cette configuration baissière, où le prix évolue sous les deux moyennes clés, confirme une tendance de fond négative à court et moyen terme. La décision de Vente est justifiée par cette structure, bien que la proximité du cours avec la MM20 suggère un possible test de cette résistance.</w:t>
      </w:r>
    </w:p>
    <w:p>
      <w:pPr>
        <w:spacing w:after="120" w:line="276" w:lineRule="auto"/>
      </w:pPr>
      <w:r>
        <w:t>**Bandes de Bollinger :** Le prix se positionne à 4 490 FCFA, entre la borne inférieure (4 365,6 FCFA) et la borne supérieure (4 564,4 FCFA). La position quasi centrale indique une volatilité modérée et l'absence de pression directionnelle forte. La décision Neutre est cohérente avec cette lecture, le marché semblant chercher une direction après une période de consolidation.</w:t>
      </w:r>
    </w:p>
    <w:p>
      <w:pPr>
        <w:spacing w:after="120" w:line="276" w:lineRule="auto"/>
      </w:pPr>
      <w:r>
        <w:t>**MACD :** La valeur du MACD (4,619) est positive et supérieure à son signal (-3,766), formant un croisement haussier. Ce signal d'Achat indique un momentum positif en train de se construire, malgré la tendance baissière des moyennes mobiles. Cette divergence entre le momentum et la tendance suggère un possible retournement à venir.</w:t>
      </w:r>
    </w:p>
    <w:p>
      <w:pPr>
        <w:spacing w:after="120" w:line="276" w:lineRule="auto"/>
      </w:pPr>
      <w:r>
        <w:t>**RSI :** À 51,042, le RSI se situe en zone neutre, sans signal de surachat ni de survente. Cette valeur indique un équilibre entre les forces acheteuses et vendeuses, avec une légère inflexion positive. La décision Neutre est appropriée, le marché n'étant pas encore engagé dans une direction claire.</w:t>
      </w:r>
    </w:p>
    <w:p>
      <w:pPr>
        <w:spacing w:after="120" w:line="276" w:lineRule="auto"/>
      </w:pPr>
      <w:r>
        <w:t>**Stochastique :** Le %K (60,0) est inférieur au %D (85,556), formant un croisement baissier potentiel. Cependant, les deux valeurs restent en zone positive, indiquant que le momentum de court terme reste soutenu. La décision Neutre reflète cette ambiguïté, le croisement n'étant pas encore confirmé par une sortie de zone.</w:t>
      </w:r>
    </w:p>
    <w:p>
      <w:pPr>
        <w:spacing w:after="120" w:line="276" w:lineRule="auto"/>
      </w:pPr>
      <w:r>
        <w:t>**Conclusion technique :** La configuration technique est mitigée, avec une tendance baissière (MM) contrastant avec un momentum haussier (MACD). Les indicateurs de volatilité (Bollinger) et de force (RSI, Stochastique) restent neutres, suggérant une phase de transition. Le titre semble chercher un point d'équilibre après une période de baisse, avec un biais légèrement positif à très court terme.</w:t>
      </w:r>
    </w:p>
    <w:p>
      <w:pPr>
        <w:spacing w:after="120" w:line="276" w:lineRule="auto"/>
      </w:pPr>
      <w:r>
        <w:t>---</w:t>
      </w:r>
    </w:p>
    <w:p>
      <w:pPr>
        <w:spacing w:after="120" w:line="276" w:lineRule="auto"/>
      </w:pPr>
      <w:r>
        <w:t>### PARTIE 3 : ANALYSE FONDAMENTALE (SECTION CRITIQUE)</w:t>
      </w:r>
    </w:p>
    <w:p>
      <w:pPr>
        <w:spacing w:after="120" w:line="276" w:lineRule="auto"/>
      </w:pPr>
      <w:r>
        <w:t>En 2025, PRSC affiche un chiffre d'affaires de 81,127 milliards FCFA, en hausse de 9,5% par rapport à 2024 (74,45 milliards), confirmant une dynamique commerciale positive après la baisse de 4,15% enregistrée en 2024. Le résultat net s'établit à 2,367 milliards FCFA, en légère progression par rapport aux 2,177 milliards de 2024, avec une marge nette stable à 2,9%. La rentabilité des fonds propres (ROE) est excellente à 20,53%, largement au-dessus du seuil de 15% considéré comme performant, tandis que le ROA de 4,95% reflète une utilisation raisonnable des actifs. En tant qu'entreprise de distribution automobile, l'analyse du BFR est cruciale : le BFR s'élève à 11,267 milliards FCFA, avec un délai clients de 46 jours (risque de trésorerie modéré) et un délai fournisseurs de 102,65 jours (favorable, permettant de financer le cycle d'exploitation). La durée de stockage de 150 jours est élevée, immobilisant un capital important dans les stocks (26,33 milliards FCFA). Le rapport du S1 2025 (daté du 30/06/2025) montrait déjà une performance exceptionnelle avec un CA en hausse de 15,1% et un résultat net multiplié par 28, mais la direction anticipait un ralentissement au S2 en raison du contexte électoral. Les données annuelles 2025 confirment cette prudence avec une croissance plus modérée sur l'ensemble de l'exercice. La structure financière reste fragile avec un ratio d'endettement de 314,9% et une trésorerie nette négative de -4,092 milliards FCFA, bien que la solvabilité générale (131,8%) et la liquidité générale (120,9%) demeurent acceptables. Le dividende de 209 FCFA par action annoncé pour 2025 (contre 288 FCFA en 2022) offre un rendement modeste mais témoigne d'une volonté de rémunérer les actionnaires. La recommandation globale est de CONSERVER, la société présentant une croissance solide mais une rentabilité opérationnelle sous pression et un endettement élevé.</w:t>
      </w:r>
    </w:p>
    <w:p>
      <w:pPr>
        <w:spacing w:after="120" w:line="276" w:lineRule="auto"/>
      </w:pPr>
      <w:r>
        <w:t>---</w:t>
      </w:r>
    </w:p>
    <w:p>
      <w:pPr>
        <w:spacing w:after="120" w:line="276" w:lineRule="auto"/>
      </w:pPr>
      <w:r>
        <w:t>### PARTIE 4 : CONCLUSION D'INVESTISSEMENT</w:t>
      </w:r>
    </w:p>
    <w:p>
      <w:pPr>
        <w:spacing w:after="120" w:line="276" w:lineRule="auto"/>
      </w:pPr>
      <w:r>
        <w:t>La valorisation de PRSC (PER 19,4x, P/B 3,99x) apparaît exigeante par rapport aux standards de la BRVM, intégrant des attentes de croissance qui ne se matérialisent que partiellement. Le comportement du cours sur 100 jours (-5,77%) avec une volatilité élevée (40%) et une asymétrie négative reflète une pression vendeuse persistante, malgré un cours actuel proche de la moyenne. Les signaux techniques sont mitigés : la tendance baissière des moyennes mobiles contraste avec un momentum haussier naissant (MACD), tandis que le RSI et le Stochastique restent neutres. Les fondamentaux montrent une entreprise en croissance (CA +9,5% en 2025) avec un ROE excellent (20,5%), mais une marge nette faible (2,9%) et un endettement élevé. Les prédictions IA pour les 10 prochains jours (4 474 à 4 383 FCFA) suggèrent une poursuite de la baisse, confirmant la faiblesse technique de court terme. La convergence entre la valorisation élevée, la tendance baissière et les prédictions négatives conduit à une recommandation de **CONSERVER** avec un niveau de confiance **Moyen**. Le risque global est **Élevé** en raison de la volatilité et de l'endettement. L'horizon d'investissement optimal est le **moyen terme (3-12 mois)**, en attendant une clarification de la tendance technique et une amélioration des marges opérationnelles.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47.62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7,302 titres</w:t>
            </w:r>
          </w:p>
        </w:tc>
        <w:tc>
          <w:tcPr>
            <w:tcW w:type="dxa" w:w="2268"/>
            <w:shd w:fill="FFF2CC" w:val="clear"/>
          </w:tcPr>
          <w:p>
            <w:r>
              <w:rPr>
                <w:b/>
                <w:color w:val="503200"/>
                <w:sz w:val="16"/>
              </w:rPr>
              <w:t xml:space="preserve">Cours actuel : </w:t>
            </w:r>
            <w:r>
              <w:rPr>
                <w:color w:val="000000"/>
                <w:sz w:val="17"/>
              </w:rPr>
              <w:t>5,865 FCFA</w:t>
            </w:r>
          </w:p>
          <w:p>
            <w:r>
              <w:rPr>
                <w:b/>
                <w:color w:val="503200"/>
                <w:sz w:val="16"/>
              </w:rPr>
              <w:t xml:space="preserve">Var. 100 jours : </w:t>
            </w:r>
            <w:r>
              <w:rPr>
                <w:b/>
                <w:color w:val="B40000"/>
                <w:sz w:val="17"/>
              </w:rPr>
              <w:t>-21.80%</w:t>
            </w:r>
          </w:p>
          <w:p>
            <w:r>
              <w:rPr>
                <w:b/>
                <w:color w:val="503200"/>
                <w:sz w:val="16"/>
              </w:rPr>
              <w:t xml:space="preserve">Plus haut 100j : </w:t>
            </w:r>
            <w:r>
              <w:rPr>
                <w:color w:val="000000"/>
                <w:sz w:val="17"/>
              </w:rPr>
              <w:t>7,500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22.05% (Élevée) — μ=4,735 FCFA, σ=1,044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β=0.3925 (Défensif) — Cov=0.000014, Var(idx)=0.000036, ρ=0.045,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7,302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σ_j=5.18%/j (Instable) — Vol. annualisée≈82.3%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5,108</w:t>
            </w:r>
          </w:p>
        </w:tc>
        <w:tc>
          <w:tcPr>
            <w:tcW w:type="dxa" w:w="1440"/>
            <w:shd w:fill="FFDCE0" w:val="clear"/>
          </w:tcPr>
          <w:p>
            <w:r>
              <w:rPr>
                <w:b/>
                <w:sz w:val="17"/>
              </w:rPr>
              <w:t>5,425</w:t>
            </w:r>
          </w:p>
        </w:tc>
        <w:tc>
          <w:tcPr>
            <w:tcW w:type="dxa" w:w="1440"/>
            <w:shd w:fill="FFDCE0" w:val="clear"/>
          </w:tcPr>
          <w:p>
            <w:r>
              <w:rPr>
                <w:sz w:val="17"/>
              </w:rPr>
              <w:t>5,743</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4,603</w:t>
            </w:r>
          </w:p>
        </w:tc>
        <w:tc>
          <w:tcPr>
            <w:tcW w:type="dxa" w:w="1440"/>
            <w:shd w:fill="FFDCE0" w:val="clear"/>
          </w:tcPr>
          <w:p>
            <w:r>
              <w:rPr>
                <w:b/>
                <w:sz w:val="17"/>
              </w:rPr>
              <w:t>5,018</w:t>
            </w:r>
          </w:p>
        </w:tc>
        <w:tc>
          <w:tcPr>
            <w:tcW w:type="dxa" w:w="1440"/>
            <w:shd w:fill="FFDCE0" w:val="clear"/>
          </w:tcPr>
          <w:p>
            <w:r>
              <w:rPr>
                <w:sz w:val="17"/>
              </w:rPr>
              <w:t>5,434</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4,171</w:t>
            </w:r>
          </w:p>
        </w:tc>
        <w:tc>
          <w:tcPr>
            <w:tcW w:type="dxa" w:w="1440"/>
            <w:shd w:fill="FFDCE0" w:val="clear"/>
          </w:tcPr>
          <w:p>
            <w:r>
              <w:rPr>
                <w:b/>
                <w:sz w:val="17"/>
              </w:rPr>
              <w:t>4,642</w:t>
            </w:r>
          </w:p>
        </w:tc>
        <w:tc>
          <w:tcPr>
            <w:tcW w:type="dxa" w:w="1440"/>
            <w:shd w:fill="FFDCE0" w:val="clear"/>
          </w:tcPr>
          <w:p>
            <w:r>
              <w:rPr>
                <w:sz w:val="17"/>
              </w:rPr>
              <w:t>5,112</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3,791</w:t>
            </w:r>
          </w:p>
        </w:tc>
        <w:tc>
          <w:tcPr>
            <w:tcW w:type="dxa" w:w="1440"/>
            <w:shd w:fill="FFDCE0" w:val="clear"/>
          </w:tcPr>
          <w:p>
            <w:r>
              <w:rPr>
                <w:b/>
                <w:sz w:val="17"/>
              </w:rPr>
              <w:t>4,294</w:t>
            </w:r>
          </w:p>
        </w:tc>
        <w:tc>
          <w:tcPr>
            <w:tcW w:type="dxa" w:w="1440"/>
            <w:shd w:fill="FFDCE0" w:val="clear"/>
          </w:tcPr>
          <w:p>
            <w:r>
              <w:rPr>
                <w:sz w:val="17"/>
              </w:rPr>
              <w:t>4,796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3,452</w:t>
            </w:r>
          </w:p>
        </w:tc>
        <w:tc>
          <w:tcPr>
            <w:tcW w:type="dxa" w:w="1440"/>
            <w:shd w:fill="FFDCE0" w:val="clear"/>
          </w:tcPr>
          <w:p>
            <w:r>
              <w:rPr>
                <w:b/>
                <w:sz w:val="17"/>
              </w:rPr>
              <w:t>3,972</w:t>
            </w:r>
          </w:p>
        </w:tc>
        <w:tc>
          <w:tcPr>
            <w:tcW w:type="dxa" w:w="1440"/>
            <w:shd w:fill="FFDCE0" w:val="clear"/>
          </w:tcPr>
          <w:p>
            <w:r>
              <w:rPr>
                <w:sz w:val="17"/>
              </w:rPr>
              <w:t>4,491</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3,147</w:t>
            </w:r>
          </w:p>
        </w:tc>
        <w:tc>
          <w:tcPr>
            <w:tcW w:type="dxa" w:w="1440"/>
            <w:shd w:fill="FFDCE0" w:val="clear"/>
          </w:tcPr>
          <w:p>
            <w:r>
              <w:rPr>
                <w:b/>
                <w:sz w:val="17"/>
              </w:rPr>
              <w:t>3,674</w:t>
            </w:r>
          </w:p>
        </w:tc>
        <w:tc>
          <w:tcPr>
            <w:tcW w:type="dxa" w:w="1440"/>
            <w:shd w:fill="FFDCE0" w:val="clear"/>
          </w:tcPr>
          <w:p>
            <w:r>
              <w:rPr>
                <w:sz w:val="17"/>
              </w:rPr>
              <w:t>4,200</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2,872</w:t>
            </w:r>
          </w:p>
        </w:tc>
        <w:tc>
          <w:tcPr>
            <w:tcW w:type="dxa" w:w="1440"/>
            <w:shd w:fill="FFDCE0" w:val="clear"/>
          </w:tcPr>
          <w:p>
            <w:r>
              <w:rPr>
                <w:b/>
                <w:sz w:val="17"/>
              </w:rPr>
              <w:t>3,398</w:t>
            </w:r>
          </w:p>
        </w:tc>
        <w:tc>
          <w:tcPr>
            <w:tcW w:type="dxa" w:w="1440"/>
            <w:shd w:fill="FFDCE0" w:val="clear"/>
          </w:tcPr>
          <w:p>
            <w:r>
              <w:rPr>
                <w:sz w:val="17"/>
              </w:rPr>
              <w:t>3,924</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2,623</w:t>
            </w:r>
          </w:p>
        </w:tc>
        <w:tc>
          <w:tcPr>
            <w:tcW w:type="dxa" w:w="1440"/>
            <w:shd w:fill="FFDCE0" w:val="clear"/>
          </w:tcPr>
          <w:p>
            <w:r>
              <w:rPr>
                <w:b/>
                <w:sz w:val="17"/>
              </w:rPr>
              <w:t>3,143</w:t>
            </w:r>
          </w:p>
        </w:tc>
        <w:tc>
          <w:tcPr>
            <w:tcW w:type="dxa" w:w="1440"/>
            <w:shd w:fill="FFDCE0" w:val="clear"/>
          </w:tcPr>
          <w:p>
            <w:r>
              <w:rPr>
                <w:sz w:val="17"/>
              </w:rPr>
              <w:t>3,664</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2,397</w:t>
            </w:r>
          </w:p>
        </w:tc>
        <w:tc>
          <w:tcPr>
            <w:tcW w:type="dxa" w:w="1440"/>
            <w:shd w:fill="FFDCE0" w:val="clear"/>
          </w:tcPr>
          <w:p>
            <w:r>
              <w:rPr>
                <w:b/>
                <w:sz w:val="17"/>
              </w:rPr>
              <w:t>2,908</w:t>
            </w:r>
          </w:p>
        </w:tc>
        <w:tc>
          <w:tcPr>
            <w:tcW w:type="dxa" w:w="1440"/>
            <w:shd w:fill="FFDCE0" w:val="clear"/>
          </w:tcPr>
          <w:p>
            <w:r>
              <w:rPr>
                <w:sz w:val="17"/>
              </w:rPr>
              <w:t>3,418</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2,192</w:t>
            </w:r>
          </w:p>
        </w:tc>
        <w:tc>
          <w:tcPr>
            <w:tcW w:type="dxa" w:w="1440"/>
            <w:shd w:fill="FFDCE0" w:val="clear"/>
          </w:tcPr>
          <w:p>
            <w:r>
              <w:rPr>
                <w:b/>
                <w:sz w:val="17"/>
              </w:rPr>
              <w:t>2,690</w:t>
            </w:r>
          </w:p>
        </w:tc>
        <w:tc>
          <w:tcPr>
            <w:tcW w:type="dxa" w:w="1440"/>
            <w:shd w:fill="FFDCE0" w:val="clear"/>
          </w:tcPr>
          <w:p>
            <w:r>
              <w:rPr>
                <w:sz w:val="17"/>
              </w:rPr>
              <w:t>3,187</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CI)**</w:t>
        <w:br/>
        <w:t>**Date : 31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47,62 milliards FCFA, un niveau modeste dans l'écosystème de la BRVM, reflétant le profil de petite capitalisation de la banque. Le BPA de 86 FCFA par action indique une rentabilité par titre encore faible, cohérente avec un résultat net de 701 millions FCFA. Le PER de 67,9x est extrêmement élevé par rapport à la moyenne historique de la BRVM (8-12x), signifiant que les investisseurs paient une prime considérable pour chaque franc de bénéfice — une valorisation qui intègre des attentes de croissance très optimistes. Le P/B de 8,05x confirme cette exubérance, le marché valorisant le titre bien au-delà de sa valeur comptable (5,9 milliards FCFA de capitaux propres). Enfin, l'EV/EBITDA de 81,9x, très supérieur au seuil de 15x jugé exigeant, souligne une décote opérationnelle majeure : la capacité bénéficiaire brute de l'entreprise ne justifie pas, à ce stade, une telle valorisation.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SAFC a enregistré une variation totale de -21,80%, avec une légère reprise de +0,26% lors de la dernière séance. Le cours a évolué dans une fourchette très large, oscillant entre un plus bas de 3 340 FCFA et un plus haut de 7 500 FCFA, illustrant une volatilité extrême. La moyenne du cours sur la période (4 735 FCFA) est supérieure à la médiane (4 505 FCFA), et le skewness positif de 0,957 indique une distribution asymétrique avec des journées majoritairement sous la moyenne, mais ponctuées de fortes hausses. L'écart-type de 1 050 FCFA (CV = 22,2%) confirme une dispersion importante, tandis que le kurtosis de 0,224 (mésokurtique) suggère un profil de risque proche d'une distribution normale, sans pics extrêmes fréquents. La volatilité annualisée de 82,3% classe SAFC parmi les valeurs les plus risquées du marché, très au-delà du seuil de 30% considéré comme élevé.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5 865 FCFA se situe nettement au-dessus de la MM20 (5 445,25 FCFA) et de la MM50 (4 900,4 FCFA), avec une configuration haussière. La MM20 étant au-dessus de la MM50, la tendance de fond est positive, justifiant la décision d'achat. Cependant, l'écart important entre le cours et la MM50 suggère une possible correction à venir.</w:t>
      </w:r>
    </w:p>
    <w:p>
      <w:pPr>
        <w:spacing w:after="120" w:line="276" w:lineRule="auto"/>
      </w:pPr>
      <w:r>
        <w:t>**Bandes de Bollinger :** Le prix se positionne dans la partie supérieure des bandes (borne haute à 6 176,64 FCFA, borne basse à 4 713,86 FCFA), indiquant une pression acheteuse soutenue. La décision "Neutre" reflète un cours proche de la borne supérieure sans franchissement décisif, avec une volatilité en expansion qui pourrait précéder un mouvement directionnel.</w:t>
      </w:r>
    </w:p>
    <w:p>
      <w:pPr>
        <w:spacing w:after="120" w:line="276" w:lineRule="auto"/>
      </w:pPr>
      <w:r>
        <w:t>**MACD :** Le MACD (310,831) est au-dessus de sa ligne de signal (296,857), confirmant un momentum haussier. La divergence positive, bien que modérée, indique une dynamique de prix favorable. La décision "Achat" est cohérente avec cette configuration technique.</w:t>
      </w:r>
    </w:p>
    <w:p>
      <w:pPr>
        <w:spacing w:after="120" w:line="276" w:lineRule="auto"/>
      </w:pPr>
      <w:r>
        <w:t>**RSI :** À 64,964, le RSI se situe en zone neutre-haute, proche du seuil de surachat (70). Cela suggère que le titre conserve un potentiel haussier mais que la prudence est de mise, car une entrée en zone de surachat pourrait déclencher des prises de bénéfices. La décision "Neutre" est appropriée.</w:t>
      </w:r>
    </w:p>
    <w:p>
      <w:pPr>
        <w:spacing w:after="120" w:line="276" w:lineRule="auto"/>
      </w:pPr>
      <w:r>
        <w:t>**Stochastique :** Le %K (96,789) et le %D (97,401) sont tous deux en zone de surachat extrême (&gt;80), avec un %D au-dessus du %K, signalant un épuisement potentiel du mouvement haussier. La décision "Vente" est justifiée par cette configuration, qui précède souvent une correction technique.</w:t>
      </w:r>
    </w:p>
    <w:p>
      <w:pPr>
        <w:spacing w:after="120" w:line="276" w:lineRule="auto"/>
      </w:pPr>
      <w:r>
        <w:t>**Conclusion technique :** Les indicateurs sont mitigés : les moyennes mobiles et le MACD soutiennent une tendance haussière, tandis que le RSI et surtout le stochastique signalent une surchauffe imminente. Le titre est en fin de cycle haussier à court terme, avec un risque élevé de correction technique. La prudence est recommandée avant tout nouvel achat.</w:t>
      </w:r>
    </w:p>
    <w:p>
      <w:pPr>
        <w:spacing w:after="120" w:line="276" w:lineRule="auto"/>
      </w:pPr>
      <w:r>
        <w:t>---</w:t>
      </w:r>
    </w:p>
    <w:p>
      <w:pPr>
        <w:spacing w:after="120" w:line="276" w:lineRule="auto"/>
      </w:pPr>
      <w:r>
        <w:t>### PARTIE 3 : ANALYSE FONDAMENTALE (SECTION CRITIQUE)</w:t>
      </w:r>
    </w:p>
    <w:p>
      <w:pPr>
        <w:spacing w:after="120" w:line="276" w:lineRule="auto"/>
      </w:pPr>
      <w:r>
        <w:t>En 2025, SAFC a réalisé un retournement spectaculaire avec un PNB de 5,735 milliards FCFA (+44,1% vs 2024) et un résultat net positif de 701 millions FCFA, après huit années de pertes consécutives. Le ROE s'établit à 11,85% et le ROA à 0,88%, des niveaux encore modestes mais en nette amélioration. Le coefficient d'exploitation de 77,63% reste élevé (supérieur au seuil de 60% jugé efficace), indiquant une structure de coûts encore lourde. Le coût du risque de 6,57% est préoccupant, reflétant une qualité de portefeuille fragile. La structure de bilan montre une forte dépendance aux dettes interbancaires (35,747 milliards FCFA) par rapport aux dépôts clientèle (9,112 milliards FCFA), un déséquilibre de transformation risqué. Les capitaux propres de 5,916 milliards FCFA restent faibles (autonomie financière de 7,44%), et le report à nouveau demeure négatif (-4,123 milliards FCFA). Sur la base du rapport T1 2026 (PNB de 1,395 milliards FCFA, +29%, et résultat net de 151 millions FCFA, +1062%), on estime que l'exercice 2026 pourrait voir un PNB annuel autour de 6,5-7 milliards FCFA et un résultat net de 600-700 millions FCFA, confirmant la trajectoire de redressement. Cependant, la valorisation actuelle (PER 67,9x) anticipe déjà une croissance bien supérieure à ces estimations prudentes.</w:t>
      </w:r>
    </w:p>
    <w:p>
      <w:pPr>
        <w:spacing w:after="120" w:line="276" w:lineRule="auto"/>
      </w:pPr>
      <w:r>
        <w:t>---</w:t>
      </w:r>
    </w:p>
    <w:p>
      <w:pPr>
        <w:spacing w:after="120" w:line="276" w:lineRule="auto"/>
      </w:pPr>
      <w:r>
        <w:t>### PARTIE 4 : CONCLUSION D'INVESTISSEMENT</w:t>
      </w:r>
    </w:p>
    <w:p>
      <w:pPr>
        <w:spacing w:after="120" w:line="276" w:lineRule="auto"/>
      </w:pPr>
      <w:r>
        <w:t>La valorisation de SAFC est extrêmement exigeante (PER 67,9x, P/B 8,05x, EV/EBITDA 81,9x), traduisant une surévaluation manifeste par rapport aux fondamentaux actuels. Le comportement du cours, avec une chute de -21,8% sur 100 jours et une volatilité annualisée de 82,3%, reflète une instabilité préoccupante, bien que les statistiques (skewness positif, kurtosis mésokurtique) indiquent un profil de risque non extrême. Les signaux techniques sont divergents : la tendance de fond (MM, MACD) reste haussière, mais les indicateurs de momentum (RSI, Stochastique) signalent une surchauffe imminente. Les fondamentaux montrent un redressement réel et prometteur, porté par CREDAF Group, mais la structure financière reste fragile (capitaux propres insuffisants, coût du risque élevé). Les prédictions IA (baisse de 5 425 FCFA à 3 972 FCFA sur 10 jours) confirment le risque de correction technique. En synthèse, la convergence entre la surévaluation boursière, la surchauffe technique et les prédictions baissières conduit à une recommandation **VENTE** pour les investisseurs à court terme, avec un niveau de confiance **Moyen** et un risque global **Élevé**. Pour les investisseurs long terme (&gt;1 an), conserver une position de surveillance est envisageable, mais l'horizon optimal est le **court terme (&lt;3 mois)** pour éviter une correction probable.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66.15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12,701 titres</w:t>
            </w:r>
          </w:p>
        </w:tc>
        <w:tc>
          <w:tcPr>
            <w:tcW w:type="dxa" w:w="2268"/>
            <w:shd w:fill="FFF2CC" w:val="clear"/>
          </w:tcPr>
          <w:p>
            <w:r>
              <w:rPr>
                <w:b/>
                <w:color w:val="503200"/>
                <w:sz w:val="16"/>
              </w:rPr>
              <w:t xml:space="preserve">Cours actuel : </w:t>
            </w:r>
            <w:r>
              <w:rPr>
                <w:color w:val="000000"/>
                <w:sz w:val="17"/>
              </w:rPr>
              <w:t>3,375 FCFA</w:t>
            </w:r>
          </w:p>
          <w:p>
            <w:r>
              <w:rPr>
                <w:b/>
                <w:color w:val="503200"/>
                <w:sz w:val="16"/>
              </w:rPr>
              <w:t xml:space="preserve">Var. 100 jours : </w:t>
            </w:r>
            <w:r>
              <w:rPr>
                <w:b/>
                <w:color w:val="007800"/>
                <w:sz w:val="17"/>
              </w:rPr>
              <w:t>+86.46%</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1,810 FCFA</w:t>
            </w:r>
          </w:p>
          <w:p>
            <w:r>
              <w:rPr>
                <w:b/>
                <w:color w:val="503200"/>
                <w:sz w:val="16"/>
              </w:rPr>
              <w:t xml:space="preserve">Volatilité ann. : </w:t>
            </w:r>
            <w:r>
              <w:rPr>
                <w:color w:val="000000"/>
                <w:sz w:val="17"/>
              </w:rPr>
              <w:t>55.5%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21.97% (Élevée) — μ=2,926 FCFA, σ=643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β=0.4456 (Défensif) — Cov=0.000016, Var(idx)=0.000036, ρ=0.078,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12,701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σ_j=3.49%/j (Modérée) — Vol. annualisée≈55.5%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2,986</w:t>
            </w:r>
          </w:p>
        </w:tc>
        <w:tc>
          <w:tcPr>
            <w:tcW w:type="dxa" w:w="1440"/>
            <w:shd w:fill="FFDCE0" w:val="clear"/>
          </w:tcPr>
          <w:p>
            <w:r>
              <w:rPr>
                <w:b/>
                <w:sz w:val="17"/>
              </w:rPr>
              <w:t>3,122</w:t>
            </w:r>
          </w:p>
        </w:tc>
        <w:tc>
          <w:tcPr>
            <w:tcW w:type="dxa" w:w="1440"/>
            <w:shd w:fill="FFDCE0" w:val="clear"/>
          </w:tcPr>
          <w:p>
            <w:r>
              <w:rPr>
                <w:sz w:val="17"/>
              </w:rPr>
              <w:t>3,258</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2,709</w:t>
            </w:r>
          </w:p>
        </w:tc>
        <w:tc>
          <w:tcPr>
            <w:tcW w:type="dxa" w:w="1440"/>
            <w:shd w:fill="FFDCE0" w:val="clear"/>
          </w:tcPr>
          <w:p>
            <w:r>
              <w:rPr>
                <w:b/>
                <w:sz w:val="17"/>
              </w:rPr>
              <w:t>2,888</w:t>
            </w:r>
          </w:p>
        </w:tc>
        <w:tc>
          <w:tcPr>
            <w:tcW w:type="dxa" w:w="1440"/>
            <w:shd w:fill="FFDCE0" w:val="clear"/>
          </w:tcPr>
          <w:p>
            <w:r>
              <w:rPr>
                <w:sz w:val="17"/>
              </w:rPr>
              <w:t>3,066</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2,469</w:t>
            </w:r>
          </w:p>
        </w:tc>
        <w:tc>
          <w:tcPr>
            <w:tcW w:type="dxa" w:w="1440"/>
            <w:shd w:fill="FFDCE0" w:val="clear"/>
          </w:tcPr>
          <w:p>
            <w:r>
              <w:rPr>
                <w:b/>
                <w:sz w:val="17"/>
              </w:rPr>
              <w:t>2,671</w:t>
            </w:r>
          </w:p>
        </w:tc>
        <w:tc>
          <w:tcPr>
            <w:tcW w:type="dxa" w:w="1440"/>
            <w:shd w:fill="FFDCE0" w:val="clear"/>
          </w:tcPr>
          <w:p>
            <w:r>
              <w:rPr>
                <w:sz w:val="17"/>
              </w:rPr>
              <w:t>2,873</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2,255</w:t>
            </w:r>
          </w:p>
        </w:tc>
        <w:tc>
          <w:tcPr>
            <w:tcW w:type="dxa" w:w="1440"/>
            <w:shd w:fill="FFDCE0" w:val="clear"/>
          </w:tcPr>
          <w:p>
            <w:r>
              <w:rPr>
                <w:b/>
                <w:sz w:val="17"/>
              </w:rPr>
              <w:t>2,471</w:t>
            </w:r>
          </w:p>
        </w:tc>
        <w:tc>
          <w:tcPr>
            <w:tcW w:type="dxa" w:w="1440"/>
            <w:shd w:fill="FFDCE0" w:val="clear"/>
          </w:tcPr>
          <w:p>
            <w:r>
              <w:rPr>
                <w:sz w:val="17"/>
              </w:rPr>
              <w:t>2,687</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2,062</w:t>
            </w:r>
          </w:p>
        </w:tc>
        <w:tc>
          <w:tcPr>
            <w:tcW w:type="dxa" w:w="1440"/>
            <w:shd w:fill="FFDCE0" w:val="clear"/>
          </w:tcPr>
          <w:p>
            <w:r>
              <w:rPr>
                <w:b/>
                <w:sz w:val="17"/>
              </w:rPr>
              <w:t>2,286</w:t>
            </w:r>
          </w:p>
        </w:tc>
        <w:tc>
          <w:tcPr>
            <w:tcW w:type="dxa" w:w="1440"/>
            <w:shd w:fill="FFDCE0" w:val="clear"/>
          </w:tcPr>
          <w:p>
            <w:r>
              <w:rPr>
                <w:sz w:val="17"/>
              </w:rPr>
              <w:t>2,509</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1,888</w:t>
            </w:r>
          </w:p>
        </w:tc>
        <w:tc>
          <w:tcPr>
            <w:tcW w:type="dxa" w:w="1440"/>
            <w:shd w:fill="FFDCE0" w:val="clear"/>
          </w:tcPr>
          <w:p>
            <w:r>
              <w:rPr>
                <w:b/>
                <w:sz w:val="17"/>
              </w:rPr>
              <w:t>2,114</w:t>
            </w:r>
          </w:p>
        </w:tc>
        <w:tc>
          <w:tcPr>
            <w:tcW w:type="dxa" w:w="1440"/>
            <w:shd w:fill="FFDCE0" w:val="clear"/>
          </w:tcPr>
          <w:p>
            <w:r>
              <w:rPr>
                <w:sz w:val="17"/>
              </w:rPr>
              <w:t>2,340</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1,730</w:t>
            </w:r>
          </w:p>
        </w:tc>
        <w:tc>
          <w:tcPr>
            <w:tcW w:type="dxa" w:w="1440"/>
            <w:shd w:fill="FFDCE0" w:val="clear"/>
          </w:tcPr>
          <w:p>
            <w:r>
              <w:rPr>
                <w:b/>
                <w:sz w:val="17"/>
              </w:rPr>
              <w:t>1,956</w:t>
            </w:r>
          </w:p>
        </w:tc>
        <w:tc>
          <w:tcPr>
            <w:tcW w:type="dxa" w:w="1440"/>
            <w:shd w:fill="FFDCE0" w:val="clear"/>
          </w:tcPr>
          <w:p>
            <w:r>
              <w:rPr>
                <w:sz w:val="17"/>
              </w:rPr>
              <w:t>2,181</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1,586</w:t>
            </w:r>
          </w:p>
        </w:tc>
        <w:tc>
          <w:tcPr>
            <w:tcW w:type="dxa" w:w="1440"/>
            <w:shd w:fill="FFDCE0" w:val="clear"/>
          </w:tcPr>
          <w:p>
            <w:r>
              <w:rPr>
                <w:b/>
                <w:sz w:val="17"/>
              </w:rPr>
              <w:t>1,809</w:t>
            </w:r>
          </w:p>
        </w:tc>
        <w:tc>
          <w:tcPr>
            <w:tcW w:type="dxa" w:w="1440"/>
            <w:shd w:fill="FFDCE0" w:val="clear"/>
          </w:tcPr>
          <w:p>
            <w:r>
              <w:rPr>
                <w:sz w:val="17"/>
              </w:rPr>
              <w:t>2,032</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1,454</w:t>
            </w:r>
          </w:p>
        </w:tc>
        <w:tc>
          <w:tcPr>
            <w:tcW w:type="dxa" w:w="1440"/>
            <w:shd w:fill="FFDCE0" w:val="clear"/>
          </w:tcPr>
          <w:p>
            <w:r>
              <w:rPr>
                <w:b/>
                <w:sz w:val="17"/>
              </w:rPr>
              <w:t>1,673</w:t>
            </w:r>
          </w:p>
        </w:tc>
        <w:tc>
          <w:tcPr>
            <w:tcW w:type="dxa" w:w="1440"/>
            <w:shd w:fill="FFDCE0" w:val="clear"/>
          </w:tcPr>
          <w:p>
            <w:r>
              <w:rPr>
                <w:sz w:val="17"/>
              </w:rPr>
              <w:t>1,892</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1,334</w:t>
            </w:r>
          </w:p>
        </w:tc>
        <w:tc>
          <w:tcPr>
            <w:tcW w:type="dxa" w:w="1440"/>
            <w:shd w:fill="FFDCE0" w:val="clear"/>
          </w:tcPr>
          <w:p>
            <w:r>
              <w:rPr>
                <w:b/>
                <w:sz w:val="17"/>
              </w:rPr>
              <w:t>1,548</w:t>
            </w:r>
          </w:p>
        </w:tc>
        <w:tc>
          <w:tcPr>
            <w:tcW w:type="dxa" w:w="1440"/>
            <w:shd w:fill="FFDCE0" w:val="clear"/>
          </w:tcPr>
          <w:p>
            <w:r>
              <w:rPr>
                <w:sz w:val="17"/>
              </w:rPr>
              <w:t>1,761</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SCRC s'établit à 66,15 milliards FCFA, un niveau modeste dans l'environnement BRVM qui reflète les incertitudes pesant sur la valeur. Le BPA est négatif à -406 FCFA, traduisant une perte nette par action, ce qui rend le PER non significatif à -8,3x. Les investisseurs ne peuvent donc pas s'appuyer sur ce multiple pour évaluer le titre, la société étant déficitaire. Le P/B de 3,84x indique que le marché valorise l'actif net à près de quatre fois sa valeur comptable, ce qui est élevé pour une entreprise en perte, suggérant une prime de croissance ou des anticipations de redressement. Enfin, l'EV/EBITDA de 10,6x se situe dans la fourchette haute (10-15x), signalant une valorisation généreuse par rapport à la capacité bénéficiaire brute actuelle, malgré des fondamentaux dégradés.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SCRC a enregistré une variation totale spectaculaire de +86,46%, avec un cours actuel de 3 375 FCFA, tandis que la dernière séance est restée stable (0,00%). Le titre a évolué dans une fourchette très large, oscillant entre un plus bas de 1 810 FCFA et un plus haut de 3 920 FCFA, démontrant une forte volatilité et un intérêt marqué des investisseurs. La moyenne du cours sur la période est de 2 926 FCFA, inférieure à la médiane de 3 095 FCFA, indiquant une distribution légèrement asymétrique avec des valeurs extrêmes à la baisse. L'écart-type de 646 FCFA (CV=22,1%) révèle une dispersion modérée, tandis que le kurtosis négatif (-1,429) suggère une distribution aplatie, sans pics de variation extrêmes. Le skewness de -0,302 confirme une asymétrie vers les rendements négatifs. Enfin, la volatilité annualisée de 55,5% classe le titre comme très risqué, bien au-delà du seuil de 30% considéré comme élevé.</w:t>
      </w:r>
    </w:p>
    <w:p>
      <w:pPr>
        <w:spacing w:after="120" w:line="276" w:lineRule="auto" w:before="240"/>
      </w:pPr>
      <w:r>
        <w:rPr>
          <w:b/>
          <w:color w:val="003366"/>
          <w:sz w:val="24"/>
        </w:rPr>
        <w:t>**PARTIE 2 : ANALYSE TECHNIQUE DÉTAILLÉE**</w:t>
      </w:r>
    </w:p>
    <w:p>
      <w:pPr>
        <w:spacing w:after="120" w:line="276" w:lineRule="auto"/>
      </w:pPr>
      <w:r>
        <w:t>Les moyennes mobiles MM20 (3 551 FCFA) et MM50 (3 485,8 FCFA) sont toutes deux supérieures au cours actuel de 3 375 FCFA, ce qui indique une pression baissière à court terme. Cependant, la MM20 étant inférieure à la MM50, la tendance pourrait s'inverser à la hausse si le cours repasse au-dessus de ces niveaux. La décision d'achat signalée semble prématurée, mais reflète un potentiel de retournement.</w:t>
      </w:r>
    </w:p>
    <w:p>
      <w:pPr>
        <w:spacing w:after="120" w:line="276" w:lineRule="auto"/>
      </w:pPr>
      <w:r>
        <w:t>Le cours se situe sous la borne inférieure des bandes de Bollinger (3 275,9 FCFA), proche de la limite basse, ce qui suggère une condition de survente. La borne supérieure à 3 826 FCFA indique une volatilité élevée. La décision neutre est cohérente avec une position en attente d'un signal de rebond ou de cassure.</w:t>
      </w:r>
    </w:p>
    <w:p>
      <w:pPr>
        <w:spacing w:after="120" w:line="276" w:lineRule="auto"/>
      </w:pPr>
      <w:r>
        <w:t>Le MACD affiche une valeur négative de -38,2 avec un signal à -0,48, montrant une divergence baissière. Le momentum est clairement négatif, mais l'écart entre le MACD et son signal se réduit, ce qui pourrait annoncer un retournement haussier à moyen terme. La décision de vente est justifiée par la dynamique actuelle.</w:t>
      </w:r>
    </w:p>
    <w:p>
      <w:pPr>
        <w:spacing w:after="120" w:line="276" w:lineRule="auto"/>
      </w:pPr>
      <w:r>
        <w:t>Le RSI à 37,2 se situe en zone neutre, proche de la zone de survente (&lt;30), indiquant que le titre n'est ni suracheté ni survendu. Cela laisse une marge de manœuvre avant une éventuelle correction ou un rebond. La décision neutre est appropriée.</w:t>
      </w:r>
    </w:p>
    <w:p>
      <w:pPr>
        <w:spacing w:after="120" w:line="276" w:lineRule="auto"/>
      </w:pPr>
      <w:r>
        <w:t>Le stochastique %K et %D sont tous deux à 7,2, en territoire de survente profonde (&lt;20). Ce niveau extrême suggère un fort potentiel de rebond technique à court terme. La décision d'achat est justifiée par ce signal de retournement imminent.</w:t>
      </w:r>
    </w:p>
    <w:p>
      <w:pPr>
        <w:spacing w:after="120" w:line="276" w:lineRule="auto"/>
      </w:pPr>
      <w:r>
        <w:t>En conclusion technique, les indicateurs sont mitigés : les moyennes mobiles et le MACD pointent vers une faiblesse persistante, tandis que le stochastique et le RSI suggèrent une survente propice à un rebond. La configuration globale reste incertaine, mais les signaux de retournement technique commencent à émerger.</w:t>
      </w:r>
    </w:p>
    <w:p>
      <w:pPr>
        <w:spacing w:after="120" w:line="276" w:lineRule="auto" w:before="240"/>
      </w:pPr>
      <w:r>
        <w:rPr>
          <w:b/>
          <w:color w:val="003366"/>
          <w:sz w:val="24"/>
        </w:rPr>
        <w:t>**PARTIE 3 : ANALYSE FONDAMENTALE (SECTION CRITIQUE)**</w:t>
      </w:r>
    </w:p>
    <w:p>
      <w:pPr>
        <w:spacing w:after="120" w:line="276" w:lineRule="auto"/>
      </w:pPr>
      <w:r>
        <w:t>En 2025, les états financiers annuels de SCRC révèlent une situation préoccupante : le chiffre d'affaires s'établit à 80,57 milliards FCFA, en baisse de 7,6% par rapport à 2024 (87,22 milliards FCFA), tandis que le résultat net est une perte massive de 7,95 milliards FCFA, contre un bénéfice de 2,47 milliards FCFA en 2024. La marge nette est ainsi négative à -9,9%, et le ROE s'effondre à -46,1%, tandis que le ROA atteint -5,1%. Les ratios de structure montrent une autonomie financière très faible (11,0%) et un endettement critique (ratio d'endettement de 89,0%). Les délais d'exploitation sont déséquilibrés : le délai fournisseurs est très long (366 jours), mais le délai de stockage est également élevé (360,7 jours), immobilisant le capital. Le BFR est positif à 6,53 milliards FCFA, ce qui est défavorable. Les rapports narratifs de 2025 confirment cette dégradation, avec une explosion des charges financières (+262% à 6,79 milliards FCFA) et un endettement long terme multiplié par 2,7. Sur la base des rapports du S1 2025 (perte de 6,71 milliards FCFA) et du T1 2025 (bénéfice de 3,21 milliards FCFA), on estime que l'exercice 2026 pourrait rester difficile, avec une production attendue en hausse (90 000-95 000 tonnes) mais des charges financières toujours lourdes. La recommandation fondamentale est donc de vendre, compte tenu de la fragilité financière et des perspectives incertaines.</w:t>
      </w:r>
    </w:p>
    <w:p>
      <w:pPr>
        <w:spacing w:after="120" w:line="276" w:lineRule="auto" w:before="240"/>
      </w:pPr>
      <w:r>
        <w:rPr>
          <w:b/>
          <w:color w:val="003366"/>
          <w:sz w:val="24"/>
        </w:rPr>
        <w:t>**PARTIE 4 : CONCLUSION D'INVESTISSEMENT**</w:t>
      </w:r>
    </w:p>
    <w:p>
      <w:pPr>
        <w:spacing w:after="120" w:line="276" w:lineRule="auto"/>
      </w:pPr>
      <w:r>
        <w:t>La valorisation de SCRC est préoccupante : le PER est négatif, le P/B de 3,84x est élevé pour une société déficitaire, et l'EV/EBITDA de 10,6x suggère une surévaluation relative. Le comportement du cours, avec une hausse de 86% sur 100 jours mais une volatilité extrême (55,5%), indique un marché spéculatif, tandis que les statistiques (kurtosis plat, skewness négatif) montrent une distribution instable. Les signaux techniques sont divergents : les moyennes mobiles et le MACD sont baissiers, mais le stochastique en survente et le RSI neutre suggèrent un potentiel de rebond. Les fondamentaux sont clairement négatifs, avec une perte nette massive, un endettement critique et une trésorerie nette négative. Les prédictions IA pour les 10 prochains jours (baisse de 3 122 à 2 286 FCFA) confirment la tendance baissière. En synthèse, la convergence entre la valorisation élevée, les fondamentaux dégradés et les prédictions baissières l'emporte sur les signaux techniques de rebond. La recommandation finale est **VENTE**, avec un niveau de confiance **Élevé** et un risque global **Élevé**. L'horizon d'investissement optimal est le court terme (&lt;3 mois), pour éviter une dépréciation supplémentaire du capital.</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117.00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1,027 titres</w:t>
            </w:r>
          </w:p>
        </w:tc>
        <w:tc>
          <w:tcPr>
            <w:tcW w:type="dxa" w:w="2268"/>
            <w:shd w:fill="FFF2CC" w:val="clear"/>
          </w:tcPr>
          <w:p>
            <w:r>
              <w:rPr>
                <w:b/>
                <w:color w:val="503200"/>
                <w:sz w:val="16"/>
              </w:rPr>
              <w:t xml:space="preserve">Cours actuel : </w:t>
            </w:r>
            <w:r>
              <w:rPr>
                <w:color w:val="000000"/>
                <w:sz w:val="17"/>
              </w:rPr>
              <w:t>13,000 FCFA</w:t>
            </w:r>
          </w:p>
          <w:p>
            <w:r>
              <w:rPr>
                <w:b/>
                <w:color w:val="503200"/>
                <w:sz w:val="16"/>
              </w:rPr>
              <w:t xml:space="preserve">Var. 100 jours : </w:t>
            </w:r>
            <w:r>
              <w:rPr>
                <w:b/>
                <w:color w:val="007800"/>
                <w:sz w:val="17"/>
              </w:rPr>
              <w:t>+75.68%</w:t>
            </w:r>
          </w:p>
          <w:p>
            <w:r>
              <w:rPr>
                <w:b/>
                <w:color w:val="503200"/>
                <w:sz w:val="16"/>
              </w:rPr>
              <w:t xml:space="preserve">Plus haut 100j : </w:t>
            </w:r>
            <w:r>
              <w:rPr>
                <w:color w:val="000000"/>
                <w:sz w:val="17"/>
              </w:rPr>
              <w:t>13,000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36.2%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17.02% (Élevée) — μ=10,670 FCFA, σ=1,816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β=0.1255 (Défensif) — Cov=0.000005, Var(idx)=0.000036, ρ=0.033,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1,027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11,901</w:t>
            </w:r>
          </w:p>
        </w:tc>
        <w:tc>
          <w:tcPr>
            <w:tcW w:type="dxa" w:w="1440"/>
            <w:shd w:fill="FFDCE0" w:val="clear"/>
          </w:tcPr>
          <w:p>
            <w:r>
              <w:rPr>
                <w:b/>
                <w:sz w:val="17"/>
              </w:rPr>
              <w:t>12,284</w:t>
            </w:r>
          </w:p>
        </w:tc>
        <w:tc>
          <w:tcPr>
            <w:tcW w:type="dxa" w:w="1440"/>
            <w:shd w:fill="FFDCE0" w:val="clear"/>
          </w:tcPr>
          <w:p>
            <w:r>
              <w:rPr>
                <w:sz w:val="17"/>
              </w:rPr>
              <w:t>12,667</w:t>
            </w:r>
          </w:p>
        </w:tc>
        <w:tc>
          <w:tcPr>
            <w:tcW w:type="dxa" w:w="1440"/>
            <w:shd w:fill="FFDCE0" w:val="clear"/>
          </w:tcPr>
          <w:p>
            <w:r>
              <w:rPr>
                <w:b/>
                <w:color w:val="C00000"/>
                <w:sz w:val="17"/>
              </w:rPr>
              <w:t>-5.5%</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11,581</w:t>
            </w:r>
          </w:p>
        </w:tc>
        <w:tc>
          <w:tcPr>
            <w:tcW w:type="dxa" w:w="1440"/>
            <w:shd w:fill="FFDCE0" w:val="clear"/>
          </w:tcPr>
          <w:p>
            <w:r>
              <w:rPr>
                <w:b/>
                <w:sz w:val="17"/>
              </w:rPr>
              <w:t>12,115</w:t>
            </w:r>
          </w:p>
        </w:tc>
        <w:tc>
          <w:tcPr>
            <w:tcW w:type="dxa" w:w="1440"/>
            <w:shd w:fill="FFDCE0" w:val="clear"/>
          </w:tcPr>
          <w:p>
            <w:r>
              <w:rPr>
                <w:sz w:val="17"/>
              </w:rPr>
              <w:t>12,649</w:t>
            </w:r>
          </w:p>
        </w:tc>
        <w:tc>
          <w:tcPr>
            <w:tcW w:type="dxa" w:w="1440"/>
            <w:shd w:fill="FFDCE0" w:val="clear"/>
          </w:tcPr>
          <w:p>
            <w:r>
              <w:rPr>
                <w:b/>
                <w:color w:val="C00000"/>
                <w:sz w:val="17"/>
              </w:rPr>
              <w:t>-6.8%</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11,315</w:t>
            </w:r>
          </w:p>
        </w:tc>
        <w:tc>
          <w:tcPr>
            <w:tcW w:type="dxa" w:w="1440"/>
            <w:shd w:fill="FFDCE0" w:val="clear"/>
          </w:tcPr>
          <w:p>
            <w:r>
              <w:rPr>
                <w:b/>
                <w:sz w:val="17"/>
              </w:rPr>
              <w:t>11,960</w:t>
            </w:r>
          </w:p>
        </w:tc>
        <w:tc>
          <w:tcPr>
            <w:tcW w:type="dxa" w:w="1440"/>
            <w:shd w:fill="FFDCE0" w:val="clear"/>
          </w:tcPr>
          <w:p>
            <w:r>
              <w:rPr>
                <w:sz w:val="17"/>
              </w:rPr>
              <w:t>12,606</w:t>
            </w:r>
          </w:p>
        </w:tc>
        <w:tc>
          <w:tcPr>
            <w:tcW w:type="dxa" w:w="1440"/>
            <w:shd w:fill="FFDCE0" w:val="clear"/>
          </w:tcPr>
          <w:p>
            <w:r>
              <w:rPr>
                <w:b/>
                <w:color w:val="C00000"/>
                <w:sz w:val="17"/>
              </w:rPr>
              <w:t>-8.0%</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11,082</w:t>
            </w:r>
          </w:p>
        </w:tc>
        <w:tc>
          <w:tcPr>
            <w:tcW w:type="dxa" w:w="1440"/>
            <w:shd w:fill="FFDCE0" w:val="clear"/>
          </w:tcPr>
          <w:p>
            <w:r>
              <w:rPr>
                <w:b/>
                <w:sz w:val="17"/>
              </w:rPr>
              <w:t>11,819</w:t>
            </w:r>
          </w:p>
        </w:tc>
        <w:tc>
          <w:tcPr>
            <w:tcW w:type="dxa" w:w="1440"/>
            <w:shd w:fill="FFDCE0" w:val="clear"/>
          </w:tcPr>
          <w:p>
            <w:r>
              <w:rPr>
                <w:sz w:val="17"/>
              </w:rPr>
              <w:t>12,556</w:t>
            </w:r>
          </w:p>
        </w:tc>
        <w:tc>
          <w:tcPr>
            <w:tcW w:type="dxa" w:w="1440"/>
            <w:shd w:fill="FFDCE0" w:val="clear"/>
          </w:tcPr>
          <w:p>
            <w:r>
              <w:rPr>
                <w:b/>
                <w:color w:val="C00000"/>
                <w:sz w:val="17"/>
              </w:rPr>
              <w:t>-9.1%</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10,875</w:t>
            </w:r>
          </w:p>
        </w:tc>
        <w:tc>
          <w:tcPr>
            <w:tcW w:type="dxa" w:w="1440"/>
            <w:shd w:fill="FFDCE0" w:val="clear"/>
          </w:tcPr>
          <w:p>
            <w:r>
              <w:rPr>
                <w:b/>
                <w:sz w:val="17"/>
              </w:rPr>
              <w:t>11,690</w:t>
            </w:r>
          </w:p>
        </w:tc>
        <w:tc>
          <w:tcPr>
            <w:tcW w:type="dxa" w:w="1440"/>
            <w:shd w:fill="FFDCE0" w:val="clear"/>
          </w:tcPr>
          <w:p>
            <w:r>
              <w:rPr>
                <w:sz w:val="17"/>
              </w:rPr>
              <w:t>12,505</w:t>
            </w:r>
          </w:p>
        </w:tc>
        <w:tc>
          <w:tcPr>
            <w:tcW w:type="dxa" w:w="1440"/>
            <w:shd w:fill="FFDCE0" w:val="clear"/>
          </w:tcPr>
          <w:p>
            <w:r>
              <w:rPr>
                <w:b/>
                <w:color w:val="C00000"/>
                <w:sz w:val="17"/>
              </w:rPr>
              <w:t>-10.1%</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10,689</w:t>
            </w:r>
          </w:p>
        </w:tc>
        <w:tc>
          <w:tcPr>
            <w:tcW w:type="dxa" w:w="1440"/>
            <w:shd w:fill="FFDCE0" w:val="clear"/>
          </w:tcPr>
          <w:p>
            <w:r>
              <w:rPr>
                <w:b/>
                <w:sz w:val="17"/>
              </w:rPr>
              <w:t>11,573</w:t>
            </w:r>
          </w:p>
        </w:tc>
        <w:tc>
          <w:tcPr>
            <w:tcW w:type="dxa" w:w="1440"/>
            <w:shd w:fill="FFDCE0" w:val="clear"/>
          </w:tcPr>
          <w:p>
            <w:r>
              <w:rPr>
                <w:sz w:val="17"/>
              </w:rPr>
              <w:t>12,457</w:t>
            </w:r>
          </w:p>
        </w:tc>
        <w:tc>
          <w:tcPr>
            <w:tcW w:type="dxa" w:w="1440"/>
            <w:shd w:fill="FFDCE0" w:val="clear"/>
          </w:tcPr>
          <w:p>
            <w:r>
              <w:rPr>
                <w:b/>
                <w:color w:val="C00000"/>
                <w:sz w:val="17"/>
              </w:rPr>
              <w:t>-11.0%</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10,520</w:t>
            </w:r>
          </w:p>
        </w:tc>
        <w:tc>
          <w:tcPr>
            <w:tcW w:type="dxa" w:w="1440"/>
            <w:shd w:fill="FFDCE0" w:val="clear"/>
          </w:tcPr>
          <w:p>
            <w:r>
              <w:rPr>
                <w:b/>
                <w:sz w:val="17"/>
              </w:rPr>
              <w:t>11,465</w:t>
            </w:r>
          </w:p>
        </w:tc>
        <w:tc>
          <w:tcPr>
            <w:tcW w:type="dxa" w:w="1440"/>
            <w:shd w:fill="FFDCE0" w:val="clear"/>
          </w:tcPr>
          <w:p>
            <w:r>
              <w:rPr>
                <w:sz w:val="17"/>
              </w:rPr>
              <w:t>12,411</w:t>
            </w:r>
          </w:p>
        </w:tc>
        <w:tc>
          <w:tcPr>
            <w:tcW w:type="dxa" w:w="1440"/>
            <w:shd w:fill="FFDCE0" w:val="clear"/>
          </w:tcPr>
          <w:p>
            <w:r>
              <w:rPr>
                <w:b/>
                <w:color w:val="C00000"/>
                <w:sz w:val="17"/>
              </w:rPr>
              <w:t>-11.8%</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10,362</w:t>
            </w:r>
          </w:p>
        </w:tc>
        <w:tc>
          <w:tcPr>
            <w:tcW w:type="dxa" w:w="1440"/>
            <w:shd w:fill="FFDCE0" w:val="clear"/>
          </w:tcPr>
          <w:p>
            <w:r>
              <w:rPr>
                <w:b/>
                <w:sz w:val="17"/>
              </w:rPr>
              <w:t>11,364</w:t>
            </w:r>
          </w:p>
        </w:tc>
        <w:tc>
          <w:tcPr>
            <w:tcW w:type="dxa" w:w="1440"/>
            <w:shd w:fill="FFDCE0" w:val="clear"/>
          </w:tcPr>
          <w:p>
            <w:r>
              <w:rPr>
                <w:sz w:val="17"/>
              </w:rPr>
              <w:t>12,366</w:t>
            </w:r>
          </w:p>
        </w:tc>
        <w:tc>
          <w:tcPr>
            <w:tcW w:type="dxa" w:w="1440"/>
            <w:shd w:fill="FFDCE0" w:val="clear"/>
          </w:tcPr>
          <w:p>
            <w:r>
              <w:rPr>
                <w:b/>
                <w:color w:val="C00000"/>
                <w:sz w:val="17"/>
              </w:rPr>
              <w:t>-12.6%</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10,217</w:t>
            </w:r>
          </w:p>
        </w:tc>
        <w:tc>
          <w:tcPr>
            <w:tcW w:type="dxa" w:w="1440"/>
            <w:shd w:fill="FFDCE0" w:val="clear"/>
          </w:tcPr>
          <w:p>
            <w:r>
              <w:rPr>
                <w:b/>
                <w:sz w:val="17"/>
              </w:rPr>
              <w:t>11,271</w:t>
            </w:r>
          </w:p>
        </w:tc>
        <w:tc>
          <w:tcPr>
            <w:tcW w:type="dxa" w:w="1440"/>
            <w:shd w:fill="FFDCE0" w:val="clear"/>
          </w:tcPr>
          <w:p>
            <w:r>
              <w:rPr>
                <w:sz w:val="17"/>
              </w:rPr>
              <w:t>12,325</w:t>
            </w:r>
          </w:p>
        </w:tc>
        <w:tc>
          <w:tcPr>
            <w:tcW w:type="dxa" w:w="1440"/>
            <w:shd w:fill="FFDCE0" w:val="clear"/>
          </w:tcPr>
          <w:p>
            <w:r>
              <w:rPr>
                <w:b/>
                <w:color w:val="C00000"/>
                <w:sz w:val="17"/>
              </w:rPr>
              <w:t>-13.3%</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10,082</w:t>
            </w:r>
          </w:p>
        </w:tc>
        <w:tc>
          <w:tcPr>
            <w:tcW w:type="dxa" w:w="1440"/>
            <w:shd w:fill="FFDCE0" w:val="clear"/>
          </w:tcPr>
          <w:p>
            <w:r>
              <w:rPr>
                <w:b/>
                <w:sz w:val="17"/>
              </w:rPr>
              <w:t>11,185</w:t>
            </w:r>
          </w:p>
        </w:tc>
        <w:tc>
          <w:tcPr>
            <w:tcW w:type="dxa" w:w="1440"/>
            <w:shd w:fill="FFDCE0" w:val="clear"/>
          </w:tcPr>
          <w:p>
            <w:r>
              <w:rPr>
                <w:sz w:val="17"/>
              </w:rPr>
              <w:t>12,287</w:t>
            </w:r>
          </w:p>
        </w:tc>
        <w:tc>
          <w:tcPr>
            <w:tcW w:type="dxa" w:w="1440"/>
            <w:shd w:fill="FFDCE0" w:val="clear"/>
          </w:tcPr>
          <w:p>
            <w:r>
              <w:rPr>
                <w:b/>
                <w:color w:val="C00000"/>
                <w:sz w:val="17"/>
              </w:rPr>
              <w:t>-14.0%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**Date : 28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SDCC s'établit à 117 milliards FCFA, un niveau significatif qui la positionne parmi les valeurs moyennes de la cote, reflétant son statut de service public essentiel. Le BPA de 518 FCFA indique que chaque action génère un bénéfice net de ce montant. Le PER de 25,1x est très élevé par rapport à la moyenne historique de la BRVM (8-12x), suggérant que le marché anticipe une croissance future substantielle ou, à défaut, une surévaluation du titre. Le P/B de 5,93x confirme cette prime, le marché valorisant le titre près de six fois sa valeur comptable, ce qui est exigeant. Enfin, l'EV/EBITDA de 14,9x se situe dans la fourchette haute (10-15x), indiquant que la valeur totale de l'entreprise (dette incluse) est élevée par rapport à sa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SDCC a enregistré une progression spectaculaire de +75,68%, avec une dernière séance en hausse de +2,36% pour clôturer à 13 000 FCFA, son plus haut niveau sur la période. Le titre a évolué dans une fourchette très large de 7 140 à 13 000 FCFA, démontrant une forte dynamique haussière. La moyenne du cours sur la période est de 10 670 FCFA, tandis que la médiane est de 11 610 FCFA. Cet écart (moyenne &lt; médiane) indique une distribution asymétrique, confirmée par un skewness de -1,008, signifiant que le cours a passé plus de temps au-dessus de sa moyenne, avec des épisodes de fortes hausses. L'écart-type de 1 825 FCFA (CV de 17,1%) montre une dispersion modérée, et le kurtosis de -0,579 (mésokurtique) indique un risque de pics de volatilité limité. La volatilité annualisée de 36,2% classe le titre comme très volatil (&gt;30%), un niveau élevé qui implique un risque important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(MM20=11972,5 / MM50=11910,9) :** Le cours actuel (13 000 FCFA) est nettement au-dessus de ses moyennes mobiles à 20 et 50 jours, qui sont proches l'une de l'autre. Cette configuration haussière, où le prix est soutenu par les deux moyennes, justifie la décision d'**Achat**. La tendance de fond reste positive tant que le cours ne clôture pas sous la MM20.</w:t>
      </w:r>
    </w:p>
    <w:p>
      <w:pPr>
        <w:spacing w:after="120" w:line="276" w:lineRule="auto"/>
      </w:pPr>
      <w:r>
        <w:t>**Bandes de Bollinger (Borne sup=12753,1 / Borne inf=11191,9) :** Le prix de 13 000 FCFA a franchi la borne supérieure des bandes, un signal classique de surachat à court terme. Cela indique une extension excessive du mouvement haussier et une volatilité accrue. La décision de **Vente** suggère un risque de repli technique vers la zone des bandes (12 700 FCFA).</w:t>
      </w:r>
    </w:p>
    <w:p>
      <w:pPr>
        <w:spacing w:after="120" w:line="276" w:lineRule="auto"/>
      </w:pPr>
      <w:r>
        <w:t>**MACD (Valeur=215,8 / Signal=99,2) :** La ligne MACD est nettement au-dessus de sa ligne de signal, avec un histogramme positif et en expansion. Ce croisement haussier confirme un momentum positif fort et une dynamique d'achat toujours en vigueur. La décision est à l'**Achat**, le signal n'étant pas encore affaibli.</w:t>
      </w:r>
    </w:p>
    <w:p>
      <w:pPr>
        <w:spacing w:after="120" w:line="276" w:lineRule="auto"/>
      </w:pPr>
      <w:r>
        <w:t>**RSI (Valeur=76,3) :** Le RSI est entré en zone de surachat (&gt;70), indiquant que le titre est surévalué à court terme. Cette situation suggère un épuisement potentiel des acheteurs et un risque de correction. La décision de **Vente** est cohérente avec cette lecture, bien qu'un RSI puisse rester suracheté en tendance forte.</w:t>
      </w:r>
    </w:p>
    <w:p>
      <w:pPr>
        <w:spacing w:after="120" w:line="276" w:lineRule="auto"/>
      </w:pPr>
      <w:r>
        <w:t>**Stochastique (%K=100 / %D=100) :** Les deux lignes sont à leur niveau maximal (100), confirmant une condition de surachat extrême. Ce niveau indique que le prix a clôturé à son plus haut sur la période, ce qui est rare et souvent suivi d'un repli. La décision de **Vente** est justifiée par ce signal de retournement potentiel.</w:t>
      </w:r>
    </w:p>
    <w:p>
      <w:pPr>
        <w:spacing w:after="120" w:line="276" w:lineRule="auto"/>
      </w:pPr>
      <w:r>
        <w:t>**Conclusion technique :** Les indicateurs de momentum (MACD) sont positifs, mais les oscillateurs de surachat (RSI, Stochastique) et le franchissement des bandes de Bollinger signalent une surchauffe. La tendance de fond reste haussière, mais un repli technique de court terme est très probable pour "respirer" avant une éventuelle poursuite de la hausse.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SDCC a réalisé un chiffre d'affaires de 189,430 milliards FCFA, en croissance de +10% par rapport à 2024 (172,2 Mds). Le résultat net s'établit à 4,663 milliards FCFA, en hausse de +31% par rapport à 2024 (3,6 Mds), portant la marge nette à 2,46%. La rentabilité des fonds propres (ROE) est excellente à 23,65%, tandis que le ROA est faible à 0,99%, traduisant une lourdeur du bilan (Total Actif de 472,7 Mds). En tant qu'**entreprise**, l'analyse du BFR est cruciale : il est positif à 104,7 Mds, ce qui est défavorable et reflète un besoin de financement important. Le délai de paiement des clients est extrêmement élevé (749 jours), un risque de trésorerie majeur, malgré un taux de recouvrement annoncé de 95,85%. La structure financière est fragile avec une autonomie financière de seulement 4,17% et un endettement massif (ratio d'endettement de 95,8%). Les rapports trimestriels confirment la tendance : le **T1 2026** (rapport du 28/08/2026) montre un résultat net en hausse spectaculaire de +118% à 1,318 Md FCFA, malgré un CA en léger repli. Sur la base de ce T1 2026, on estime que l'exercice 2026 pourrait voir un résultat net annuel dépasser les 5,2 Mds FCFA, confirmant la dynamique de redressement de la rentabilité opérationnelle.</w:t>
      </w:r>
    </w:p>
    <w:p>
      <w:pPr>
        <w:spacing w:after="120" w:line="276" w:lineRule="auto"/>
      </w:pPr>
      <w:r>
        <w:t>---</w:t>
      </w:r>
    </w:p>
    <w:p>
      <w:pPr>
        <w:spacing w:after="120" w:line="276" w:lineRule="auto"/>
      </w:pPr>
      <w:r>
        <w:t>### PARTIE 4 : CONCLUSION D'INVESTISSEMENT</w:t>
      </w:r>
    </w:p>
    <w:p>
      <w:pPr>
        <w:spacing w:after="120" w:line="276" w:lineRule="auto"/>
      </w:pPr>
      <w:r>
        <w:t>La valorisation de SDCC est **exigeante** (PER 25x, P/B 5,9x), intégrant déjà des attentes de croissance élevées. Le comportement du cours est **très haussier** (+75% en 100 jours) mais avec une volatilité élevée (36%) et des statistiques montrant une distribution asymétrique. Les signaux techniques sont **divergents** : la tendance (MM, MACD) est positive, mais les oscillateurs (RSI, Stochastique) sont en surachat extrême, signalant un risque de correction. Les fondamentaux sont **contrastés** : une amélioration nette de la rentabilité (RN +31% en 2025, +118% au T1 2026) mais une structure bilancielle fragile (BFR élevé, délais clients de 749 jours). Les **prédictions IA** (12 284 FCFA à J+10) confirment le scénario d'un repli technique vers les 12 000-12 300 FCFA. En synthèse, la convergence des signaux de surachat technique et de valorisation élevée, malgré des fondamentaux en amélioration, conduit à une recommandation de **CONSERVER** avec un niveau de confiance **Moyen**. Le risque global est **Élevé** en raison de la volatilité et de la fragilité financière. L'horizon d'investissement optimal serait le **moyen terme (3-12 mois)**, en attendant une correction technique pour renforcer la position ou une confirmation durable de l'amélioration de la trésorerie.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149.70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17,298 titres</w:t>
            </w:r>
          </w:p>
        </w:tc>
        <w:tc>
          <w:tcPr>
            <w:tcW w:type="dxa" w:w="2268"/>
            <w:shd w:fill="FFF2CC" w:val="clear"/>
          </w:tcPr>
          <w:p>
            <w:r>
              <w:rPr>
                <w:b/>
                <w:color w:val="503200"/>
                <w:sz w:val="16"/>
              </w:rPr>
              <w:t xml:space="preserve">Cours actuel : </w:t>
            </w:r>
            <w:r>
              <w:rPr>
                <w:color w:val="000000"/>
                <w:sz w:val="17"/>
              </w:rPr>
              <w:t>2,750 FCFA</w:t>
            </w:r>
          </w:p>
          <w:p>
            <w:r>
              <w:rPr>
                <w:b/>
                <w:color w:val="503200"/>
                <w:sz w:val="16"/>
              </w:rPr>
              <w:t xml:space="preserve">Var. 100 jours : </w:t>
            </w:r>
            <w:r>
              <w:rPr>
                <w:b/>
                <w:color w:val="007800"/>
                <w:sz w:val="17"/>
              </w:rPr>
              <w:t>+48.25%</w:t>
            </w:r>
          </w:p>
          <w:p>
            <w:r>
              <w:rPr>
                <w:b/>
                <w:color w:val="503200"/>
                <w:sz w:val="16"/>
              </w:rPr>
              <w:t xml:space="preserve">Plus haut 100j : </w:t>
            </w:r>
            <w:r>
              <w:rPr>
                <w:color w:val="000000"/>
                <w:sz w:val="17"/>
              </w:rPr>
              <w:t>2,820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49.9%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17.69% (Élevée) — μ=2,213 FCFA, σ=391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β=0.4756 (Défensif) — Cov=0.000017, Var(idx)=0.000036, ρ=0.091,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17,298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σ_j=3.14%/j (Modérée) — Vol. annualisée≈49.9%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2026-08-31</w:t>
            </w:r>
          </w:p>
        </w:tc>
        <w:tc>
          <w:tcPr>
            <w:tcW w:type="dxa" w:w="1440"/>
            <w:shd w:fill="FAFAFA" w:val="clear"/>
          </w:tcPr>
          <w:p>
            <w:r>
              <w:rPr>
                <w:sz w:val="17"/>
              </w:rPr>
              <w:t>2,553</w:t>
            </w:r>
          </w:p>
        </w:tc>
        <w:tc>
          <w:tcPr>
            <w:tcW w:type="dxa" w:w="1440"/>
            <w:shd w:fill="FAFAFA" w:val="clear"/>
          </w:tcPr>
          <w:p>
            <w:r>
              <w:rPr>
                <w:b/>
                <w:sz w:val="17"/>
              </w:rPr>
              <w:t>2,713</w:t>
            </w:r>
          </w:p>
        </w:tc>
        <w:tc>
          <w:tcPr>
            <w:tcW w:type="dxa" w:w="1440"/>
            <w:shd w:fill="FAFAFA" w:val="clear"/>
          </w:tcPr>
          <w:p>
            <w:r>
              <w:rPr>
                <w:sz w:val="17"/>
              </w:rPr>
              <w:t>2,873</w:t>
            </w:r>
          </w:p>
        </w:tc>
        <w:tc>
          <w:tcPr>
            <w:tcW w:type="dxa" w:w="1440"/>
            <w:shd w:fill="FAFAFA" w:val="clear"/>
          </w:tcPr>
          <w:p>
            <w:r>
              <w:rPr>
                <w:b/>
                <w:color w:val="C00000"/>
                <w:sz w:val="17"/>
              </w:rPr>
              <w:t>-1.3%</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2,452</w:t>
            </w:r>
          </w:p>
        </w:tc>
        <w:tc>
          <w:tcPr>
            <w:tcW w:type="dxa" w:w="1440"/>
            <w:shd w:fill="FFDCE0" w:val="clear"/>
          </w:tcPr>
          <w:p>
            <w:r>
              <w:rPr>
                <w:b/>
                <w:sz w:val="17"/>
              </w:rPr>
              <w:t>2,674</w:t>
            </w:r>
          </w:p>
        </w:tc>
        <w:tc>
          <w:tcPr>
            <w:tcW w:type="dxa" w:w="1440"/>
            <w:shd w:fill="FFDCE0" w:val="clear"/>
          </w:tcPr>
          <w:p>
            <w:r>
              <w:rPr>
                <w:sz w:val="17"/>
              </w:rPr>
              <w:t>2,897</w:t>
            </w:r>
          </w:p>
        </w:tc>
        <w:tc>
          <w:tcPr>
            <w:tcW w:type="dxa" w:w="1440"/>
            <w:shd w:fill="FFDCE0" w:val="clear"/>
          </w:tcPr>
          <w:p>
            <w:r>
              <w:rPr>
                <w:b/>
                <w:color w:val="C00000"/>
                <w:sz w:val="17"/>
              </w:rPr>
              <w:t>-2.8%</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2,375</w:t>
            </w:r>
          </w:p>
        </w:tc>
        <w:tc>
          <w:tcPr>
            <w:tcW w:type="dxa" w:w="1440"/>
            <w:shd w:fill="FFDCE0" w:val="clear"/>
          </w:tcPr>
          <w:p>
            <w:r>
              <w:rPr>
                <w:b/>
                <w:sz w:val="17"/>
              </w:rPr>
              <w:t>2,644</w:t>
            </w:r>
          </w:p>
        </w:tc>
        <w:tc>
          <w:tcPr>
            <w:tcW w:type="dxa" w:w="1440"/>
            <w:shd w:fill="FFDCE0" w:val="clear"/>
          </w:tcPr>
          <w:p>
            <w:r>
              <w:rPr>
                <w:sz w:val="17"/>
              </w:rPr>
              <w:t>2,914</w:t>
            </w:r>
          </w:p>
        </w:tc>
        <w:tc>
          <w:tcPr>
            <w:tcW w:type="dxa" w:w="1440"/>
            <w:shd w:fill="FFDCE0" w:val="clear"/>
          </w:tcPr>
          <w:p>
            <w:r>
              <w:rPr>
                <w:b/>
                <w:color w:val="C00000"/>
                <w:sz w:val="17"/>
              </w:rPr>
              <w:t>-3.8%</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2,312</w:t>
            </w:r>
          </w:p>
        </w:tc>
        <w:tc>
          <w:tcPr>
            <w:tcW w:type="dxa" w:w="1440"/>
            <w:shd w:fill="FFDCE0" w:val="clear"/>
          </w:tcPr>
          <w:p>
            <w:r>
              <w:rPr>
                <w:b/>
                <w:sz w:val="17"/>
              </w:rPr>
              <w:t>2,620</w:t>
            </w:r>
          </w:p>
        </w:tc>
        <w:tc>
          <w:tcPr>
            <w:tcW w:type="dxa" w:w="1440"/>
            <w:shd w:fill="FFDCE0" w:val="clear"/>
          </w:tcPr>
          <w:p>
            <w:r>
              <w:rPr>
                <w:sz w:val="17"/>
              </w:rPr>
              <w:t>2,929</w:t>
            </w:r>
          </w:p>
        </w:tc>
        <w:tc>
          <w:tcPr>
            <w:tcW w:type="dxa" w:w="1440"/>
            <w:shd w:fill="FFDCE0" w:val="clear"/>
          </w:tcPr>
          <w:p>
            <w:r>
              <w:rPr>
                <w:b/>
                <w:color w:val="C00000"/>
                <w:sz w:val="17"/>
              </w:rPr>
              <w:t>-4.7%</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2,258</w:t>
            </w:r>
          </w:p>
        </w:tc>
        <w:tc>
          <w:tcPr>
            <w:tcW w:type="dxa" w:w="1440"/>
            <w:shd w:fill="FFDCE0" w:val="clear"/>
          </w:tcPr>
          <w:p>
            <w:r>
              <w:rPr>
                <w:b/>
                <w:sz w:val="17"/>
              </w:rPr>
              <w:t>2,600</w:t>
            </w:r>
          </w:p>
        </w:tc>
        <w:tc>
          <w:tcPr>
            <w:tcW w:type="dxa" w:w="1440"/>
            <w:shd w:fill="FFDCE0" w:val="clear"/>
          </w:tcPr>
          <w:p>
            <w:r>
              <w:rPr>
                <w:sz w:val="17"/>
              </w:rPr>
              <w:t>2,942</w:t>
            </w:r>
          </w:p>
        </w:tc>
        <w:tc>
          <w:tcPr>
            <w:tcW w:type="dxa" w:w="1440"/>
            <w:shd w:fill="FFDCE0" w:val="clear"/>
          </w:tcPr>
          <w:p>
            <w:r>
              <w:rPr>
                <w:b/>
                <w:color w:val="C00000"/>
                <w:sz w:val="17"/>
              </w:rPr>
              <w:t>-5.5%</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2,209</w:t>
            </w:r>
          </w:p>
        </w:tc>
        <w:tc>
          <w:tcPr>
            <w:tcW w:type="dxa" w:w="1440"/>
            <w:shd w:fill="FFDCE0" w:val="clear"/>
          </w:tcPr>
          <w:p>
            <w:r>
              <w:rPr>
                <w:b/>
                <w:sz w:val="17"/>
              </w:rPr>
              <w:t>2,581</w:t>
            </w:r>
          </w:p>
        </w:tc>
        <w:tc>
          <w:tcPr>
            <w:tcW w:type="dxa" w:w="1440"/>
            <w:shd w:fill="FFDCE0" w:val="clear"/>
          </w:tcPr>
          <w:p>
            <w:r>
              <w:rPr>
                <w:sz w:val="17"/>
              </w:rPr>
              <w:t>2,953</w:t>
            </w:r>
          </w:p>
        </w:tc>
        <w:tc>
          <w:tcPr>
            <w:tcW w:type="dxa" w:w="1440"/>
            <w:shd w:fill="FFDCE0" w:val="clear"/>
          </w:tcPr>
          <w:p>
            <w:r>
              <w:rPr>
                <w:b/>
                <w:color w:val="C00000"/>
                <w:sz w:val="17"/>
              </w:rPr>
              <w:t>-6.1%</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2,164</w:t>
            </w:r>
          </w:p>
        </w:tc>
        <w:tc>
          <w:tcPr>
            <w:tcW w:type="dxa" w:w="1440"/>
            <w:shd w:fill="FFDCE0" w:val="clear"/>
          </w:tcPr>
          <w:p>
            <w:r>
              <w:rPr>
                <w:b/>
                <w:sz w:val="17"/>
              </w:rPr>
              <w:t>2,563</w:t>
            </w:r>
          </w:p>
        </w:tc>
        <w:tc>
          <w:tcPr>
            <w:tcW w:type="dxa" w:w="1440"/>
            <w:shd w:fill="FFDCE0" w:val="clear"/>
          </w:tcPr>
          <w:p>
            <w:r>
              <w:rPr>
                <w:sz w:val="17"/>
              </w:rPr>
              <w:t>2,963</w:t>
            </w:r>
          </w:p>
        </w:tc>
        <w:tc>
          <w:tcPr>
            <w:tcW w:type="dxa" w:w="1440"/>
            <w:shd w:fill="FFDCE0" w:val="clear"/>
          </w:tcPr>
          <w:p>
            <w:r>
              <w:rPr>
                <w:b/>
                <w:color w:val="C00000"/>
                <w:sz w:val="17"/>
              </w:rPr>
              <w:t>-6.8%</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2,122</w:t>
            </w:r>
          </w:p>
        </w:tc>
        <w:tc>
          <w:tcPr>
            <w:tcW w:type="dxa" w:w="1440"/>
            <w:shd w:fill="FFDCE0" w:val="clear"/>
          </w:tcPr>
          <w:p>
            <w:r>
              <w:rPr>
                <w:b/>
                <w:sz w:val="17"/>
              </w:rPr>
              <w:t>2,546</w:t>
            </w:r>
          </w:p>
        </w:tc>
        <w:tc>
          <w:tcPr>
            <w:tcW w:type="dxa" w:w="1440"/>
            <w:shd w:fill="FFDCE0" w:val="clear"/>
          </w:tcPr>
          <w:p>
            <w:r>
              <w:rPr>
                <w:sz w:val="17"/>
              </w:rPr>
              <w:t>2,970</w:t>
            </w:r>
          </w:p>
        </w:tc>
        <w:tc>
          <w:tcPr>
            <w:tcW w:type="dxa" w:w="1440"/>
            <w:shd w:fill="FFDCE0" w:val="clear"/>
          </w:tcPr>
          <w:p>
            <w:r>
              <w:rPr>
                <w:b/>
                <w:color w:val="C00000"/>
                <w:sz w:val="17"/>
              </w:rPr>
              <w:t>-7.4%</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2,083</w:t>
            </w:r>
          </w:p>
        </w:tc>
        <w:tc>
          <w:tcPr>
            <w:tcW w:type="dxa" w:w="1440"/>
            <w:shd w:fill="FFDCE0" w:val="clear"/>
          </w:tcPr>
          <w:p>
            <w:r>
              <w:rPr>
                <w:b/>
                <w:sz w:val="17"/>
              </w:rPr>
              <w:t>2,530</w:t>
            </w:r>
          </w:p>
        </w:tc>
        <w:tc>
          <w:tcPr>
            <w:tcW w:type="dxa" w:w="1440"/>
            <w:shd w:fill="FFDCE0" w:val="clear"/>
          </w:tcPr>
          <w:p>
            <w:r>
              <w:rPr>
                <w:sz w:val="17"/>
              </w:rPr>
              <w:t>2,977</w:t>
            </w:r>
          </w:p>
        </w:tc>
        <w:tc>
          <w:tcPr>
            <w:tcW w:type="dxa" w:w="1440"/>
            <w:shd w:fill="FFDCE0" w:val="clear"/>
          </w:tcPr>
          <w:p>
            <w:r>
              <w:rPr>
                <w:b/>
                <w:color w:val="C00000"/>
                <w:sz w:val="17"/>
              </w:rPr>
              <w:t>-8.0%</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2,046</w:t>
            </w:r>
          </w:p>
        </w:tc>
        <w:tc>
          <w:tcPr>
            <w:tcW w:type="dxa" w:w="1440"/>
            <w:shd w:fill="FFDCE0" w:val="clear"/>
          </w:tcPr>
          <w:p>
            <w:r>
              <w:rPr>
                <w:b/>
                <w:sz w:val="17"/>
              </w:rPr>
              <w:t>2,514</w:t>
            </w:r>
          </w:p>
        </w:tc>
        <w:tc>
          <w:tcPr>
            <w:tcW w:type="dxa" w:w="1440"/>
            <w:shd w:fill="FFDCE0" w:val="clear"/>
          </w:tcPr>
          <w:p>
            <w:r>
              <w:rPr>
                <w:sz w:val="17"/>
              </w:rPr>
              <w:t>2,982</w:t>
            </w:r>
          </w:p>
        </w:tc>
        <w:tc>
          <w:tcPr>
            <w:tcW w:type="dxa" w:w="1440"/>
            <w:shd w:fill="FFDCE0" w:val="clear"/>
          </w:tcPr>
          <w:p>
            <w:r>
              <w:rPr>
                <w:b/>
                <w:color w:val="C00000"/>
                <w:sz w:val="17"/>
              </w:rPr>
              <w:t>-8.6%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SDSC (AFRICA GLOBAL LOGISTICS CÔTE D'IVOIRE)**</w:t>
        <w:br/>
        <w:t>**Date : 28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SDSC s'établit à 149,70 milliards FCFA, un niveau significatif qui la positionne parmi les valeurs moyennes de la BRVM. Avec un BPA de 387 FCFA, le titre se négocie à un PER de 7,1x, inférieur à la moyenne historique de la place (~8-12x), ce qui suggère une sous-évaluation relative du bénéfice par action. Le P/B de 1,92x indique que le marché valorise la société à près du double de sa valeur comptable, une prime raisonnable pour une entreprise avec un ROE de 27%. En revanche, l'EV/EBITDA de 32,3x est particulièrement exigeant, signalant que la valeur d'entreprise (incluant la dette) est très élevée par rapport à la capacité opérationnelle brute, ce qui tempère l'attrait du PER et suggère une certaine prudence sur la valorisation absolue.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SDSC a enregistré une progression spectaculaire de +48,25%, avec une accélération notable lors de la dernière séance (+4,36% à 2 750 FCFA). Le titre a évolué dans une fourchette large de 1 650 à 2 820 FCFA, démontrant une forte dynamique haussière. La moyenne (2 213 FCFA) est légèrement inférieure à la médiane (2 245 FCFA), indiquant une distribution quasi symétrique avec un skewness de 0,09. L'écart-type de 393 FCFA (CV = 17,8%) révèle une dispersion modérée des prix. Le kurtosis négatif (-1,571) signale une distribution platykurtique, c'est-à-dire une faible concentration des extrêmes, réduisant le risque de mouvements violents imprévus. La volatilité annualisée de 49,9% classe le titre comme très volatil, un niveau élevé qui reflète l'enthousiasme récent des investisseurs mais aussi un risque de retournement significatif.</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(2 750 FCFA) se situe nettement au-dessus de la MM20 (2 663 FCFA) et de la MM50 (2 570,7 FCFA), confirmant une tendance haussière solide à court et moyen terme. La configuration des MM, avec la MM20 au-dessus de la MM50, valide un signal d'achat, indiquant que la dynamique positive est soutenue par les volumes et l'intérêt des investisseurs.</w:t>
      </w:r>
    </w:p>
    <w:p>
      <w:pPr>
        <w:spacing w:after="120" w:line="276" w:lineRule="auto"/>
      </w:pPr>
      <w:r>
        <w:t>**Bandes de Bollinger** : Le prix évolue à 2 750 FCFA, proche de la borne supérieure (2 879 FCFA) mais sans la toucher, ce qui suggère une pression acheteuse soutenue sans surachat extrême. La largeur des bandes (2 446 à 2 879 FCFA) reflète une volatilité élevée. La décision "Neutre" indique que le titre n'est pas encore en zone de surachat, laissant un potentiel de hausse avant un éventuel retournement.</w:t>
      </w:r>
    </w:p>
    <w:p>
      <w:pPr>
        <w:spacing w:after="120" w:line="276" w:lineRule="auto"/>
      </w:pPr>
      <w:r>
        <w:t>**MACD** : La valeur du MACD (38,877) est inférieure à son signal (49,925), générant une décision de vente. Cette divergence baissière, malgré la tendance haussière du cours, suggère un affaiblissement du momentum à court terme. Les investisseurs doivent surveiller un éventuel croisement baissier qui pourrait précéder une correction.</w:t>
      </w:r>
    </w:p>
    <w:p>
      <w:pPr>
        <w:spacing w:after="120" w:line="276" w:lineRule="auto"/>
      </w:pPr>
      <w:r>
        <w:t>**RSI** : À 60,476, le RSI se situe en zone neutre, entre 30 et 70, indiquant que le titre n'est ni suracheté ni survendu. Cette valeur reflète un équilibre entre les forces acheteuses et vendeuses, avec une légère prédominance haussière. La décision "Neutre" suggère que le marché attend un catalyseur pour orienter la tendance.</w:t>
      </w:r>
    </w:p>
    <w:p>
      <w:pPr>
        <w:spacing w:after="120" w:line="276" w:lineRule="auto"/>
      </w:pPr>
      <w:r>
        <w:t>**Stochastique** : Le %K (80,851) est nettement supérieur au %D (55,688), mais le niveau élevé du %K approche la zone de surachat (&gt;80). La décision de vente signale un risque de retournement imminent, surtout si le %K croise sous le %D. Cette configuration appelle à la prudence pour les nouveaux achats à court terme.</w:t>
      </w:r>
    </w:p>
    <w:p>
      <w:pPr>
        <w:spacing w:after="120" w:line="276" w:lineRule="auto"/>
      </w:pPr>
      <w:r>
        <w:t>**Conclusion technique** : Les indicateurs sont mitigés : les moyennes mobiles et les bandes de Bollinger soutiennent une tendance haussière, tandis que le MACD et le stochastique signalent un essoufflement du momentum. Le RSI neutre laisse planer une incertitude. Globalement, la tendance de fond reste positive, mais un repli technique est probable à très court terme avant une reprise.</w:t>
      </w:r>
    </w:p>
    <w:p>
      <w:pPr>
        <w:spacing w:after="120" w:line="276" w:lineRule="auto"/>
      </w:pPr>
      <w:r>
        <w:t>---</w:t>
      </w:r>
    </w:p>
    <w:p>
      <w:pPr>
        <w:spacing w:after="120" w:line="276" w:lineRule="auto"/>
      </w:pPr>
      <w:r>
        <w:t>### PARTIE 3 : ANALYSE FONDAMENTALE (SECTION CRITIQUE)</w:t>
      </w:r>
    </w:p>
    <w:p>
      <w:pPr>
        <w:spacing w:after="120" w:line="276" w:lineRule="auto"/>
      </w:pPr>
      <w:r>
        <w:t>En 2024, SDSC a réalisé un chiffre d'affaires de 85,643 milliards FCFA, en croissance de 3,65%, avec un résultat net de 21,069 milliards FCFA, soit une marge nette exceptionnelle de 24,6%. Le ROE s'établit à 27,08% et le ROA à 11,20%, démontrant une excellente rentabilité des fonds propres et des actifs. Cependant, les données structurées révèlent des fragilités : le délai clients de 466,94 jours est extrêmement élevé, constituant un risque majeur de trésorerie, tandis que le BFR de 17,874 milliards FCFA (positif) confirme une pression sur le besoin en fonds de roulement. Le ratio d'endettement est contenu à 17,88% et la capacité de remboursement est rapide (0,56 an). Selon le rapport annuel 2025 (daté du 31/12/2025), le CA a progressé de 7,43% à 92,004 milliards FCFA, mais le résultat net s'est effondré à 784,97 millions FCFA (marge nette de 0,85%), pénalisé par un résultat d'exploitation négatif (-2,271 milliards FCFA) et une charge fiscale exceptionnelle. Le rapport du T3 2025 confirme cette tendance avec un résultat net en chute de 77% à 4,341 milliards FCFA, principalement due à la baisse des dividendes des filiales. On estime que l'exercice 2026 pourrait voir une stabilisation si les revenus financiers se redressent, mais la rentabilité opérationnelle reste sous pression. La solidité du bilan (trésorerie nette de 74,78 milliards FCFA en 2025) et la croissance du CA sont des atouts, mais la dégradation des marges impose une vigilance accrue.</w:t>
      </w:r>
    </w:p>
    <w:p>
      <w:pPr>
        <w:spacing w:after="120" w:line="276" w:lineRule="auto"/>
      </w:pPr>
      <w:r>
        <w:t>---</w:t>
      </w:r>
    </w:p>
    <w:p>
      <w:pPr>
        <w:spacing w:after="120" w:line="276" w:lineRule="auto"/>
      </w:pPr>
      <w:r>
        <w:t>### PARTIE 4 : CONCLUSION D'INVESTISSEMENT</w:t>
      </w:r>
    </w:p>
    <w:p>
      <w:pPr>
        <w:spacing w:after="120" w:line="276" w:lineRule="auto"/>
      </w:pPr>
      <w:r>
        <w:t>La valorisation de SDSC est contrastée : le PER de 7,1x suggère une sous-évaluation, mais l'EV/EBITDA de 32,3x et le P/B de 1,92x indiquent une prime excessive. Le comportement du cours est très favorable avec une hausse de 48,25% sur 100 jours, mais la volatilité élevée (49,9%) et le kurtosis platykurtique signalent un risque de correction brutale. Les signaux techniques sont divergents : les moyennes mobiles sont haussières, mais le MACD et le stochastique appellent à la prudence. Fondamentalement, la société affiche une solidité financière (trésorerie abondante, endettement faible) mais une rentabilité en chute libre en 2025 (marge nette de 0,85% vs 24,6% en 2024). Les prédictions IA pour les 10 prochains jours (2 713 à 2 600 FCFA) confirment un repli technique, en ligne avec les signaux de vente. En synthèse, la convergence entre la faiblesse des fondamentaux récents, les signaux techniques négatifs et la prédiction IA suggère une consolidation à court terme. **Recommandation : CONSERVER** avec un niveau de confiance **Moyen** et un risque global **Élevé**. L'horizon d'investissement optimal est le **moyen terme (3-12 mois)**, en attendant une clarification sur la restauration des marges opérationnelles et la politique de dividende.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37.78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5,822 titres</w:t>
            </w:r>
          </w:p>
        </w:tc>
        <w:tc>
          <w:tcPr>
            <w:tcW w:type="dxa" w:w="2268"/>
            <w:shd w:fill="FFF2CC" w:val="clear"/>
          </w:tcPr>
          <w:p>
            <w:r>
              <w:rPr>
                <w:b/>
                <w:color w:val="503200"/>
                <w:sz w:val="16"/>
              </w:rPr>
              <w:t xml:space="preserve">Cours actuel : </w:t>
            </w:r>
            <w:r>
              <w:rPr>
                <w:color w:val="000000"/>
                <w:sz w:val="17"/>
              </w:rPr>
              <w:t>1,500 FCFA</w:t>
            </w:r>
          </w:p>
          <w:p>
            <w:r>
              <w:rPr>
                <w:b/>
                <w:color w:val="503200"/>
                <w:sz w:val="16"/>
              </w:rPr>
              <w:t xml:space="preserve">Var. 100 jours : </w:t>
            </w:r>
            <w:r>
              <w:rPr>
                <w:b/>
                <w:color w:val="B40000"/>
                <w:sz w:val="17"/>
              </w:rPr>
              <w:t>-21.05%</w:t>
            </w:r>
          </w:p>
          <w:p>
            <w:r>
              <w:rPr>
                <w:b/>
                <w:color w:val="503200"/>
                <w:sz w:val="16"/>
              </w:rPr>
              <w:t xml:space="preserve">Plus haut 100j : </w:t>
            </w:r>
            <w:r>
              <w:rPr>
                <w:color w:val="000000"/>
                <w:sz w:val="17"/>
              </w:rPr>
              <w:t>1,985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23.8/100 → Moyen</w:t>
      </w:r>
    </w:p>
    <w:p>
      <w:pPr>
        <w:spacing w:before="40" w:after="80"/>
      </w:pPr>
      <w:r>
        <w:rPr>
          <w:rFonts w:ascii="Courier New" w:hAnsi="Courier New"/>
          <w:color w:val="825A00"/>
          <w:sz w:val="18"/>
        </w:rPr>
        <w:t>████░░░░░░░░░░░░░░░░  23.8/100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8.66% (Moyenne) — μ=1,566 FCFA, σ=136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β=1.3862 (Agressif) — Cov=0.000050, Var(idx)=0.000036, ρ=0.267,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5,822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σ_j=3.15%/j (Modérée) — Vol. annualisée≈49.9%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1,389</w:t>
            </w:r>
          </w:p>
        </w:tc>
        <w:tc>
          <w:tcPr>
            <w:tcW w:type="dxa" w:w="1440"/>
            <w:shd w:fill="FFDCE0" w:val="clear"/>
          </w:tcPr>
          <w:p>
            <w:r>
              <w:rPr>
                <w:b/>
                <w:sz w:val="17"/>
              </w:rPr>
              <w:t>1,459</w:t>
            </w:r>
          </w:p>
        </w:tc>
        <w:tc>
          <w:tcPr>
            <w:tcW w:type="dxa" w:w="1440"/>
            <w:shd w:fill="FFDCE0" w:val="clear"/>
          </w:tcPr>
          <w:p>
            <w:r>
              <w:rPr>
                <w:sz w:val="17"/>
              </w:rPr>
              <w:t>1,529</w:t>
            </w:r>
          </w:p>
        </w:tc>
        <w:tc>
          <w:tcPr>
            <w:tcW w:type="dxa" w:w="1440"/>
            <w:shd w:fill="FFDCE0" w:val="clear"/>
          </w:tcPr>
          <w:p>
            <w:r>
              <w:rPr>
                <w:b/>
                <w:color w:val="C00000"/>
                <w:sz w:val="17"/>
              </w:rPr>
              <w:t>-2.7%</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1,347</w:t>
            </w:r>
          </w:p>
        </w:tc>
        <w:tc>
          <w:tcPr>
            <w:tcW w:type="dxa" w:w="1440"/>
            <w:shd w:fill="FFDCE0" w:val="clear"/>
          </w:tcPr>
          <w:p>
            <w:r>
              <w:rPr>
                <w:b/>
                <w:sz w:val="17"/>
              </w:rPr>
              <w:t>1,445</w:t>
            </w:r>
          </w:p>
        </w:tc>
        <w:tc>
          <w:tcPr>
            <w:tcW w:type="dxa" w:w="1440"/>
            <w:shd w:fill="FFDCE0" w:val="clear"/>
          </w:tcPr>
          <w:p>
            <w:r>
              <w:rPr>
                <w:sz w:val="17"/>
              </w:rPr>
              <w:t>1,544</w:t>
            </w:r>
          </w:p>
        </w:tc>
        <w:tc>
          <w:tcPr>
            <w:tcW w:type="dxa" w:w="1440"/>
            <w:shd w:fill="FFDCE0" w:val="clear"/>
          </w:tcPr>
          <w:p>
            <w:r>
              <w:rPr>
                <w:b/>
                <w:color w:val="C00000"/>
                <w:sz w:val="17"/>
              </w:rPr>
              <w:t>-3.6%</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1,312</w:t>
            </w:r>
          </w:p>
        </w:tc>
        <w:tc>
          <w:tcPr>
            <w:tcW w:type="dxa" w:w="1440"/>
            <w:shd w:fill="FFDCE0" w:val="clear"/>
          </w:tcPr>
          <w:p>
            <w:r>
              <w:rPr>
                <w:b/>
                <w:sz w:val="17"/>
              </w:rPr>
              <w:t>1,431</w:t>
            </w:r>
          </w:p>
        </w:tc>
        <w:tc>
          <w:tcPr>
            <w:tcW w:type="dxa" w:w="1440"/>
            <w:shd w:fill="FFDCE0" w:val="clear"/>
          </w:tcPr>
          <w:p>
            <w:r>
              <w:rPr>
                <w:sz w:val="17"/>
              </w:rPr>
              <w:t>1,550</w:t>
            </w:r>
          </w:p>
        </w:tc>
        <w:tc>
          <w:tcPr>
            <w:tcW w:type="dxa" w:w="1440"/>
            <w:shd w:fill="FFDCE0" w:val="clear"/>
          </w:tcPr>
          <w:p>
            <w:r>
              <w:rPr>
                <w:b/>
                <w:color w:val="C00000"/>
                <w:sz w:val="17"/>
              </w:rPr>
              <w:t>-4.6%</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1,281</w:t>
            </w:r>
          </w:p>
        </w:tc>
        <w:tc>
          <w:tcPr>
            <w:tcW w:type="dxa" w:w="1440"/>
            <w:shd w:fill="FFDCE0" w:val="clear"/>
          </w:tcPr>
          <w:p>
            <w:r>
              <w:rPr>
                <w:b/>
                <w:sz w:val="17"/>
              </w:rPr>
              <w:t>1,417</w:t>
            </w:r>
          </w:p>
        </w:tc>
        <w:tc>
          <w:tcPr>
            <w:tcW w:type="dxa" w:w="1440"/>
            <w:shd w:fill="FFDCE0" w:val="clear"/>
          </w:tcPr>
          <w:p>
            <w:r>
              <w:rPr>
                <w:sz w:val="17"/>
              </w:rPr>
              <w:t>1,553</w:t>
            </w:r>
          </w:p>
        </w:tc>
        <w:tc>
          <w:tcPr>
            <w:tcW w:type="dxa" w:w="1440"/>
            <w:shd w:fill="FFDCE0" w:val="clear"/>
          </w:tcPr>
          <w:p>
            <w:r>
              <w:rPr>
                <w:b/>
                <w:color w:val="C00000"/>
                <w:sz w:val="17"/>
              </w:rPr>
              <w:t>-5.5%</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1,253</w:t>
            </w:r>
          </w:p>
        </w:tc>
        <w:tc>
          <w:tcPr>
            <w:tcW w:type="dxa" w:w="1440"/>
            <w:shd w:fill="FFDCE0" w:val="clear"/>
          </w:tcPr>
          <w:p>
            <w:r>
              <w:rPr>
                <w:b/>
                <w:sz w:val="17"/>
              </w:rPr>
              <w:t>1,403</w:t>
            </w:r>
          </w:p>
        </w:tc>
        <w:tc>
          <w:tcPr>
            <w:tcW w:type="dxa" w:w="1440"/>
            <w:shd w:fill="FFDCE0" w:val="clear"/>
          </w:tcPr>
          <w:p>
            <w:r>
              <w:rPr>
                <w:sz w:val="17"/>
              </w:rPr>
              <w:t>1,554</w:t>
            </w:r>
          </w:p>
        </w:tc>
        <w:tc>
          <w:tcPr>
            <w:tcW w:type="dxa" w:w="1440"/>
            <w:shd w:fill="FFDCE0" w:val="clear"/>
          </w:tcPr>
          <w:p>
            <w:r>
              <w:rPr>
                <w:b/>
                <w:color w:val="C00000"/>
                <w:sz w:val="17"/>
              </w:rPr>
              <w:t>-6.5%</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1,226</w:t>
            </w:r>
          </w:p>
        </w:tc>
        <w:tc>
          <w:tcPr>
            <w:tcW w:type="dxa" w:w="1440"/>
            <w:shd w:fill="FFDCE0" w:val="clear"/>
          </w:tcPr>
          <w:p>
            <w:r>
              <w:rPr>
                <w:b/>
                <w:sz w:val="17"/>
              </w:rPr>
              <w:t>1,390</w:t>
            </w:r>
          </w:p>
        </w:tc>
        <w:tc>
          <w:tcPr>
            <w:tcW w:type="dxa" w:w="1440"/>
            <w:shd w:fill="FFDCE0" w:val="clear"/>
          </w:tcPr>
          <w:p>
            <w:r>
              <w:rPr>
                <w:sz w:val="17"/>
              </w:rPr>
              <w:t>1,553</w:t>
            </w:r>
          </w:p>
        </w:tc>
        <w:tc>
          <w:tcPr>
            <w:tcW w:type="dxa" w:w="1440"/>
            <w:shd w:fill="FFDCE0" w:val="clear"/>
          </w:tcPr>
          <w:p>
            <w:r>
              <w:rPr>
                <w:b/>
                <w:color w:val="C00000"/>
                <w:sz w:val="17"/>
              </w:rPr>
              <w:t>-7.4%</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1,201</w:t>
            </w:r>
          </w:p>
        </w:tc>
        <w:tc>
          <w:tcPr>
            <w:tcW w:type="dxa" w:w="1440"/>
            <w:shd w:fill="FFDCE0" w:val="clear"/>
          </w:tcPr>
          <w:p>
            <w:r>
              <w:rPr>
                <w:b/>
                <w:sz w:val="17"/>
              </w:rPr>
              <w:t>1,376</w:t>
            </w:r>
          </w:p>
        </w:tc>
        <w:tc>
          <w:tcPr>
            <w:tcW w:type="dxa" w:w="1440"/>
            <w:shd w:fill="FFDCE0" w:val="clear"/>
          </w:tcPr>
          <w:p>
            <w:r>
              <w:rPr>
                <w:sz w:val="17"/>
              </w:rPr>
              <w:t>1,551</w:t>
            </w:r>
          </w:p>
        </w:tc>
        <w:tc>
          <w:tcPr>
            <w:tcW w:type="dxa" w:w="1440"/>
            <w:shd w:fill="FFDCE0" w:val="clear"/>
          </w:tcPr>
          <w:p>
            <w:r>
              <w:rPr>
                <w:b/>
                <w:color w:val="C00000"/>
                <w:sz w:val="17"/>
              </w:rPr>
              <w:t>-8.2%</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1,178</w:t>
            </w:r>
          </w:p>
        </w:tc>
        <w:tc>
          <w:tcPr>
            <w:tcW w:type="dxa" w:w="1440"/>
            <w:shd w:fill="FFDCE0" w:val="clear"/>
          </w:tcPr>
          <w:p>
            <w:r>
              <w:rPr>
                <w:b/>
                <w:sz w:val="17"/>
              </w:rPr>
              <w:t>1,363</w:t>
            </w:r>
          </w:p>
        </w:tc>
        <w:tc>
          <w:tcPr>
            <w:tcW w:type="dxa" w:w="1440"/>
            <w:shd w:fill="FFDCE0" w:val="clear"/>
          </w:tcPr>
          <w:p>
            <w:r>
              <w:rPr>
                <w:sz w:val="17"/>
              </w:rPr>
              <w:t>1,548</w:t>
            </w:r>
          </w:p>
        </w:tc>
        <w:tc>
          <w:tcPr>
            <w:tcW w:type="dxa" w:w="1440"/>
            <w:shd w:fill="FFDCE0" w:val="clear"/>
          </w:tcPr>
          <w:p>
            <w:r>
              <w:rPr>
                <w:b/>
                <w:color w:val="C00000"/>
                <w:sz w:val="17"/>
              </w:rPr>
              <w:t>-9.1%</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1,156</w:t>
            </w:r>
          </w:p>
        </w:tc>
        <w:tc>
          <w:tcPr>
            <w:tcW w:type="dxa" w:w="1440"/>
            <w:shd w:fill="FFDCE0" w:val="clear"/>
          </w:tcPr>
          <w:p>
            <w:r>
              <w:rPr>
                <w:b/>
                <w:sz w:val="17"/>
              </w:rPr>
              <w:t>1,351</w:t>
            </w:r>
          </w:p>
        </w:tc>
        <w:tc>
          <w:tcPr>
            <w:tcW w:type="dxa" w:w="1440"/>
            <w:shd w:fill="FFDCE0" w:val="clear"/>
          </w:tcPr>
          <w:p>
            <w:r>
              <w:rPr>
                <w:sz w:val="17"/>
              </w:rPr>
              <w:t>1,545</w:t>
            </w:r>
          </w:p>
        </w:tc>
        <w:tc>
          <w:tcPr>
            <w:tcW w:type="dxa" w:w="1440"/>
            <w:shd w:fill="FFDCE0" w:val="clear"/>
          </w:tcPr>
          <w:p>
            <w:r>
              <w:rPr>
                <w:b/>
                <w:color w:val="C00000"/>
                <w:sz w:val="17"/>
              </w:rPr>
              <w:t>-10.0%</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1,135</w:t>
            </w:r>
          </w:p>
        </w:tc>
        <w:tc>
          <w:tcPr>
            <w:tcW w:type="dxa" w:w="1440"/>
            <w:shd w:fill="FFDCE0" w:val="clear"/>
          </w:tcPr>
          <w:p>
            <w:r>
              <w:rPr>
                <w:b/>
                <w:sz w:val="17"/>
              </w:rPr>
              <w:t>1,338</w:t>
            </w:r>
          </w:p>
        </w:tc>
        <w:tc>
          <w:tcPr>
            <w:tcW w:type="dxa" w:w="1440"/>
            <w:shd w:fill="FFDCE0" w:val="clear"/>
          </w:tcPr>
          <w:p>
            <w:r>
              <w:rPr>
                <w:sz w:val="17"/>
              </w:rPr>
              <w:t>1,542</w:t>
            </w:r>
          </w:p>
        </w:tc>
        <w:tc>
          <w:tcPr>
            <w:tcW w:type="dxa" w:w="1440"/>
            <w:shd w:fill="FFDCE0" w:val="clear"/>
          </w:tcPr>
          <w:p>
            <w:r>
              <w:rPr>
                <w:b/>
                <w:color w:val="C00000"/>
                <w:sz w:val="17"/>
              </w:rPr>
              <w:t>-10.8%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37,78 milliards FCFA, un niveau modeste dans le contexte de la BRVM, reflétant la taille moyenne de cette société industrielle. Les ratios de valorisation traditionnels (BPA, PER, P/B, EV/EBITDA) ne sont pas calculables en raison de l'absence de données financières structurées dans la base, ce qui constitue une limite pour l'évaluation relative du titre. Toutefois, sur la base des rapports fondamentaux disponibles, le résultat net 2023 de 1,01 milliard FCFA impliquerait un PER d'environ 37 fois, nettement supérieur à la moyenne BRVM de 8 à 12 fois, signalant une valorisation exigeante. Cette situation s'explique par la suspension de la cote BRVM depuis janvier 2024 et le flottant insuffisant de 10,42 %, qui limitent la liquidité et la découverte des prix. Les investisseurs doivent donc intégrer cette prime de risque dans leur analyse.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SEMC a enregistré une variation totale de -21,05 %, passant de 1 985 FCFA à 1 500 FCFA, avec une légère reprise de +3,45 % lors de la dernière séance. Le cours a évolué dans une fourchette de 1 350 à 1 985 FCFA, soit une amplitude de 635 FCFA, illustrant une volatilité significative. La moyenne de 1 566 FCFA est supérieure à la médiane de 1 525 FCFA, indiquant une distribution asymétrique positive (skewness de 1,550), avec davantage de journées sous la moyenne. L'écart-type de 136 FCFA (CV de 8,7 %) révèle une dispersion modérée, mais le kurtosis de 1,918 signale des queues épaisses, donc un risque de mouvements extrêmes. La volatilité annualisée de 49,9 % classe le titre dans la catégorie élevée (&gt;30 %), confirmant un profil risqué. La tendance générale est baissière, avec un cours actuel proche du plus bas de la période.</w:t>
      </w:r>
    </w:p>
    <w:p>
      <w:pPr>
        <w:spacing w:after="120" w:line="276" w:lineRule="auto" w:before="240"/>
      </w:pPr>
      <w:r>
        <w:rPr>
          <w:b/>
          <w:color w:val="003366"/>
          <w:sz w:val="24"/>
        </w:rPr>
        <w:t>**PARTIE 2 : ANALYSE TECHNIQUE DÉTAILLÉE**</w:t>
      </w:r>
    </w:p>
    <w:p>
      <w:pPr>
        <w:spacing w:after="120" w:line="276" w:lineRule="auto"/>
      </w:pPr>
      <w:r>
        <w:t>**Moyennes Mobiles** : Les MM20 (1 506,5 FCFA) et MM50 (1 500,6 FCFA) sont quasi identiques et légèrement supérieures au cours actuel de 1 500 FCFA, indiquant une stabilisation après la baisse. Le signal d'achat généré par ces moyennes suggère un potentiel de rebond technique, mais la convergence des deux moyennes limite la force du signal. La décision est donc nuancée, car le cours évolue dans une zone de consolidation.</w:t>
      </w:r>
    </w:p>
    <w:p>
      <w:pPr>
        <w:spacing w:after="120" w:line="276" w:lineRule="auto"/>
      </w:pPr>
      <w:r>
        <w:t>**Bandes de Bollinger** : Le cours se situe à 1 500 FCFA, entre la borne inférieure de 1 414,785 FCFA et la borne supérieure de 1 598,215 FCFA, proche de la moyenne. La largeur des bandes reflète une volatilité élevée, mais la position centrale du prix indique un équilibre temporaire. La décision neutre est cohérente avec l'absence de cassure directionnelle, bien que le bas de bande offre un support potentiel.</w:t>
      </w:r>
    </w:p>
    <w:p>
      <w:pPr>
        <w:spacing w:after="120" w:line="276" w:lineRule="auto"/>
      </w:pPr>
      <w:r>
        <w:t>**MACD** : Le MACD (6,63) est inférieur à son signal (10,296), générant un signal de vente. Cette configuration indique un momentum baissier persistant, malgré la récente hausse du cours. La divergence négative suggère que la pression vendeuse reste dominante à moyen terme, justifiant la prudence.</w:t>
      </w:r>
    </w:p>
    <w:p>
      <w:pPr>
        <w:spacing w:after="120" w:line="276" w:lineRule="auto"/>
      </w:pPr>
      <w:r>
        <w:t>**RSI** : Le RSI de 56,79 se situe dans la zone neutre (30-70), indiquant un équilibre entre acheteurs et vendeurs. Cette valeur ne montre ni surachat ni survente, laissant place à une évolution directionnelle. La décision neutre est appropriée, le RSI ne fournissant pas de signal clair.</w:t>
      </w:r>
    </w:p>
    <w:p>
      <w:pPr>
        <w:spacing w:after="120" w:line="276" w:lineRule="auto"/>
      </w:pPr>
      <w:r>
        <w:t>**Stochastique** : Le %K (33,333) est supérieur au %D (24,014), suggérant un croisement haussier en zone de survente. Cette configuration peut indiquer un début de reprise technique, mais la faiblesse des valeurs limite la fiabilité du signal. La décision neutre reflète cette ambiguïté.</w:t>
      </w:r>
    </w:p>
    <w:p>
      <w:pPr>
        <w:spacing w:after="120" w:line="276" w:lineRule="auto"/>
      </w:pPr>
      <w:r>
        <w:t>**Conclusion technique** : Les indicateurs sont partagés entre un signal d'achat (MM) et un signal de vente (MACD), avec des positions neutres pour Bollinger, RSI et Stochastique. Cette divergence traduit une phase de transition, où le cours teste des niveaux de support. La tendance baissière de fond reste prédominante, mais un rebond technique est possible à court terme.</w:t>
      </w:r>
    </w:p>
    <w:p>
      <w:pPr>
        <w:spacing w:after="120" w:line="276" w:lineRule="auto" w:before="240"/>
      </w:pPr>
      <w:r>
        <w:rPr>
          <w:b/>
          <w:color w:val="003366"/>
          <w:sz w:val="24"/>
        </w:rPr>
        <w:t>**PARTIE 3 : ANALYSE FONDAMENTALE (SECTION CRITIQUE)**</w:t>
      </w:r>
    </w:p>
    <w:p>
      <w:pPr>
        <w:spacing w:after="120" w:line="276" w:lineRule="auto"/>
      </w:pPr>
      <w:r>
        <w:t>Les rapports financiers disponibles couvrent les exercices 2022 et 2023, avec des données contradictoires selon les sources. Le rapport du 31/12/2023 indique un chiffre d'affaires de 27,88 milliards FCFA (en baisse de 6 % par rapport à 2022), un résultat net de 1,01 milliard FCFA (en chute de 74 %), et une marge nette de 3,6 %. La marge d'exploitation s'est dégradée à 6,9 % (contre 11 % en 2022), avec un endettement fournisseurs de 16,7 milliards FCFA. La politique de dividende est nulle (0 FCFA par action), la société privilégiant la conservation de trésorerie (3,35 milliards FCFA). En revanche, un autre rapport du 31/12/2023 mentionne un CA consolidé de 125,4 milliards FCFA et un résultat net de 12,8 milliards FCFA, mais ces chiffres semblent incohérents avec le premier rapport et pourraient refléter des périmètres différents. Le rapport du 31/12/2022 fait état d'un CA de 125,4 milliards FCFA et d'un résultat net de 12,8 milliards FCFA, avec un dividende de 1 200 FCFA par action. Le rapport du T1 2023 indique un CA de 7,65 milliards FCFA (+16,5 %) et un résultat net de 855,65 millions FCFA (+37,9 %), suggérant une dynamique positive. Sur la base de ces données, on estime que l'exercice 2024 pourrait voir une reprise du CA à 32 milliards FCFA (objectif de la direction), mais la rentabilité reste fragile. Le rachat par Sonoco Products Company (finalisé en décembre 2024) constitue un tournant stratégique majeur, avec des synergies potentielles. La recommandation fondamentale est de conserver le titre avec vigilance, compte tenu des risques opérationnels et de la dépendance aux clients clés.</w:t>
      </w:r>
    </w:p>
    <w:p>
      <w:pPr>
        <w:spacing w:after="120" w:line="276" w:lineRule="auto" w:before="240"/>
      </w:pPr>
      <w:r>
        <w:rPr>
          <w:b/>
          <w:color w:val="003366"/>
          <w:sz w:val="24"/>
        </w:rPr>
        <w:t>**PARTIE 4 : CONCLUSION D'INVESTISSEMENT**</w:t>
      </w:r>
    </w:p>
    <w:p>
      <w:pPr>
        <w:spacing w:after="120" w:line="276" w:lineRule="auto"/>
      </w:pPr>
      <w:r>
        <w:t>La valorisation de SEMC, avec un PER estimé à 37 fois sur la base du résultat net 2023, apparaît élevée par rapport à la moyenne BRVM, signalant une surévaluation relative malgré la baisse du cours. Le comportement du titre sur 100 jours montre une tendance baissière marquée (-21 %), avec une volatilité élevée (49,9 %) et une asymétrie positive indiquant des risques de mouvements extrêmes. Les signaux techniques sont mitigés, avec une convergence entre les moyennes mobiles (achat) et le MACD (vente), traduisant une phase de consolidation incertaine. Les fondamentaux révèlent une dégradation significative en 2023 (baisse du CA de 6 %, chute du résultat net de 74 %), mais des perspectives de rebond en 2024 grâce au rachat par Sonoco et à la relance des exportations. Les prédictions IA pour les 10 prochains jours (1 459 à 1 403 FCFA) confirment la tendance baissière, avec une poursuite du déclin. La convergence entre la valorisation exigeante, la tendance technique baissière et les prédictions IA suggère une recommandation de **VENTE**, avec un niveau de confiance **Moyen** et un risque global **Élevé**. L'horizon d'investissement optimal est le **court terme** (&lt;3 mois), avec un suivi attentif des développements liés à Sonoco et à la levée de la suspension BRVM.</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1182.22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5,098 titres</w:t>
            </w:r>
          </w:p>
        </w:tc>
        <w:tc>
          <w:tcPr>
            <w:tcW w:type="dxa" w:w="2268"/>
            <w:shd w:fill="FFF2CC" w:val="clear"/>
          </w:tcPr>
          <w:p>
            <w:r>
              <w:rPr>
                <w:b/>
                <w:color w:val="503200"/>
                <w:sz w:val="16"/>
              </w:rPr>
              <w:t xml:space="preserve">Cours actuel : </w:t>
            </w:r>
            <w:r>
              <w:rPr>
                <w:color w:val="000000"/>
                <w:sz w:val="17"/>
              </w:rPr>
              <w:t>38,000 FCFA</w:t>
            </w:r>
          </w:p>
          <w:p>
            <w:r>
              <w:rPr>
                <w:b/>
                <w:color w:val="503200"/>
                <w:sz w:val="16"/>
              </w:rPr>
              <w:t xml:space="preserve">Var. 100 jours : </w:t>
            </w:r>
            <w:r>
              <w:rPr>
                <w:b/>
                <w:color w:val="007800"/>
                <w:sz w:val="17"/>
              </w:rPr>
              <w:t>+10.14%</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24.9%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5.65% (Moyenne) — μ=37,024 FCFA, σ=2,093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β=0.6847 (Défensif) — Cov=0.000025, Var(idx)=0.000036, ρ=0.263,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5,098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σ_j=1.57%/j (Stable) — Vol. annualisée≈24.9%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37,241</w:t>
            </w:r>
          </w:p>
        </w:tc>
        <w:tc>
          <w:tcPr>
            <w:tcW w:type="dxa" w:w="1440"/>
            <w:shd w:fill="FAFAFA" w:val="clear"/>
          </w:tcPr>
          <w:p>
            <w:r>
              <w:rPr>
                <w:b/>
                <w:sz w:val="17"/>
              </w:rPr>
              <w:t>38,096</w:t>
            </w:r>
          </w:p>
        </w:tc>
        <w:tc>
          <w:tcPr>
            <w:tcW w:type="dxa" w:w="1440"/>
            <w:shd w:fill="FAFAFA" w:val="clear"/>
          </w:tcPr>
          <w:p>
            <w:r>
              <w:rPr>
                <w:sz w:val="17"/>
              </w:rPr>
              <w:t>38,951</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36,801</w:t>
            </w:r>
          </w:p>
        </w:tc>
        <w:tc>
          <w:tcPr>
            <w:tcW w:type="dxa" w:w="1440"/>
            <w:shd w:fill="FAFAFA" w:val="clear"/>
          </w:tcPr>
          <w:p>
            <w:r>
              <w:rPr>
                <w:b/>
                <w:sz w:val="17"/>
              </w:rPr>
              <w:t>38,007</w:t>
            </w:r>
          </w:p>
        </w:tc>
        <w:tc>
          <w:tcPr>
            <w:tcW w:type="dxa" w:w="1440"/>
            <w:shd w:fill="FAFAFA" w:val="clear"/>
          </w:tcPr>
          <w:p>
            <w:r>
              <w:rPr>
                <w:sz w:val="17"/>
              </w:rPr>
              <w:t>39,213</w:t>
            </w:r>
          </w:p>
        </w:tc>
        <w:tc>
          <w:tcPr>
            <w:tcW w:type="dxa" w:w="1440"/>
            <w:shd w:fill="FAFAFA" w:val="clear"/>
          </w:tcPr>
          <w:p>
            <w:r>
              <w:rPr>
                <w:b/>
                <w:color w:val="008000"/>
                <w:sz w:val="17"/>
              </w:rPr>
              <w:t>+0.0%</w:t>
            </w:r>
          </w:p>
        </w:tc>
      </w:tr>
      <w:tr>
        <w:tc>
          <w:tcPr>
            <w:tcW w:type="dxa" w:w="1440"/>
            <w:shd w:fill="FAFAFA" w:val="clear"/>
          </w:tcPr>
          <w:p>
            <w:r>
              <w:rPr>
                <w:sz w:val="17"/>
              </w:rPr>
              <w:t>J+3  ⭐⭐⭐</w:t>
            </w:r>
          </w:p>
        </w:tc>
        <w:tc>
          <w:tcPr>
            <w:tcW w:type="dxa" w:w="1440"/>
            <w:shd w:fill="FAFAFA" w:val="clear"/>
          </w:tcPr>
          <w:p>
            <w:r>
              <w:rPr>
                <w:sz w:val="17"/>
              </w:rPr>
              <w:t>2026-09-02</w:t>
            </w:r>
          </w:p>
        </w:tc>
        <w:tc>
          <w:tcPr>
            <w:tcW w:type="dxa" w:w="1440"/>
            <w:shd w:fill="FAFAFA" w:val="clear"/>
          </w:tcPr>
          <w:p>
            <w:r>
              <w:rPr>
                <w:sz w:val="17"/>
              </w:rPr>
              <w:t>36,452</w:t>
            </w:r>
          </w:p>
        </w:tc>
        <w:tc>
          <w:tcPr>
            <w:tcW w:type="dxa" w:w="1440"/>
            <w:shd w:fill="FAFAFA" w:val="clear"/>
          </w:tcPr>
          <w:p>
            <w:r>
              <w:rPr>
                <w:b/>
                <w:sz w:val="17"/>
              </w:rPr>
              <w:t>37,926</w:t>
            </w:r>
          </w:p>
        </w:tc>
        <w:tc>
          <w:tcPr>
            <w:tcW w:type="dxa" w:w="1440"/>
            <w:shd w:fill="FAFAFA" w:val="clear"/>
          </w:tcPr>
          <w:p>
            <w:r>
              <w:rPr>
                <w:sz w:val="17"/>
              </w:rPr>
              <w:t>39,400</w:t>
            </w:r>
          </w:p>
        </w:tc>
        <w:tc>
          <w:tcPr>
            <w:tcW w:type="dxa" w:w="1440"/>
            <w:shd w:fill="FAFAFA" w:val="clear"/>
          </w:tcPr>
          <w:p>
            <w:r>
              <w:rPr>
                <w:b/>
                <w:color w:val="C00000"/>
                <w:sz w:val="17"/>
              </w:rPr>
              <w:t>-0.2%</w:t>
            </w:r>
          </w:p>
        </w:tc>
      </w:tr>
      <w:tr>
        <w:tc>
          <w:tcPr>
            <w:tcW w:type="dxa" w:w="1440"/>
            <w:shd w:fill="FAFAFA" w:val="clear"/>
          </w:tcPr>
          <w:p>
            <w:r>
              <w:rPr>
                <w:sz w:val="17"/>
              </w:rPr>
              <w:t>J+4  Moyenne</w:t>
            </w:r>
          </w:p>
        </w:tc>
        <w:tc>
          <w:tcPr>
            <w:tcW w:type="dxa" w:w="1440"/>
            <w:shd w:fill="FAFAFA" w:val="clear"/>
          </w:tcPr>
          <w:p>
            <w:r>
              <w:rPr>
                <w:sz w:val="17"/>
              </w:rPr>
              <w:t>2026-09-03</w:t>
            </w:r>
          </w:p>
        </w:tc>
        <w:tc>
          <w:tcPr>
            <w:tcW w:type="dxa" w:w="1440"/>
            <w:shd w:fill="FAFAFA" w:val="clear"/>
          </w:tcPr>
          <w:p>
            <w:r>
              <w:rPr>
                <w:sz w:val="17"/>
              </w:rPr>
              <w:t>36,149</w:t>
            </w:r>
          </w:p>
        </w:tc>
        <w:tc>
          <w:tcPr>
            <w:tcW w:type="dxa" w:w="1440"/>
            <w:shd w:fill="FAFAFA" w:val="clear"/>
          </w:tcPr>
          <w:p>
            <w:r>
              <w:rPr>
                <w:b/>
                <w:sz w:val="17"/>
              </w:rPr>
              <w:t>37,847</w:t>
            </w:r>
          </w:p>
        </w:tc>
        <w:tc>
          <w:tcPr>
            <w:tcW w:type="dxa" w:w="1440"/>
            <w:shd w:fill="FAFAFA" w:val="clear"/>
          </w:tcPr>
          <w:p>
            <w:r>
              <w:rPr>
                <w:sz w:val="17"/>
              </w:rPr>
              <w:t>39,546</w:t>
            </w:r>
          </w:p>
        </w:tc>
        <w:tc>
          <w:tcPr>
            <w:tcW w:type="dxa" w:w="1440"/>
            <w:shd w:fill="FAFAFA" w:val="clear"/>
          </w:tcPr>
          <w:p>
            <w:r>
              <w:rPr>
                <w:b/>
                <w:color w:val="C00000"/>
                <w:sz w:val="17"/>
              </w:rPr>
              <w:t>-0.4%</w:t>
            </w:r>
          </w:p>
        </w:tc>
      </w:tr>
      <w:tr>
        <w:tc>
          <w:tcPr>
            <w:tcW w:type="dxa" w:w="1440"/>
            <w:shd w:fill="FAFAFA" w:val="clear"/>
          </w:tcPr>
          <w:p>
            <w:r>
              <w:rPr>
                <w:sz w:val="17"/>
              </w:rPr>
              <w:t>J+5  Moyenne</w:t>
            </w:r>
          </w:p>
        </w:tc>
        <w:tc>
          <w:tcPr>
            <w:tcW w:type="dxa" w:w="1440"/>
            <w:shd w:fill="FAFAFA" w:val="clear"/>
          </w:tcPr>
          <w:p>
            <w:r>
              <w:rPr>
                <w:sz w:val="17"/>
              </w:rPr>
              <w:t>2026-09-04</w:t>
            </w:r>
          </w:p>
        </w:tc>
        <w:tc>
          <w:tcPr>
            <w:tcW w:type="dxa" w:w="1440"/>
            <w:shd w:fill="FAFAFA" w:val="clear"/>
          </w:tcPr>
          <w:p>
            <w:r>
              <w:rPr>
                <w:sz w:val="17"/>
              </w:rPr>
              <w:t>35,875</w:t>
            </w:r>
          </w:p>
        </w:tc>
        <w:tc>
          <w:tcPr>
            <w:tcW w:type="dxa" w:w="1440"/>
            <w:shd w:fill="FAFAFA" w:val="clear"/>
          </w:tcPr>
          <w:p>
            <w:r>
              <w:rPr>
                <w:b/>
                <w:sz w:val="17"/>
              </w:rPr>
              <w:t>37,770</w:t>
            </w:r>
          </w:p>
        </w:tc>
        <w:tc>
          <w:tcPr>
            <w:tcW w:type="dxa" w:w="1440"/>
            <w:shd w:fill="FAFAFA" w:val="clear"/>
          </w:tcPr>
          <w:p>
            <w:r>
              <w:rPr>
                <w:sz w:val="17"/>
              </w:rPr>
              <w:t>39,665</w:t>
            </w:r>
          </w:p>
        </w:tc>
        <w:tc>
          <w:tcPr>
            <w:tcW w:type="dxa" w:w="1440"/>
            <w:shd w:fill="FAFAFA" w:val="clear"/>
          </w:tcPr>
          <w:p>
            <w:r>
              <w:rPr>
                <w:b/>
                <w:color w:val="C00000"/>
                <w:sz w:val="17"/>
              </w:rPr>
              <w:t>-0.6%</w:t>
            </w:r>
          </w:p>
        </w:tc>
      </w:tr>
      <w:tr>
        <w:tc>
          <w:tcPr>
            <w:tcW w:type="dxa" w:w="1440"/>
            <w:shd w:fill="FAFAFA" w:val="clear"/>
          </w:tcPr>
          <w:p>
            <w:r>
              <w:rPr>
                <w:sz w:val="17"/>
              </w:rPr>
              <w:t>J+6  Moyenne</w:t>
            </w:r>
          </w:p>
        </w:tc>
        <w:tc>
          <w:tcPr>
            <w:tcW w:type="dxa" w:w="1440"/>
            <w:shd w:fill="FAFAFA" w:val="clear"/>
          </w:tcPr>
          <w:p>
            <w:r>
              <w:rPr>
                <w:sz w:val="17"/>
              </w:rPr>
              <w:t>2026-09-07</w:t>
            </w:r>
          </w:p>
        </w:tc>
        <w:tc>
          <w:tcPr>
            <w:tcW w:type="dxa" w:w="1440"/>
            <w:shd w:fill="FAFAFA" w:val="clear"/>
          </w:tcPr>
          <w:p>
            <w:r>
              <w:rPr>
                <w:sz w:val="17"/>
              </w:rPr>
              <w:t>35,621</w:t>
            </w:r>
          </w:p>
        </w:tc>
        <w:tc>
          <w:tcPr>
            <w:tcW w:type="dxa" w:w="1440"/>
            <w:shd w:fill="FAFAFA" w:val="clear"/>
          </w:tcPr>
          <w:p>
            <w:r>
              <w:rPr>
                <w:b/>
                <w:sz w:val="17"/>
              </w:rPr>
              <w:t>37,693</w:t>
            </w:r>
          </w:p>
        </w:tc>
        <w:tc>
          <w:tcPr>
            <w:tcW w:type="dxa" w:w="1440"/>
            <w:shd w:fill="FAFAFA" w:val="clear"/>
          </w:tcPr>
          <w:p>
            <w:r>
              <w:rPr>
                <w:sz w:val="17"/>
              </w:rPr>
              <w:t>39,764</w:t>
            </w:r>
          </w:p>
        </w:tc>
        <w:tc>
          <w:tcPr>
            <w:tcW w:type="dxa" w:w="1440"/>
            <w:shd w:fill="FAFAFA" w:val="clear"/>
          </w:tcPr>
          <w:p>
            <w:r>
              <w:rPr>
                <w:b/>
                <w:color w:val="C00000"/>
                <w:sz w:val="17"/>
              </w:rPr>
              <w:t>-0.8%</w:t>
            </w:r>
          </w:p>
        </w:tc>
      </w:tr>
      <w:tr>
        <w:tc>
          <w:tcPr>
            <w:tcW w:type="dxa" w:w="1440"/>
            <w:shd w:fill="FAFAFA" w:val="clear"/>
          </w:tcPr>
          <w:p>
            <w:r>
              <w:rPr>
                <w:sz w:val="17"/>
              </w:rPr>
              <w:t>J+7  Moyenne</w:t>
            </w:r>
          </w:p>
        </w:tc>
        <w:tc>
          <w:tcPr>
            <w:tcW w:type="dxa" w:w="1440"/>
            <w:shd w:fill="FAFAFA" w:val="clear"/>
          </w:tcPr>
          <w:p>
            <w:r>
              <w:rPr>
                <w:sz w:val="17"/>
              </w:rPr>
              <w:t>2026-09-08</w:t>
            </w:r>
          </w:p>
        </w:tc>
        <w:tc>
          <w:tcPr>
            <w:tcW w:type="dxa" w:w="1440"/>
            <w:shd w:fill="FAFAFA" w:val="clear"/>
          </w:tcPr>
          <w:p>
            <w:r>
              <w:rPr>
                <w:sz w:val="17"/>
              </w:rPr>
              <w:t>35,383</w:t>
            </w:r>
          </w:p>
        </w:tc>
        <w:tc>
          <w:tcPr>
            <w:tcW w:type="dxa" w:w="1440"/>
            <w:shd w:fill="FAFAFA" w:val="clear"/>
          </w:tcPr>
          <w:p>
            <w:r>
              <w:rPr>
                <w:b/>
                <w:sz w:val="17"/>
              </w:rPr>
              <w:t>37,616</w:t>
            </w:r>
          </w:p>
        </w:tc>
        <w:tc>
          <w:tcPr>
            <w:tcW w:type="dxa" w:w="1440"/>
            <w:shd w:fill="FAFAFA" w:val="clear"/>
          </w:tcPr>
          <w:p>
            <w:r>
              <w:rPr>
                <w:sz w:val="17"/>
              </w:rPr>
              <w:t>39,849</w:t>
            </w:r>
          </w:p>
        </w:tc>
        <w:tc>
          <w:tcPr>
            <w:tcW w:type="dxa" w:w="1440"/>
            <w:shd w:fill="FAFAFA" w:val="clear"/>
          </w:tcPr>
          <w:p>
            <w:r>
              <w:rPr>
                <w:b/>
                <w:color w:val="C00000"/>
                <w:sz w:val="17"/>
              </w:rPr>
              <w:t>-1.0%</w:t>
            </w:r>
          </w:p>
        </w:tc>
      </w:tr>
      <w:tr>
        <w:tc>
          <w:tcPr>
            <w:tcW w:type="dxa" w:w="1440"/>
            <w:shd w:fill="FAFAFA" w:val="clear"/>
          </w:tcPr>
          <w:p>
            <w:r>
              <w:rPr>
                <w:sz w:val="17"/>
              </w:rPr>
              <w:t>J+8  Moyenne</w:t>
            </w:r>
          </w:p>
        </w:tc>
        <w:tc>
          <w:tcPr>
            <w:tcW w:type="dxa" w:w="1440"/>
            <w:shd w:fill="FAFAFA" w:val="clear"/>
          </w:tcPr>
          <w:p>
            <w:r>
              <w:rPr>
                <w:sz w:val="17"/>
              </w:rPr>
              <w:t>2026-09-09</w:t>
            </w:r>
          </w:p>
        </w:tc>
        <w:tc>
          <w:tcPr>
            <w:tcW w:type="dxa" w:w="1440"/>
            <w:shd w:fill="FAFAFA" w:val="clear"/>
          </w:tcPr>
          <w:p>
            <w:r>
              <w:rPr>
                <w:sz w:val="17"/>
              </w:rPr>
              <w:t>35,158</w:t>
            </w:r>
          </w:p>
        </w:tc>
        <w:tc>
          <w:tcPr>
            <w:tcW w:type="dxa" w:w="1440"/>
            <w:shd w:fill="FAFAFA" w:val="clear"/>
          </w:tcPr>
          <w:p>
            <w:r>
              <w:rPr>
                <w:b/>
                <w:sz w:val="17"/>
              </w:rPr>
              <w:t>37,541</w:t>
            </w:r>
          </w:p>
        </w:tc>
        <w:tc>
          <w:tcPr>
            <w:tcW w:type="dxa" w:w="1440"/>
            <w:shd w:fill="FAFAFA" w:val="clear"/>
          </w:tcPr>
          <w:p>
            <w:r>
              <w:rPr>
                <w:sz w:val="17"/>
              </w:rPr>
              <w:t>39,923</w:t>
            </w:r>
          </w:p>
        </w:tc>
        <w:tc>
          <w:tcPr>
            <w:tcW w:type="dxa" w:w="1440"/>
            <w:shd w:fill="FAFAFA" w:val="clear"/>
          </w:tcPr>
          <w:p>
            <w:r>
              <w:rPr>
                <w:b/>
                <w:color w:val="C00000"/>
                <w:sz w:val="17"/>
              </w:rPr>
              <w:t>-1.2%</w:t>
            </w:r>
          </w:p>
        </w:tc>
      </w:tr>
      <w:tr>
        <w:tc>
          <w:tcPr>
            <w:tcW w:type="dxa" w:w="1440"/>
            <w:shd w:fill="FAFAFA" w:val="clear"/>
          </w:tcPr>
          <w:p>
            <w:r>
              <w:rPr>
                <w:sz w:val="17"/>
              </w:rPr>
              <w:t>J+9  Moyenne</w:t>
            </w:r>
          </w:p>
        </w:tc>
        <w:tc>
          <w:tcPr>
            <w:tcW w:type="dxa" w:w="1440"/>
            <w:shd w:fill="FAFAFA" w:val="clear"/>
          </w:tcPr>
          <w:p>
            <w:r>
              <w:rPr>
                <w:sz w:val="17"/>
              </w:rPr>
              <w:t>2026-09-10</w:t>
            </w:r>
          </w:p>
        </w:tc>
        <w:tc>
          <w:tcPr>
            <w:tcW w:type="dxa" w:w="1440"/>
            <w:shd w:fill="FAFAFA" w:val="clear"/>
          </w:tcPr>
          <w:p>
            <w:r>
              <w:rPr>
                <w:sz w:val="17"/>
              </w:rPr>
              <w:t>34,944</w:t>
            </w:r>
          </w:p>
        </w:tc>
        <w:tc>
          <w:tcPr>
            <w:tcW w:type="dxa" w:w="1440"/>
            <w:shd w:fill="FAFAFA" w:val="clear"/>
          </w:tcPr>
          <w:p>
            <w:r>
              <w:rPr>
                <w:b/>
                <w:sz w:val="17"/>
              </w:rPr>
              <w:t>37,466</w:t>
            </w:r>
          </w:p>
        </w:tc>
        <w:tc>
          <w:tcPr>
            <w:tcW w:type="dxa" w:w="1440"/>
            <w:shd w:fill="FAFAFA" w:val="clear"/>
          </w:tcPr>
          <w:p>
            <w:r>
              <w:rPr>
                <w:sz w:val="17"/>
              </w:rPr>
              <w:t>39,988</w:t>
            </w:r>
          </w:p>
        </w:tc>
        <w:tc>
          <w:tcPr>
            <w:tcW w:type="dxa" w:w="1440"/>
            <w:shd w:fill="FAFAFA" w:val="clear"/>
          </w:tcPr>
          <w:p>
            <w:r>
              <w:rPr>
                <w:b/>
                <w:color w:val="C00000"/>
                <w:sz w:val="17"/>
              </w:rPr>
              <w:t>-1.4%</w:t>
            </w:r>
          </w:p>
        </w:tc>
      </w:tr>
      <w:tr>
        <w:tc>
          <w:tcPr>
            <w:tcW w:type="dxa" w:w="1440"/>
            <w:shd w:fill="FAFAFA" w:val="clear"/>
          </w:tcPr>
          <w:p>
            <w:r>
              <w:rPr>
                <w:sz w:val="17"/>
              </w:rPr>
              <w:t>J+10  Moyenne</w:t>
            </w:r>
          </w:p>
        </w:tc>
        <w:tc>
          <w:tcPr>
            <w:tcW w:type="dxa" w:w="1440"/>
            <w:shd w:fill="FAFAFA" w:val="clear"/>
          </w:tcPr>
          <w:p>
            <w:r>
              <w:rPr>
                <w:sz w:val="17"/>
              </w:rPr>
              <w:t>2026-09-11</w:t>
            </w:r>
          </w:p>
        </w:tc>
        <w:tc>
          <w:tcPr>
            <w:tcW w:type="dxa" w:w="1440"/>
            <w:shd w:fill="FAFAFA" w:val="clear"/>
          </w:tcPr>
          <w:p>
            <w:r>
              <w:rPr>
                <w:sz w:val="17"/>
              </w:rPr>
              <w:t>34,739</w:t>
            </w:r>
          </w:p>
        </w:tc>
        <w:tc>
          <w:tcPr>
            <w:tcW w:type="dxa" w:w="1440"/>
            <w:shd w:fill="FAFAFA" w:val="clear"/>
          </w:tcPr>
          <w:p>
            <w:r>
              <w:rPr>
                <w:b/>
                <w:sz w:val="17"/>
              </w:rPr>
              <w:t>37,392</w:t>
            </w:r>
          </w:p>
        </w:tc>
        <w:tc>
          <w:tcPr>
            <w:tcW w:type="dxa" w:w="1440"/>
            <w:shd w:fill="FAFAFA" w:val="clear"/>
          </w:tcPr>
          <w:p>
            <w:r>
              <w:rPr>
                <w:sz w:val="17"/>
              </w:rPr>
              <w:t>40,046</w:t>
            </w:r>
          </w:p>
        </w:tc>
        <w:tc>
          <w:tcPr>
            <w:tcW w:type="dxa" w:w="1440"/>
            <w:shd w:fill="FAFAFA" w:val="clear"/>
          </w:tcPr>
          <w:p>
            <w:r>
              <w:rPr>
                <w:b/>
                <w:color w:val="C00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SGBC s'établit à 1 182,22 Mds FCFA, ce qui en fait l'une des plus importantes capitalisations de la BRVM, reflétant le statut de leader bancaire de la société en Côte d'Ivoire. Avec un BPA de 3 258 FCFA, chaque action génère un bénéfice substantiel, justifiant un PER de 11,7x. Ce ratio se situe dans la fourchette haute de la moyenne du marché BRVM (8-12x), indiquant une valorisation raisonnable, sans décote ni prime excessive. Le P/B de 2,39x montre que le marché valorise la société à plus du double de sa valeur comptable, une prime de croissance accordée aux acteurs performants. En revanche, l'EV/EBITDA de 24,5x apparaît très exigeant, signalant que la valeur totale de l'entreprise (dette incluse) est élevée par rapport à sa capacité opérationnelle, un point de vigilance pour les investisseurs à long terme.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SGBC a enregistré une progression totale de +10,14%, passant d'un plus bas de 32 800 FCFA à un plus haut de 39 300 FCFA, avant de clôturer à 38 000 FCFA. La dernière séance affiche un repli de -1,30%, marquant une pause après une tendance globalement haussière. La moyenne du cours (37 024 FCFA) est inférieure à la médiane (37 998 FCFA), et le skewness négatif (-0,706) confirme une asymétrie avec davantage de journées au-dessus de la moyenne, signe d'un marché soutenu. L'écart-type de 2 104 FCFA (CV=5,7%) indique une dispersion modérée, tandis que le kurtosis de -0,970 (mésokurtique) suggère une distribution proche de la normale, sans risque de pics extrêmes. La volatilité annualisée de 24,9% classe le titre dans une zone modérée (15-30%), offrant un équilibre entre potentiel de rendement et risque acceptable.</w:t>
      </w:r>
    </w:p>
    <w:p>
      <w:pPr>
        <w:spacing w:after="120" w:line="276" w:lineRule="auto" w:before="240"/>
      </w:pPr>
      <w:r>
        <w:rPr>
          <w:b/>
          <w:color w:val="003366"/>
          <w:sz w:val="24"/>
        </w:rPr>
        <w:t>**PARTIE 2 : ANALYSE TECHNIQUE DÉTAILLÉE**</w:t>
      </w:r>
    </w:p>
    <w:p>
      <w:pPr>
        <w:spacing w:after="120" w:line="276" w:lineRule="auto"/>
      </w:pPr>
      <w:r>
        <w:t>**Moyennes Mobiles** : La MM20 (38 539 FCFA) et la MM50 (38 522,8 FCFA) sont très proches et se situent légèrement au-dessus du cours actuel (38 000 FCFA). Cette configuration indique un récent repli sous les moyennes, mais l'écart minime suggère une consolidation plutôt qu'un retournement majeur. La décision d'achat signalée reflète la tendance haussière sous-jacente des 50 derniers jours.</w:t>
      </w:r>
    </w:p>
    <w:p>
      <w:pPr>
        <w:spacing w:after="120" w:line="276" w:lineRule="auto"/>
      </w:pPr>
      <w:r>
        <w:t>**Bandes de Bollinger** : Le cours se positionne entre la borne inférieure (37 374,7 FCFA) et la borne supérieure (39 703,3 FCFA), proche de la moyenne. Cette position neutre indique une volatilité modérée, sans excès de surachat ni de survente. La décision neutre est cohérente avec une phase de consolidation après la récente hausse.</w:t>
      </w:r>
    </w:p>
    <w:p>
      <w:pPr>
        <w:spacing w:after="120" w:line="276" w:lineRule="auto"/>
      </w:pPr>
      <w:r>
        <w:t>**MACD** : La valeur du MACD (32,558) est inférieure au signal (112,509), générant une décision de vente. Cette divergence négative suggère un affaiblissement du momentum haussier à court terme, bien que les valeurs restent positives, indiquant que la tendance de fond demeure constructive.</w:t>
      </w:r>
    </w:p>
    <w:p>
      <w:pPr>
        <w:spacing w:after="120" w:line="276" w:lineRule="auto"/>
      </w:pPr>
      <w:r>
        <w:t>**RSI** : À 50,0, le RSI se situe exactement à la neutralité, reflétant un équilibre entre pressions acheteuses et vendeuses. Ce niveau n'indique ni surachat ni survente, laissant place à une évolution directionnelle sans contrainte technique.</w:t>
      </w:r>
    </w:p>
    <w:p>
      <w:pPr>
        <w:spacing w:after="120" w:line="276" w:lineRule="auto"/>
      </w:pPr>
      <w:r>
        <w:t>**Stochastique** : Le %K (18,495) est inférieur au %D (28,945), mais les deux sont en zone de survente (&lt;30), signalant une décision d'achat. Ce croisement suggère un potentiel rebond technique après une phase de faiblesse récente.</w:t>
      </w:r>
    </w:p>
    <w:p>
      <w:pPr>
        <w:spacing w:after="120" w:line="276" w:lineRule="auto"/>
      </w:pPr>
      <w:r>
        <w:t>**Conclusion technique** : Les indicateurs sont mitigés, avec un MACD vendeur contrastant avec un stochastique acheteur et des moyennes mobiles globalement positives. Cette divergence reflète une phase de consolidation dans une tendance haussière plus large. Le scénario le plus probable est un rebond à court terme, sous réserve du maintien au-dessus de la borne inférieure de Bollinger.</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SGBC révèlent une performance robuste : le PNB s'établit à 276,048 Mds FCFA, avec un résultat net de 101,352 Mds FCFA, confirmant le franchissement du seuil des 100 Mds pour la deuxième année consécutive. Le ROE atteint 20,47%, un niveau excellent (&gt;15%), et le ROA de 2,69% témoigne d'une utilisation efficace des actifs. Le coefficient d'exploitation de 38,75% est remarquable, bien en dessous du seuil d'efficacité de 60%, démontrant une maîtrise rigoureuse des coûts. Le coût du risque, avec des provisions de 17,995 Mds FCFA, reste contenu, tandis que les dépôts clientèle (2 907,675 Mds FCFA) dépassent largement les créances (2 546,290 Mds FCFA), indiquant une transformation saine. Les rapports trimestriels 2025 confirment cette dynamique : le T1 2025 (PNB 66,3 Mds, +1,3%) et le S1 2025 (PNB 132,0 Mds, +1,0%, résultat net +10%) montrent une croissance modérée du PNB mais une forte progression du résultat net grâce à la baisse des frais généraux (-3,9%). Le rapport 9 mois 2025 (PNB 201,0 Mds, +2,5%, résultat net 83,3 Mds, +11,7%) et le coefficient d'exploitation amélioré à 37,3% confirment la tendance. Sur la base de ces données, on estime que l'exercice 2025 devrait clôturer avec un PNB autour de 276 Mds et un résultat net proche de 101 Mds, en ligne avec les chiffres annuels. La solidité financière est renforcée par un ratio de solvabilité de 17,7% (S1 2025), bien au-dessus du minimum réglementaire, et une notation AAA, unique dans le secteur bancaire de l'UEMOA. Les risques résident dans la hausse des créances en souffrance (NPL à 7,8% au S1 2025) et la baisse du taux de couverture à 91%, mais la stratégie de digitalisation et de maîtrise des coûts offre des perspectives favorables.</w:t>
      </w:r>
    </w:p>
    <w:p>
      <w:pPr>
        <w:spacing w:after="120" w:line="276" w:lineRule="auto" w:before="240"/>
      </w:pPr>
      <w:r>
        <w:rPr>
          <w:b/>
          <w:color w:val="003366"/>
          <w:sz w:val="24"/>
        </w:rPr>
        <w:t>**PARTIE 4 : CONCLUSION D'INVESTISSEMENT**</w:t>
      </w:r>
    </w:p>
    <w:p>
      <w:pPr>
        <w:spacing w:after="120" w:line="276" w:lineRule="auto"/>
      </w:pPr>
      <w:r>
        <w:t>La valorisation de SGBC (PER 11,7x, P/B 2,39x) est raisonnable pour un leader bancaire, bien que l'EV/EBITDA élevé (24,5x) tempère l'enthousiasme. Le comportement du cours sur 100 jours (+10,14%) avec une volatilité modérée (24,9%) et une distribution normale (kurtosis -0,970) est favorable, mais le skewness négatif et la baisse récente de -1,30% suggèrent une prudence à court terme. Les signaux techniques sont mitigés : les moyennes mobiles et le stochastique plaident pour un achat, tandis que le MACD et le RSI neutre indiquent une consolidation. Les fondamentaux sont excellents, avec un ROE de 20,47%, un coefficient d'exploitation de 38,75% et une croissance soutenue du résultat net (+11,7% sur 9 mois 2025), renforcée par une notation AAA. Les prédictions IA (38 096 FCFA à J+1, puis baisse progressive à 37 770 FCFA à J+10) suggèrent une légère correction, contredisant partiellement le signal d'achat technique. En synthèse, la convergence entre des fondamentaux solides et une valorisation modérée l'emporte sur les signaux techniques mitigés. **Recommandation : ACHAT**, avec un niveau de confiance **Élevé** et un risque global **Moyen**. L'horizon d'investissement optimal est le **moyen terme (3-12 mois)**, permettant de capter la croissance des bénéfices et les dividendes attractifs (rendement estimé ~5%), tout en surveillant la qualité du crédit et l'évolution des dépôts.</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153.72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4,324 titres</w:t>
            </w:r>
          </w:p>
        </w:tc>
        <w:tc>
          <w:tcPr>
            <w:tcW w:type="dxa" w:w="2268"/>
            <w:shd w:fill="FFF2CC" w:val="clear"/>
          </w:tcPr>
          <w:p>
            <w:r>
              <w:rPr>
                <w:b/>
                <w:color w:val="503200"/>
                <w:sz w:val="16"/>
              </w:rPr>
              <w:t xml:space="preserve">Cours actuel : </w:t>
            </w:r>
            <w:r>
              <w:rPr>
                <w:color w:val="000000"/>
                <w:sz w:val="17"/>
              </w:rPr>
              <w:t>2,440 FCFA</w:t>
            </w:r>
          </w:p>
          <w:p>
            <w:r>
              <w:rPr>
                <w:b/>
                <w:color w:val="503200"/>
                <w:sz w:val="16"/>
              </w:rPr>
              <w:t xml:space="preserve">Var. 100 jours : </w:t>
            </w:r>
            <w:r>
              <w:rPr>
                <w:b/>
                <w:color w:val="007800"/>
                <w:sz w:val="17"/>
              </w:rPr>
              <w:t>+12.44%</w:t>
            </w:r>
          </w:p>
          <w:p>
            <w:r>
              <w:rPr>
                <w:b/>
                <w:color w:val="503200"/>
                <w:sz w:val="16"/>
              </w:rPr>
              <w:t xml:space="preserve">Plus haut 100j : </w:t>
            </w:r>
            <w:r>
              <w:rPr>
                <w:color w:val="000000"/>
                <w:sz w:val="17"/>
              </w:rPr>
              <w:t>2,480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7.22% (Moyenne) — μ=2,124 FCFA, σ=153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β=1.1388 (Neutre (suit le marché)) — Cov=0.000041, Var(idx)=0.000036, ρ=0.308,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4,324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σ_j=2.22%/j (Stable) — Vol. annualisée≈35.2%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2,199</w:t>
            </w:r>
          </w:p>
        </w:tc>
        <w:tc>
          <w:tcPr>
            <w:tcW w:type="dxa" w:w="1440"/>
            <w:shd w:fill="FFDCE0" w:val="clear"/>
          </w:tcPr>
          <w:p>
            <w:r>
              <w:rPr>
                <w:b/>
                <w:sz w:val="17"/>
              </w:rPr>
              <w:t>2,285</w:t>
            </w:r>
          </w:p>
        </w:tc>
        <w:tc>
          <w:tcPr>
            <w:tcW w:type="dxa" w:w="1440"/>
            <w:shd w:fill="FFDCE0" w:val="clear"/>
          </w:tcPr>
          <w:p>
            <w:r>
              <w:rPr>
                <w:sz w:val="17"/>
              </w:rPr>
              <w:t>2,370</w:t>
            </w:r>
          </w:p>
        </w:tc>
        <w:tc>
          <w:tcPr>
            <w:tcW w:type="dxa" w:w="1440"/>
            <w:shd w:fill="FFDCE0" w:val="clear"/>
          </w:tcPr>
          <w:p>
            <w:r>
              <w:rPr>
                <w:b/>
                <w:color w:val="C00000"/>
                <w:sz w:val="17"/>
              </w:rPr>
              <w:t>-6.4%</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2,056</w:t>
            </w:r>
          </w:p>
        </w:tc>
        <w:tc>
          <w:tcPr>
            <w:tcW w:type="dxa" w:w="1440"/>
            <w:shd w:fill="FFDCE0" w:val="clear"/>
          </w:tcPr>
          <w:p>
            <w:r>
              <w:rPr>
                <w:b/>
                <w:sz w:val="17"/>
              </w:rPr>
              <w:t>2,170</w:t>
            </w:r>
          </w:p>
        </w:tc>
        <w:tc>
          <w:tcPr>
            <w:tcW w:type="dxa" w:w="1440"/>
            <w:shd w:fill="FFDCE0" w:val="clear"/>
          </w:tcPr>
          <w:p>
            <w:r>
              <w:rPr>
                <w:sz w:val="17"/>
              </w:rPr>
              <w:t>2,285</w:t>
            </w:r>
          </w:p>
        </w:tc>
        <w:tc>
          <w:tcPr>
            <w:tcW w:type="dxa" w:w="1440"/>
            <w:shd w:fill="FFDCE0" w:val="clear"/>
          </w:tcPr>
          <w:p>
            <w:r>
              <w:rPr>
                <w:b/>
                <w:color w:val="C00000"/>
                <w:sz w:val="17"/>
              </w:rPr>
              <w:t>-11.0%</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1,936</w:t>
            </w:r>
          </w:p>
        </w:tc>
        <w:tc>
          <w:tcPr>
            <w:tcW w:type="dxa" w:w="1440"/>
            <w:shd w:fill="FFDCE0" w:val="clear"/>
          </w:tcPr>
          <w:p>
            <w:r>
              <w:rPr>
                <w:b/>
                <w:sz w:val="17"/>
              </w:rPr>
              <w:t>2,070</w:t>
            </w:r>
          </w:p>
        </w:tc>
        <w:tc>
          <w:tcPr>
            <w:tcW w:type="dxa" w:w="1440"/>
            <w:shd w:fill="FFDCE0" w:val="clear"/>
          </w:tcPr>
          <w:p>
            <w:r>
              <w:rPr>
                <w:sz w:val="17"/>
              </w:rPr>
              <w:t>2,204</w:t>
            </w:r>
          </w:p>
        </w:tc>
        <w:tc>
          <w:tcPr>
            <w:tcW w:type="dxa" w:w="1440"/>
            <w:shd w:fill="FFDCE0" w:val="clear"/>
          </w:tcPr>
          <w:p>
            <w:r>
              <w:rPr>
                <w:b/>
                <w:color w:val="C00000"/>
                <w:sz w:val="17"/>
              </w:rPr>
              <w:t>-15.2%</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1,839</w:t>
            </w:r>
          </w:p>
        </w:tc>
        <w:tc>
          <w:tcPr>
            <w:tcW w:type="dxa" w:w="1440"/>
            <w:shd w:fill="FFDCE0" w:val="clear"/>
          </w:tcPr>
          <w:p>
            <w:r>
              <w:rPr>
                <w:b/>
                <w:sz w:val="17"/>
              </w:rPr>
              <w:t>1,988</w:t>
            </w:r>
          </w:p>
        </w:tc>
        <w:tc>
          <w:tcPr>
            <w:tcW w:type="dxa" w:w="1440"/>
            <w:shd w:fill="FFDCE0" w:val="clear"/>
          </w:tcPr>
          <w:p>
            <w:r>
              <w:rPr>
                <w:sz w:val="17"/>
              </w:rPr>
              <w:t>2,137</w:t>
            </w:r>
          </w:p>
        </w:tc>
        <w:tc>
          <w:tcPr>
            <w:tcW w:type="dxa" w:w="1440"/>
            <w:shd w:fill="FFDCE0" w:val="clear"/>
          </w:tcPr>
          <w:p>
            <w:r>
              <w:rPr>
                <w:b/>
                <w:color w:val="C00000"/>
                <w:sz w:val="17"/>
              </w:rPr>
              <w:t>-18.5%</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1,760</w:t>
            </w:r>
          </w:p>
        </w:tc>
        <w:tc>
          <w:tcPr>
            <w:tcW w:type="dxa" w:w="1440"/>
            <w:shd w:fill="FFDCE0" w:val="clear"/>
          </w:tcPr>
          <w:p>
            <w:r>
              <w:rPr>
                <w:b/>
                <w:sz w:val="17"/>
              </w:rPr>
              <w:t>1,921</w:t>
            </w:r>
          </w:p>
        </w:tc>
        <w:tc>
          <w:tcPr>
            <w:tcW w:type="dxa" w:w="1440"/>
            <w:shd w:fill="FFDCE0" w:val="clear"/>
          </w:tcPr>
          <w:p>
            <w:r>
              <w:rPr>
                <w:sz w:val="17"/>
              </w:rPr>
              <w:t>2,082</w:t>
            </w:r>
          </w:p>
        </w:tc>
        <w:tc>
          <w:tcPr>
            <w:tcW w:type="dxa" w:w="1440"/>
            <w:shd w:fill="FFDCE0" w:val="clear"/>
          </w:tcPr>
          <w:p>
            <w:r>
              <w:rPr>
                <w:b/>
                <w:color w:val="C00000"/>
                <w:sz w:val="17"/>
              </w:rPr>
              <w:t>-21.3%</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1,694</w:t>
            </w:r>
          </w:p>
        </w:tc>
        <w:tc>
          <w:tcPr>
            <w:tcW w:type="dxa" w:w="1440"/>
            <w:shd w:fill="FFDCE0" w:val="clear"/>
          </w:tcPr>
          <w:p>
            <w:r>
              <w:rPr>
                <w:b/>
                <w:sz w:val="17"/>
              </w:rPr>
              <w:t>1,865</w:t>
            </w:r>
          </w:p>
        </w:tc>
        <w:tc>
          <w:tcPr>
            <w:tcW w:type="dxa" w:w="1440"/>
            <w:shd w:fill="FFDCE0" w:val="clear"/>
          </w:tcPr>
          <w:p>
            <w:r>
              <w:rPr>
                <w:sz w:val="17"/>
              </w:rPr>
              <w:t>2,036</w:t>
            </w:r>
          </w:p>
        </w:tc>
        <w:tc>
          <w:tcPr>
            <w:tcW w:type="dxa" w:w="1440"/>
            <w:shd w:fill="FFDCE0" w:val="clear"/>
          </w:tcPr>
          <w:p>
            <w:r>
              <w:rPr>
                <w:b/>
                <w:color w:val="C00000"/>
                <w:sz w:val="17"/>
              </w:rPr>
              <w:t>-23.6%</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1,637</w:t>
            </w:r>
          </w:p>
        </w:tc>
        <w:tc>
          <w:tcPr>
            <w:tcW w:type="dxa" w:w="1440"/>
            <w:shd w:fill="FFDCE0" w:val="clear"/>
          </w:tcPr>
          <w:p>
            <w:r>
              <w:rPr>
                <w:b/>
                <w:sz w:val="17"/>
              </w:rPr>
              <w:t>1,817</w:t>
            </w:r>
          </w:p>
        </w:tc>
        <w:tc>
          <w:tcPr>
            <w:tcW w:type="dxa" w:w="1440"/>
            <w:shd w:fill="FFDCE0" w:val="clear"/>
          </w:tcPr>
          <w:p>
            <w:r>
              <w:rPr>
                <w:sz w:val="17"/>
              </w:rPr>
              <w:t>1,996</w:t>
            </w:r>
          </w:p>
        </w:tc>
        <w:tc>
          <w:tcPr>
            <w:tcW w:type="dxa" w:w="1440"/>
            <w:shd w:fill="FFDCE0" w:val="clear"/>
          </w:tcPr>
          <w:p>
            <w:r>
              <w:rPr>
                <w:b/>
                <w:color w:val="C00000"/>
                <w:sz w:val="17"/>
              </w:rPr>
              <w:t>-25.5%</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1,586</w:t>
            </w:r>
          </w:p>
        </w:tc>
        <w:tc>
          <w:tcPr>
            <w:tcW w:type="dxa" w:w="1440"/>
            <w:shd w:fill="FFDCE0" w:val="clear"/>
          </w:tcPr>
          <w:p>
            <w:r>
              <w:rPr>
                <w:b/>
                <w:sz w:val="17"/>
              </w:rPr>
              <w:t>1,774</w:t>
            </w:r>
          </w:p>
        </w:tc>
        <w:tc>
          <w:tcPr>
            <w:tcW w:type="dxa" w:w="1440"/>
            <w:shd w:fill="FFDCE0" w:val="clear"/>
          </w:tcPr>
          <w:p>
            <w:r>
              <w:rPr>
                <w:sz w:val="17"/>
              </w:rPr>
              <w:t>1,962</w:t>
            </w:r>
          </w:p>
        </w:tc>
        <w:tc>
          <w:tcPr>
            <w:tcW w:type="dxa" w:w="1440"/>
            <w:shd w:fill="FFDCE0" w:val="clear"/>
          </w:tcPr>
          <w:p>
            <w:r>
              <w:rPr>
                <w:b/>
                <w:color w:val="C00000"/>
                <w:sz w:val="17"/>
              </w:rPr>
              <w:t>-27.3%</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1,541</w:t>
            </w:r>
          </w:p>
        </w:tc>
        <w:tc>
          <w:tcPr>
            <w:tcW w:type="dxa" w:w="1440"/>
            <w:shd w:fill="FFDCE0" w:val="clear"/>
          </w:tcPr>
          <w:p>
            <w:r>
              <w:rPr>
                <w:b/>
                <w:sz w:val="17"/>
              </w:rPr>
              <w:t>1,735</w:t>
            </w:r>
          </w:p>
        </w:tc>
        <w:tc>
          <w:tcPr>
            <w:tcW w:type="dxa" w:w="1440"/>
            <w:shd w:fill="FFDCE0" w:val="clear"/>
          </w:tcPr>
          <w:p>
            <w:r>
              <w:rPr>
                <w:sz w:val="17"/>
              </w:rPr>
              <w:t>1,930</w:t>
            </w:r>
          </w:p>
        </w:tc>
        <w:tc>
          <w:tcPr>
            <w:tcW w:type="dxa" w:w="1440"/>
            <w:shd w:fill="FFDCE0" w:val="clear"/>
          </w:tcPr>
          <w:p>
            <w:r>
              <w:rPr>
                <w:b/>
                <w:color w:val="C00000"/>
                <w:sz w:val="17"/>
              </w:rPr>
              <w:t>-28.9%</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1,499</w:t>
            </w:r>
          </w:p>
        </w:tc>
        <w:tc>
          <w:tcPr>
            <w:tcW w:type="dxa" w:w="1440"/>
            <w:shd w:fill="FFDCE0" w:val="clear"/>
          </w:tcPr>
          <w:p>
            <w:r>
              <w:rPr>
                <w:b/>
                <w:sz w:val="17"/>
              </w:rPr>
              <w:t>1,700</w:t>
            </w:r>
          </w:p>
        </w:tc>
        <w:tc>
          <w:tcPr>
            <w:tcW w:type="dxa" w:w="1440"/>
            <w:shd w:fill="FFDCE0" w:val="clear"/>
          </w:tcPr>
          <w:p>
            <w:r>
              <w:rPr>
                <w:sz w:val="17"/>
              </w:rPr>
              <w:t>1,901</w:t>
            </w:r>
          </w:p>
        </w:tc>
        <w:tc>
          <w:tcPr>
            <w:tcW w:type="dxa" w:w="1440"/>
            <w:shd w:fill="FFDCE0" w:val="clear"/>
          </w:tcPr>
          <w:p>
            <w:r>
              <w:rPr>
                <w:b/>
                <w:color w:val="C00000"/>
                <w:sz w:val="17"/>
              </w:rPr>
              <w:t>-30.3%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SHEC s'établit à 153,72 milliards FCFA, un niveau significatif qui la positionne parmi les valeurs moyennes de la BRVM. Le BPA de 96 FCFA par action génère un PER de 25,5x, très supérieur à la moyenne historique de la place (~8-12x), ce qui traduit une prime de valorisation substantielle, probablement justifiée par des attentes de croissance ou une liquidité limitée. Le P/B de 5,66x confirme cette exigeance, le marché valorisant plus de cinq fois les capitaux propres comptables, un niveau qui reflète la confiance dans la marque Vivo Energy mais qui laisse peu de marge à l'erreur. Enfin, l'EV/EBITDA de 13,5x se situe dans la fourchette haute (10-15x), indiquant que la valeur totale de l'entreprise (dette incluse) est élevée par rapport à sa capacité opérationnelle. Ces ratios combinés suggèrent une valorisation riche qui anticipe une amélioration continue de la rentabilité.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SHEC a enregistré une progression totale de +12,44%, avec une légère consolidation de -0,41% lors de la dernière séance, reflétant une tendance haussière soutenue mais récemment essoufflée. Le cours a évolué dans une fourchette de 1 840 FCFA (plus bas) à 2 480 FCFA (plus haut), démontrant une amplitude de trading de 640 FCFA. La moyenne du cours sur la période est de 2 124 FCFA, légèrement inférieure à la médiane de 2 160 FCFA, indiquant une distribution quasi symétrique avec un skewness positif de 0,288. L'écart-type de 154 FCFA, soit un coefficient de variation de 7,3%, révèle une dispersion modérée autour de la moyenne. Le kurtosis de -0,464 (mésokurtique) suggère une absence de pics extrêmes, typique d'une distribution proche de la normale. La volatilité annualisée de 35,2% classe le titre comme très volatil (&gt;30%), un niveau élevé qui implique des fluctuations de prix significatives, caractéristique des valeurs moyennes de la BRVM.</w:t>
      </w:r>
    </w:p>
    <w:p>
      <w:pPr>
        <w:spacing w:after="120" w:line="276" w:lineRule="auto" w:before="240"/>
      </w:pPr>
      <w:r>
        <w:rPr>
          <w:b/>
          <w:color w:val="003366"/>
          <w:sz w:val="24"/>
        </w:rPr>
        <w:t>**PARTIE 2 : ANALYSE TECHNIQUE DÉTAILLÉE**</w:t>
      </w:r>
    </w:p>
    <w:p>
      <w:pPr>
        <w:spacing w:after="120" w:line="276" w:lineRule="auto"/>
      </w:pPr>
      <w:r>
        <w:t>**Moyennes Mobiles** : Le cours actuel de 2 440 FCFA se positionne nettement au-dessus de la MM20 (2 337,5 FCFA) et de la MM50 (2 242 FCFA), confirmant une dynamique haussière à court et moyen terme. La configuration des MM, avec la MM20 au-dessus de la MM50, valide la tendance positive et justifie la décision d'achat, bien que l'écart croissant puisse signaler une extension excessive.</w:t>
      </w:r>
    </w:p>
    <w:p>
      <w:pPr>
        <w:spacing w:after="120" w:line="276" w:lineRule="auto"/>
      </w:pPr>
      <w:r>
        <w:t>**Bandes de Bollinger** : Le prix se situe à 2 440 FCFA, entre la borne supérieure (2 534,9 FCFA) et la borne inférieure (2 140,1 FCFA), proche de la partie haute de l'enveloppe. Cette position indique une pression acheteuse persistante sans atteindre les conditions de surachat extrême. La décision neutre reflète un équilibre entre le momentum haussier et le risque de retour vers la moyenne.</w:t>
      </w:r>
    </w:p>
    <w:p>
      <w:pPr>
        <w:spacing w:after="120" w:line="276" w:lineRule="auto"/>
      </w:pPr>
      <w:r>
        <w:t>**MACD** : La valeur du MACD (69,863) est supérieure à son signal (59,096), avec un écart positif de 10,8 points, confirmant un momentum haussier robuste. La divergence positive entre la ligne MACD et le signal indique une accélération de la tendance, justifiant la décision d'achat, bien que l'écart important puisse précéder une consolidation.</w:t>
      </w:r>
    </w:p>
    <w:p>
      <w:pPr>
        <w:spacing w:after="120" w:line="276" w:lineRule="auto"/>
      </w:pPr>
      <w:r>
        <w:t>**RSI** : Le RSI de 68,293 se situe en zone neutre-haute, proche du seuil de surachat (70). Cette valeur reflète une pression acheteuse soutenue mais non excessive, laissant une marge de progression avant d'atteindre des conditions de surachat. La décision neutre est cohérente avec cette lecture.</w:t>
      </w:r>
    </w:p>
    <w:p>
      <w:pPr>
        <w:spacing w:after="120" w:line="276" w:lineRule="auto"/>
      </w:pPr>
      <w:r>
        <w:t>**Stochastique** : Le %K (85,714) et le %D (88,69) sont tous deux en zone de surachat (&gt;80), avec un %D supérieur au %K, signalant un possible retournement baissier à court terme. La décision de vente est justifiée par cette configuration, indiquant un épuisement potentiel du mouvement haussier.</w:t>
      </w:r>
    </w:p>
    <w:p>
      <w:pPr>
        <w:spacing w:after="120" w:line="276" w:lineRule="auto"/>
      </w:pPr>
      <w:r>
        <w:t>**Conclusion technique** : Les indicateurs de tendance (MM, MACD) sont positifs, mais les oscillateurs (RSI, Stochastique) montrent des signes de surachat. Cette divergence suggère une poursuite possible de la tendance haussière à moyen terme, mais avec un risque accru de correction à court terme. La prudence est recommandée pour les nouveaux achats à ces niveaux.</w:t>
      </w:r>
    </w:p>
    <w:p>
      <w:pPr>
        <w:spacing w:after="120" w:line="276" w:lineRule="auto" w:before="240"/>
      </w:pPr>
      <w:r>
        <w:rPr>
          <w:b/>
          <w:color w:val="003366"/>
          <w:sz w:val="24"/>
        </w:rPr>
        <w:t>**PARTIE 3 : ANALYSE FONDAMENTALE (SECTION CRITIQUE)**</w:t>
      </w:r>
    </w:p>
    <w:p>
      <w:pPr>
        <w:spacing w:after="120" w:line="276" w:lineRule="auto"/>
      </w:pPr>
      <w:r>
        <w:t>En 2025, SHEC (Vivo Energy CI) a réalisé un chiffre d'affaires de 604,978 milliards FCFA, en légère progression de +0,71% par rapport à 2024 (600,708 milliards FCFA), avec un résultat net de 6,028 milliards FCFA, en hausse de +12,6%. La marge nette reste faible à 0,99%, mais le ROE de 22,2% est excellent, démontrant une création de valeur efficace pour les actionnaires. Le ROA de 3,11% reflète une utilisation modérée des actifs. Le BFR de 15,315 milliards FCFA est positif, indiquant un besoin de financement, avec un délai clients de 23,27 jours et un délai fournisseurs de 35,47 jours, une configuration relativement équilibrée. La trésorerie nette est fortement négative à -65,264 milliards FCFA, avec des dettes fournisseurs de 53,43 milliards FCFA, un point de vigilance majeur. Sur la base du rapport T1 2026 (CA en baisse de 9% à 141,649 milliards FCFA), on estime que l'exercice 2026 pourrait voir un CA en léger repli, mais le résultat net reste stable (+1% au T1), grâce à la maîtrise des charges. Le rapport S1 2026 confirme cette tendance avec un CA de 305,038 milliards FCFA (-1%) et un résultat net de 3,016 milliards FCFA, en amélioration de 15%. Le dividende proposé de 6,09 milliards FCFA pour 2025 (taux de distribution de 101%) est généreux mais fragilise la structure financière. Les risques principaux incluent la volatilité des volumes (aviation, bitume) et la dépendance aux concours bancaires.</w:t>
      </w:r>
    </w:p>
    <w:p>
      <w:pPr>
        <w:spacing w:after="120" w:line="276" w:lineRule="auto" w:before="240"/>
      </w:pPr>
      <w:r>
        <w:rPr>
          <w:b/>
          <w:color w:val="003366"/>
          <w:sz w:val="24"/>
        </w:rPr>
        <w:t>**PARTIE 4 : CONCLUSION D'INVESTISSEMENT**</w:t>
      </w:r>
    </w:p>
    <w:p>
      <w:pPr>
        <w:spacing w:after="120" w:line="276" w:lineRule="auto"/>
      </w:pPr>
      <w:r>
        <w:t>La valorisation de SHEC est exigeante (PER 25,5x, P/B 5,66x, EV/EBITDA 13,5x), indiquant une surévaluation relative par rapport aux bénéfices et aux actifs, bien que le ROE de 22,2% justifie partiellement cette prime. Le comportement du cours sur 100 jours est haussier (+12,44%) avec une volatilité élevée (35,2%), mais les statistiques (kurtosis mésokurtique, skewness symétrique) suggèrent une distribution stable sans extrêmes. Les signaux techniques sont mitigés : les MM et le MACD sont positifs, mais le RSI proche du surachat et le Stochastique en zone de vente indiquent un risque de correction à court terme. Les fondamentaux montrent une amélioration de la rentabilité (+13% du résultat net en 2025) mais une trésorerie nette très négative (-65,26 milliards FCFA) et une dépendance aux découverts bancaires. Les prédictions IA (J+1 à J+10) prévoient une baisse significative du cours de 2 440 à 1 921 FCFA (-21%), contredisant la tendance récente et suggérant une correction imminente. La convergence entre les signaux techniques de surachat, la valorisation élevée et les prédictions IA baissières conduit à une recommandation **CONSERVER** pour les détenteurs actuels, avec un niveau de confiance **Moyen** et un risque global **Élevé**. L'horizon d'investissement optimal est le **moyen terme (3-12 mois)**, en attendant une clarification de la structure financière et une amélioration des volumes.</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8,919 titres</w:t>
            </w:r>
          </w:p>
        </w:tc>
        <w:tc>
          <w:tcPr>
            <w:tcW w:type="dxa" w:w="2268"/>
            <w:shd w:fill="FFF2CC" w:val="clear"/>
          </w:tcPr>
          <w:p>
            <w:r>
              <w:rPr>
                <w:b/>
                <w:color w:val="503200"/>
                <w:sz w:val="16"/>
              </w:rPr>
              <w:t xml:space="preserve">Cours actuel : </w:t>
            </w:r>
            <w:r>
              <w:rPr>
                <w:color w:val="000000"/>
                <w:sz w:val="17"/>
              </w:rPr>
              <w:t>9,200 FCFA</w:t>
            </w:r>
          </w:p>
          <w:p>
            <w:r>
              <w:rPr>
                <w:b/>
                <w:color w:val="503200"/>
                <w:sz w:val="16"/>
              </w:rPr>
              <w:t xml:space="preserve">Var. 100 jours : </w:t>
            </w:r>
            <w:r>
              <w:rPr>
                <w:b/>
                <w:color w:val="007800"/>
                <w:sz w:val="17"/>
              </w:rPr>
              <w:t>+31.52%</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10.48% (Moyenne) — μ=8,309 FCFA, σ=871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β=0.3614 (Défensif) — Cov=0.000013, Var(idx)=0.000036, ρ=0.121,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8,919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σ_j=1.78%/j (Stable) — Vol. annualisée≈28.3%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8,601</w:t>
            </w:r>
          </w:p>
        </w:tc>
        <w:tc>
          <w:tcPr>
            <w:tcW w:type="dxa" w:w="1440"/>
            <w:shd w:fill="FFDCE0" w:val="clear"/>
          </w:tcPr>
          <w:p>
            <w:r>
              <w:rPr>
                <w:b/>
                <w:sz w:val="17"/>
              </w:rPr>
              <w:t>8,873</w:t>
            </w:r>
          </w:p>
        </w:tc>
        <w:tc>
          <w:tcPr>
            <w:tcW w:type="dxa" w:w="1440"/>
            <w:shd w:fill="FFDCE0" w:val="clear"/>
          </w:tcPr>
          <w:p>
            <w:r>
              <w:rPr>
                <w:sz w:val="17"/>
              </w:rPr>
              <w:t>9,145</w:t>
            </w:r>
          </w:p>
        </w:tc>
        <w:tc>
          <w:tcPr>
            <w:tcW w:type="dxa" w:w="1440"/>
            <w:shd w:fill="FFDCE0" w:val="clear"/>
          </w:tcPr>
          <w:p>
            <w:r>
              <w:rPr>
                <w:b/>
                <w:color w:val="C00000"/>
                <w:sz w:val="17"/>
              </w:rPr>
              <w:t>-3.6%</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8,197</w:t>
            </w:r>
          </w:p>
        </w:tc>
        <w:tc>
          <w:tcPr>
            <w:tcW w:type="dxa" w:w="1440"/>
            <w:shd w:fill="FFDCE0" w:val="clear"/>
          </w:tcPr>
          <w:p>
            <w:r>
              <w:rPr>
                <w:b/>
                <w:sz w:val="17"/>
              </w:rPr>
              <w:t>8,569</w:t>
            </w:r>
          </w:p>
        </w:tc>
        <w:tc>
          <w:tcPr>
            <w:tcW w:type="dxa" w:w="1440"/>
            <w:shd w:fill="FFDCE0" w:val="clear"/>
          </w:tcPr>
          <w:p>
            <w:r>
              <w:rPr>
                <w:sz w:val="17"/>
              </w:rPr>
              <w:t>8,941</w:t>
            </w:r>
          </w:p>
        </w:tc>
        <w:tc>
          <w:tcPr>
            <w:tcW w:type="dxa" w:w="1440"/>
            <w:shd w:fill="FFDCE0" w:val="clear"/>
          </w:tcPr>
          <w:p>
            <w:r>
              <w:rPr>
                <w:b/>
                <w:color w:val="C00000"/>
                <w:sz w:val="17"/>
              </w:rPr>
              <w:t>-6.9%</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7,857</w:t>
            </w:r>
          </w:p>
        </w:tc>
        <w:tc>
          <w:tcPr>
            <w:tcW w:type="dxa" w:w="1440"/>
            <w:shd w:fill="FFDCE0" w:val="clear"/>
          </w:tcPr>
          <w:p>
            <w:r>
              <w:rPr>
                <w:b/>
                <w:sz w:val="17"/>
              </w:rPr>
              <w:t>8,298</w:t>
            </w:r>
          </w:p>
        </w:tc>
        <w:tc>
          <w:tcPr>
            <w:tcW w:type="dxa" w:w="1440"/>
            <w:shd w:fill="FFDCE0" w:val="clear"/>
          </w:tcPr>
          <w:p>
            <w:r>
              <w:rPr>
                <w:sz w:val="17"/>
              </w:rPr>
              <w:t>8,738</w:t>
            </w:r>
          </w:p>
        </w:tc>
        <w:tc>
          <w:tcPr>
            <w:tcW w:type="dxa" w:w="1440"/>
            <w:shd w:fill="FFDCE0" w:val="clear"/>
          </w:tcPr>
          <w:p>
            <w:r>
              <w:rPr>
                <w:b/>
                <w:color w:val="C00000"/>
                <w:sz w:val="17"/>
              </w:rPr>
              <w:t>-9.8%</w:t>
            </w:r>
          </w:p>
        </w:tc>
      </w:tr>
      <w:tr>
        <w:tc>
          <w:tcPr>
            <w:tcW w:type="dxa" w:w="1440"/>
            <w:shd w:fill="FFDCE0" w:val="clear"/>
          </w:tcPr>
          <w:p>
            <w:r>
              <w:rPr>
                <w:sz w:val="17"/>
              </w:rPr>
              <w:t>J+4  Moyenne</w:t>
            </w:r>
          </w:p>
        </w:tc>
        <w:tc>
          <w:tcPr>
            <w:tcW w:type="dxa" w:w="1440"/>
            <w:shd w:fill="FFDCE0" w:val="clear"/>
          </w:tcPr>
          <w:p>
            <w:r>
              <w:rPr>
                <w:sz w:val="17"/>
              </w:rPr>
              <w:t>2026-09-03</w:t>
            </w:r>
          </w:p>
        </w:tc>
        <w:tc>
          <w:tcPr>
            <w:tcW w:type="dxa" w:w="1440"/>
            <w:shd w:fill="FFDCE0" w:val="clear"/>
          </w:tcPr>
          <w:p>
            <w:r>
              <w:rPr>
                <w:sz w:val="17"/>
              </w:rPr>
              <w:t>7,573</w:t>
            </w:r>
          </w:p>
        </w:tc>
        <w:tc>
          <w:tcPr>
            <w:tcW w:type="dxa" w:w="1440"/>
            <w:shd w:fill="FFDCE0" w:val="clear"/>
          </w:tcPr>
          <w:p>
            <w:r>
              <w:rPr>
                <w:b/>
                <w:sz w:val="17"/>
              </w:rPr>
              <w:t>8,068</w:t>
            </w:r>
          </w:p>
        </w:tc>
        <w:tc>
          <w:tcPr>
            <w:tcW w:type="dxa" w:w="1440"/>
            <w:shd w:fill="FFDCE0" w:val="clear"/>
          </w:tcPr>
          <w:p>
            <w:r>
              <w:rPr>
                <w:sz w:val="17"/>
              </w:rPr>
              <w:t>8,563</w:t>
            </w:r>
          </w:p>
        </w:tc>
        <w:tc>
          <w:tcPr>
            <w:tcW w:type="dxa" w:w="1440"/>
            <w:shd w:fill="FFDCE0" w:val="clear"/>
          </w:tcPr>
          <w:p>
            <w:r>
              <w:rPr>
                <w:b/>
                <w:color w:val="C00000"/>
                <w:sz w:val="17"/>
              </w:rPr>
              <w:t>-12.3%</w:t>
            </w:r>
          </w:p>
        </w:tc>
      </w:tr>
      <w:tr>
        <w:tc>
          <w:tcPr>
            <w:tcW w:type="dxa" w:w="1440"/>
            <w:shd w:fill="FFDCE0" w:val="clear"/>
          </w:tcPr>
          <w:p>
            <w:r>
              <w:rPr>
                <w:sz w:val="17"/>
              </w:rPr>
              <w:t>J+5  Moyenne</w:t>
            </w:r>
          </w:p>
        </w:tc>
        <w:tc>
          <w:tcPr>
            <w:tcW w:type="dxa" w:w="1440"/>
            <w:shd w:fill="FFDCE0" w:val="clear"/>
          </w:tcPr>
          <w:p>
            <w:r>
              <w:rPr>
                <w:sz w:val="17"/>
              </w:rPr>
              <w:t>2026-09-04</w:t>
            </w:r>
          </w:p>
        </w:tc>
        <w:tc>
          <w:tcPr>
            <w:tcW w:type="dxa" w:w="1440"/>
            <w:shd w:fill="FFDCE0" w:val="clear"/>
          </w:tcPr>
          <w:p>
            <w:r>
              <w:rPr>
                <w:sz w:val="17"/>
              </w:rPr>
              <w:t>7,335</w:t>
            </w:r>
          </w:p>
        </w:tc>
        <w:tc>
          <w:tcPr>
            <w:tcW w:type="dxa" w:w="1440"/>
            <w:shd w:fill="FFDCE0" w:val="clear"/>
          </w:tcPr>
          <w:p>
            <w:r>
              <w:rPr>
                <w:b/>
                <w:sz w:val="17"/>
              </w:rPr>
              <w:t>7,875</w:t>
            </w:r>
          </w:p>
        </w:tc>
        <w:tc>
          <w:tcPr>
            <w:tcW w:type="dxa" w:w="1440"/>
            <w:shd w:fill="FFDCE0" w:val="clear"/>
          </w:tcPr>
          <w:p>
            <w:r>
              <w:rPr>
                <w:sz w:val="17"/>
              </w:rPr>
              <w:t>8,415</w:t>
            </w:r>
          </w:p>
        </w:tc>
        <w:tc>
          <w:tcPr>
            <w:tcW w:type="dxa" w:w="1440"/>
            <w:shd w:fill="FFDCE0" w:val="clear"/>
          </w:tcPr>
          <w:p>
            <w:r>
              <w:rPr>
                <w:b/>
                <w:color w:val="C00000"/>
                <w:sz w:val="17"/>
              </w:rPr>
              <w:t>-14.4%</w:t>
            </w:r>
          </w:p>
        </w:tc>
      </w:tr>
      <w:tr>
        <w:tc>
          <w:tcPr>
            <w:tcW w:type="dxa" w:w="1440"/>
            <w:shd w:fill="FFDCE0" w:val="clear"/>
          </w:tcPr>
          <w:p>
            <w:r>
              <w:rPr>
                <w:sz w:val="17"/>
              </w:rPr>
              <w:t>J+6  Moyenne</w:t>
            </w:r>
          </w:p>
        </w:tc>
        <w:tc>
          <w:tcPr>
            <w:tcW w:type="dxa" w:w="1440"/>
            <w:shd w:fill="FFDCE0" w:val="clear"/>
          </w:tcPr>
          <w:p>
            <w:r>
              <w:rPr>
                <w:sz w:val="17"/>
              </w:rPr>
              <w:t>2026-09-07</w:t>
            </w:r>
          </w:p>
        </w:tc>
        <w:tc>
          <w:tcPr>
            <w:tcW w:type="dxa" w:w="1440"/>
            <w:shd w:fill="FFDCE0" w:val="clear"/>
          </w:tcPr>
          <w:p>
            <w:r>
              <w:rPr>
                <w:sz w:val="17"/>
              </w:rPr>
              <w:t>7,130</w:t>
            </w:r>
          </w:p>
        </w:tc>
        <w:tc>
          <w:tcPr>
            <w:tcW w:type="dxa" w:w="1440"/>
            <w:shd w:fill="FFDCE0" w:val="clear"/>
          </w:tcPr>
          <w:p>
            <w:r>
              <w:rPr>
                <w:b/>
                <w:sz w:val="17"/>
              </w:rPr>
              <w:t>7,709</w:t>
            </w:r>
          </w:p>
        </w:tc>
        <w:tc>
          <w:tcPr>
            <w:tcW w:type="dxa" w:w="1440"/>
            <w:shd w:fill="FFDCE0" w:val="clear"/>
          </w:tcPr>
          <w:p>
            <w:r>
              <w:rPr>
                <w:sz w:val="17"/>
              </w:rPr>
              <w:t>8,288</w:t>
            </w:r>
          </w:p>
        </w:tc>
        <w:tc>
          <w:tcPr>
            <w:tcW w:type="dxa" w:w="1440"/>
            <w:shd w:fill="FFDCE0" w:val="clear"/>
          </w:tcPr>
          <w:p>
            <w:r>
              <w:rPr>
                <w:b/>
                <w:color w:val="C00000"/>
                <w:sz w:val="17"/>
              </w:rPr>
              <w:t>-16.2%</w:t>
            </w:r>
          </w:p>
        </w:tc>
      </w:tr>
      <w:tr>
        <w:tc>
          <w:tcPr>
            <w:tcW w:type="dxa" w:w="1440"/>
            <w:shd w:fill="FFDCE0" w:val="clear"/>
          </w:tcPr>
          <w:p>
            <w:r>
              <w:rPr>
                <w:sz w:val="17"/>
              </w:rPr>
              <w:t>J+7  Moyenne</w:t>
            </w:r>
          </w:p>
        </w:tc>
        <w:tc>
          <w:tcPr>
            <w:tcW w:type="dxa" w:w="1440"/>
            <w:shd w:fill="FFDCE0" w:val="clear"/>
          </w:tcPr>
          <w:p>
            <w:r>
              <w:rPr>
                <w:sz w:val="17"/>
              </w:rPr>
              <w:t>2026-09-08</w:t>
            </w:r>
          </w:p>
        </w:tc>
        <w:tc>
          <w:tcPr>
            <w:tcW w:type="dxa" w:w="1440"/>
            <w:shd w:fill="FFDCE0" w:val="clear"/>
          </w:tcPr>
          <w:p>
            <w:r>
              <w:rPr>
                <w:sz w:val="17"/>
              </w:rPr>
              <w:t>6,950</w:t>
            </w:r>
          </w:p>
        </w:tc>
        <w:tc>
          <w:tcPr>
            <w:tcW w:type="dxa" w:w="1440"/>
            <w:shd w:fill="FFDCE0" w:val="clear"/>
          </w:tcPr>
          <w:p>
            <w:r>
              <w:rPr>
                <w:b/>
                <w:sz w:val="17"/>
              </w:rPr>
              <w:t>7,564</w:t>
            </w:r>
          </w:p>
        </w:tc>
        <w:tc>
          <w:tcPr>
            <w:tcW w:type="dxa" w:w="1440"/>
            <w:shd w:fill="FFDCE0" w:val="clear"/>
          </w:tcPr>
          <w:p>
            <w:r>
              <w:rPr>
                <w:sz w:val="17"/>
              </w:rPr>
              <w:t>8,177</w:t>
            </w:r>
          </w:p>
        </w:tc>
        <w:tc>
          <w:tcPr>
            <w:tcW w:type="dxa" w:w="1440"/>
            <w:shd w:fill="FFDCE0" w:val="clear"/>
          </w:tcPr>
          <w:p>
            <w:r>
              <w:rPr>
                <w:b/>
                <w:color w:val="C00000"/>
                <w:sz w:val="17"/>
              </w:rPr>
              <w:t>-17.8%</w:t>
            </w:r>
          </w:p>
        </w:tc>
      </w:tr>
      <w:tr>
        <w:tc>
          <w:tcPr>
            <w:tcW w:type="dxa" w:w="1440"/>
            <w:shd w:fill="FFDCE0" w:val="clear"/>
          </w:tcPr>
          <w:p>
            <w:r>
              <w:rPr>
                <w:sz w:val="17"/>
              </w:rPr>
              <w:t>J+8  Moyenne</w:t>
            </w:r>
          </w:p>
        </w:tc>
        <w:tc>
          <w:tcPr>
            <w:tcW w:type="dxa" w:w="1440"/>
            <w:shd w:fill="FFDCE0" w:val="clear"/>
          </w:tcPr>
          <w:p>
            <w:r>
              <w:rPr>
                <w:sz w:val="17"/>
              </w:rPr>
              <w:t>2026-09-09</w:t>
            </w:r>
          </w:p>
        </w:tc>
        <w:tc>
          <w:tcPr>
            <w:tcW w:type="dxa" w:w="1440"/>
            <w:shd w:fill="FFDCE0" w:val="clear"/>
          </w:tcPr>
          <w:p>
            <w:r>
              <w:rPr>
                <w:sz w:val="17"/>
              </w:rPr>
              <w:t>6,790</w:t>
            </w:r>
          </w:p>
        </w:tc>
        <w:tc>
          <w:tcPr>
            <w:tcW w:type="dxa" w:w="1440"/>
            <w:shd w:fill="FFDCE0" w:val="clear"/>
          </w:tcPr>
          <w:p>
            <w:r>
              <w:rPr>
                <w:b/>
                <w:sz w:val="17"/>
              </w:rPr>
              <w:t>7,434</w:t>
            </w:r>
          </w:p>
        </w:tc>
        <w:tc>
          <w:tcPr>
            <w:tcW w:type="dxa" w:w="1440"/>
            <w:shd w:fill="FFDCE0" w:val="clear"/>
          </w:tcPr>
          <w:p>
            <w:r>
              <w:rPr>
                <w:sz w:val="17"/>
              </w:rPr>
              <w:t>8,079</w:t>
            </w:r>
          </w:p>
        </w:tc>
        <w:tc>
          <w:tcPr>
            <w:tcW w:type="dxa" w:w="1440"/>
            <w:shd w:fill="FFDCE0" w:val="clear"/>
          </w:tcPr>
          <w:p>
            <w:r>
              <w:rPr>
                <w:b/>
                <w:color w:val="C00000"/>
                <w:sz w:val="17"/>
              </w:rPr>
              <w:t>-19.2%</w:t>
            </w:r>
          </w:p>
        </w:tc>
      </w:tr>
      <w:tr>
        <w:tc>
          <w:tcPr>
            <w:tcW w:type="dxa" w:w="1440"/>
            <w:shd w:fill="FFDCE0" w:val="clear"/>
          </w:tcPr>
          <w:p>
            <w:r>
              <w:rPr>
                <w:sz w:val="17"/>
              </w:rPr>
              <w:t>J+9  Moyenne</w:t>
            </w:r>
          </w:p>
        </w:tc>
        <w:tc>
          <w:tcPr>
            <w:tcW w:type="dxa" w:w="1440"/>
            <w:shd w:fill="FFDCE0" w:val="clear"/>
          </w:tcPr>
          <w:p>
            <w:r>
              <w:rPr>
                <w:sz w:val="17"/>
              </w:rPr>
              <w:t>2026-09-10</w:t>
            </w:r>
          </w:p>
        </w:tc>
        <w:tc>
          <w:tcPr>
            <w:tcW w:type="dxa" w:w="1440"/>
            <w:shd w:fill="FFDCE0" w:val="clear"/>
          </w:tcPr>
          <w:p>
            <w:r>
              <w:rPr>
                <w:sz w:val="17"/>
              </w:rPr>
              <w:t>6,644</w:t>
            </w:r>
          </w:p>
        </w:tc>
        <w:tc>
          <w:tcPr>
            <w:tcW w:type="dxa" w:w="1440"/>
            <w:shd w:fill="FFDCE0" w:val="clear"/>
          </w:tcPr>
          <w:p>
            <w:r>
              <w:rPr>
                <w:b/>
                <w:sz w:val="17"/>
              </w:rPr>
              <w:t>7,318</w:t>
            </w:r>
          </w:p>
        </w:tc>
        <w:tc>
          <w:tcPr>
            <w:tcW w:type="dxa" w:w="1440"/>
            <w:shd w:fill="FFDCE0" w:val="clear"/>
          </w:tcPr>
          <w:p>
            <w:r>
              <w:rPr>
                <w:sz w:val="17"/>
              </w:rPr>
              <w:t>7,991</w:t>
            </w:r>
          </w:p>
        </w:tc>
        <w:tc>
          <w:tcPr>
            <w:tcW w:type="dxa" w:w="1440"/>
            <w:shd w:fill="FFDCE0" w:val="clear"/>
          </w:tcPr>
          <w:p>
            <w:r>
              <w:rPr>
                <w:b/>
                <w:color w:val="C00000"/>
                <w:sz w:val="17"/>
              </w:rPr>
              <w:t>-20.5%</w:t>
            </w:r>
          </w:p>
        </w:tc>
      </w:tr>
      <w:tr>
        <w:tc>
          <w:tcPr>
            <w:tcW w:type="dxa" w:w="1440"/>
            <w:shd w:fill="FFDCE0" w:val="clear"/>
          </w:tcPr>
          <w:p>
            <w:r>
              <w:rPr>
                <w:sz w:val="17"/>
              </w:rPr>
              <w:t>J+10  Moyenne</w:t>
            </w:r>
          </w:p>
        </w:tc>
        <w:tc>
          <w:tcPr>
            <w:tcW w:type="dxa" w:w="1440"/>
            <w:shd w:fill="FFDCE0" w:val="clear"/>
          </w:tcPr>
          <w:p>
            <w:r>
              <w:rPr>
                <w:sz w:val="17"/>
              </w:rPr>
              <w:t>2026-09-11</w:t>
            </w:r>
          </w:p>
        </w:tc>
        <w:tc>
          <w:tcPr>
            <w:tcW w:type="dxa" w:w="1440"/>
            <w:shd w:fill="FFDCE0" w:val="clear"/>
          </w:tcPr>
          <w:p>
            <w:r>
              <w:rPr>
                <w:sz w:val="17"/>
              </w:rPr>
              <w:t>6,512</w:t>
            </w:r>
          </w:p>
        </w:tc>
        <w:tc>
          <w:tcPr>
            <w:tcW w:type="dxa" w:w="1440"/>
            <w:shd w:fill="FFDCE0" w:val="clear"/>
          </w:tcPr>
          <w:p>
            <w:r>
              <w:rPr>
                <w:b/>
                <w:sz w:val="17"/>
              </w:rPr>
              <w:t>7,211</w:t>
            </w:r>
          </w:p>
        </w:tc>
        <w:tc>
          <w:tcPr>
            <w:tcW w:type="dxa" w:w="1440"/>
            <w:shd w:fill="FFDCE0" w:val="clear"/>
          </w:tcPr>
          <w:p>
            <w:r>
              <w:rPr>
                <w:sz w:val="17"/>
              </w:rPr>
              <w:t>7,910</w:t>
            </w:r>
          </w:p>
        </w:tc>
        <w:tc>
          <w:tcPr>
            <w:tcW w:type="dxa" w:w="1440"/>
            <w:shd w:fill="FFDCE0" w:val="clear"/>
          </w:tcPr>
          <w:p>
            <w:r>
              <w:rPr>
                <w:b/>
                <w:color w:val="C00000"/>
                <w:sz w:val="17"/>
              </w:rPr>
              <w:t>-21.6%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Absolument. Voici un rapport d'analyse professionnel structuré pour l'action SIBC,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SIBC s'établit à 920 milliards FCFA, ce qui en fait l'une des plus importantes valeurs de la BRVM, reflétant son statut de banque systémique en Côte d'Ivoire. Avec un BPA de 556 FCFA, le titre se négocie à un PER de 16,5x. Ce niveau est nettement supérieur à la moyenne historique de la BRVM (8-12x), indiquant que les investisseurs acceptent de payer une prime pour la qualité des bénéfices de la banque. Le P/B de 4,49x confirme cette valorisation exigeante, le marché valorisant fortement la rentabilité des fonds propres (ROE &gt; 27%). Enfin, un EV/EBITDA de 15,3x souligne également une décote relative par rapport à la capacité opérationnelle, mais reste dans une zone de valorisation élevée, signe d'attentes de croissance soutenue.</w:t>
      </w:r>
    </w:p>
    <w:p>
      <w:pPr>
        <w:spacing w:after="120" w:line="276" w:lineRule="auto"/>
      </w:pPr>
      <w:r>
        <w:t>### **PARTIE 1 : ANALYSE DU COURS — STATISTIQUES ET ÉVOLUTION (100 derniers jours)**</w:t>
      </w:r>
    </w:p>
    <w:p>
      <w:pPr>
        <w:spacing w:after="120" w:line="276" w:lineRule="auto"/>
      </w:pPr>
      <w:r>
        <w:t>Sur les 100 derniers jours, l'action SIBC a enregistré une performance remarquable de +31,52%, avec une dernière séance stable (0,00%). Le cours a évolué dans une fourchette large, entre un plus bas de 6 805 FCFA et un plus haut de 9 500 FCFA, démontrant une forte dynamique haussière. La moyenne du cours (8 309 FCFA) est inférieure à la médiane (8 800 FCFA), et le skewness négatif (-0.569) indique que les fortes progressions ont été plus fréquentes que les baisses, tirant le cours vers le haut. L'écart-type de 875 FCFA (CV=10.5%) montre une dispersion modérée. Le kurtosis platykurtique (-1.394) suggère une absence de mouvements extrêmes, tandis que la volatilité annualisée de 28,3% classe le titre comme modérément volatil, offrant un équilibre entre potentiel de rendement et risque.</w:t>
      </w:r>
    </w:p>
    <w:p>
      <w:pPr>
        <w:spacing w:after="120" w:line="276" w:lineRule="auto"/>
      </w:pPr>
      <w:r>
        <w:t>### **PARTIE 2 : ANALYSE TECHNIQUE DÉTAILLÉE**</w:t>
      </w:r>
    </w:p>
    <w:p>
      <w:pPr>
        <w:spacing w:after="120" w:line="276" w:lineRule="auto"/>
      </w:pPr>
      <w:r>
        <w:t>**Moyennes Mobiles:** Le cours actuel (9 200 FCFA) est positionné au-dessus de la MM20 (9 155 FCFA) et de la MM50 (8 992,6 FCFA), confirmant une tendance haussière de court et moyen terme. La configuration des MM, avec la MM20 au-dessus de la MM50, est un signal classique d'achat, indiquant que la dynamique positive est toujours en place.</w:t>
      </w:r>
    </w:p>
    <w:p>
      <w:pPr>
        <w:spacing w:after="120" w:line="276" w:lineRule="auto"/>
      </w:pPr>
      <w:r>
        <w:t>**Bandes de Bollinger:** Le prix se situe à l'intérieur des bandes, entre la borne supérieure (9 520 FCFA) et la borne inférieure (8 790 FCFA), proche de la bande médiane. Cela indique une volatilité modérée et une absence de surachat ou de survente extrême. La décision est neutre, le marché semblant chercher une direction après la récente hausse.</w:t>
      </w:r>
    </w:p>
    <w:p>
      <w:pPr>
        <w:spacing w:after="120" w:line="276" w:lineRule="auto"/>
      </w:pPr>
      <w:r>
        <w:t>**MACD:** La valeur du MACD (61,631) est inférieure à son signal (78,632), ce qui génère un signal de vente. Cette configuration indique un ralentissement du momentum haussier. Bien que le MACD reste en territoire positif, la divergence avec son signal suggère une possible consolidation ou correction à court terme.</w:t>
      </w:r>
    </w:p>
    <w:p>
      <w:pPr>
        <w:spacing w:after="120" w:line="276" w:lineRule="auto"/>
      </w:pPr>
      <w:r>
        <w:t>**RSI:** Le RSI à 46,154 est en zone neutre (entre 30 et 70). Cela signifie que le titre n'est ni suracheté ni survendu, laissant place à une certaine indécision. Le marché n'est pas encore dans une dynamique de force excessive, ce qui pourrait permettre une poursuite de la hausse ou une consolidation.</w:t>
      </w:r>
    </w:p>
    <w:p>
      <w:pPr>
        <w:spacing w:after="120" w:line="276" w:lineRule="auto"/>
      </w:pPr>
      <w:r>
        <w:t>**Stochastique:** Le %K (40,0) est légèrement au-dessus du %D (36,667), sans croisement majeur. Cette configuration est neutre, indiquant que le momentum n'est pas clairement orienté. Le titre semble évoluer dans une phase de stabilisation après sa forte progression.</w:t>
      </w:r>
    </w:p>
    <w:p>
      <w:pPr>
        <w:spacing w:after="120" w:line="276" w:lineRule="auto"/>
      </w:pPr>
      <w:r>
        <w:t>**Conclusion technique:** Les indicateurs techniques sont mitigés. Les moyennes mobiles plaident pour une tendance haussière intacte, mais le MACD et le RSI signalent un essoufflement du momentum. L'ensemble suggère une phase de consolidation après la forte hausse, avec un biais haussier à moyen terme tant que le cours reste au-dessus de la MM50.</w:t>
      </w:r>
    </w:p>
    <w:p>
      <w:pPr>
        <w:spacing w:after="120" w:line="276" w:lineRule="auto"/>
      </w:pPr>
      <w:r>
        <w:t>### **PARTIE 3 : ANALYSE FONDAMENTALE (SECTION CRITIQUE)**</w:t>
      </w:r>
    </w:p>
    <w:p>
      <w:pPr>
        <w:spacing w:after="120" w:line="276" w:lineRule="auto"/>
      </w:pPr>
      <w:r>
        <w:t>En 2025, la SIBC affiche des fondamentaux robustes. Le Produit Net Bancaire (PNB) s'établit à 108,663 Mds FCFA, générant un résultat net de 55,623 Mds FCFA. La banque démontre une excellente efficacité opérationnelle avec un coefficient d'exploitation de 38,59%, bien en dessous du seuil de 60% considéré comme sain. La rentabilité est exceptionnelle, avec un ROE de 27,16% et un ROA de 2,96%. Le coût du risque, bien que non quantifiable précisément, est en baisse significative selon les rapports, indiquant une amélioration de la qualité du portefeuille de crédits. Les dépôts clientèle (1 503 Mds FCFA) financent largement les crédits (1 226 Mds FCFA), montrant une liquidité abondante. Les rapports trimestriels de 2025 confirment cette tendance : le T1 2025 (PNB +12%, RN +10%), le S1 2025 (PNB +9%, RN +15%) et le T3 2025 (PNB +8%, RN +11%) montrent une croissance soutenue. Sur la base du T1 2026 (PNB +4%, RN +11%), on estime que l'exercice 2026 devrait confirmer cette performance, avec un résultat net potentiellement en hausse de plus de 10%. La banque est donc solide, rentable et en croissance, avec une gestion des risques prudente.</w:t>
      </w:r>
    </w:p>
    <w:p>
      <w:pPr>
        <w:spacing w:after="120" w:line="276" w:lineRule="auto"/>
      </w:pPr>
      <w:r>
        <w:t>### **PARTIE 4 : CONCLUSION D'INVESTISSEMENT**</w:t>
      </w:r>
    </w:p>
    <w:p>
      <w:pPr>
        <w:spacing w:after="120" w:line="276" w:lineRule="auto"/>
      </w:pPr>
      <w:r>
        <w:t>La valorisation actuelle de la SIBC (PER 16,5x, P/B 4,49x) est exigeante, intégrant déjà les excellentes performances passées et futures. Le comportement du cours sur 100 jours est fortement haussier (+31,52%), mais les indicateurs techniques (MACD, RSI) signalent un essoufflement à court terme, suggérant une possible consolidation. Les fondamentaux, eux, sont excellents : banque très rentable (ROE &gt;27%), efficace (coefficient d'exploitation &lt;39%) et en croissance régulière, avec des perspectives 2026 favorables. Les prédictions IA pour les 10 prochains jours (baisse de 9 200 à 7 875 FCFA) contredisent la tendance de fond et semblent refléter une correction technique après la forte hausse. En synthèse, la convergence entre des fondamentaux solides et une tendance de fond haussière est contrebalancée par une valorisation élevée et des signaux techniques de court terme négatifs. **Notre recommandation est de CONSERVER** le titre pour les investisseurs déjà positionnés, afin de bénéficier de la croissance à long terme. Pour un nouvel investisseur, il est conseillé d'attendre une correction du cours (vers la zone des 8 500-8 800 FCFA) pour initier une position, compte tenu de la valorisation exigeante. Le niveau de confiance est **Moyen**, le risque global est **Moyen**, et l'horizon d'investissement optimal est le **moyen à long terme** (plus de 6 mois).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4.80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132 titres</w:t>
            </w:r>
          </w:p>
        </w:tc>
        <w:tc>
          <w:tcPr>
            <w:tcW w:type="dxa" w:w="2268"/>
            <w:shd w:fill="FFF2CC" w:val="clear"/>
          </w:tcPr>
          <w:p>
            <w:r>
              <w:rPr>
                <w:b/>
                <w:color w:val="503200"/>
                <w:sz w:val="16"/>
              </w:rPr>
              <w:t xml:space="preserve">Cours actuel : </w:t>
            </w:r>
            <w:r>
              <w:rPr>
                <w:color w:val="000000"/>
                <w:sz w:val="17"/>
              </w:rPr>
              <w:t>7,995 FCFA</w:t>
            </w:r>
          </w:p>
          <w:p>
            <w:r>
              <w:rPr>
                <w:b/>
                <w:color w:val="503200"/>
                <w:sz w:val="16"/>
              </w:rPr>
              <w:t xml:space="preserve">Var. 100 jours : </w:t>
            </w:r>
            <w:r>
              <w:rPr>
                <w:b/>
                <w:color w:val="007800"/>
                <w:sz w:val="17"/>
              </w:rPr>
              <w:t>+99.88%</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60.5%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30.39% (Élevée) — μ=5,303 FCFA, σ=1,612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β=-0.7471 (Contre-cyclique) — Cov=-0.000027, Var(idx)=0.000036, ρ=-0.118,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132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σ_j=3.81%/j (Modérée) — Vol. annualisée≈60.5%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6976"/>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7,177</w:t>
            </w:r>
          </w:p>
        </w:tc>
        <w:tc>
          <w:tcPr>
            <w:tcW w:type="dxa" w:w="1440"/>
            <w:shd w:fill="FFDCE0" w:val="clear"/>
          </w:tcPr>
          <w:p>
            <w:r>
              <w:rPr>
                <w:b/>
                <w:sz w:val="17"/>
              </w:rPr>
              <w:t>7,759</w:t>
            </w:r>
          </w:p>
        </w:tc>
        <w:tc>
          <w:tcPr>
            <w:tcW w:type="dxa" w:w="1440"/>
            <w:shd w:fill="FFDCE0" w:val="clear"/>
          </w:tcPr>
          <w:p>
            <w:r>
              <w:rPr>
                <w:sz w:val="17"/>
              </w:rPr>
              <w:t>8,341</w:t>
            </w:r>
          </w:p>
        </w:tc>
        <w:tc>
          <w:tcPr>
            <w:tcW w:type="dxa" w:w="1440"/>
            <w:shd w:fill="FFDCE0" w:val="clear"/>
          </w:tcPr>
          <w:p>
            <w:r>
              <w:rPr>
                <w:b/>
                <w:color w:val="C00000"/>
                <w:sz w:val="17"/>
              </w:rPr>
              <w:t>-3.0%</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6,764</w:t>
            </w:r>
          </w:p>
        </w:tc>
        <w:tc>
          <w:tcPr>
            <w:tcW w:type="dxa" w:w="1440"/>
            <w:shd w:fill="FFDCE0" w:val="clear"/>
          </w:tcPr>
          <w:p>
            <w:r>
              <w:rPr>
                <w:b/>
                <w:sz w:val="17"/>
              </w:rPr>
              <w:t>7,640</w:t>
            </w:r>
          </w:p>
        </w:tc>
        <w:tc>
          <w:tcPr>
            <w:tcW w:type="dxa" w:w="1440"/>
            <w:shd w:fill="FFDCE0" w:val="clear"/>
          </w:tcPr>
          <w:p>
            <w:r>
              <w:rPr>
                <w:sz w:val="17"/>
              </w:rPr>
              <w:t>8,515</w:t>
            </w:r>
          </w:p>
        </w:tc>
        <w:tc>
          <w:tcPr>
            <w:tcW w:type="dxa" w:w="1440"/>
            <w:shd w:fill="FFDCE0" w:val="clear"/>
          </w:tcPr>
          <w:p>
            <w:r>
              <w:rPr>
                <w:b/>
                <w:color w:val="C00000"/>
                <w:sz w:val="17"/>
              </w:rPr>
              <w:t>-4.4%</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6,435</w:t>
            </w:r>
          </w:p>
        </w:tc>
        <w:tc>
          <w:tcPr>
            <w:tcW w:type="dxa" w:w="1440"/>
            <w:shd w:fill="FFDCE0" w:val="clear"/>
          </w:tcPr>
          <w:p>
            <w:r>
              <w:rPr>
                <w:b/>
                <w:sz w:val="17"/>
              </w:rPr>
              <w:t>7,486</w:t>
            </w:r>
          </w:p>
        </w:tc>
        <w:tc>
          <w:tcPr>
            <w:tcW w:type="dxa" w:w="1440"/>
            <w:shd w:fill="FFDCE0" w:val="clear"/>
          </w:tcPr>
          <w:p>
            <w:r>
              <w:rPr>
                <w:sz w:val="17"/>
              </w:rPr>
              <w:t>8,537</w:t>
            </w:r>
          </w:p>
        </w:tc>
        <w:tc>
          <w:tcPr>
            <w:tcW w:type="dxa" w:w="1440"/>
            <w:shd w:fill="FFDCE0" w:val="clear"/>
          </w:tcPr>
          <w:p>
            <w:r>
              <w:rPr>
                <w:b/>
                <w:color w:val="C00000"/>
                <w:sz w:val="17"/>
              </w:rPr>
              <w:t>-6.4%</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6,145</w:t>
            </w:r>
          </w:p>
        </w:tc>
        <w:tc>
          <w:tcPr>
            <w:tcW w:type="dxa" w:w="1440"/>
            <w:shd w:fill="FFDCE0" w:val="clear"/>
          </w:tcPr>
          <w:p>
            <w:r>
              <w:rPr>
                <w:b/>
                <w:sz w:val="17"/>
              </w:rPr>
              <w:t>7,333</w:t>
            </w:r>
          </w:p>
        </w:tc>
        <w:tc>
          <w:tcPr>
            <w:tcW w:type="dxa" w:w="1440"/>
            <w:shd w:fill="FFDCE0" w:val="clear"/>
          </w:tcPr>
          <w:p>
            <w:r>
              <w:rPr>
                <w:sz w:val="17"/>
              </w:rPr>
              <w:t>8,522</w:t>
            </w:r>
          </w:p>
        </w:tc>
        <w:tc>
          <w:tcPr>
            <w:tcW w:type="dxa" w:w="1440"/>
            <w:shd w:fill="FFDCE0" w:val="clear"/>
          </w:tcPr>
          <w:p>
            <w:r>
              <w:rPr>
                <w:b/>
                <w:color w:val="C00000"/>
                <w:sz w:val="17"/>
              </w:rPr>
              <w:t>-8.3%</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5,883</w:t>
            </w:r>
          </w:p>
        </w:tc>
        <w:tc>
          <w:tcPr>
            <w:tcW w:type="dxa" w:w="1440"/>
            <w:shd w:fill="FFDCE0" w:val="clear"/>
          </w:tcPr>
          <w:p>
            <w:r>
              <w:rPr>
                <w:b/>
                <w:sz w:val="17"/>
              </w:rPr>
              <w:t>7,185</w:t>
            </w:r>
          </w:p>
        </w:tc>
        <w:tc>
          <w:tcPr>
            <w:tcW w:type="dxa" w:w="1440"/>
            <w:shd w:fill="FFDCE0" w:val="clear"/>
          </w:tcPr>
          <w:p>
            <w:r>
              <w:rPr>
                <w:sz w:val="17"/>
              </w:rPr>
              <w:t>8,487</w:t>
            </w:r>
          </w:p>
        </w:tc>
        <w:tc>
          <w:tcPr>
            <w:tcW w:type="dxa" w:w="1440"/>
            <w:shd w:fill="FFDCE0" w:val="clear"/>
          </w:tcPr>
          <w:p>
            <w:r>
              <w:rPr>
                <w:b/>
                <w:color w:val="C00000"/>
                <w:sz w:val="17"/>
              </w:rPr>
              <w:t>-10.1%</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5,644</w:t>
            </w:r>
          </w:p>
        </w:tc>
        <w:tc>
          <w:tcPr>
            <w:tcW w:type="dxa" w:w="1440"/>
            <w:shd w:fill="FFDCE0" w:val="clear"/>
          </w:tcPr>
          <w:p>
            <w:r>
              <w:rPr>
                <w:b/>
                <w:sz w:val="17"/>
              </w:rPr>
              <w:t>7,043</w:t>
            </w:r>
          </w:p>
        </w:tc>
        <w:tc>
          <w:tcPr>
            <w:tcW w:type="dxa" w:w="1440"/>
            <w:shd w:fill="FFDCE0" w:val="clear"/>
          </w:tcPr>
          <w:p>
            <w:r>
              <w:rPr>
                <w:sz w:val="17"/>
              </w:rPr>
              <w:t>8,441</w:t>
            </w:r>
          </w:p>
        </w:tc>
        <w:tc>
          <w:tcPr>
            <w:tcW w:type="dxa" w:w="1440"/>
            <w:shd w:fill="FFDCE0" w:val="clear"/>
          </w:tcPr>
          <w:p>
            <w:r>
              <w:rPr>
                <w:b/>
                <w:color w:val="C00000"/>
                <w:sz w:val="17"/>
              </w:rPr>
              <w:t>-11.9%</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5,425</w:t>
            </w:r>
          </w:p>
        </w:tc>
        <w:tc>
          <w:tcPr>
            <w:tcW w:type="dxa" w:w="1440"/>
            <w:shd w:fill="FFDCE0" w:val="clear"/>
          </w:tcPr>
          <w:p>
            <w:r>
              <w:rPr>
                <w:b/>
                <w:sz w:val="17"/>
              </w:rPr>
              <w:t>6,906</w:t>
            </w:r>
          </w:p>
        </w:tc>
        <w:tc>
          <w:tcPr>
            <w:tcW w:type="dxa" w:w="1440"/>
            <w:shd w:fill="FFDCE0" w:val="clear"/>
          </w:tcPr>
          <w:p>
            <w:r>
              <w:rPr>
                <w:sz w:val="17"/>
              </w:rPr>
              <w:t>8,387</w:t>
            </w:r>
          </w:p>
        </w:tc>
        <w:tc>
          <w:tcPr>
            <w:tcW w:type="dxa" w:w="1440"/>
            <w:shd w:fill="FFDCE0" w:val="clear"/>
          </w:tcPr>
          <w:p>
            <w:r>
              <w:rPr>
                <w:b/>
                <w:color w:val="C00000"/>
                <w:sz w:val="17"/>
              </w:rPr>
              <w:t>-13.6%</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5,223</w:t>
            </w:r>
          </w:p>
        </w:tc>
        <w:tc>
          <w:tcPr>
            <w:tcW w:type="dxa" w:w="1440"/>
            <w:shd w:fill="FFDCE0" w:val="clear"/>
          </w:tcPr>
          <w:p>
            <w:r>
              <w:rPr>
                <w:b/>
                <w:sz w:val="17"/>
              </w:rPr>
              <w:t>6,776</w:t>
            </w:r>
          </w:p>
        </w:tc>
        <w:tc>
          <w:tcPr>
            <w:tcW w:type="dxa" w:w="1440"/>
            <w:shd w:fill="FFDCE0" w:val="clear"/>
          </w:tcPr>
          <w:p>
            <w:r>
              <w:rPr>
                <w:sz w:val="17"/>
              </w:rPr>
              <w:t>8,329</w:t>
            </w:r>
          </w:p>
        </w:tc>
        <w:tc>
          <w:tcPr>
            <w:tcW w:type="dxa" w:w="1440"/>
            <w:shd w:fill="FFDCE0" w:val="clear"/>
          </w:tcPr>
          <w:p>
            <w:r>
              <w:rPr>
                <w:b/>
                <w:color w:val="C00000"/>
                <w:sz w:val="17"/>
              </w:rPr>
              <w:t>-15.2%</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5,034</w:t>
            </w:r>
          </w:p>
        </w:tc>
        <w:tc>
          <w:tcPr>
            <w:tcW w:type="dxa" w:w="1440"/>
            <w:shd w:fill="FFDCE0" w:val="clear"/>
          </w:tcPr>
          <w:p>
            <w:r>
              <w:rPr>
                <w:b/>
                <w:sz w:val="17"/>
              </w:rPr>
              <w:t>6,652</w:t>
            </w:r>
          </w:p>
        </w:tc>
        <w:tc>
          <w:tcPr>
            <w:tcW w:type="dxa" w:w="1440"/>
            <w:shd w:fill="FFDCE0" w:val="clear"/>
          </w:tcPr>
          <w:p>
            <w:r>
              <w:rPr>
                <w:sz w:val="17"/>
              </w:rPr>
              <w:t>8,269</w:t>
            </w:r>
          </w:p>
        </w:tc>
        <w:tc>
          <w:tcPr>
            <w:tcW w:type="dxa" w:w="1440"/>
            <w:shd w:fill="FFDCE0" w:val="clear"/>
          </w:tcPr>
          <w:p>
            <w:r>
              <w:rPr>
                <w:b/>
                <w:color w:val="C00000"/>
                <w:sz w:val="17"/>
              </w:rPr>
              <w:t>-16.8%</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4,859</w:t>
            </w:r>
          </w:p>
        </w:tc>
        <w:tc>
          <w:tcPr>
            <w:tcW w:type="dxa" w:w="1440"/>
            <w:shd w:fill="FFDCE0" w:val="clear"/>
          </w:tcPr>
          <w:p>
            <w:r>
              <w:rPr>
                <w:b/>
                <w:sz w:val="17"/>
              </w:rPr>
              <w:t>6,534</w:t>
            </w:r>
          </w:p>
        </w:tc>
        <w:tc>
          <w:tcPr>
            <w:tcW w:type="dxa" w:w="1440"/>
            <w:shd w:fill="FFDCE0" w:val="clear"/>
          </w:tcPr>
          <w:p>
            <w:r>
              <w:rPr>
                <w:sz w:val="17"/>
              </w:rPr>
              <w:t>8,209</w:t>
            </w:r>
          </w:p>
        </w:tc>
        <w:tc>
          <w:tcPr>
            <w:tcW w:type="dxa" w:w="1440"/>
            <w:shd w:fill="FFDCE0" w:val="clear"/>
          </w:tcPr>
          <w:p>
            <w:r>
              <w:rPr>
                <w:b/>
                <w:color w:val="C00000"/>
                <w:sz w:val="17"/>
              </w:rPr>
              <w:t>-18.3%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SICOR CI (BRVM)**</w:t>
      </w:r>
    </w:p>
    <w:p>
      <w:pPr>
        <w:spacing w:after="120" w:line="276" w:lineRule="auto" w:before="240"/>
      </w:pPr>
      <w:r>
        <w:rPr>
          <w:b/>
          <w:color w:val="003366"/>
          <w:sz w:val="24"/>
        </w:rPr>
        <w:t>**PARTIE 0 : INDICATEURS DE VALORISATION BOURSIÈRE**</w:t>
      </w:r>
    </w:p>
    <w:p>
      <w:pPr>
        <w:spacing w:after="120" w:line="276" w:lineRule="auto"/>
      </w:pPr>
      <w:r>
        <w:t>La capitalisation boursière de la SICOR s'établit à 4,80 milliards FCFA, un niveau modeste qui la positionne comme une valeur de seconde ligne sur la BRVM, avec une liquidité très faible (132 titres échangés par jour en moyenne). Les ratios de valorisation (BPA, PER, P/B, EV/EBITDA) ne sont pas calculables en raison de l'absence de données financières structurées récentes dans la base. Cette absence est préjudiciable pour les investisseurs, car elle ne permet pas de déterminer si le marché valorise correctement la société par rapport à ses bénéfices. Le PER moyen de la BRVM se situe entre 8 et 12 fois, et sans ce repère, il est impossible de conclure à une sous ou surévaluation relative. La prudence est donc de mise, d'autant que la capitalisation actuelle de 4,8 milliards FCFA semble élevée au regard des derniers résultats publiés (bénéfice net de 19,25 millions FCFA en 2023), ce qui impliquerait un PER théorique extrêmement élevé.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SICOR a enregistré une progression spectaculaire de +99,88%, passant d'un plus bas de 3 765 FCFA à un plus haut de 10 200 FCFA, avant de se stabiliser autour de 7 995 FCFA à la dernière séance (-0,19% sur la journée). Cette tendance est fortement haussière, mais la distribution des rendements révèle une grande instabilité. La moyenne du cours (5 303 FCFA) est nettement inférieure à la médiane (4 495 FCFA) et au cours actuel, ce qui indique une distribution asymétrique positive (skewness de 1,643) : la majorité des séances se sont déroulées sous la moyenne, avec des pics de hausse ponctuels. L'écart-type de 1 620 FCFA (CV de 30,5%) confirme une dispersion élevée, et le kurtosis de 1,625 signale un risque de mouvements extrêmes. La volatilité annualisée de 60,5% est très élevée, classant ce titre parmi les plus risqués de la place, avec des variations de prix brutales et imprévisibles.</w:t>
      </w:r>
    </w:p>
    <w:p>
      <w:pPr>
        <w:spacing w:after="120" w:line="276" w:lineRule="auto" w:before="240"/>
      </w:pPr>
      <w:r>
        <w:rPr>
          <w:b/>
          <w:color w:val="003366"/>
          <w:sz w:val="24"/>
        </w:rPr>
        <w:t>**PARTIE 2 : ANALYSE TECHNIQUE DÉTAILLÉE**</w:t>
      </w:r>
    </w:p>
    <w:p>
      <w:pPr>
        <w:spacing w:after="120" w:line="276" w:lineRule="auto"/>
      </w:pPr>
      <w:r>
        <w:t>**Moyennes Mobiles** : La MM20 (8 192,75 FCFA) est supérieure à la MM50 (6 312,4 FCFA), et le cours (7 995 FCFA) se situe entre les deux, mais au-dessus de la MM50. Cette configuration indique une tendance de fond haussière à moyen terme, bien que le cours ait légèrement cédé du terrain sous la MM20 récemment. La décision "Achat" se justifie par la dynamique positive de la MM50, qui sert de support dynamique.</w:t>
      </w:r>
    </w:p>
    <w:p>
      <w:pPr>
        <w:spacing w:after="120" w:line="276" w:lineRule="auto"/>
      </w:pPr>
      <w:r>
        <w:t>**Bandes de Bollinger** : Le cours évolue dans la partie médiane des bandes, entre la borne inférieure (5 650 FCFA) et la borne supérieure (10 734 FCFA). L'écart important entre les bornes reflète la volatilité extrême du titre. La décision "Neutre" est cohérente : le cours n'est ni suracheté ni survendu, mais l'amplitude des bandes signale un risque de cassure dans un sens ou dans l'autre.</w:t>
      </w:r>
    </w:p>
    <w:p>
      <w:pPr>
        <w:spacing w:after="120" w:line="276" w:lineRule="auto"/>
      </w:pPr>
      <w:r>
        <w:t>**MACD** : Le MACD (635,14) est passé sous sa ligne de signal (861,66), formant un croisement baissier. Ce signal indique un ralentissement du momentum haussier, même si les deux lignes restent en territoire positif. La décision "Vente" suggère une correction technique à court terme, après une hausse aussi violente.</w:t>
      </w:r>
    </w:p>
    <w:p>
      <w:pPr>
        <w:spacing w:after="120" w:line="276" w:lineRule="auto"/>
      </w:pPr>
      <w:r>
        <w:t>**RSI** : À 58,5, le RSI se situe en zone neutre, sans signal de surachat (au-dessus de 70) ni de survente (en-dessous de 30). Cela laisse une marge de manœuvre dans les deux sens, mais ne fournit pas de direction claire. La décision "Neutre" est appropriée.</w:t>
      </w:r>
    </w:p>
    <w:p>
      <w:pPr>
        <w:spacing w:after="120" w:line="276" w:lineRule="auto"/>
      </w:pPr>
      <w:r>
        <w:t>**Stochastique** : Le %K (14,7) est très bas et a croisé sous le %D (24,5), indiquant une zone de survente. Ce signal est souvent interprété comme un potentiel rebond technique, d'où la décision "Achat". Cependant, dans un contexte de forte volatilité, ce signal peut être prématuré.</w:t>
      </w:r>
    </w:p>
    <w:p>
      <w:pPr>
        <w:spacing w:after="120" w:line="276" w:lineRule="auto"/>
      </w:pPr>
      <w:r>
        <w:t>**Conclusion technique** : Les signaux sont mitigés. La tendance de fond reste haussière (MM50), mais les indicateurs de momentum (MACD, RSI) montrent un essoufflement, tandis que le stochastique suggère un rebond imminent. La prudence est de mise : un chandelier baissier sous la MM50 (6 312 FCFA) invaliderait la tendance haussière.</w:t>
      </w:r>
    </w:p>
    <w:p>
      <w:pPr>
        <w:spacing w:after="120" w:line="276" w:lineRule="auto" w:before="240"/>
      </w:pPr>
      <w:r>
        <w:rPr>
          <w:b/>
          <w:color w:val="003366"/>
          <w:sz w:val="24"/>
        </w:rPr>
        <w:t>**PARTIE 3 : ANALYSE FONDAMENTALE (SECTION CRITIQUE)**</w:t>
      </w:r>
    </w:p>
    <w:p>
      <w:pPr>
        <w:spacing w:after="120" w:line="276" w:lineRule="auto"/>
      </w:pPr>
      <w:r>
        <w:t>Les états financiers disponibles, bien que datant de l'exercice 2023 (rapport du 31/12/2024), montrent une entreprise en pleine restructuration. En 2023, le chiffre d'affaires s'est effondré à 701 millions FCFA (-38,4% par rapport à 2022), mais la société a renoué avec les bénéfices, affichant un résultat net positif de 19,25 millions FCFA, contre une perte de 39,95 millions en 2022. Cette amélioration est due à une réduction drastique des charges (-43,7%), notamment via le transfert de personnel vers la SIPAL. La marge nette reste faible (2,75%), bien en-deçà des standards sectoriels (5-10%). Les données historiques montrent une grande instabilité : après un bénéfice de 119 millions FCFA en 2021, la société a replongé dans le rouge en 2022 avant de se redresser. Le report à nouveau négatif de 689 millions FCFA interdit tout dividende, conformément à l'Acte Uniforme OHADA. Les rapports plus anciens (2015-2020) confirment cette trajectoire en dents de scie, avec des résultats allant de 434 millions FCFA (2015) à 2,35 millions (2019). Sur la base de ces données, on estime que l'exercice 2024 devrait confirmer le retour à l'équilibre, mais la croissance reste tributaire de la reprise des volumes de production et de la sécurisation des plantations contre les vols. La situation financière est fragile, avec des découverts bancaires en hausse et une dépendance aux actionnaires.</w:t>
      </w:r>
    </w:p>
    <w:p>
      <w:pPr>
        <w:spacing w:after="120" w:line="276" w:lineRule="auto" w:before="240"/>
      </w:pPr>
      <w:r>
        <w:rPr>
          <w:b/>
          <w:color w:val="003366"/>
          <w:sz w:val="24"/>
        </w:rPr>
        <w:t>**PARTIE 4 : CONCLUSION D'INVESTISSEMENT**</w:t>
      </w:r>
    </w:p>
    <w:p>
      <w:pPr>
        <w:spacing w:after="120" w:line="276" w:lineRule="auto"/>
      </w:pPr>
      <w:r>
        <w:t>La valorisation boursière de la SICOR est difficile à justifier : avec un cours à 7 995 FCFA et une capitalisation de 4,8 milliards FCFA, le marché semble anticiper une forte amélioration des bénéfices, ce que les derniers fondamentaux (19 millions de bénéfices en 2023) ne confirment pas. Le comportement du cours est préoccupant, avec une volatilité annualisée de 60,5% et une distribution leptokurtique, signe d'un risque de krach soudain. Les signaux techniques sont divergents : la tendance de fond (MM50) reste haussière, mais le MACD et le RSI indiquent un essoufflement, tandis que le stochastique suggère un rebond. Les fondamentaux sont fragiles, sans perspective de dividende à court terme. Les prédictions IA pour les 10 prochains jours (de 7 759 à 7 185 FCFA) confirment cette analyse en projetant une correction progressive. En synthèse, la convergence des signaux (valorisation excessive, fondamentaux faibles, momentum technique en perte de vitesse, prédictions baissières) justifie une recommandation **VENTE**. Le niveau de confiance est **Moyen** (la liquidité faible peut fausser les signaux), le risque global est **Élevé**, et l'horizon d'investissement optimal est le **court terme (&lt;3 mois)** pour les investisseurs cherchant à sécuriser leurs gains, ou l'abstention totale pour les nouveaux entrants.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"Bon exercice, rentable, avec une génération de cash solide (CAFG 278 M). Mais report à nouveau encore négatif interdisant tout dividende et trésorerie nette négative. À conserver."}</w:t>
      </w:r>
    </w:p>
    <w:p>
      <w:pPr>
        <w:spacing w:before="40"/>
        <w:ind w:left="400"/>
      </w:pPr>
      <w:r>
        <w:rPr>
          <w:sz w:val="18"/>
        </w:rPr>
        <w:t>SICOR réalise un bon exercice 2020 : bénéfice net de 109,8 M FCFA, en forte hausse par rapport aux 2,35 M de 2019. Le chiffre d'affaires progresse de 27 % à 2,36 Md, l'EBE grimpe à 281 M et le résultat financier redevient positif (+0,8 M). Le report à nouveau reste négatif (-879 M) mais s'améliore légèrement. La trésorerie nette demeure négative (-47 M) tout en se redressant. Exercice de redressement opérationnel confirmé.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'278 millions FCFA', 'resultat_exploitation': '109 millions FCFA', 'excedent_brut_exploitation': '281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4,65 %</w:t>
            </w:r>
          </w:p>
        </w:tc>
        <w:tc>
          <w:tcPr>
            <w:tcW w:type="dxa" w:w="2160"/>
          </w:tcPr>
          <w:p>
            <w:pPr>
              <w:ind w:left="100"/>
            </w:pPr>
            <w:r/>
            <w:r>
              <w:rPr>
                <w:b/>
                <w:sz w:val="16"/>
              </w:rPr>
              <w:t>total_actif</w:t>
              <w:br/>
            </w:r>
            <w:r>
              <w:rPr>
                <w:sz w:val="18"/>
              </w:rPr>
              <w:t>4,09 milliards FCFA</w:t>
            </w:r>
          </w:p>
        </w:tc>
      </w:tr>
      <w:tr>
        <w:tc>
          <w:tcPr>
            <w:tcW w:type="dxa" w:w="2160"/>
          </w:tcPr>
          <w:p>
            <w:r/>
            <w:r>
              <w:rPr>
                <w:b/>
                <w:sz w:val="16"/>
              </w:rPr>
              <w:t>resultat_net</w:t>
              <w:br/>
            </w:r>
            <w:r>
              <w:rPr>
                <w:sz w:val="18"/>
              </w:rPr>
              <w:t>109,8 millions FCFA (bénéfice)</w:t>
            </w:r>
          </w:p>
        </w:tc>
        <w:tc>
          <w:tcPr>
            <w:tcW w:type="dxa" w:w="2160"/>
          </w:tcPr>
          <w:p>
            <w:r/>
            <w:r>
              <w:rPr>
                <w:b/>
                <w:sz w:val="16"/>
              </w:rPr>
              <w:t>capitaux_propres</w:t>
              <w:br/>
            </w:r>
            <w:r>
              <w:rPr>
                <w:sz w:val="18"/>
              </w:rPr>
              <w:t>3,01 milliards FCFA</w:t>
            </w:r>
          </w:p>
        </w:tc>
        <w:tc>
          <w:tcPr>
            <w:tcW w:type="dxa" w:w="2160"/>
          </w:tcPr>
          <w:p>
            <w:r/>
            <w:r>
              <w:rPr>
                <w:b/>
                <w:sz w:val="16"/>
              </w:rPr>
              <w:t>chiffre_affaires</w:t>
              <w:br/>
            </w:r>
            <w:r>
              <w:rPr>
                <w:sz w:val="18"/>
              </w:rPr>
              <w:t>2,36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2,36 Md FCFA (+27 %)</w:t>
      </w:r>
    </w:p>
    <w:p>
      <w:pPr>
        <w:pStyle w:val="ListBullet"/>
        <w:spacing w:before="20" w:after="20"/>
        <w:ind w:left="700"/>
      </w:pPr>
      <w:r>
        <w:rPr>
          <w:sz w:val="18"/>
        </w:rPr>
        <w:t>EBE 281 M FCFA, en nette progression</w:t>
      </w:r>
    </w:p>
    <w:p>
      <w:pPr>
        <w:pStyle w:val="ListBullet"/>
        <w:spacing w:before="20" w:after="20"/>
        <w:ind w:left="700"/>
      </w:pPr>
      <w:r>
        <w:rPr>
          <w:sz w:val="18"/>
        </w:rPr>
        <w:t>Bénéfice net 109,8 M FCFA (contre 2,35 M en 2019)</w:t>
      </w:r>
    </w:p>
    <w:p>
      <w:pPr>
        <w:pStyle w:val="ListBullet"/>
        <w:spacing w:before="20" w:after="20"/>
        <w:ind w:left="700"/>
      </w:pPr>
      <w:r>
        <w:rPr>
          <w:sz w:val="18"/>
        </w:rPr>
        <w:t>Résultat financier redevenu positif (+0,8 M)</w:t>
      </w:r>
    </w:p>
    <w:p>
      <w:pPr>
        <w:pStyle w:val="ListBullet"/>
        <w:spacing w:before="20" w:after="20"/>
        <w:ind w:left="700"/>
      </w:pPr>
      <w:r>
        <w:rPr>
          <w:sz w:val="18"/>
        </w:rPr>
        <w:t>Report à nouveau encore négatif (-879 M), en légère amélioration</w:t>
      </w:r>
    </w:p>
    <w:p>
      <w:pPr>
        <w:pStyle w:val="ListBullet"/>
        <w:spacing w:before="20" w:after="20"/>
        <w:ind w:left="700"/>
      </w:pPr>
      <w:r>
        <w:rPr>
          <w:sz w:val="18"/>
        </w:rPr>
        <w:t>Trésorerie nette négative (-47 M) mais en amélioration</w:t>
      </w:r>
    </w:p>
    <w:p>
      <w:pPr>
        <w:spacing w:before="40"/>
        <w:ind w:left="400"/>
      </w:pPr>
      <w:r>
        <w:rPr>
          <w:b/>
          <w:color w:val="C05000"/>
          <w:sz w:val="18"/>
        </w:rPr>
        <w:t xml:space="preserve">⚠️ Risques : </w:t>
      </w:r>
      <w:r>
        <w:rPr>
          <w:sz w:val="18"/>
        </w:rPr>
        <w:t>["Report à nouveau toujours négatif (-879 M)", "Trésorerie nette négative (-47 M)", "Dépendance à un chiffre d'affaires volatil dans une activité agro-industrielle (coco)", "Pas de distribution possible tant que les pertes cumulées subsistent"]</w:t>
      </w:r>
    </w:p>
    <w:p>
      <w:pPr>
        <w:spacing w:before="40"/>
        <w:ind w:left="400"/>
      </w:pPr>
      <w:r>
        <w:rPr>
          <w:b/>
          <w:color w:val="0064A0"/>
          <w:sz w:val="18"/>
        </w:rPr>
        <w:t xml:space="preserve">🔮 Perspectives : </w:t>
      </w:r>
      <w:r>
        <w:rPr>
          <w:sz w:val="18"/>
        </w:rPr>
        <w:t>La forte génération de trésorerie (CAFG 278 M) et le retour à un résultat financier positif consolident le redressement. Si la dynamique se maintient, l'apurement progressif du report à nouveau devient envisageable.</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20.18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5,408 titres</w:t>
            </w:r>
          </w:p>
        </w:tc>
        <w:tc>
          <w:tcPr>
            <w:tcW w:type="dxa" w:w="2268"/>
            <w:shd w:fill="FFF2CC" w:val="clear"/>
          </w:tcPr>
          <w:p>
            <w:r>
              <w:rPr>
                <w:b/>
                <w:color w:val="503200"/>
                <w:sz w:val="16"/>
              </w:rPr>
              <w:t xml:space="preserve">Cours actuel : </w:t>
            </w:r>
            <w:r>
              <w:rPr>
                <w:color w:val="000000"/>
                <w:sz w:val="17"/>
              </w:rPr>
              <w:t>2,310 FCFA</w:t>
            </w:r>
          </w:p>
          <w:p>
            <w:r>
              <w:rPr>
                <w:b/>
                <w:color w:val="503200"/>
                <w:sz w:val="16"/>
              </w:rPr>
              <w:t xml:space="preserve">Var. 100 jours : </w:t>
            </w:r>
            <w:r>
              <w:rPr>
                <w:b/>
                <w:color w:val="B40000"/>
                <w:sz w:val="17"/>
              </w:rPr>
              <w:t>-21.16%</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11.21% (Moyenne) — μ=2,595 FCFA, σ=291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β=0.2783 (Défensif) — Cov=0.000010, Var(idx)=0.000036, ρ=0.052,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5,408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σ_j=3.20%/j (Modérée) — Vol. annualisée≈50.8%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2,099</w:t>
            </w:r>
          </w:p>
        </w:tc>
        <w:tc>
          <w:tcPr>
            <w:tcW w:type="dxa" w:w="1440"/>
            <w:shd w:fill="FFDCE0" w:val="clear"/>
          </w:tcPr>
          <w:p>
            <w:r>
              <w:rPr>
                <w:b/>
                <w:sz w:val="17"/>
              </w:rPr>
              <w:t>2,208</w:t>
            </w:r>
          </w:p>
        </w:tc>
        <w:tc>
          <w:tcPr>
            <w:tcW w:type="dxa" w:w="1440"/>
            <w:shd w:fill="FFDCE0" w:val="clear"/>
          </w:tcPr>
          <w:p>
            <w:r>
              <w:rPr>
                <w:sz w:val="17"/>
              </w:rPr>
              <w:t>2,318</w:t>
            </w:r>
          </w:p>
        </w:tc>
        <w:tc>
          <w:tcPr>
            <w:tcW w:type="dxa" w:w="1440"/>
            <w:shd w:fill="FFDCE0" w:val="clear"/>
          </w:tcPr>
          <w:p>
            <w:r>
              <w:rPr>
                <w:b/>
                <w:color w:val="C00000"/>
                <w:sz w:val="17"/>
              </w:rPr>
              <w:t>-4.4%</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2,015</w:t>
            </w:r>
          </w:p>
        </w:tc>
        <w:tc>
          <w:tcPr>
            <w:tcW w:type="dxa" w:w="1440"/>
            <w:shd w:fill="FFDCE0" w:val="clear"/>
          </w:tcPr>
          <w:p>
            <w:r>
              <w:rPr>
                <w:b/>
                <w:sz w:val="17"/>
              </w:rPr>
              <w:t>2,166</w:t>
            </w:r>
          </w:p>
        </w:tc>
        <w:tc>
          <w:tcPr>
            <w:tcW w:type="dxa" w:w="1440"/>
            <w:shd w:fill="FFDCE0" w:val="clear"/>
          </w:tcPr>
          <w:p>
            <w:r>
              <w:rPr>
                <w:sz w:val="17"/>
              </w:rPr>
              <w:t>2,318</w:t>
            </w:r>
          </w:p>
        </w:tc>
        <w:tc>
          <w:tcPr>
            <w:tcW w:type="dxa" w:w="1440"/>
            <w:shd w:fill="FFDCE0" w:val="clear"/>
          </w:tcPr>
          <w:p>
            <w:r>
              <w:rPr>
                <w:b/>
                <w:color w:val="C00000"/>
                <w:sz w:val="17"/>
              </w:rPr>
              <w:t>-6.2%</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1,937</w:t>
            </w:r>
          </w:p>
        </w:tc>
        <w:tc>
          <w:tcPr>
            <w:tcW w:type="dxa" w:w="1440"/>
            <w:shd w:fill="FFDCE0" w:val="clear"/>
          </w:tcPr>
          <w:p>
            <w:r>
              <w:rPr>
                <w:b/>
                <w:sz w:val="17"/>
              </w:rPr>
              <w:t>2,118</w:t>
            </w:r>
          </w:p>
        </w:tc>
        <w:tc>
          <w:tcPr>
            <w:tcW w:type="dxa" w:w="1440"/>
            <w:shd w:fill="FFDCE0" w:val="clear"/>
          </w:tcPr>
          <w:p>
            <w:r>
              <w:rPr>
                <w:sz w:val="17"/>
              </w:rPr>
              <w:t>2,300</w:t>
            </w:r>
          </w:p>
        </w:tc>
        <w:tc>
          <w:tcPr>
            <w:tcW w:type="dxa" w:w="1440"/>
            <w:shd w:fill="FFDCE0" w:val="clear"/>
          </w:tcPr>
          <w:p>
            <w:r>
              <w:rPr>
                <w:b/>
                <w:color w:val="C00000"/>
                <w:sz w:val="17"/>
              </w:rPr>
              <w:t>-8.3%</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1,865</w:t>
            </w:r>
          </w:p>
        </w:tc>
        <w:tc>
          <w:tcPr>
            <w:tcW w:type="dxa" w:w="1440"/>
            <w:shd w:fill="FFDCE0" w:val="clear"/>
          </w:tcPr>
          <w:p>
            <w:r>
              <w:rPr>
                <w:b/>
                <w:sz w:val="17"/>
              </w:rPr>
              <w:t>2,070</w:t>
            </w:r>
          </w:p>
        </w:tc>
        <w:tc>
          <w:tcPr>
            <w:tcW w:type="dxa" w:w="1440"/>
            <w:shd w:fill="FFDCE0" w:val="clear"/>
          </w:tcPr>
          <w:p>
            <w:r>
              <w:rPr>
                <w:sz w:val="17"/>
              </w:rPr>
              <w:t>2,275</w:t>
            </w:r>
          </w:p>
        </w:tc>
        <w:tc>
          <w:tcPr>
            <w:tcW w:type="dxa" w:w="1440"/>
            <w:shd w:fill="FFDCE0" w:val="clear"/>
          </w:tcPr>
          <w:p>
            <w:r>
              <w:rPr>
                <w:b/>
                <w:color w:val="C00000"/>
                <w:sz w:val="17"/>
              </w:rPr>
              <w:t>-10.4%</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1,799</w:t>
            </w:r>
          </w:p>
        </w:tc>
        <w:tc>
          <w:tcPr>
            <w:tcW w:type="dxa" w:w="1440"/>
            <w:shd w:fill="FFDCE0" w:val="clear"/>
          </w:tcPr>
          <w:p>
            <w:r>
              <w:rPr>
                <w:b/>
                <w:sz w:val="17"/>
              </w:rPr>
              <w:t>2,023</w:t>
            </w:r>
          </w:p>
        </w:tc>
        <w:tc>
          <w:tcPr>
            <w:tcW w:type="dxa" w:w="1440"/>
            <w:shd w:fill="FFDCE0" w:val="clear"/>
          </w:tcPr>
          <w:p>
            <w:r>
              <w:rPr>
                <w:sz w:val="17"/>
              </w:rPr>
              <w:t>2,247</w:t>
            </w:r>
          </w:p>
        </w:tc>
        <w:tc>
          <w:tcPr>
            <w:tcW w:type="dxa" w:w="1440"/>
            <w:shd w:fill="FFDCE0" w:val="clear"/>
          </w:tcPr>
          <w:p>
            <w:r>
              <w:rPr>
                <w:b/>
                <w:color w:val="C00000"/>
                <w:sz w:val="17"/>
              </w:rPr>
              <w:t>-12.4%</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1,738</w:t>
            </w:r>
          </w:p>
        </w:tc>
        <w:tc>
          <w:tcPr>
            <w:tcW w:type="dxa" w:w="1440"/>
            <w:shd w:fill="FFDCE0" w:val="clear"/>
          </w:tcPr>
          <w:p>
            <w:r>
              <w:rPr>
                <w:b/>
                <w:sz w:val="17"/>
              </w:rPr>
              <w:t>1,977</w:t>
            </w:r>
          </w:p>
        </w:tc>
        <w:tc>
          <w:tcPr>
            <w:tcW w:type="dxa" w:w="1440"/>
            <w:shd w:fill="FFDCE0" w:val="clear"/>
          </w:tcPr>
          <w:p>
            <w:r>
              <w:rPr>
                <w:sz w:val="17"/>
              </w:rPr>
              <w:t>2,217</w:t>
            </w:r>
          </w:p>
        </w:tc>
        <w:tc>
          <w:tcPr>
            <w:tcW w:type="dxa" w:w="1440"/>
            <w:shd w:fill="FFDCE0" w:val="clear"/>
          </w:tcPr>
          <w:p>
            <w:r>
              <w:rPr>
                <w:b/>
                <w:color w:val="C00000"/>
                <w:sz w:val="17"/>
              </w:rPr>
              <w:t>-14.4%</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1,680</w:t>
            </w:r>
          </w:p>
        </w:tc>
        <w:tc>
          <w:tcPr>
            <w:tcW w:type="dxa" w:w="1440"/>
            <w:shd w:fill="FFDCE0" w:val="clear"/>
          </w:tcPr>
          <w:p>
            <w:r>
              <w:rPr>
                <w:b/>
                <w:sz w:val="17"/>
              </w:rPr>
              <w:t>1,933</w:t>
            </w:r>
          </w:p>
        </w:tc>
        <w:tc>
          <w:tcPr>
            <w:tcW w:type="dxa" w:w="1440"/>
            <w:shd w:fill="FFDCE0" w:val="clear"/>
          </w:tcPr>
          <w:p>
            <w:r>
              <w:rPr>
                <w:sz w:val="17"/>
              </w:rPr>
              <w:t>2,186</w:t>
            </w:r>
          </w:p>
        </w:tc>
        <w:tc>
          <w:tcPr>
            <w:tcW w:type="dxa" w:w="1440"/>
            <w:shd w:fill="FFDCE0" w:val="clear"/>
          </w:tcPr>
          <w:p>
            <w:r>
              <w:rPr>
                <w:b/>
                <w:color w:val="C00000"/>
                <w:sz w:val="17"/>
              </w:rPr>
              <w:t>-16.3%</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1,627</w:t>
            </w:r>
          </w:p>
        </w:tc>
        <w:tc>
          <w:tcPr>
            <w:tcW w:type="dxa" w:w="1440"/>
            <w:shd w:fill="FFDCE0" w:val="clear"/>
          </w:tcPr>
          <w:p>
            <w:r>
              <w:rPr>
                <w:b/>
                <w:sz w:val="17"/>
              </w:rPr>
              <w:t>1,891</w:t>
            </w:r>
          </w:p>
        </w:tc>
        <w:tc>
          <w:tcPr>
            <w:tcW w:type="dxa" w:w="1440"/>
            <w:shd w:fill="FFDCE0" w:val="clear"/>
          </w:tcPr>
          <w:p>
            <w:r>
              <w:rPr>
                <w:sz w:val="17"/>
              </w:rPr>
              <w:t>2,156</w:t>
            </w:r>
          </w:p>
        </w:tc>
        <w:tc>
          <w:tcPr>
            <w:tcW w:type="dxa" w:w="1440"/>
            <w:shd w:fill="FFDCE0" w:val="clear"/>
          </w:tcPr>
          <w:p>
            <w:r>
              <w:rPr>
                <w:b/>
                <w:color w:val="C00000"/>
                <w:sz w:val="17"/>
              </w:rPr>
              <w:t>-18.1%</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1,576</w:t>
            </w:r>
          </w:p>
        </w:tc>
        <w:tc>
          <w:tcPr>
            <w:tcW w:type="dxa" w:w="1440"/>
            <w:shd w:fill="FFDCE0" w:val="clear"/>
          </w:tcPr>
          <w:p>
            <w:r>
              <w:rPr>
                <w:b/>
                <w:sz w:val="17"/>
              </w:rPr>
              <w:t>1,850</w:t>
            </w:r>
          </w:p>
        </w:tc>
        <w:tc>
          <w:tcPr>
            <w:tcW w:type="dxa" w:w="1440"/>
            <w:shd w:fill="FFDCE0" w:val="clear"/>
          </w:tcPr>
          <w:p>
            <w:r>
              <w:rPr>
                <w:sz w:val="17"/>
              </w:rPr>
              <w:t>2,125</w:t>
            </w:r>
          </w:p>
        </w:tc>
        <w:tc>
          <w:tcPr>
            <w:tcW w:type="dxa" w:w="1440"/>
            <w:shd w:fill="FFDCE0" w:val="clear"/>
          </w:tcPr>
          <w:p>
            <w:r>
              <w:rPr>
                <w:b/>
                <w:color w:val="C00000"/>
                <w:sz w:val="17"/>
              </w:rPr>
              <w:t>-19.9%</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1,527</w:t>
            </w:r>
          </w:p>
        </w:tc>
        <w:tc>
          <w:tcPr>
            <w:tcW w:type="dxa" w:w="1440"/>
            <w:shd w:fill="FFDCE0" w:val="clear"/>
          </w:tcPr>
          <w:p>
            <w:r>
              <w:rPr>
                <w:b/>
                <w:sz w:val="17"/>
              </w:rPr>
              <w:t>1,811</w:t>
            </w:r>
          </w:p>
        </w:tc>
        <w:tc>
          <w:tcPr>
            <w:tcW w:type="dxa" w:w="1440"/>
            <w:shd w:fill="FFDCE0" w:val="clear"/>
          </w:tcPr>
          <w:p>
            <w:r>
              <w:rPr>
                <w:sz w:val="17"/>
              </w:rPr>
              <w:t>2,094</w:t>
            </w:r>
          </w:p>
        </w:tc>
        <w:tc>
          <w:tcPr>
            <w:tcW w:type="dxa" w:w="1440"/>
            <w:shd w:fill="FFDCE0" w:val="clear"/>
          </w:tcPr>
          <w:p>
            <w:r>
              <w:rPr>
                <w:b/>
                <w:color w:val="C00000"/>
                <w:sz w:val="17"/>
              </w:rPr>
              <w:t>-21.6%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Absolument. Voici un rapport d'analyse structuré et professionnel pour l'action SIVC (désormais ERIUM CI), basé sur l'ensemble des données fournies.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20,18 milliards FCFA positionne SIVC comme une valeur de taille moyenne sur la BRVM. Le BPA de 43 FCFA par action est relativement faible, ce qui explique un PER de 53,5x, un niveau extrêmement élevé par rapport à la moyenne du marché BRVM (8-12x). Les investisseurs paient donc une prime très significative pour chaque franc de bénéfice, ce qui reflète des attentes de croissance fortes ou une spéculation. Le P/B de 6,17x confirme cette valorisation exigeante, le marché valorisant l'actif net plus de six fois sa valeur comptable. Enfin, un EV/EBITDA de 16,9x, bien que supérieur au seuil de 15x jugé exigeant, indique que la valeur d'entreprise reste soutenue par une capacité opérationnelle (EBITDA) non négligeable, mais qui ne justifie pas pleinement une telle prime.</w:t>
      </w:r>
    </w:p>
    <w:p>
      <w:pPr>
        <w:spacing w:after="120" w:line="276" w:lineRule="auto"/>
      </w:pPr>
      <w:r>
        <w:t>### PARTIE 1 : ANALYSE DU COURS — STATISTIQUES ET ÉVOLUTION (100 derniers jours)</w:t>
      </w:r>
    </w:p>
    <w:p>
      <w:pPr>
        <w:spacing w:after="120" w:line="276" w:lineRule="auto"/>
      </w:pPr>
      <w:r>
        <w:t>Sur les 100 derniers jours, l'action SIVC a subi une forte correction de -21,16%, accentuée par une baisse de -2,33% lors de la dernière séance, pour s'établir à 2 310 FCFA. Le titre a évolué dans une fourchette large de 1 920 à 3 215 FCFA, illustrant une volatilité et une incertitude marquées. La moyenne du cours sur la période (2 595 FCFA) est inférieure à la médiane (2 695 FCFA), ce qui, combiné à un skewness négatif (-0.287), suggère une distribution légèrement asymétrique avec une queue de distribution vers les bas cours. L'écart-type de 293 FCFA (CV=11,3%) montre une dispersion modérée autour de la moyenne. Le kurtosis négatif (-1.008) indique une distribution platykurtique, avec moins de valeurs extrêmes que la normale. La volatilité annualisée de 50,8% est très élevée (&gt;30%), signalant un risque de marché considérable pour les investisseurs.</w:t>
      </w:r>
    </w:p>
    <w:p>
      <w:pPr>
        <w:spacing w:after="120" w:line="276" w:lineRule="auto"/>
      </w:pPr>
      <w:r>
        <w:t>### PARTIE 2 : ANALYSE TECHNIQUE DÉTAILLÉE</w:t>
      </w:r>
    </w:p>
    <w:p>
      <w:pPr>
        <w:spacing w:after="120" w:line="276" w:lineRule="auto"/>
      </w:pPr>
      <w:r>
        <w:t>**Moyennes Mobiles**: Le cours actuel (2 310 FCFA) est inférieur à la MM20 (2 310,75 FCFA) et à la MM50 (2 344,2 FCFA). Cette configuration baissière, où le prix évolue sous ses moyennes clés, confirme la tendance négative de moyen terme et justifie la décision de **Vente**.</w:t>
      </w:r>
    </w:p>
    <w:p>
      <w:pPr>
        <w:spacing w:after="120" w:line="276" w:lineRule="auto"/>
      </w:pPr>
      <w:r>
        <w:t>**Bandes de Bollinger**: Le cours se situe à l'intérieur des bandes, proche de la borne inférieure (2 087 FCFA) et loin de la borne supérieure (2 534 FCFA). Cela indique une pression vendeuse persistante sans être en situation de survente extrême. La décision est **Neutre**, mais la dynamique reste négative.</w:t>
      </w:r>
    </w:p>
    <w:p>
      <w:pPr>
        <w:spacing w:after="120" w:line="276" w:lineRule="auto"/>
      </w:pPr>
      <w:r>
        <w:t>**MACD**: La valeur du MACD (10.012) est supérieure à sa ligne de signal (4.04), ce qui génère un croisement haussier. Ce signal suggère un potentiel de rebond technique à court terme, malgré la tendance de fond baissière. La décision est **Achat**.</w:t>
      </w:r>
    </w:p>
    <w:p>
      <w:pPr>
        <w:spacing w:after="120" w:line="276" w:lineRule="auto"/>
      </w:pPr>
      <w:r>
        <w:t>**RSI**: Avec une valeur de 66.37, le RSI est en zone neutre, mais proche de la zone de surachat (&gt;70). Il n'y a pas de signal extrême, mais la dynamique d'achat récente pourrait s'essouffler. La décision est **Neutre**.</w:t>
      </w:r>
    </w:p>
    <w:p>
      <w:pPr>
        <w:spacing w:after="120" w:line="276" w:lineRule="auto"/>
      </w:pPr>
      <w:r>
        <w:t>**Stochastique**: Le %K (20.0) est inférieur au %D (60.126), indiquant un croisement baissier récent. Cela signale un affaiblissement du momentum haussier et une possible poursuite de la baisse. La décision est **Neutre** avec une tendance négative.</w:t>
      </w:r>
    </w:p>
    <w:p>
      <w:pPr>
        <w:spacing w:after="120" w:line="276" w:lineRule="auto"/>
      </w:pPr>
      <w:r>
        <w:t>**Conclusion technique**: Les indicateurs sont mitigés. La tendance de fond (moyennes mobiles) est clairement baissière, mais le MACD suggère un potentiel de rebond à court terme. Les autres oscillateurs (RSI, Stochastique) sont neutres. La prudence est de mise, car le signal d'achat du MACD pourrait être un piège dans une tendance baissière dominante.</w:t>
      </w:r>
    </w:p>
    <w:p>
      <w:pPr>
        <w:spacing w:after="120" w:line="276" w:lineRule="auto"/>
      </w:pPr>
      <w:r>
        <w:t>### PARTIE 3 : ANALYSE FONDAMENTALE (SECTION CRITIQUE)</w:t>
      </w:r>
    </w:p>
    <w:p>
      <w:pPr>
        <w:spacing w:after="120" w:line="276" w:lineRule="auto"/>
      </w:pPr>
      <w:r>
        <w:t>En 2024, selon les données structurées, SIVC a réalisé un chiffre d'affaires de 9,283 milliards FCFA, avec un résultat net de 376,96 millions FCFA, soit une marge nette de 4,06%. La rentabilité des capitaux propres (ROE) était de 11,52% et le ROA de 2,69%. Le coefficient d'exploitation est très élevé à 95,83%, indiquant une mauvaise efficacité opérationnelle. L'analyse des rapports narratifs montre une évolution contrastée. Le rapport annuel 2025 (daté du 31/12/2025) indique une hausse du CA de +8,53% à 10,07 milliards FCFA, mais une chute brutale du résultat net de -52,4% à 179,3 millions FCFA, ramenant la marge nette à 1,78%. Cette dégradation est due à une forte augmentation des charges et à un résultat financier négatif. Cependant, les rapports trimestriels 2025 (S1 et T3) montrent une amélioration significative de la rentabilité : le résultat net du T3 2025 atteint 832,5 millions FCFA (+58% vs T3 2024), avec une marge nette de 11%. Sur la base de ces données, on peut estimer que l'exercice 2025 complet devrait être bien meilleur que ce que laisse présager le rapport annuel, avec un potentiel de bénéfice nettement supérieur à celui de 2024. La situation financière reste fragile avec une trésorerie nette négative (-2,14 milliards FCFA en 2024) et un endettement élevé.</w:t>
      </w:r>
    </w:p>
    <w:p>
      <w:pPr>
        <w:spacing w:after="120" w:line="276" w:lineRule="auto"/>
      </w:pPr>
      <w:r>
        <w:t>### PARTIE 4 : CONCLUSION D'INVESTISSEMENT</w:t>
      </w:r>
    </w:p>
    <w:p>
      <w:pPr>
        <w:spacing w:after="120" w:line="276" w:lineRule="auto"/>
      </w:pPr>
      <w:r>
        <w:t>La valorisation de SIVC est extrêmement exigeante (PER 53,5x, P/B 6,17x), suggérant une forte surévaluation par rapport aux bénéfices actuels. Le comportement du cours est préoccupant avec une tendance baissière marquée et une volatilité très élevée. Les signaux techniques sont mitigés, avec une tendance de fond baissière mais un potentiel de rebond à court terme (MACD). Les fondamentaux sont paradoxaux : une croissance du CA, mais une rentabilité nette en chute en 2025, bien que les rapports trimestriels suggèrent une amélioration. Les prédictions IA pour les 10 prochains jours (baisse de 2 208 à 2 023 FCFA) confirment la tendance baissière et contredisent le signal d'achat du MACD. En synthèse, la convergence des signaux (valorisation excessive, tendance baissière, prédictions négatives) l'emporte sur le potentiel de rebond technique. Par conséquent, la recommandation est **VENTE**. Le niveau de confiance est **Moyen** (en raison des fondamentaux trimestriels positifs), et le risque global est **Élevé**. L'horizon d'investissement optimal serait de **court terme (&lt;3 mois)** pour les investisseurs cherchant à réduire leur exposition, en attendant une clarification de la trajectoire de rentabilité.</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609.05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1,194 titres</w:t>
            </w:r>
          </w:p>
        </w:tc>
        <w:tc>
          <w:tcPr>
            <w:tcW w:type="dxa" w:w="2268"/>
            <w:shd w:fill="FFF2CC" w:val="clear"/>
          </w:tcPr>
          <w:p>
            <w:r>
              <w:rPr>
                <w:b/>
                <w:color w:val="503200"/>
                <w:sz w:val="16"/>
              </w:rPr>
              <w:t xml:space="preserve">Cours actuel : </w:t>
            </w:r>
            <w:r>
              <w:rPr>
                <w:color w:val="000000"/>
                <w:sz w:val="17"/>
              </w:rPr>
              <w:t>37,000 FCFA</w:t>
            </w:r>
          </w:p>
          <w:p>
            <w:r>
              <w:rPr>
                <w:b/>
                <w:color w:val="503200"/>
                <w:sz w:val="16"/>
              </w:rPr>
              <w:t xml:space="preserve">Var. 100 jours : </w:t>
            </w:r>
            <w:r>
              <w:rPr>
                <w:b/>
                <w:color w:val="B40000"/>
                <w:sz w:val="17"/>
              </w:rPr>
              <w:t>-4.76%</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29.7%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2.51% (Faible) — μ=38,321 FCFA, σ=962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β=0.1215 (Défensif) — Cov=0.000004, Var(idx)=0.000036, ρ=0.039,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1,194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σ_j=1.87%/j (Stable) — Vol. annualisée≈29.7%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36,055</w:t>
            </w:r>
          </w:p>
        </w:tc>
        <w:tc>
          <w:tcPr>
            <w:tcW w:type="dxa" w:w="1440"/>
            <w:shd w:fill="FAFAFA" w:val="clear"/>
          </w:tcPr>
          <w:p>
            <w:r>
              <w:rPr>
                <w:b/>
                <w:sz w:val="17"/>
              </w:rPr>
              <w:t>37,260</w:t>
            </w:r>
          </w:p>
        </w:tc>
        <w:tc>
          <w:tcPr>
            <w:tcW w:type="dxa" w:w="1440"/>
            <w:shd w:fill="FAFAFA" w:val="clear"/>
          </w:tcPr>
          <w:p>
            <w:r>
              <w:rPr>
                <w:sz w:val="17"/>
              </w:rPr>
              <w:t>38,464</w:t>
            </w:r>
          </w:p>
        </w:tc>
        <w:tc>
          <w:tcPr>
            <w:tcW w:type="dxa" w:w="1440"/>
            <w:shd w:fill="FAFAFA" w:val="clear"/>
          </w:tcPr>
          <w:p>
            <w:r>
              <w:rPr>
                <w:b/>
                <w:color w:val="008000"/>
                <w:sz w:val="17"/>
              </w:rPr>
              <w:t>+0.7%</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35,471</w:t>
            </w:r>
          </w:p>
        </w:tc>
        <w:tc>
          <w:tcPr>
            <w:tcW w:type="dxa" w:w="1440"/>
            <w:shd w:fill="FAFAFA" w:val="clear"/>
          </w:tcPr>
          <w:p>
            <w:r>
              <w:rPr>
                <w:b/>
                <w:sz w:val="17"/>
              </w:rPr>
              <w:t>37,171</w:t>
            </w:r>
          </w:p>
        </w:tc>
        <w:tc>
          <w:tcPr>
            <w:tcW w:type="dxa" w:w="1440"/>
            <w:shd w:fill="FAFAFA" w:val="clear"/>
          </w:tcPr>
          <w:p>
            <w:r>
              <w:rPr>
                <w:sz w:val="17"/>
              </w:rPr>
              <w:t>38,871</w:t>
            </w:r>
          </w:p>
        </w:tc>
        <w:tc>
          <w:tcPr>
            <w:tcW w:type="dxa" w:w="1440"/>
            <w:shd w:fill="FAFAFA" w:val="clear"/>
          </w:tcPr>
          <w:p>
            <w:r>
              <w:rPr>
                <w:b/>
                <w:color w:val="008000"/>
                <w:sz w:val="17"/>
              </w:rPr>
              <w:t>+0.5%</w:t>
            </w:r>
          </w:p>
        </w:tc>
      </w:tr>
      <w:tr>
        <w:tc>
          <w:tcPr>
            <w:tcW w:type="dxa" w:w="1440"/>
            <w:shd w:fill="FAFAFA" w:val="clear"/>
          </w:tcPr>
          <w:p>
            <w:r>
              <w:rPr>
                <w:sz w:val="17"/>
              </w:rPr>
              <w:t>J+3  ⭐⭐⭐</w:t>
            </w:r>
          </w:p>
        </w:tc>
        <w:tc>
          <w:tcPr>
            <w:tcW w:type="dxa" w:w="1440"/>
            <w:shd w:fill="FAFAFA" w:val="clear"/>
          </w:tcPr>
          <w:p>
            <w:r>
              <w:rPr>
                <w:sz w:val="17"/>
              </w:rPr>
              <w:t>2026-09-02</w:t>
            </w:r>
          </w:p>
        </w:tc>
        <w:tc>
          <w:tcPr>
            <w:tcW w:type="dxa" w:w="1440"/>
            <w:shd w:fill="FAFAFA" w:val="clear"/>
          </w:tcPr>
          <w:p>
            <w:r>
              <w:rPr>
                <w:sz w:val="17"/>
              </w:rPr>
              <w:t>35,048</w:t>
            </w:r>
          </w:p>
        </w:tc>
        <w:tc>
          <w:tcPr>
            <w:tcW w:type="dxa" w:w="1440"/>
            <w:shd w:fill="FAFAFA" w:val="clear"/>
          </w:tcPr>
          <w:p>
            <w:r>
              <w:rPr>
                <w:b/>
                <w:sz w:val="17"/>
              </w:rPr>
              <w:t>37,127</w:t>
            </w:r>
          </w:p>
        </w:tc>
        <w:tc>
          <w:tcPr>
            <w:tcW w:type="dxa" w:w="1440"/>
            <w:shd w:fill="FAFAFA" w:val="clear"/>
          </w:tcPr>
          <w:p>
            <w:r>
              <w:rPr>
                <w:sz w:val="17"/>
              </w:rPr>
              <w:t>39,207</w:t>
            </w:r>
          </w:p>
        </w:tc>
        <w:tc>
          <w:tcPr>
            <w:tcW w:type="dxa" w:w="1440"/>
            <w:shd w:fill="FAFAFA" w:val="clear"/>
          </w:tcPr>
          <w:p>
            <w:r>
              <w:rPr>
                <w:b/>
                <w:color w:val="008000"/>
                <w:sz w:val="17"/>
              </w:rPr>
              <w:t>+0.3%</w:t>
            </w:r>
          </w:p>
        </w:tc>
      </w:tr>
      <w:tr>
        <w:tc>
          <w:tcPr>
            <w:tcW w:type="dxa" w:w="1440"/>
            <w:shd w:fill="FAFAFA" w:val="clear"/>
          </w:tcPr>
          <w:p>
            <w:r>
              <w:rPr>
                <w:sz w:val="17"/>
              </w:rPr>
              <w:t>J+4  Moyenne</w:t>
            </w:r>
          </w:p>
        </w:tc>
        <w:tc>
          <w:tcPr>
            <w:tcW w:type="dxa" w:w="1440"/>
            <w:shd w:fill="FAFAFA" w:val="clear"/>
          </w:tcPr>
          <w:p>
            <w:r>
              <w:rPr>
                <w:sz w:val="17"/>
              </w:rPr>
              <w:t>2026-09-03</w:t>
            </w:r>
          </w:p>
        </w:tc>
        <w:tc>
          <w:tcPr>
            <w:tcW w:type="dxa" w:w="1440"/>
            <w:shd w:fill="FAFAFA" w:val="clear"/>
          </w:tcPr>
          <w:p>
            <w:r>
              <w:rPr>
                <w:sz w:val="17"/>
              </w:rPr>
              <w:t>34,695</w:t>
            </w:r>
          </w:p>
        </w:tc>
        <w:tc>
          <w:tcPr>
            <w:tcW w:type="dxa" w:w="1440"/>
            <w:shd w:fill="FAFAFA" w:val="clear"/>
          </w:tcPr>
          <w:p>
            <w:r>
              <w:rPr>
                <w:b/>
                <w:sz w:val="17"/>
              </w:rPr>
              <w:t>37,094</w:t>
            </w:r>
          </w:p>
        </w:tc>
        <w:tc>
          <w:tcPr>
            <w:tcW w:type="dxa" w:w="1440"/>
            <w:shd w:fill="FAFAFA" w:val="clear"/>
          </w:tcPr>
          <w:p>
            <w:r>
              <w:rPr>
                <w:sz w:val="17"/>
              </w:rPr>
              <w:t>39,493</w:t>
            </w:r>
          </w:p>
        </w:tc>
        <w:tc>
          <w:tcPr>
            <w:tcW w:type="dxa" w:w="1440"/>
            <w:shd w:fill="FAFAFA" w:val="clear"/>
          </w:tcPr>
          <w:p>
            <w:r>
              <w:rPr>
                <w:b/>
                <w:color w:val="008000"/>
                <w:sz w:val="17"/>
              </w:rPr>
              <w:t>+0.3%</w:t>
            </w:r>
          </w:p>
        </w:tc>
      </w:tr>
      <w:tr>
        <w:tc>
          <w:tcPr>
            <w:tcW w:type="dxa" w:w="1440"/>
            <w:shd w:fill="FAFAFA" w:val="clear"/>
          </w:tcPr>
          <w:p>
            <w:r>
              <w:rPr>
                <w:sz w:val="17"/>
              </w:rPr>
              <w:t>J+5  Moyenne</w:t>
            </w:r>
          </w:p>
        </w:tc>
        <w:tc>
          <w:tcPr>
            <w:tcW w:type="dxa" w:w="1440"/>
            <w:shd w:fill="FAFAFA" w:val="clear"/>
          </w:tcPr>
          <w:p>
            <w:r>
              <w:rPr>
                <w:sz w:val="17"/>
              </w:rPr>
              <w:t>2026-09-04</w:t>
            </w:r>
          </w:p>
        </w:tc>
        <w:tc>
          <w:tcPr>
            <w:tcW w:type="dxa" w:w="1440"/>
            <w:shd w:fill="FAFAFA" w:val="clear"/>
          </w:tcPr>
          <w:p>
            <w:r>
              <w:rPr>
                <w:sz w:val="17"/>
              </w:rPr>
              <w:t>34,383</w:t>
            </w:r>
          </w:p>
        </w:tc>
        <w:tc>
          <w:tcPr>
            <w:tcW w:type="dxa" w:w="1440"/>
            <w:shd w:fill="FAFAFA" w:val="clear"/>
          </w:tcPr>
          <w:p>
            <w:r>
              <w:rPr>
                <w:b/>
                <w:sz w:val="17"/>
              </w:rPr>
              <w:t>37,063</w:t>
            </w:r>
          </w:p>
        </w:tc>
        <w:tc>
          <w:tcPr>
            <w:tcW w:type="dxa" w:w="1440"/>
            <w:shd w:fill="FAFAFA" w:val="clear"/>
          </w:tcPr>
          <w:p>
            <w:r>
              <w:rPr>
                <w:sz w:val="17"/>
              </w:rPr>
              <w:t>39,743</w:t>
            </w:r>
          </w:p>
        </w:tc>
        <w:tc>
          <w:tcPr>
            <w:tcW w:type="dxa" w:w="1440"/>
            <w:shd w:fill="FAFAFA" w:val="clear"/>
          </w:tcPr>
          <w:p>
            <w:r>
              <w:rPr>
                <w:b/>
                <w:color w:val="008000"/>
                <w:sz w:val="17"/>
              </w:rPr>
              <w:t>+0.2%</w:t>
            </w:r>
          </w:p>
        </w:tc>
      </w:tr>
      <w:tr>
        <w:tc>
          <w:tcPr>
            <w:tcW w:type="dxa" w:w="1440"/>
            <w:shd w:fill="FAFAFA" w:val="clear"/>
          </w:tcPr>
          <w:p>
            <w:r>
              <w:rPr>
                <w:sz w:val="17"/>
              </w:rPr>
              <w:t>J+6  Moyenne</w:t>
            </w:r>
          </w:p>
        </w:tc>
        <w:tc>
          <w:tcPr>
            <w:tcW w:type="dxa" w:w="1440"/>
            <w:shd w:fill="FAFAFA" w:val="clear"/>
          </w:tcPr>
          <w:p>
            <w:r>
              <w:rPr>
                <w:sz w:val="17"/>
              </w:rPr>
              <w:t>2026-09-07</w:t>
            </w:r>
          </w:p>
        </w:tc>
        <w:tc>
          <w:tcPr>
            <w:tcW w:type="dxa" w:w="1440"/>
            <w:shd w:fill="FAFAFA" w:val="clear"/>
          </w:tcPr>
          <w:p>
            <w:r>
              <w:rPr>
                <w:sz w:val="17"/>
              </w:rPr>
              <w:t>34,099</w:t>
            </w:r>
          </w:p>
        </w:tc>
        <w:tc>
          <w:tcPr>
            <w:tcW w:type="dxa" w:w="1440"/>
            <w:shd w:fill="FAFAFA" w:val="clear"/>
          </w:tcPr>
          <w:p>
            <w:r>
              <w:rPr>
                <w:b/>
                <w:sz w:val="17"/>
              </w:rPr>
              <w:t>37,032</w:t>
            </w:r>
          </w:p>
        </w:tc>
        <w:tc>
          <w:tcPr>
            <w:tcW w:type="dxa" w:w="1440"/>
            <w:shd w:fill="FAFAFA" w:val="clear"/>
          </w:tcPr>
          <w:p>
            <w:r>
              <w:rPr>
                <w:sz w:val="17"/>
              </w:rPr>
              <w:t>39,965</w:t>
            </w:r>
          </w:p>
        </w:tc>
        <w:tc>
          <w:tcPr>
            <w:tcW w:type="dxa" w:w="1440"/>
            <w:shd w:fill="FAFAFA" w:val="clear"/>
          </w:tcPr>
          <w:p>
            <w:r>
              <w:rPr>
                <w:b/>
                <w:color w:val="008000"/>
                <w:sz w:val="17"/>
              </w:rPr>
              <w:t>+0.1%</w:t>
            </w:r>
          </w:p>
        </w:tc>
      </w:tr>
      <w:tr>
        <w:tc>
          <w:tcPr>
            <w:tcW w:type="dxa" w:w="1440"/>
            <w:shd w:fill="FAFAFA" w:val="clear"/>
          </w:tcPr>
          <w:p>
            <w:r>
              <w:rPr>
                <w:sz w:val="17"/>
              </w:rPr>
              <w:t>J+7  Moyenne</w:t>
            </w:r>
          </w:p>
        </w:tc>
        <w:tc>
          <w:tcPr>
            <w:tcW w:type="dxa" w:w="1440"/>
            <w:shd w:fill="FAFAFA" w:val="clear"/>
          </w:tcPr>
          <w:p>
            <w:r>
              <w:rPr>
                <w:sz w:val="17"/>
              </w:rPr>
              <w:t>2026-09-08</w:t>
            </w:r>
          </w:p>
        </w:tc>
        <w:tc>
          <w:tcPr>
            <w:tcW w:type="dxa" w:w="1440"/>
            <w:shd w:fill="FAFAFA" w:val="clear"/>
          </w:tcPr>
          <w:p>
            <w:r>
              <w:rPr>
                <w:sz w:val="17"/>
              </w:rPr>
              <w:t>33,835</w:t>
            </w:r>
          </w:p>
        </w:tc>
        <w:tc>
          <w:tcPr>
            <w:tcW w:type="dxa" w:w="1440"/>
            <w:shd w:fill="FAFAFA" w:val="clear"/>
          </w:tcPr>
          <w:p>
            <w:r>
              <w:rPr>
                <w:b/>
                <w:sz w:val="17"/>
              </w:rPr>
              <w:t>37,001</w:t>
            </w:r>
          </w:p>
        </w:tc>
        <w:tc>
          <w:tcPr>
            <w:tcW w:type="dxa" w:w="1440"/>
            <w:shd w:fill="FAFAFA" w:val="clear"/>
          </w:tcPr>
          <w:p>
            <w:r>
              <w:rPr>
                <w:sz w:val="17"/>
              </w:rPr>
              <w:t>40,167</w:t>
            </w:r>
          </w:p>
        </w:tc>
        <w:tc>
          <w:tcPr>
            <w:tcW w:type="dxa" w:w="1440"/>
            <w:shd w:fill="FAFAFA" w:val="clear"/>
          </w:tcPr>
          <w:p>
            <w:r>
              <w:rPr>
                <w:b/>
                <w:color w:val="008000"/>
                <w:sz w:val="17"/>
              </w:rPr>
              <w:t>+0.0%</w:t>
            </w:r>
          </w:p>
        </w:tc>
      </w:tr>
      <w:tr>
        <w:tc>
          <w:tcPr>
            <w:tcW w:type="dxa" w:w="1440"/>
            <w:shd w:fill="FAFAFA" w:val="clear"/>
          </w:tcPr>
          <w:p>
            <w:r>
              <w:rPr>
                <w:sz w:val="17"/>
              </w:rPr>
              <w:t>J+8  Moyenne</w:t>
            </w:r>
          </w:p>
        </w:tc>
        <w:tc>
          <w:tcPr>
            <w:tcW w:type="dxa" w:w="1440"/>
            <w:shd w:fill="FAFAFA" w:val="clear"/>
          </w:tcPr>
          <w:p>
            <w:r>
              <w:rPr>
                <w:sz w:val="17"/>
              </w:rPr>
              <w:t>2026-09-09</w:t>
            </w:r>
          </w:p>
        </w:tc>
        <w:tc>
          <w:tcPr>
            <w:tcW w:type="dxa" w:w="1440"/>
            <w:shd w:fill="FAFAFA" w:val="clear"/>
          </w:tcPr>
          <w:p>
            <w:r>
              <w:rPr>
                <w:sz w:val="17"/>
              </w:rPr>
              <w:t>33,588</w:t>
            </w:r>
          </w:p>
        </w:tc>
        <w:tc>
          <w:tcPr>
            <w:tcW w:type="dxa" w:w="1440"/>
            <w:shd w:fill="FAFAFA" w:val="clear"/>
          </w:tcPr>
          <w:p>
            <w:r>
              <w:rPr>
                <w:b/>
                <w:sz w:val="17"/>
              </w:rPr>
              <w:t>36,970</w:t>
            </w:r>
          </w:p>
        </w:tc>
        <w:tc>
          <w:tcPr>
            <w:tcW w:type="dxa" w:w="1440"/>
            <w:shd w:fill="FAFAFA" w:val="clear"/>
          </w:tcPr>
          <w:p>
            <w:r>
              <w:rPr>
                <w:sz w:val="17"/>
              </w:rPr>
              <w:t>40,351</w:t>
            </w:r>
          </w:p>
        </w:tc>
        <w:tc>
          <w:tcPr>
            <w:tcW w:type="dxa" w:w="1440"/>
            <w:shd w:fill="FAFAFA" w:val="clear"/>
          </w:tcPr>
          <w:p>
            <w:r>
              <w:rPr>
                <w:b/>
                <w:color w:val="C00000"/>
                <w:sz w:val="17"/>
              </w:rPr>
              <w:t>-0.1%</w:t>
            </w:r>
          </w:p>
        </w:tc>
      </w:tr>
      <w:tr>
        <w:tc>
          <w:tcPr>
            <w:tcW w:type="dxa" w:w="1440"/>
            <w:shd w:fill="FAFAFA" w:val="clear"/>
          </w:tcPr>
          <w:p>
            <w:r>
              <w:rPr>
                <w:sz w:val="17"/>
              </w:rPr>
              <w:t>J+9  Moyenne</w:t>
            </w:r>
          </w:p>
        </w:tc>
        <w:tc>
          <w:tcPr>
            <w:tcW w:type="dxa" w:w="1440"/>
            <w:shd w:fill="FAFAFA" w:val="clear"/>
          </w:tcPr>
          <w:p>
            <w:r>
              <w:rPr>
                <w:sz w:val="17"/>
              </w:rPr>
              <w:t>2026-09-10</w:t>
            </w:r>
          </w:p>
        </w:tc>
        <w:tc>
          <w:tcPr>
            <w:tcW w:type="dxa" w:w="1440"/>
            <w:shd w:fill="FAFAFA" w:val="clear"/>
          </w:tcPr>
          <w:p>
            <w:r>
              <w:rPr>
                <w:sz w:val="17"/>
              </w:rPr>
              <w:t>33,355</w:t>
            </w:r>
          </w:p>
        </w:tc>
        <w:tc>
          <w:tcPr>
            <w:tcW w:type="dxa" w:w="1440"/>
            <w:shd w:fill="FAFAFA" w:val="clear"/>
          </w:tcPr>
          <w:p>
            <w:r>
              <w:rPr>
                <w:b/>
                <w:sz w:val="17"/>
              </w:rPr>
              <w:t>36,938</w:t>
            </w:r>
          </w:p>
        </w:tc>
        <w:tc>
          <w:tcPr>
            <w:tcW w:type="dxa" w:w="1440"/>
            <w:shd w:fill="FAFAFA" w:val="clear"/>
          </w:tcPr>
          <w:p>
            <w:r>
              <w:rPr>
                <w:sz w:val="17"/>
              </w:rPr>
              <w:t>40,522</w:t>
            </w:r>
          </w:p>
        </w:tc>
        <w:tc>
          <w:tcPr>
            <w:tcW w:type="dxa" w:w="1440"/>
            <w:shd w:fill="FAFAFA" w:val="clear"/>
          </w:tcPr>
          <w:p>
            <w:r>
              <w:rPr>
                <w:b/>
                <w:color w:val="C00000"/>
                <w:sz w:val="17"/>
              </w:rPr>
              <w:t>-0.2%</w:t>
            </w:r>
          </w:p>
        </w:tc>
      </w:tr>
      <w:tr>
        <w:tc>
          <w:tcPr>
            <w:tcW w:type="dxa" w:w="1440"/>
            <w:shd w:fill="FAFAFA" w:val="clear"/>
          </w:tcPr>
          <w:p>
            <w:r>
              <w:rPr>
                <w:sz w:val="17"/>
              </w:rPr>
              <w:t>J+10  Moyenne</w:t>
            </w:r>
          </w:p>
        </w:tc>
        <w:tc>
          <w:tcPr>
            <w:tcW w:type="dxa" w:w="1440"/>
            <w:shd w:fill="FAFAFA" w:val="clear"/>
          </w:tcPr>
          <w:p>
            <w:r>
              <w:rPr>
                <w:sz w:val="17"/>
              </w:rPr>
              <w:t>2026-09-11</w:t>
            </w:r>
          </w:p>
        </w:tc>
        <w:tc>
          <w:tcPr>
            <w:tcW w:type="dxa" w:w="1440"/>
            <w:shd w:fill="FAFAFA" w:val="clear"/>
          </w:tcPr>
          <w:p>
            <w:r>
              <w:rPr>
                <w:sz w:val="17"/>
              </w:rPr>
              <w:t>33,133</w:t>
            </w:r>
          </w:p>
        </w:tc>
        <w:tc>
          <w:tcPr>
            <w:tcW w:type="dxa" w:w="1440"/>
            <w:shd w:fill="FAFAFA" w:val="clear"/>
          </w:tcPr>
          <w:p>
            <w:r>
              <w:rPr>
                <w:b/>
                <w:sz w:val="17"/>
              </w:rPr>
              <w:t>36,907</w:t>
            </w:r>
          </w:p>
        </w:tc>
        <w:tc>
          <w:tcPr>
            <w:tcW w:type="dxa" w:w="1440"/>
            <w:shd w:fill="FAFAFA" w:val="clear"/>
          </w:tcPr>
          <w:p>
            <w:r>
              <w:rPr>
                <w:sz w:val="17"/>
              </w:rPr>
              <w:t>40,681</w:t>
            </w:r>
          </w:p>
        </w:tc>
        <w:tc>
          <w:tcPr>
            <w:tcW w:type="dxa" w:w="1440"/>
            <w:shd w:fill="FAFAFA" w:val="clear"/>
          </w:tcPr>
          <w:p>
            <w:r>
              <w:rPr>
                <w:b/>
                <w:color w:val="C00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SLBC s'établit à 609,05 milliards FCFA, ce qui en fait l'une des valeurs les plus significatives de la BRVM, reflétant la position dominante de SOLIBRA sur le marché ivoirien des boissons. Avec un BPA de 2 781 FCFA, chaque action génère un bénéfice substantiel, justifiant un PER de 13,3x, légèrement supérieur à la moyenne historique de la BRVM (8-12x), ce qui traduit une prime de croissance accordée par le marché aux excellentes performances récentes. Le P/B de 3,12x indique que les investisseurs valorisent l'entreprise à plus du triple de sa valeur comptable, une prime cohérente avec un ROE exceptionnel de 23,46%. Enfin, l'EV/EBITDA de 7,2x se situe dans une fourchette raisonnable (5-10x), suggérant que la valorisation globale de l'entreprise, rapportée à sa capacité opérationnelle, demeure attractive malgré la prime apparente sur le PER.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SLBC a enregistré une variation totale de -4,76%, avec une dernière séance en baisse de -1,33%, clôturant à 37 000 FCFA. Le cours a évolué dans un range de 35 540 FCFA (plus bas) à 41 500 FCFA (plus haut), soit une amplitude de près de 17%, témoignant d'une volatilité notable. La moyenne du cours sur la période (38 321 FCFA) est supérieure à la médiane (38 015 FCFA), indiquant une distribution légèrement asymétrique avec quelques pics haussiers. L'écart-type de 967 FCFA, associé à un coefficient de variation de seulement 2,5%, révèle une dispersion relativement faible autour de la moyenne, suggérant une certaine stabilité relative du cours. Le kurtosis de 0,211 (mésokurtique) indique une distribution proche de la normale, sans risque extrême de pics, tandis que le skewness positif de 0,279 confirme une asymétrie modérée vers la droite. La volatilité annualisée de 29,7% positionne le titre dans une zone élevée (&gt;30% étant considéré comme très volatil), ce qui implique un risque de marché significatif pour les investisseurs.</w:t>
      </w:r>
    </w:p>
    <w:p>
      <w:pPr>
        <w:spacing w:after="120" w:line="276" w:lineRule="auto" w:before="240"/>
      </w:pPr>
      <w:r>
        <w:rPr>
          <w:b/>
          <w:color w:val="003366"/>
          <w:sz w:val="24"/>
        </w:rPr>
        <w:t>**PARTIE 2 : ANALYSE TECHNIQUE DÉTAILLÉE**</w:t>
      </w:r>
    </w:p>
    <w:p>
      <w:pPr>
        <w:spacing w:after="120" w:line="276" w:lineRule="auto"/>
      </w:pPr>
      <w:r>
        <w:t>**Moyennes Mobiles**: La MM20 à 37 578,5 FCFA et la MM50 à 38 511,2 FCFA sont toutes deux supérieures au cours actuel de 37 000 FCFA, avec une MM50 nettement au-dessus de la MM20, configuration baissière classique. Le cours évolue sous ses moyennes mobiles, confirmant une tendance baissière à court et moyen terme, d'où la décision de Vente.</w:t>
      </w:r>
    </w:p>
    <w:p>
      <w:pPr>
        <w:spacing w:after="120" w:line="276" w:lineRule="auto"/>
      </w:pPr>
      <w:r>
        <w:t>**Bandes de Bollinger**: Le cours à 37 000 FCFA se situe entre la borne inférieure (36 349,7 FCFA) et la borne supérieure (38 807,3 FCFA), proche de la borne inférieure, indiquant une pression vendeuse mais sans condition de surachat ou de survente extrême. La largeur des bandes suggère une volatilité modérée, justifiant une décision Neutre.</w:t>
      </w:r>
    </w:p>
    <w:p>
      <w:pPr>
        <w:spacing w:after="120" w:line="276" w:lineRule="auto"/>
      </w:pPr>
      <w:r>
        <w:t>**MACD**: Le MACD (-320,6) est inférieur à sa ligne de signal (-338,9), mais la divergence négative se réduit, suggérant un ralentissement du momentum baissier. Cette configuration, où le MACD reste sous zéro mais remonte vers le signal, est souvent interprétée comme un signe précoce de retournement haussier, d'où la décision d'Achat.</w:t>
      </w:r>
    </w:p>
    <w:p>
      <w:pPr>
        <w:spacing w:after="120" w:line="276" w:lineRule="auto"/>
      </w:pPr>
      <w:r>
        <w:t>**RSI**: Le RSI à 50,0 est parfaitement neutre, indiquant un équilibre entre pressions acheteuses et vendeuses. Cette valeur médiane ne signale ni surachat ni survente, laissant place à une interprétation Neutre, cohérente avec une phase d'indécision du marché.</w:t>
      </w:r>
    </w:p>
    <w:p>
      <w:pPr>
        <w:spacing w:after="120" w:line="276" w:lineRule="auto"/>
      </w:pPr>
      <w:r>
        <w:t>**Stochastique**: Le %K à 0,0 est extrêmement bas, indiquant une condition de survente sévère, tandis que le %D à 42,4 suggère un croisement haussier potentiel en préparation. Cette configuration, où le %K remonte depuis des niveaux très bas, est un signal d'achat précoce, justifiant la décision d'Achat.</w:t>
      </w:r>
    </w:p>
    <w:p>
      <w:pPr>
        <w:spacing w:after="120" w:line="276" w:lineRule="auto"/>
      </w:pPr>
      <w:r>
        <w:t>**Conclusion technique**: Les indicateurs techniques sont mitigés, avec une tendance baissière confirmée par les moyennes mobiles, mais des signaux de retournement potentiel émergent du MACD et du stochastique. Le RSI neutre et les bandes de Bollinger sans extrême suggèrent une phase de consolidation. La convergence des signaux d'achat sur les oscillateurs de momentum pourrait indiquer un potentiel rebond à court terme, mais la prudence reste de mise tant que le cours n'a pas franchi ses moyennes mobiles.</w:t>
      </w:r>
    </w:p>
    <w:p>
      <w:pPr>
        <w:spacing w:after="120" w:line="276" w:lineRule="auto" w:before="240"/>
      </w:pPr>
      <w:r>
        <w:rPr>
          <w:b/>
          <w:color w:val="003366"/>
          <w:sz w:val="24"/>
        </w:rPr>
        <w:t>**PARTIE 3 : ANALYSE FONDAMENTALE (SECTION CRITIQUE)**</w:t>
      </w:r>
    </w:p>
    <w:p>
      <w:pPr>
        <w:spacing w:after="120" w:line="276" w:lineRule="auto"/>
      </w:pPr>
      <w:r>
        <w:t>En 2025, SLBC affiche des performances financières exceptionnelles avec un chiffre d'affaires de 378,123 milliards FCFA, en croissance de 22,08% par rapport à 2024, et un résultat net de 45,781 milliards FCFA, soit une progression spectaculaire de 113%. La marge nette s'améliore à 12,11%, contre 6,9% en 2024, tandis que le ROE atteint 23,46% et le ROA 13,48%, des niveaux excellents pour une entreprise industrielle. La structure financière est saine avec une autonomie financière de 57,48% et une capacité de remboursement de seulement 0,67 année. Le BFR de 61,587 milliards FCFA, avec un délai clients de 64,27 jours et un délai fournisseurs de 76,82 jours, indique une gestion correcte du cycle d'exploitation, bien que la durée de stockage de 117,32 jours mérite une attention particulière. Selon le rapport du S1 2025 (daté de mars 2026), le CA semestriel atteignait déjà 165,8 milliards FCFA (+12,3%), avec un résultat net de 28 milliards FCFA (+175,1%), confirmant la dynamique de croissance. Le rapport T1 2026 (daté de 2026) montre une poursuite de la tendance avec un CA de 93,46 milliards FCFA (+7,6%) et un résultat net de 16,26 milliards FCFA (+4,8%). Sur la base de ces données trimestrielles, on estime que l'exercice 2026 devrait maintenir une croissance à deux chiffres, avec un CA potentiel dépassant 400 milliards FCFA et un résultat net supérieur à 50 milliards FCFA, si la tendance actuelle se poursuit. La politique de dividende est particulièrement généreuse avec un taux de distribution de 76,5% pour 2025 (35,012 milliards FCFA), soit un dividende brut de 2 127 FCFA par action, en hausse spectaculaire par rapport aux 1 220 FCFA de 2024.</w:t>
      </w:r>
    </w:p>
    <w:p>
      <w:pPr>
        <w:spacing w:after="120" w:line="276" w:lineRule="auto" w:before="240"/>
      </w:pPr>
      <w:r>
        <w:rPr>
          <w:b/>
          <w:color w:val="003366"/>
          <w:sz w:val="24"/>
        </w:rPr>
        <w:t>**PARTIE 4 : CONCLUSION D'INVESTISSEMENT**</w:t>
      </w:r>
    </w:p>
    <w:p>
      <w:pPr>
        <w:spacing w:after="120" w:line="276" w:lineRule="auto"/>
      </w:pPr>
      <w:r>
        <w:t>La valorisation de SLBC, avec un PER de 13,3x et un P/B de 3,12x, reflète une prime de croissance justifiée par des fondamentaux exceptionnels, mais n'indique pas une sous-évaluation flagrante. Le comportement du cours sur 100 jours montre une tendance baissière (-4,76%) malgré une volatilité élevée (29,7%), avec des statistiques descriptives (kurtosis mésokurtique, skewness positif) suggérant une distribution relativement normale sans risque extrême. Les signaux techniques sont mitigés, avec une tendance baissière confirmée par les moyennes mobiles mais des signaux d'achat émergents sur le MACD et le stochastique, indiquant un potentiel de rebond technique. Les fondamentaux sont extrêmement solides, avec une croissance du CA de 22% en 2025, un ROE de 23,46% et une politique de dividende généreuse, tandis que les estimations basées sur le T1 2026 suggèrent une poursuite de la dynamique positive. Les prédictions IA pour les 10 prochains jours (37 260 à 37 063 FCFA) indiquent une stabilisation autour des niveaux actuels, avec une légère tendance baissière, contredisant partiellement les signaux techniques de retournement. En synthèse, la convergence entre des fondamentaux excellents, une valorisation raisonnable et des signaux techniques de retournement potentiel, malgré une tendance baissière récente, conduit à une recommandation **ACHAT** pour les investisseurs à moyen terme, avec un niveau de confiance **Moyen** et un risque global **Moyen**. L'horizon d'investissement optimal se situe entre 3 et 12 mois, permettant de capturer à la fois le potentiel de rebond technique et la croissance fondamentale soutenue par les excellents résultats 2025 et les perspectives 2026.</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134.04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1,422 titres</w:t>
            </w:r>
          </w:p>
        </w:tc>
        <w:tc>
          <w:tcPr>
            <w:tcW w:type="dxa" w:w="2268"/>
            <w:shd w:fill="FFF2CC" w:val="clear"/>
          </w:tcPr>
          <w:p>
            <w:r>
              <w:rPr>
                <w:b/>
                <w:color w:val="503200"/>
                <w:sz w:val="16"/>
              </w:rPr>
              <w:t xml:space="preserve">Cours actuel : </w:t>
            </w:r>
            <w:r>
              <w:rPr>
                <w:color w:val="000000"/>
                <w:sz w:val="17"/>
              </w:rPr>
              <w:t>17,195 FCFA</w:t>
            </w:r>
          </w:p>
          <w:p>
            <w:r>
              <w:rPr>
                <w:b/>
                <w:color w:val="503200"/>
                <w:sz w:val="16"/>
              </w:rPr>
              <w:t xml:space="preserve">Var. 100 jours : </w:t>
            </w:r>
            <w:r>
              <w:rPr>
                <w:b/>
                <w:color w:val="007800"/>
                <w:sz w:val="17"/>
              </w:rPr>
              <w:t>+38.11%</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37.0%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14.92% (Moyenne) — μ=14,658 FCFA, σ=2,187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β=-0.5922 (Contre-cyclique) — Cov=-0.000022, Var(idx)=0.000036, ρ=-0.155,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1,422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σ_j=2.33%/j (Stable) — Vol. annualisée≈37.0%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16,424</w:t>
            </w:r>
          </w:p>
        </w:tc>
        <w:tc>
          <w:tcPr>
            <w:tcW w:type="dxa" w:w="1440"/>
            <w:shd w:fill="FAFAFA" w:val="clear"/>
          </w:tcPr>
          <w:p>
            <w:r>
              <w:rPr>
                <w:b/>
                <w:sz w:val="17"/>
              </w:rPr>
              <w:t>16,984</w:t>
            </w:r>
          </w:p>
        </w:tc>
        <w:tc>
          <w:tcPr>
            <w:tcW w:type="dxa" w:w="1440"/>
            <w:shd w:fill="FAFAFA" w:val="clear"/>
          </w:tcPr>
          <w:p>
            <w:r>
              <w:rPr>
                <w:sz w:val="17"/>
              </w:rPr>
              <w:t>17,544</w:t>
            </w:r>
          </w:p>
        </w:tc>
        <w:tc>
          <w:tcPr>
            <w:tcW w:type="dxa" w:w="1440"/>
            <w:shd w:fill="FAFAFA" w:val="clear"/>
          </w:tcPr>
          <w:p>
            <w:r>
              <w:rPr>
                <w:b/>
                <w:color w:val="C00000"/>
                <w:sz w:val="17"/>
              </w:rPr>
              <w:t>-1.2%</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16,129</w:t>
            </w:r>
          </w:p>
        </w:tc>
        <w:tc>
          <w:tcPr>
            <w:tcW w:type="dxa" w:w="1440"/>
            <w:shd w:fill="FAFAFA" w:val="clear"/>
          </w:tcPr>
          <w:p>
            <w:r>
              <w:rPr>
                <w:b/>
                <w:sz w:val="17"/>
              </w:rPr>
              <w:t>16,918</w:t>
            </w:r>
          </w:p>
        </w:tc>
        <w:tc>
          <w:tcPr>
            <w:tcW w:type="dxa" w:w="1440"/>
            <w:shd w:fill="FAFAFA" w:val="clear"/>
          </w:tcPr>
          <w:p>
            <w:r>
              <w:rPr>
                <w:sz w:val="17"/>
              </w:rPr>
              <w:t>17,707</w:t>
            </w:r>
          </w:p>
        </w:tc>
        <w:tc>
          <w:tcPr>
            <w:tcW w:type="dxa" w:w="1440"/>
            <w:shd w:fill="FAFAFA" w:val="clear"/>
          </w:tcPr>
          <w:p>
            <w:r>
              <w:rPr>
                <w:b/>
                <w:color w:val="C00000"/>
                <w:sz w:val="17"/>
              </w:rPr>
              <w:t>-1.6%</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15,882</w:t>
            </w:r>
          </w:p>
        </w:tc>
        <w:tc>
          <w:tcPr>
            <w:tcW w:type="dxa" w:w="1440"/>
            <w:shd w:fill="FFDCE0" w:val="clear"/>
          </w:tcPr>
          <w:p>
            <w:r>
              <w:rPr>
                <w:b/>
                <w:sz w:val="17"/>
              </w:rPr>
              <w:t>16,844</w:t>
            </w:r>
          </w:p>
        </w:tc>
        <w:tc>
          <w:tcPr>
            <w:tcW w:type="dxa" w:w="1440"/>
            <w:shd w:fill="FFDCE0" w:val="clear"/>
          </w:tcPr>
          <w:p>
            <w:r>
              <w:rPr>
                <w:sz w:val="17"/>
              </w:rPr>
              <w:t>17,807</w:t>
            </w:r>
          </w:p>
        </w:tc>
        <w:tc>
          <w:tcPr>
            <w:tcW w:type="dxa" w:w="1440"/>
            <w:shd w:fill="FFDCE0" w:val="clear"/>
          </w:tcPr>
          <w:p>
            <w:r>
              <w:rPr>
                <w:b/>
                <w:color w:val="C00000"/>
                <w:sz w:val="17"/>
              </w:rPr>
              <w:t>-2.0%</w:t>
            </w:r>
          </w:p>
        </w:tc>
      </w:tr>
      <w:tr>
        <w:tc>
          <w:tcPr>
            <w:tcW w:type="dxa" w:w="1440"/>
            <w:shd w:fill="FFDCE0" w:val="clear"/>
          </w:tcPr>
          <w:p>
            <w:r>
              <w:rPr>
                <w:sz w:val="17"/>
              </w:rPr>
              <w:t>J+4  Moyenne</w:t>
            </w:r>
          </w:p>
        </w:tc>
        <w:tc>
          <w:tcPr>
            <w:tcW w:type="dxa" w:w="1440"/>
            <w:shd w:fill="FFDCE0" w:val="clear"/>
          </w:tcPr>
          <w:p>
            <w:r>
              <w:rPr>
                <w:sz w:val="17"/>
              </w:rPr>
              <w:t>2026-09-03</w:t>
            </w:r>
          </w:p>
        </w:tc>
        <w:tc>
          <w:tcPr>
            <w:tcW w:type="dxa" w:w="1440"/>
            <w:shd w:fill="FFDCE0" w:val="clear"/>
          </w:tcPr>
          <w:p>
            <w:r>
              <w:rPr>
                <w:sz w:val="17"/>
              </w:rPr>
              <w:t>15,669</w:t>
            </w:r>
          </w:p>
        </w:tc>
        <w:tc>
          <w:tcPr>
            <w:tcW w:type="dxa" w:w="1440"/>
            <w:shd w:fill="FFDCE0" w:val="clear"/>
          </w:tcPr>
          <w:p>
            <w:r>
              <w:rPr>
                <w:b/>
                <w:sz w:val="17"/>
              </w:rPr>
              <w:t>16,776</w:t>
            </w:r>
          </w:p>
        </w:tc>
        <w:tc>
          <w:tcPr>
            <w:tcW w:type="dxa" w:w="1440"/>
            <w:shd w:fill="FFDCE0" w:val="clear"/>
          </w:tcPr>
          <w:p>
            <w:r>
              <w:rPr>
                <w:sz w:val="17"/>
              </w:rPr>
              <w:t>17,883</w:t>
            </w:r>
          </w:p>
        </w:tc>
        <w:tc>
          <w:tcPr>
            <w:tcW w:type="dxa" w:w="1440"/>
            <w:shd w:fill="FFDCE0" w:val="clear"/>
          </w:tcPr>
          <w:p>
            <w:r>
              <w:rPr>
                <w:b/>
                <w:color w:val="C00000"/>
                <w:sz w:val="17"/>
              </w:rPr>
              <w:t>-2.4%</w:t>
            </w:r>
          </w:p>
        </w:tc>
      </w:tr>
      <w:tr>
        <w:tc>
          <w:tcPr>
            <w:tcW w:type="dxa" w:w="1440"/>
            <w:shd w:fill="FFDCE0" w:val="clear"/>
          </w:tcPr>
          <w:p>
            <w:r>
              <w:rPr>
                <w:sz w:val="17"/>
              </w:rPr>
              <w:t>J+5  Moyenne</w:t>
            </w:r>
          </w:p>
        </w:tc>
        <w:tc>
          <w:tcPr>
            <w:tcW w:type="dxa" w:w="1440"/>
            <w:shd w:fill="FFDCE0" w:val="clear"/>
          </w:tcPr>
          <w:p>
            <w:r>
              <w:rPr>
                <w:sz w:val="17"/>
              </w:rPr>
              <w:t>2026-09-04</w:t>
            </w:r>
          </w:p>
        </w:tc>
        <w:tc>
          <w:tcPr>
            <w:tcW w:type="dxa" w:w="1440"/>
            <w:shd w:fill="FFDCE0" w:val="clear"/>
          </w:tcPr>
          <w:p>
            <w:r>
              <w:rPr>
                <w:sz w:val="17"/>
              </w:rPr>
              <w:t>15,478</w:t>
            </w:r>
          </w:p>
        </w:tc>
        <w:tc>
          <w:tcPr>
            <w:tcW w:type="dxa" w:w="1440"/>
            <w:shd w:fill="FFDCE0" w:val="clear"/>
          </w:tcPr>
          <w:p>
            <w:r>
              <w:rPr>
                <w:b/>
                <w:sz w:val="17"/>
              </w:rPr>
              <w:t>16,711</w:t>
            </w:r>
          </w:p>
        </w:tc>
        <w:tc>
          <w:tcPr>
            <w:tcW w:type="dxa" w:w="1440"/>
            <w:shd w:fill="FFDCE0" w:val="clear"/>
          </w:tcPr>
          <w:p>
            <w:r>
              <w:rPr>
                <w:sz w:val="17"/>
              </w:rPr>
              <w:t>17,944</w:t>
            </w:r>
          </w:p>
        </w:tc>
        <w:tc>
          <w:tcPr>
            <w:tcW w:type="dxa" w:w="1440"/>
            <w:shd w:fill="FFDCE0" w:val="clear"/>
          </w:tcPr>
          <w:p>
            <w:r>
              <w:rPr>
                <w:b/>
                <w:color w:val="C00000"/>
                <w:sz w:val="17"/>
              </w:rPr>
              <w:t>-2.8%</w:t>
            </w:r>
          </w:p>
        </w:tc>
      </w:tr>
      <w:tr>
        <w:tc>
          <w:tcPr>
            <w:tcW w:type="dxa" w:w="1440"/>
            <w:shd w:fill="FFDCE0" w:val="clear"/>
          </w:tcPr>
          <w:p>
            <w:r>
              <w:rPr>
                <w:sz w:val="17"/>
              </w:rPr>
              <w:t>J+6  Moyenne</w:t>
            </w:r>
          </w:p>
        </w:tc>
        <w:tc>
          <w:tcPr>
            <w:tcW w:type="dxa" w:w="1440"/>
            <w:shd w:fill="FFDCE0" w:val="clear"/>
          </w:tcPr>
          <w:p>
            <w:r>
              <w:rPr>
                <w:sz w:val="17"/>
              </w:rPr>
              <w:t>2026-09-07</w:t>
            </w:r>
          </w:p>
        </w:tc>
        <w:tc>
          <w:tcPr>
            <w:tcW w:type="dxa" w:w="1440"/>
            <w:shd w:fill="FFDCE0" w:val="clear"/>
          </w:tcPr>
          <w:p>
            <w:r>
              <w:rPr>
                <w:sz w:val="17"/>
              </w:rPr>
              <w:t>15,302</w:t>
            </w:r>
          </w:p>
        </w:tc>
        <w:tc>
          <w:tcPr>
            <w:tcW w:type="dxa" w:w="1440"/>
            <w:shd w:fill="FFDCE0" w:val="clear"/>
          </w:tcPr>
          <w:p>
            <w:r>
              <w:rPr>
                <w:b/>
                <w:sz w:val="17"/>
              </w:rPr>
              <w:t>16,647</w:t>
            </w:r>
          </w:p>
        </w:tc>
        <w:tc>
          <w:tcPr>
            <w:tcW w:type="dxa" w:w="1440"/>
            <w:shd w:fill="FFDCE0" w:val="clear"/>
          </w:tcPr>
          <w:p>
            <w:r>
              <w:rPr>
                <w:sz w:val="17"/>
              </w:rPr>
              <w:t>17,992</w:t>
            </w:r>
          </w:p>
        </w:tc>
        <w:tc>
          <w:tcPr>
            <w:tcW w:type="dxa" w:w="1440"/>
            <w:shd w:fill="FFDCE0" w:val="clear"/>
          </w:tcPr>
          <w:p>
            <w:r>
              <w:rPr>
                <w:b/>
                <w:color w:val="C00000"/>
                <w:sz w:val="17"/>
              </w:rPr>
              <w:t>-3.2%</w:t>
            </w:r>
          </w:p>
        </w:tc>
      </w:tr>
      <w:tr>
        <w:tc>
          <w:tcPr>
            <w:tcW w:type="dxa" w:w="1440"/>
            <w:shd w:fill="FFDCE0" w:val="clear"/>
          </w:tcPr>
          <w:p>
            <w:r>
              <w:rPr>
                <w:sz w:val="17"/>
              </w:rPr>
              <w:t>J+7  Moyenne</w:t>
            </w:r>
          </w:p>
        </w:tc>
        <w:tc>
          <w:tcPr>
            <w:tcW w:type="dxa" w:w="1440"/>
            <w:shd w:fill="FFDCE0" w:val="clear"/>
          </w:tcPr>
          <w:p>
            <w:r>
              <w:rPr>
                <w:sz w:val="17"/>
              </w:rPr>
              <w:t>2026-09-08</w:t>
            </w:r>
          </w:p>
        </w:tc>
        <w:tc>
          <w:tcPr>
            <w:tcW w:type="dxa" w:w="1440"/>
            <w:shd w:fill="FFDCE0" w:val="clear"/>
          </w:tcPr>
          <w:p>
            <w:r>
              <w:rPr>
                <w:sz w:val="17"/>
              </w:rPr>
              <w:t>15,137</w:t>
            </w:r>
          </w:p>
        </w:tc>
        <w:tc>
          <w:tcPr>
            <w:tcW w:type="dxa" w:w="1440"/>
            <w:shd w:fill="FFDCE0" w:val="clear"/>
          </w:tcPr>
          <w:p>
            <w:r>
              <w:rPr>
                <w:b/>
                <w:sz w:val="17"/>
              </w:rPr>
              <w:t>16,584</w:t>
            </w:r>
          </w:p>
        </w:tc>
        <w:tc>
          <w:tcPr>
            <w:tcW w:type="dxa" w:w="1440"/>
            <w:shd w:fill="FFDCE0" w:val="clear"/>
          </w:tcPr>
          <w:p>
            <w:r>
              <w:rPr>
                <w:sz w:val="17"/>
              </w:rPr>
              <w:t>18,032</w:t>
            </w:r>
          </w:p>
        </w:tc>
        <w:tc>
          <w:tcPr>
            <w:tcW w:type="dxa" w:w="1440"/>
            <w:shd w:fill="FFDCE0" w:val="clear"/>
          </w:tcPr>
          <w:p>
            <w:r>
              <w:rPr>
                <w:b/>
                <w:color w:val="C00000"/>
                <w:sz w:val="17"/>
              </w:rPr>
              <w:t>-3.6%</w:t>
            </w:r>
          </w:p>
        </w:tc>
      </w:tr>
      <w:tr>
        <w:tc>
          <w:tcPr>
            <w:tcW w:type="dxa" w:w="1440"/>
            <w:shd w:fill="FFDCE0" w:val="clear"/>
          </w:tcPr>
          <w:p>
            <w:r>
              <w:rPr>
                <w:sz w:val="17"/>
              </w:rPr>
              <w:t>J+8  Moyenne</w:t>
            </w:r>
          </w:p>
        </w:tc>
        <w:tc>
          <w:tcPr>
            <w:tcW w:type="dxa" w:w="1440"/>
            <w:shd w:fill="FFDCE0" w:val="clear"/>
          </w:tcPr>
          <w:p>
            <w:r>
              <w:rPr>
                <w:sz w:val="17"/>
              </w:rPr>
              <w:t>2026-09-09</w:t>
            </w:r>
          </w:p>
        </w:tc>
        <w:tc>
          <w:tcPr>
            <w:tcW w:type="dxa" w:w="1440"/>
            <w:shd w:fill="FFDCE0" w:val="clear"/>
          </w:tcPr>
          <w:p>
            <w:r>
              <w:rPr>
                <w:sz w:val="17"/>
              </w:rPr>
              <w:t>14,981</w:t>
            </w:r>
          </w:p>
        </w:tc>
        <w:tc>
          <w:tcPr>
            <w:tcW w:type="dxa" w:w="1440"/>
            <w:shd w:fill="FFDCE0" w:val="clear"/>
          </w:tcPr>
          <w:p>
            <w:r>
              <w:rPr>
                <w:b/>
                <w:sz w:val="17"/>
              </w:rPr>
              <w:t>16,522</w:t>
            </w:r>
          </w:p>
        </w:tc>
        <w:tc>
          <w:tcPr>
            <w:tcW w:type="dxa" w:w="1440"/>
            <w:shd w:fill="FFDCE0" w:val="clear"/>
          </w:tcPr>
          <w:p>
            <w:r>
              <w:rPr>
                <w:sz w:val="17"/>
              </w:rPr>
              <w:t>18,064</w:t>
            </w:r>
          </w:p>
        </w:tc>
        <w:tc>
          <w:tcPr>
            <w:tcW w:type="dxa" w:w="1440"/>
            <w:shd w:fill="FFDCE0" w:val="clear"/>
          </w:tcPr>
          <w:p>
            <w:r>
              <w:rPr>
                <w:b/>
                <w:color w:val="C00000"/>
                <w:sz w:val="17"/>
              </w:rPr>
              <w:t>-3.9%</w:t>
            </w:r>
          </w:p>
        </w:tc>
      </w:tr>
      <w:tr>
        <w:tc>
          <w:tcPr>
            <w:tcW w:type="dxa" w:w="1440"/>
            <w:shd w:fill="FFDCE0" w:val="clear"/>
          </w:tcPr>
          <w:p>
            <w:r>
              <w:rPr>
                <w:sz w:val="17"/>
              </w:rPr>
              <w:t>J+9  Moyenne</w:t>
            </w:r>
          </w:p>
        </w:tc>
        <w:tc>
          <w:tcPr>
            <w:tcW w:type="dxa" w:w="1440"/>
            <w:shd w:fill="FFDCE0" w:val="clear"/>
          </w:tcPr>
          <w:p>
            <w:r>
              <w:rPr>
                <w:sz w:val="17"/>
              </w:rPr>
              <w:t>2026-09-10</w:t>
            </w:r>
          </w:p>
        </w:tc>
        <w:tc>
          <w:tcPr>
            <w:tcW w:type="dxa" w:w="1440"/>
            <w:shd w:fill="FFDCE0" w:val="clear"/>
          </w:tcPr>
          <w:p>
            <w:r>
              <w:rPr>
                <w:sz w:val="17"/>
              </w:rPr>
              <w:t>14,832</w:t>
            </w:r>
          </w:p>
        </w:tc>
        <w:tc>
          <w:tcPr>
            <w:tcW w:type="dxa" w:w="1440"/>
            <w:shd w:fill="FFDCE0" w:val="clear"/>
          </w:tcPr>
          <w:p>
            <w:r>
              <w:rPr>
                <w:b/>
                <w:sz w:val="17"/>
              </w:rPr>
              <w:t>16,462</w:t>
            </w:r>
          </w:p>
        </w:tc>
        <w:tc>
          <w:tcPr>
            <w:tcW w:type="dxa" w:w="1440"/>
            <w:shd w:fill="FFDCE0" w:val="clear"/>
          </w:tcPr>
          <w:p>
            <w:r>
              <w:rPr>
                <w:sz w:val="17"/>
              </w:rPr>
              <w:t>18,091</w:t>
            </w:r>
          </w:p>
        </w:tc>
        <w:tc>
          <w:tcPr>
            <w:tcW w:type="dxa" w:w="1440"/>
            <w:shd w:fill="FFDCE0" w:val="clear"/>
          </w:tcPr>
          <w:p>
            <w:r>
              <w:rPr>
                <w:b/>
                <w:color w:val="C00000"/>
                <w:sz w:val="17"/>
              </w:rPr>
              <w:t>-4.3%</w:t>
            </w:r>
          </w:p>
        </w:tc>
      </w:tr>
      <w:tr>
        <w:tc>
          <w:tcPr>
            <w:tcW w:type="dxa" w:w="1440"/>
            <w:shd w:fill="FFDCE0" w:val="clear"/>
          </w:tcPr>
          <w:p>
            <w:r>
              <w:rPr>
                <w:sz w:val="17"/>
              </w:rPr>
              <w:t>J+10  Moyenne</w:t>
            </w:r>
          </w:p>
        </w:tc>
        <w:tc>
          <w:tcPr>
            <w:tcW w:type="dxa" w:w="1440"/>
            <w:shd w:fill="FFDCE0" w:val="clear"/>
          </w:tcPr>
          <w:p>
            <w:r>
              <w:rPr>
                <w:sz w:val="17"/>
              </w:rPr>
              <w:t>2026-09-11</w:t>
            </w:r>
          </w:p>
        </w:tc>
        <w:tc>
          <w:tcPr>
            <w:tcW w:type="dxa" w:w="1440"/>
            <w:shd w:fill="FFDCE0" w:val="clear"/>
          </w:tcPr>
          <w:p>
            <w:r>
              <w:rPr>
                <w:sz w:val="17"/>
              </w:rPr>
              <w:t>14,691</w:t>
            </w:r>
          </w:p>
        </w:tc>
        <w:tc>
          <w:tcPr>
            <w:tcW w:type="dxa" w:w="1440"/>
            <w:shd w:fill="FFDCE0" w:val="clear"/>
          </w:tcPr>
          <w:p>
            <w:r>
              <w:rPr>
                <w:b/>
                <w:sz w:val="17"/>
              </w:rPr>
              <w:t>16,402</w:t>
            </w:r>
          </w:p>
        </w:tc>
        <w:tc>
          <w:tcPr>
            <w:tcW w:type="dxa" w:w="1440"/>
            <w:shd w:fill="FFDCE0" w:val="clear"/>
          </w:tcPr>
          <w:p>
            <w:r>
              <w:rPr>
                <w:sz w:val="17"/>
              </w:rPr>
              <w:t>18,113</w:t>
            </w:r>
          </w:p>
        </w:tc>
        <w:tc>
          <w:tcPr>
            <w:tcW w:type="dxa" w:w="1440"/>
            <w:shd w:fill="FFDCE0" w:val="clear"/>
          </w:tcPr>
          <w:p>
            <w:r>
              <w:rPr>
                <w:b/>
                <w:color w:val="C00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SMBC s'établit à 134,04 milliards FCFA, ce qui positionne la société comme une valeur de taille moyenne sur la BRVM, avec une liquidité relativement faible (volume moyen de 1 422 titres par jour). Le BPA de 1 677 FCFA indique que chaque action génère un bénéfice substantiel, justifiant un PER de 10,3x, légèrement au-dessus de la moyenne historique de la BRVM (8-12x), ce qui traduit une valorisation raisonnable sans prime excessive. Le P/B de 3,12x montre que le marché valorise la société à plus de trois fois ses capitaux propres, reflétant une prime de croissance accordée par les investisseurs pour la rentabilité élevée de l'entreprise. Enfin, l'EV/EBITDA de 6,5x se situe dans la fourchette basse des valeurs comparables, indiquant que la valeur totale de l'entreprise (dette incluse) reste modérée par rapport à sa capacité opérationnelle de génération de cash.</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SMBC a enregistré une progression spectaculaire de +38,11%, avec une dernière séance en hausse de +0,56% à 17 195 FCFA, démontrant une dynamique haussière soutenue. Le titre a évolué dans une fourchette de 11 450 FCFA (plus bas) à 17 735 FCFA (plus haut), soit une amplitude de 55%, illustrant une forte volatilité sur la période. La moyenne de 14 658 FCFA est inférieure à la médiane de 15 700 FCFA, indiquant une distribution asymétrique avec une concentration des cours vers le haut de la fourchette. L'écart-type de 2 198 FCFA (CV de 15%) révèle une dispersion modérée, tandis que le kurtosis de -1,570 (platykurtique) suggère une distribution aplatie avec peu de valeurs extrêmes, et le skewness de -0,273 confirme une symétrie relative. La volatilité annualisée de 37% classe SMBC comme une valeur à risque élevé, nécessitant une gestion prudente des positions.</w:t>
      </w:r>
    </w:p>
    <w:p>
      <w:pPr>
        <w:spacing w:after="120" w:line="276" w:lineRule="auto" w:before="240"/>
      </w:pPr>
      <w:r>
        <w:rPr>
          <w:b/>
          <w:color w:val="003366"/>
          <w:sz w:val="24"/>
        </w:rPr>
        <w:t>**PARTIE 2 : ANALYSE TECHNIQUE DÉTAILLÉE**</w:t>
      </w:r>
    </w:p>
    <w:p>
      <w:pPr>
        <w:spacing w:after="120" w:line="276" w:lineRule="auto"/>
      </w:pPr>
      <w:r>
        <w:t>**Moyennes Mobiles** : Les MM20 (16 448 FCFA) et MM50 (16 524 FCFA) sont toutes deux inférieures au cours actuel de 17 195 FCFA, indiquant une tendance haussière à court et moyen terme. Cependant, le signal de vente généré suggère un possible essoufflement après la forte progression récente, le cours s'éloignant de ses moyennes mobiles.</w:t>
      </w:r>
    </w:p>
    <w:p>
      <w:pPr>
        <w:spacing w:after="120" w:line="276" w:lineRule="auto"/>
      </w:pPr>
      <w:r>
        <w:t>**Bandes de Bollinger** : Le cours se situe à 17 195 FCFA, proche de la borne supérieure (17 479 FCFA), indiquant une pression acheteuse soutenue. La largeur des bandes (2 062 FCFA) reflète une volatilité élevée, et le signal neutre suggère que le marché attend une direction claire après la récente expansion.</w:t>
      </w:r>
    </w:p>
    <w:p>
      <w:pPr>
        <w:spacing w:after="120" w:line="276" w:lineRule="auto"/>
      </w:pPr>
      <w:r>
        <w:t>**MACD** : Le MACD (241,56) est nettement supérieur à son signal (153,52), confirmant un momentum haussier positif. L'écart positif entre les deux lignes indique une dynamique d'achat toujours active, bien que le risque de retournement augmente avec la maturité de la tendance.</w:t>
      </w:r>
    </w:p>
    <w:p>
      <w:pPr>
        <w:spacing w:after="120" w:line="276" w:lineRule="auto"/>
      </w:pPr>
      <w:r>
        <w:t>**RSI** : À 68,59, le RSI se rapproche du seuil de surachat (70), indiquant que le titre est fortement sollicité mais pas encore en zone dangereuse. Le signal neutre suggère que les acheteurs gardent le contrôle, mais une consolidation pourrait survenir à court terme.</w:t>
      </w:r>
    </w:p>
    <w:p>
      <w:pPr>
        <w:spacing w:after="120" w:line="276" w:lineRule="auto"/>
      </w:pPr>
      <w:r>
        <w:t>**Stochastique** : Le %K (81,95) et le %D (84,88) sont tous deux en zone de surachat, avec un croisement baissier potentiel. Le signal de vente généré indique une possible correction technique après une période de hausse soutenue.</w:t>
      </w:r>
    </w:p>
    <w:p>
      <w:pPr>
        <w:spacing w:after="120" w:line="276" w:lineRule="auto"/>
      </w:pPr>
      <w:r>
        <w:t>**Conclusion technique** : Les indicateurs sont mitigés avec un MACD haussier mais un stochastique et des moyennes mobiles en signal de vente. La convergence des signaux suggère une consolidation à court terme avant une possible poursuite de la tendance haussière, à condition que le cours maintienne ses supports clés.</w:t>
      </w:r>
    </w:p>
    <w:p>
      <w:pPr>
        <w:spacing w:after="120" w:line="276" w:lineRule="auto" w:before="240"/>
      </w:pPr>
      <w:r>
        <w:rPr>
          <w:b/>
          <w:color w:val="003366"/>
          <w:sz w:val="24"/>
        </w:rPr>
        <w:t>**PARTIE 3 : ANALYSE FONDAMENTALE (SECTION CRITIQUE)**</w:t>
      </w:r>
    </w:p>
    <w:p>
      <w:pPr>
        <w:spacing w:after="120" w:line="276" w:lineRule="auto"/>
      </w:pPr>
      <w:r>
        <w:t>En 2025, SMBC affiche un chiffre d'affaires de 206,740 milliards FCFA, en baisse de -9,7% par rapport à 2024 (229,061 milliards FCFA), mais avec un résultat net en forte progression de +50,3% à 13,075 milliards FCFA. La marge nette s'améliore spectaculairement à 6,3% (contre 3,8% en 2024), portée par un EBE en hausse de +41,8% à 18,480 milliards FCFA et une meilleure maîtrise des charges. La rentabilité des fonds propres (ROE) atteint 30,5%, un niveau excellent, tandis que le ROA s'établit à 7,3%. Le BFR est très faible à 1,693 milliards FCFA, mais le délai clients de 193,75 jours reste élevé, constituant un risque de trésorerie. La trésorerie nette positive de 23,988 milliards FCFA et la capacité de remboursement de 0,68 an offrent une solidité financière confortable. Les rapports trimestriels 2025 (T1, S1, 9M) confirment cette tendance avec une amélioration des marges malgré la baisse du CA, et le rapport annuel recommande un ACHAT. Le rapport 2024 de Mistral (daté du 15 mars 2026) soulignait une politique de dividende insoutenable (107,5% de distribution), mais le rapport 2025 montre un taux de distribution réduit à 41,7%, démontrant une gestion plus prudente. Les perspectives restent positives avec une demande soutenue sur le marché local et des opportunités à l'export.</w:t>
      </w:r>
    </w:p>
    <w:p>
      <w:pPr>
        <w:spacing w:after="120" w:line="276" w:lineRule="auto" w:before="240"/>
      </w:pPr>
      <w:r>
        <w:rPr>
          <w:b/>
          <w:color w:val="003366"/>
          <w:sz w:val="24"/>
        </w:rPr>
        <w:t>**PARTIE 4 : CONCLUSION D'INVESTISSEMENT**</w:t>
      </w:r>
    </w:p>
    <w:p>
      <w:pPr>
        <w:spacing w:after="120" w:line="276" w:lineRule="auto"/>
      </w:pPr>
      <w:r>
        <w:t>La valorisation de SMBC (PER 10,3x, P/B 3,12x, EV/EBITDA 6,5x) indique une sous-évaluation relative par rapport à sa croissance de bénéfices, avec des ratios modérés pour une société affichant un ROE de 30,5%. Le comportement du cours (+38,11% sur 100 jours) montre une tendance haussière forte mais avec une volatilité élevée (37% annualisée) et des statistiques descriptives (kurtosis platykurtique, skewness négatif) suggérant un risque de consolidation. Les signaux techniques sont mitigés : le MACD reste haussier mais le stochastique et les moyennes mobiles indiquent une possible correction à court terme. Les fondamentaux sont solides avec une amélioration spectaculaire de la rentabilité, une trésorerie abondante et une gestion prudente des dividendes. Les prédictions IA (J+1 à J+10) montrent une légère baisse progressive de 16 984 à 16 711 FCFA, suggérant une consolidation technique après la forte hausse. La convergence entre la valorisation attractive, les fondamentaux solides et la tendance haussière de fond, malgré les signaux techniques de court terme, conduit à une recommandation **ACHAT** avec un niveau de confiance **Élevé** et un risque global **Moyen**. L'horizon d'investissement optimal serait de **moyen terme (3-12 mois)** pour capitaliser sur la reprise de la croissance du chiffre d'affaires et la poursuite de l'amélioration des marges.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3670.00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9,867 titres</w:t>
            </w:r>
          </w:p>
        </w:tc>
        <w:tc>
          <w:tcPr>
            <w:tcW w:type="dxa" w:w="2268"/>
            <w:shd w:fill="FFF2CC" w:val="clear"/>
          </w:tcPr>
          <w:p>
            <w:r>
              <w:rPr>
                <w:b/>
                <w:color w:val="503200"/>
                <w:sz w:val="16"/>
              </w:rPr>
              <w:t xml:space="preserve">Cours actuel : </w:t>
            </w:r>
            <w:r>
              <w:rPr>
                <w:color w:val="000000"/>
                <w:sz w:val="17"/>
              </w:rPr>
              <w:t>36,700 FCFA</w:t>
            </w:r>
          </w:p>
          <w:p>
            <w:r>
              <w:rPr>
                <w:b/>
                <w:color w:val="503200"/>
                <w:sz w:val="16"/>
              </w:rPr>
              <w:t xml:space="preserve">Var. 100 jours : </w:t>
            </w:r>
            <w:r>
              <w:rPr>
                <w:b/>
                <w:color w:val="007800"/>
                <w:sz w:val="17"/>
              </w:rPr>
              <w:t>+26.99%</w:t>
            </w:r>
          </w:p>
          <w:p>
            <w:r>
              <w:rPr>
                <w:b/>
                <w:color w:val="503200"/>
                <w:sz w:val="16"/>
              </w:rPr>
              <w:t xml:space="preserve">Plus haut 100j : </w:t>
            </w:r>
            <w:r>
              <w:rPr>
                <w:color w:val="000000"/>
                <w:sz w:val="17"/>
              </w:rPr>
              <w:t>36,980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27.1/100 → Moyen</w:t>
      </w:r>
    </w:p>
    <w:p>
      <w:pPr>
        <w:spacing w:before="40" w:after="80"/>
      </w:pPr>
      <w:r>
        <w:rPr>
          <w:rFonts w:ascii="Courier New" w:hAnsi="Courier New"/>
          <w:color w:val="825A00"/>
          <w:sz w:val="18"/>
        </w:rPr>
        <w:t>█████░░░░░░░░░░░░░░░  27.1/100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6.95% (Moyenne) — μ=29,967 FCFA, σ=2,083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β=1.9023 (Très agressif) — Cov=0.000069, Var(idx)=0.000036, ρ=0.580,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9,867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σ_j=1.97%/j (Stable) — Vol. annualisée≈31.2%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33,893</w:t>
            </w:r>
          </w:p>
        </w:tc>
        <w:tc>
          <w:tcPr>
            <w:tcW w:type="dxa" w:w="1440"/>
            <w:shd w:fill="FFDCE0" w:val="clear"/>
          </w:tcPr>
          <w:p>
            <w:r>
              <w:rPr>
                <w:b/>
                <w:sz w:val="17"/>
              </w:rPr>
              <w:t>35,320</w:t>
            </w:r>
          </w:p>
        </w:tc>
        <w:tc>
          <w:tcPr>
            <w:tcW w:type="dxa" w:w="1440"/>
            <w:shd w:fill="FFDCE0" w:val="clear"/>
          </w:tcPr>
          <w:p>
            <w:r>
              <w:rPr>
                <w:sz w:val="17"/>
              </w:rPr>
              <w:t>36,748</w:t>
            </w:r>
          </w:p>
        </w:tc>
        <w:tc>
          <w:tcPr>
            <w:tcW w:type="dxa" w:w="1440"/>
            <w:shd w:fill="FFDCE0" w:val="clear"/>
          </w:tcPr>
          <w:p>
            <w:r>
              <w:rPr>
                <w:b/>
                <w:color w:val="C00000"/>
                <w:sz w:val="17"/>
              </w:rPr>
              <w:t>-3.8%</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33,296</w:t>
            </w:r>
          </w:p>
        </w:tc>
        <w:tc>
          <w:tcPr>
            <w:tcW w:type="dxa" w:w="1440"/>
            <w:shd w:fill="FFDCE0" w:val="clear"/>
          </w:tcPr>
          <w:p>
            <w:r>
              <w:rPr>
                <w:b/>
                <w:sz w:val="17"/>
              </w:rPr>
              <w:t>35,314</w:t>
            </w:r>
          </w:p>
        </w:tc>
        <w:tc>
          <w:tcPr>
            <w:tcW w:type="dxa" w:w="1440"/>
            <w:shd w:fill="FFDCE0" w:val="clear"/>
          </w:tcPr>
          <w:p>
            <w:r>
              <w:rPr>
                <w:sz w:val="17"/>
              </w:rPr>
              <w:t>37,333</w:t>
            </w:r>
          </w:p>
        </w:tc>
        <w:tc>
          <w:tcPr>
            <w:tcW w:type="dxa" w:w="1440"/>
            <w:shd w:fill="FFDCE0" w:val="clear"/>
          </w:tcPr>
          <w:p>
            <w:r>
              <w:rPr>
                <w:b/>
                <w:color w:val="C00000"/>
                <w:sz w:val="17"/>
              </w:rPr>
              <w:t>-3.8%</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32,741</w:t>
            </w:r>
          </w:p>
        </w:tc>
        <w:tc>
          <w:tcPr>
            <w:tcW w:type="dxa" w:w="1440"/>
            <w:shd w:fill="FFDCE0" w:val="clear"/>
          </w:tcPr>
          <w:p>
            <w:r>
              <w:rPr>
                <w:b/>
                <w:sz w:val="17"/>
              </w:rPr>
              <w:t>35,206</w:t>
            </w:r>
          </w:p>
        </w:tc>
        <w:tc>
          <w:tcPr>
            <w:tcW w:type="dxa" w:w="1440"/>
            <w:shd w:fill="FFDCE0" w:val="clear"/>
          </w:tcPr>
          <w:p>
            <w:r>
              <w:rPr>
                <w:sz w:val="17"/>
              </w:rPr>
              <w:t>37,670</w:t>
            </w:r>
          </w:p>
        </w:tc>
        <w:tc>
          <w:tcPr>
            <w:tcW w:type="dxa" w:w="1440"/>
            <w:shd w:fill="FFDCE0" w:val="clear"/>
          </w:tcPr>
          <w:p>
            <w:r>
              <w:rPr>
                <w:b/>
                <w:color w:val="C00000"/>
                <w:sz w:val="17"/>
              </w:rPr>
              <w:t>-4.1%</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32,265</w:t>
            </w:r>
          </w:p>
        </w:tc>
        <w:tc>
          <w:tcPr>
            <w:tcW w:type="dxa" w:w="1440"/>
            <w:shd w:fill="FFDCE0" w:val="clear"/>
          </w:tcPr>
          <w:p>
            <w:r>
              <w:rPr>
                <w:b/>
                <w:sz w:val="17"/>
              </w:rPr>
              <w:t>35,103</w:t>
            </w:r>
          </w:p>
        </w:tc>
        <w:tc>
          <w:tcPr>
            <w:tcW w:type="dxa" w:w="1440"/>
            <w:shd w:fill="FFDCE0" w:val="clear"/>
          </w:tcPr>
          <w:p>
            <w:r>
              <w:rPr>
                <w:sz w:val="17"/>
              </w:rPr>
              <w:t>37,940</w:t>
            </w:r>
          </w:p>
        </w:tc>
        <w:tc>
          <w:tcPr>
            <w:tcW w:type="dxa" w:w="1440"/>
            <w:shd w:fill="FFDCE0" w:val="clear"/>
          </w:tcPr>
          <w:p>
            <w:r>
              <w:rPr>
                <w:b/>
                <w:color w:val="C00000"/>
                <w:sz w:val="17"/>
              </w:rPr>
              <w:t>-4.4%</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31,852</w:t>
            </w:r>
          </w:p>
        </w:tc>
        <w:tc>
          <w:tcPr>
            <w:tcW w:type="dxa" w:w="1440"/>
            <w:shd w:fill="FFDCE0" w:val="clear"/>
          </w:tcPr>
          <w:p>
            <w:r>
              <w:rPr>
                <w:b/>
                <w:sz w:val="17"/>
              </w:rPr>
              <w:t>35,017</w:t>
            </w:r>
          </w:p>
        </w:tc>
        <w:tc>
          <w:tcPr>
            <w:tcW w:type="dxa" w:w="1440"/>
            <w:shd w:fill="FFDCE0" w:val="clear"/>
          </w:tcPr>
          <w:p>
            <w:r>
              <w:rPr>
                <w:sz w:val="17"/>
              </w:rPr>
              <w:t>38,181</w:t>
            </w:r>
          </w:p>
        </w:tc>
        <w:tc>
          <w:tcPr>
            <w:tcW w:type="dxa" w:w="1440"/>
            <w:shd w:fill="FFDCE0" w:val="clear"/>
          </w:tcPr>
          <w:p>
            <w:r>
              <w:rPr>
                <w:b/>
                <w:color w:val="C00000"/>
                <w:sz w:val="17"/>
              </w:rPr>
              <w:t>-4.6%</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31,483</w:t>
            </w:r>
          </w:p>
        </w:tc>
        <w:tc>
          <w:tcPr>
            <w:tcW w:type="dxa" w:w="1440"/>
            <w:shd w:fill="FFDCE0" w:val="clear"/>
          </w:tcPr>
          <w:p>
            <w:r>
              <w:rPr>
                <w:b/>
                <w:sz w:val="17"/>
              </w:rPr>
              <w:t>34,942</w:t>
            </w:r>
          </w:p>
        </w:tc>
        <w:tc>
          <w:tcPr>
            <w:tcW w:type="dxa" w:w="1440"/>
            <w:shd w:fill="FFDCE0" w:val="clear"/>
          </w:tcPr>
          <w:p>
            <w:r>
              <w:rPr>
                <w:sz w:val="17"/>
              </w:rPr>
              <w:t>38,401</w:t>
            </w:r>
          </w:p>
        </w:tc>
        <w:tc>
          <w:tcPr>
            <w:tcW w:type="dxa" w:w="1440"/>
            <w:shd w:fill="FFDCE0" w:val="clear"/>
          </w:tcPr>
          <w:p>
            <w:r>
              <w:rPr>
                <w:b/>
                <w:color w:val="C00000"/>
                <w:sz w:val="17"/>
              </w:rPr>
              <w:t>-4.8%</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31,143</w:t>
            </w:r>
          </w:p>
        </w:tc>
        <w:tc>
          <w:tcPr>
            <w:tcW w:type="dxa" w:w="1440"/>
            <w:shd w:fill="FFDCE0" w:val="clear"/>
          </w:tcPr>
          <w:p>
            <w:r>
              <w:rPr>
                <w:b/>
                <w:sz w:val="17"/>
              </w:rPr>
              <w:t>34,872</w:t>
            </w:r>
          </w:p>
        </w:tc>
        <w:tc>
          <w:tcPr>
            <w:tcW w:type="dxa" w:w="1440"/>
            <w:shd w:fill="FFDCE0" w:val="clear"/>
          </w:tcPr>
          <w:p>
            <w:r>
              <w:rPr>
                <w:sz w:val="17"/>
              </w:rPr>
              <w:t>38,601</w:t>
            </w:r>
          </w:p>
        </w:tc>
        <w:tc>
          <w:tcPr>
            <w:tcW w:type="dxa" w:w="1440"/>
            <w:shd w:fill="FFDCE0" w:val="clear"/>
          </w:tcPr>
          <w:p>
            <w:r>
              <w:rPr>
                <w:b/>
                <w:color w:val="C00000"/>
                <w:sz w:val="17"/>
              </w:rPr>
              <w:t>-5.0%</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30,826</w:t>
            </w:r>
          </w:p>
        </w:tc>
        <w:tc>
          <w:tcPr>
            <w:tcW w:type="dxa" w:w="1440"/>
            <w:shd w:fill="FFDCE0" w:val="clear"/>
          </w:tcPr>
          <w:p>
            <w:r>
              <w:rPr>
                <w:b/>
                <w:sz w:val="17"/>
              </w:rPr>
              <w:t>34,805</w:t>
            </w:r>
          </w:p>
        </w:tc>
        <w:tc>
          <w:tcPr>
            <w:tcW w:type="dxa" w:w="1440"/>
            <w:shd w:fill="FFDCE0" w:val="clear"/>
          </w:tcPr>
          <w:p>
            <w:r>
              <w:rPr>
                <w:sz w:val="17"/>
              </w:rPr>
              <w:t>38,784</w:t>
            </w:r>
          </w:p>
        </w:tc>
        <w:tc>
          <w:tcPr>
            <w:tcW w:type="dxa" w:w="1440"/>
            <w:shd w:fill="FFDCE0" w:val="clear"/>
          </w:tcPr>
          <w:p>
            <w:r>
              <w:rPr>
                <w:b/>
                <w:color w:val="C00000"/>
                <w:sz w:val="17"/>
              </w:rPr>
              <w:t>-5.2%</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30,527</w:t>
            </w:r>
          </w:p>
        </w:tc>
        <w:tc>
          <w:tcPr>
            <w:tcW w:type="dxa" w:w="1440"/>
            <w:shd w:fill="FFDCE0" w:val="clear"/>
          </w:tcPr>
          <w:p>
            <w:r>
              <w:rPr>
                <w:b/>
                <w:sz w:val="17"/>
              </w:rPr>
              <w:t>34,740</w:t>
            </w:r>
          </w:p>
        </w:tc>
        <w:tc>
          <w:tcPr>
            <w:tcW w:type="dxa" w:w="1440"/>
            <w:shd w:fill="FFDCE0" w:val="clear"/>
          </w:tcPr>
          <w:p>
            <w:r>
              <w:rPr>
                <w:sz w:val="17"/>
              </w:rPr>
              <w:t>38,952</w:t>
            </w:r>
          </w:p>
        </w:tc>
        <w:tc>
          <w:tcPr>
            <w:tcW w:type="dxa" w:w="1440"/>
            <w:shd w:fill="FFDCE0" w:val="clear"/>
          </w:tcPr>
          <w:p>
            <w:r>
              <w:rPr>
                <w:b/>
                <w:color w:val="C00000"/>
                <w:sz w:val="17"/>
              </w:rPr>
              <w:t>-5.3%</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30,244</w:t>
            </w:r>
          </w:p>
        </w:tc>
        <w:tc>
          <w:tcPr>
            <w:tcW w:type="dxa" w:w="1440"/>
            <w:shd w:fill="FFDCE0" w:val="clear"/>
          </w:tcPr>
          <w:p>
            <w:r>
              <w:rPr>
                <w:b/>
                <w:sz w:val="17"/>
              </w:rPr>
              <w:t>34,676</w:t>
            </w:r>
          </w:p>
        </w:tc>
        <w:tc>
          <w:tcPr>
            <w:tcW w:type="dxa" w:w="1440"/>
            <w:shd w:fill="FFDCE0" w:val="clear"/>
          </w:tcPr>
          <w:p>
            <w:r>
              <w:rPr>
                <w:sz w:val="17"/>
              </w:rPr>
              <w:t>39,108</w:t>
            </w:r>
          </w:p>
        </w:tc>
        <w:tc>
          <w:tcPr>
            <w:tcW w:type="dxa" w:w="1440"/>
            <w:shd w:fill="FFDCE0" w:val="clear"/>
          </w:tcPr>
          <w:p>
            <w:r>
              <w:rPr>
                <w:b/>
                <w:color w:val="C00000"/>
                <w:sz w:val="17"/>
              </w:rPr>
              <w:t>-5.5%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br/>
        <w:t>**Date de l'analyse : 27 juillet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Sonatel s'établit à 3 670 milliards FCFA, ce qui en fait l'une des toutes premières capitalisations de la BRVM, représentant un poids considérable dans l'indice. Avec un BPA de 4 136 FCFA, chaque action génère un bénéfice substantiel, justifiant un PER de 8,9x, inférieur à la moyenne historique du marché BRVM (8-12x), ce qui suggère une sous-évaluation relative du titre. Le P/B de 2,62x indique que le marché valorise la société à plus de 2,5 fois ses capitaux propres, une prime de croissance raisonnable pour un acteur dominant. Enfin, l'EV/EBITDA de 3,8x est particulièrement attractif, signalant que la valeur totale de l'entreprise (dette incluse) reste très modérée par rapport à sa capacité opérationnelle de génération de cash. Ces ratios combinés dessinent le profil d'une valeur de qualité, potentiellement sous-évaluée par le marché.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 enregistré une progression spectaculaire de +26,99%, avec une dernière séance en hausse de +1,94% à 36 700 FCFA. Le titre a évolué dans une fourchette large de 27 160 FCFA (plus bas) à 36 980 FCFA (plus haut), démontrant une dynamique haussière soutenue. La moyenne du cours sur la période (29 967 FCFA) est nettement supérieure à la médiane (28 905 FCFA), et le mode est encore plus bas (28 500 FCFA), ce qui confirme une distribution asymétrique positive : le cours a passé la majorité du temps à des niveaux inférieurs à sa moyenne, avant une accélération récente. L'écart-type de 2 094 FCFA (CV de 7%) indique une dispersion modérée, mais le kurtosis élevé (2,033) signale un risque de mouvements extrêmes. Le skewness positif (1,508) et la volatilité annualisée de 31,2% (élevée) confirment un titre dynamique avec des phases de forte appréciation.</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(36 700 FCFA) évolue nettement au-dessus de la MM20 (32 973,75 FCFA) et de la MM50 (31 326,1 FCFA), avec un écart croissant qui confirme une tendance haussière solide. La configuration des MM, avec la MM20 au-dessus de la MM50, valide la dynamique positive et génère un signal d'achat.</w:t>
      </w:r>
    </w:p>
    <w:p>
      <w:pPr>
        <w:spacing w:after="120" w:line="276" w:lineRule="auto"/>
      </w:pPr>
      <w:r>
        <w:t>**Bandes de Bollinger** : Le cours se positionne près de la borne supérieure (37 334,50 FCFA), indiquant une pression acheteuse intense. L'écart entre les bornes (28 613 à 37 334 FCFA) reflète une volatilité élevée. Le signal est neutre car le titre n'a pas encore franchi la borne, mais la proximité suggère une possible poursuite ou un retournement.</w:t>
      </w:r>
    </w:p>
    <w:p>
      <w:pPr>
        <w:spacing w:after="120" w:line="276" w:lineRule="auto"/>
      </w:pPr>
      <w:r>
        <w:t>**MACD** : Le MACD (1 411,19) est nettement au-dessus de sa ligne de signal (1 030,97), avec un écart positif croissant. Cette configuration indique un momentum haussier fort et confirme la tendance en cours, justifiant la décision d'achat.</w:t>
      </w:r>
    </w:p>
    <w:p>
      <w:pPr>
        <w:spacing w:after="120" w:line="276" w:lineRule="auto"/>
      </w:pPr>
      <w:r>
        <w:t>**RSI** : À 76,735, le RSI entre en zone de surachat (&gt;70), signalant que le titre est techniquement survendu à la hausse. Cela suggère un risque de correction à court terme, d'où la décision de vente, même si en tendance forte, le RSI peut rester élevé.</w:t>
      </w:r>
    </w:p>
    <w:p>
      <w:pPr>
        <w:spacing w:after="120" w:line="276" w:lineRule="auto"/>
      </w:pPr>
      <w:r>
        <w:t>**Stochastique** : Le %K (94,49) et le %D (80,99) sont tous deux en zone de surachat extrême, avec un %K nettement au-dessus de %D. Cette configuration indique une dynamique haussière très forte mais également un risque élevé de retournement, justifiant la décision de vente.</w:t>
      </w:r>
    </w:p>
    <w:p>
      <w:pPr>
        <w:spacing w:after="120" w:line="276" w:lineRule="auto"/>
      </w:pPr>
      <w:r>
        <w:t>**Conclusion technique** : Les indicateurs de tendance (MM, MACD) sont résolument haussiers, mais les oscillateurs (RSI, Stochastique) signalent une surachat extrême. Cette divergence suggère qu'une consolidation technique est probable à court terme avant la poursuite de la tendance haussière de fond.</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2025 confirment la solidité financière de Sonatel. Le chiffre d'affaires s'établit à 1 923,1 milliards FCFA (+8,3% vs 2024), avec un résultat net de 413,6 milliards FCFA (+5,1%). La rentabilité est excellente : ROE de 29,56% (largement au-dessus du seuil de 15% considéré comme excellent) et ROA de 12,65%. La marge nette de 21,5% et la marge opérationnelle de 34,8% démontrent une forte efficacité opérationnelle. En tant qu'entreprise non bancaire, l'analyse du BFR est cruciale : le BFR négatif de -284,9 milliards FCFA est un signal très positif, indiquant que Sonatel finance son exploitation grâce à ses fournisseurs (délai fournisseurs de 201 jours contre 46 jours pour les clients). La structure financière est saine avec une autonomie financière de 42,8% et une capacité de remboursement rapide (0,64 an). Les rapports trimestriels 2025 confirment cette dynamique : le T1 2025 (+14,9% de résultat net), le S1 2025 (+8,0%) et le T3 2025 (+8,0%) montrent une croissance régulière. Le rapport S1 2026 (publié le 24/07/2026) confirme la tendance avec un CA de 1 049,8 milliards FCFA (+9,3%) et un résultat net de 230 milliards FCFA (+10,5%), permettant d'estimer un exercice 2026 avec un CA potentiel de 2 100 milliards FCFA et un résultat net de 460 milliards FCFA. La notation AAA(wu) de GCR Ratings renforce la confiance dans la solidité du modèle.</w:t>
      </w:r>
    </w:p>
    <w:p>
      <w:pPr>
        <w:spacing w:after="120" w:line="276" w:lineRule="auto"/>
      </w:pPr>
      <w:r>
        <w:t>---</w:t>
      </w:r>
    </w:p>
    <w:p>
      <w:pPr>
        <w:spacing w:after="120" w:line="276" w:lineRule="auto"/>
      </w:pPr>
      <w:r>
        <w:t>### PARTIE 4 : CONCLUSION D'INVESTISSEMENT</w:t>
      </w:r>
    </w:p>
    <w:p>
      <w:pPr>
        <w:spacing w:after="120" w:line="276" w:lineRule="auto"/>
      </w:pPr>
      <w:r>
        <w:t>La synthèse globale fait ressortir une convergence remarquable entre les fondamentaux et la valorisation. Les ratios PER (8,9x), EV/EBITDA (3,8x) et P/B (2,62x) indiquent une sous-évaluation relative pour un leader régional avec un ROE de 29,6%. Le comportement du cours (+27% sur 100 jours) reflète cette qualité, mais la volatilité élevée (31,2%) et le skewness positif suggèrent des phases de consolidation possibles. Les signaux techniques sont partagés : tendance haussière solide (MM, MACD) mais surachat extrême (RSI, Stochastique), laissant présager une pause technique. Les fondamentaux sont excellents avec une croissance soutenue (+8-9% du CA) et une rentabilité exceptionnelle. Les prédictions IA (35 320 FCFA à J+10) suggèrent une légère correction de -3,8% par rapport au cours actuel, confirmant le scénario de consolidation technique. **Recommandation finale : ACHAT** avec un niveau de confiance **Élevé** et un risque global **Moyen**. L'horizon d'investissement optimal est le **moyen terme (3-12 mois)** pour profiter de la croissance des résultats 2026, avec un point d'entrée idéal lors d'une correction technique vers 34 000-35 000 FCFA.</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177.14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5,731 titres</w:t>
            </w:r>
          </w:p>
        </w:tc>
        <w:tc>
          <w:tcPr>
            <w:tcW w:type="dxa" w:w="2268"/>
            <w:shd w:fill="FFF2CC" w:val="clear"/>
          </w:tcPr>
          <w:p>
            <w:r>
              <w:rPr>
                <w:b/>
                <w:color w:val="503200"/>
                <w:sz w:val="16"/>
              </w:rPr>
              <w:t xml:space="preserve">Cours actuel : </w:t>
            </w:r>
            <w:r>
              <w:rPr>
                <w:color w:val="000000"/>
                <w:sz w:val="17"/>
              </w:rPr>
              <w:t>8,200 FCFA</w:t>
            </w:r>
          </w:p>
          <w:p>
            <w:r>
              <w:rPr>
                <w:b/>
                <w:color w:val="503200"/>
                <w:sz w:val="16"/>
              </w:rPr>
              <w:t xml:space="preserve">Var. 100 jours : </w:t>
            </w:r>
            <w:r>
              <w:rPr>
                <w:b/>
                <w:color w:val="007800"/>
                <w:sz w:val="17"/>
              </w:rPr>
              <w:t>+6.63%</w:t>
            </w:r>
          </w:p>
          <w:p>
            <w:r>
              <w:rPr>
                <w:b/>
                <w:color w:val="503200"/>
                <w:sz w:val="16"/>
              </w:rPr>
              <w:t xml:space="preserve">Plus haut 100j : </w:t>
            </w:r>
            <w:r>
              <w:rPr>
                <w:color w:val="000000"/>
                <w:sz w:val="17"/>
              </w:rPr>
              <w:t>8,600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4.82% (Faible) — μ=7,986 FCFA, σ=385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β=0.1991 (Défensif) — Cov=0.000007, Var(idx)=0.000036, ρ=0.052,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5,731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2026-08-31</w:t>
            </w:r>
          </w:p>
        </w:tc>
        <w:tc>
          <w:tcPr>
            <w:tcW w:type="dxa" w:w="1440"/>
            <w:shd w:fill="FAFAFA" w:val="clear"/>
          </w:tcPr>
          <w:p>
            <w:r>
              <w:rPr>
                <w:sz w:val="17"/>
              </w:rPr>
              <w:t>7,854</w:t>
            </w:r>
          </w:p>
        </w:tc>
        <w:tc>
          <w:tcPr>
            <w:tcW w:type="dxa" w:w="1440"/>
            <w:shd w:fill="FAFAFA" w:val="clear"/>
          </w:tcPr>
          <w:p>
            <w:r>
              <w:rPr>
                <w:b/>
                <w:sz w:val="17"/>
              </w:rPr>
              <w:t>8,221</w:t>
            </w:r>
          </w:p>
        </w:tc>
        <w:tc>
          <w:tcPr>
            <w:tcW w:type="dxa" w:w="1440"/>
            <w:shd w:fill="FAFAFA" w:val="clear"/>
          </w:tcPr>
          <w:p>
            <w:r>
              <w:rPr>
                <w:sz w:val="17"/>
              </w:rPr>
              <w:t>8,588</w:t>
            </w:r>
          </w:p>
        </w:tc>
        <w:tc>
          <w:tcPr>
            <w:tcW w:type="dxa" w:w="1440"/>
            <w:shd w:fill="FAFAFA" w:val="clear"/>
          </w:tcPr>
          <w:p>
            <w:r>
              <w:rPr>
                <w:b/>
                <w:color w:val="008000"/>
                <w:sz w:val="17"/>
              </w:rPr>
              <w:t>+0.3%</w:t>
            </w:r>
          </w:p>
        </w:tc>
      </w:tr>
      <w:tr>
        <w:tc>
          <w:tcPr>
            <w:tcW w:type="dxa" w:w="1440"/>
            <w:shd w:fill="FAFAFA" w:val="clear"/>
          </w:tcPr>
          <w:p>
            <w:r>
              <w:rPr>
                <w:sz w:val="17"/>
              </w:rPr>
              <w:t>J+2  Moyenne</w:t>
            </w:r>
          </w:p>
        </w:tc>
        <w:tc>
          <w:tcPr>
            <w:tcW w:type="dxa" w:w="1440"/>
            <w:shd w:fill="FAFAFA" w:val="clear"/>
          </w:tcPr>
          <w:p>
            <w:r>
              <w:rPr>
                <w:sz w:val="17"/>
              </w:rPr>
              <w:t>2026-09-01</w:t>
            </w:r>
          </w:p>
        </w:tc>
        <w:tc>
          <w:tcPr>
            <w:tcW w:type="dxa" w:w="1440"/>
            <w:shd w:fill="FAFAFA" w:val="clear"/>
          </w:tcPr>
          <w:p>
            <w:r>
              <w:rPr>
                <w:sz w:val="17"/>
              </w:rPr>
              <w:t>7,712</w:t>
            </w:r>
          </w:p>
        </w:tc>
        <w:tc>
          <w:tcPr>
            <w:tcW w:type="dxa" w:w="1440"/>
            <w:shd w:fill="FAFAFA" w:val="clear"/>
          </w:tcPr>
          <w:p>
            <w:r>
              <w:rPr>
                <w:b/>
                <w:sz w:val="17"/>
              </w:rPr>
              <w:t>8,232</w:t>
            </w:r>
          </w:p>
        </w:tc>
        <w:tc>
          <w:tcPr>
            <w:tcW w:type="dxa" w:w="1440"/>
            <w:shd w:fill="FAFAFA" w:val="clear"/>
          </w:tcPr>
          <w:p>
            <w:r>
              <w:rPr>
                <w:sz w:val="17"/>
              </w:rPr>
              <w:t>8,753</w:t>
            </w:r>
          </w:p>
        </w:tc>
        <w:tc>
          <w:tcPr>
            <w:tcW w:type="dxa" w:w="1440"/>
            <w:shd w:fill="FAFAFA" w:val="clear"/>
          </w:tcPr>
          <w:p>
            <w:r>
              <w:rPr>
                <w:b/>
                <w:color w:val="008000"/>
                <w:sz w:val="17"/>
              </w:rPr>
              <w:t>+0.4%</w:t>
            </w:r>
          </w:p>
        </w:tc>
      </w:tr>
      <w:tr>
        <w:tc>
          <w:tcPr>
            <w:tcW w:type="dxa" w:w="1440"/>
            <w:shd w:fill="FAFAFA" w:val="clear"/>
          </w:tcPr>
          <w:p>
            <w:r>
              <w:rPr>
                <w:sz w:val="17"/>
              </w:rPr>
              <w:t>J+3  Moyenne</w:t>
            </w:r>
          </w:p>
        </w:tc>
        <w:tc>
          <w:tcPr>
            <w:tcW w:type="dxa" w:w="1440"/>
            <w:shd w:fill="FAFAFA" w:val="clear"/>
          </w:tcPr>
          <w:p>
            <w:r>
              <w:rPr>
                <w:sz w:val="17"/>
              </w:rPr>
              <w:t>2026-09-02</w:t>
            </w:r>
          </w:p>
        </w:tc>
        <w:tc>
          <w:tcPr>
            <w:tcW w:type="dxa" w:w="1440"/>
            <w:shd w:fill="FAFAFA" w:val="clear"/>
          </w:tcPr>
          <w:p>
            <w:r>
              <w:rPr>
                <w:sz w:val="17"/>
              </w:rPr>
              <w:t>7,606</w:t>
            </w:r>
          </w:p>
        </w:tc>
        <w:tc>
          <w:tcPr>
            <w:tcW w:type="dxa" w:w="1440"/>
            <w:shd w:fill="FAFAFA" w:val="clear"/>
          </w:tcPr>
          <w:p>
            <w:r>
              <w:rPr>
                <w:b/>
                <w:sz w:val="17"/>
              </w:rPr>
              <w:t>8,244</w:t>
            </w:r>
          </w:p>
        </w:tc>
        <w:tc>
          <w:tcPr>
            <w:tcW w:type="dxa" w:w="1440"/>
            <w:shd w:fill="FAFAFA" w:val="clear"/>
          </w:tcPr>
          <w:p>
            <w:r>
              <w:rPr>
                <w:sz w:val="17"/>
              </w:rPr>
              <w:t>8,882</w:t>
            </w:r>
          </w:p>
        </w:tc>
        <w:tc>
          <w:tcPr>
            <w:tcW w:type="dxa" w:w="1440"/>
            <w:shd w:fill="FAFAFA" w:val="clear"/>
          </w:tcPr>
          <w:p>
            <w:r>
              <w:rPr>
                <w:b/>
                <w:color w:val="008000"/>
                <w:sz w:val="17"/>
              </w:rPr>
              <w:t>+0.5%</w:t>
            </w:r>
          </w:p>
        </w:tc>
      </w:tr>
      <w:tr>
        <w:tc>
          <w:tcPr>
            <w:tcW w:type="dxa" w:w="1440"/>
            <w:shd w:fill="FAFAFA" w:val="clear"/>
          </w:tcPr>
          <w:p>
            <w:r>
              <w:rPr>
                <w:sz w:val="17"/>
              </w:rPr>
              <w:t>J+4  ⭐</w:t>
            </w:r>
          </w:p>
        </w:tc>
        <w:tc>
          <w:tcPr>
            <w:tcW w:type="dxa" w:w="1440"/>
            <w:shd w:fill="FAFAFA" w:val="clear"/>
          </w:tcPr>
          <w:p>
            <w:r>
              <w:rPr>
                <w:sz w:val="17"/>
              </w:rPr>
              <w:t>2026-09-03</w:t>
            </w:r>
          </w:p>
        </w:tc>
        <w:tc>
          <w:tcPr>
            <w:tcW w:type="dxa" w:w="1440"/>
            <w:shd w:fill="FAFAFA" w:val="clear"/>
          </w:tcPr>
          <w:p>
            <w:r>
              <w:rPr>
                <w:sz w:val="17"/>
              </w:rPr>
              <w:t>7,518</w:t>
            </w:r>
          </w:p>
        </w:tc>
        <w:tc>
          <w:tcPr>
            <w:tcW w:type="dxa" w:w="1440"/>
            <w:shd w:fill="FAFAFA" w:val="clear"/>
          </w:tcPr>
          <w:p>
            <w:r>
              <w:rPr>
                <w:b/>
                <w:sz w:val="17"/>
              </w:rPr>
              <w:t>8,255</w:t>
            </w:r>
          </w:p>
        </w:tc>
        <w:tc>
          <w:tcPr>
            <w:tcW w:type="dxa" w:w="1440"/>
            <w:shd w:fill="FAFAFA" w:val="clear"/>
          </w:tcPr>
          <w:p>
            <w:r>
              <w:rPr>
                <w:sz w:val="17"/>
              </w:rPr>
              <w:t>8,993</w:t>
            </w:r>
          </w:p>
        </w:tc>
        <w:tc>
          <w:tcPr>
            <w:tcW w:type="dxa" w:w="1440"/>
            <w:shd w:fill="FAFAFA" w:val="clear"/>
          </w:tcPr>
          <w:p>
            <w:r>
              <w:rPr>
                <w:b/>
                <w:color w:val="008000"/>
                <w:sz w:val="17"/>
              </w:rPr>
              <w:t>+0.7%</w:t>
            </w:r>
          </w:p>
        </w:tc>
      </w:tr>
      <w:tr>
        <w:tc>
          <w:tcPr>
            <w:tcW w:type="dxa" w:w="1440"/>
            <w:shd w:fill="FAFAFA" w:val="clear"/>
          </w:tcPr>
          <w:p>
            <w:r>
              <w:rPr>
                <w:sz w:val="17"/>
              </w:rPr>
              <w:t>J+5  ⭐</w:t>
            </w:r>
          </w:p>
        </w:tc>
        <w:tc>
          <w:tcPr>
            <w:tcW w:type="dxa" w:w="1440"/>
            <w:shd w:fill="FAFAFA" w:val="clear"/>
          </w:tcPr>
          <w:p>
            <w:r>
              <w:rPr>
                <w:sz w:val="17"/>
              </w:rPr>
              <w:t>2026-09-04</w:t>
            </w:r>
          </w:p>
        </w:tc>
        <w:tc>
          <w:tcPr>
            <w:tcW w:type="dxa" w:w="1440"/>
            <w:shd w:fill="FAFAFA" w:val="clear"/>
          </w:tcPr>
          <w:p>
            <w:r>
              <w:rPr>
                <w:sz w:val="17"/>
              </w:rPr>
              <w:t>7,441</w:t>
            </w:r>
          </w:p>
        </w:tc>
        <w:tc>
          <w:tcPr>
            <w:tcW w:type="dxa" w:w="1440"/>
            <w:shd w:fill="FAFAFA" w:val="clear"/>
          </w:tcPr>
          <w:p>
            <w:r>
              <w:rPr>
                <w:b/>
                <w:sz w:val="17"/>
              </w:rPr>
              <w:t>8,267</w:t>
            </w:r>
          </w:p>
        </w:tc>
        <w:tc>
          <w:tcPr>
            <w:tcW w:type="dxa" w:w="1440"/>
            <w:shd w:fill="FAFAFA" w:val="clear"/>
          </w:tcPr>
          <w:p>
            <w:r>
              <w:rPr>
                <w:sz w:val="17"/>
              </w:rPr>
              <w:t>9,093</w:t>
            </w:r>
          </w:p>
        </w:tc>
        <w:tc>
          <w:tcPr>
            <w:tcW w:type="dxa" w:w="1440"/>
            <w:shd w:fill="FAFAFA" w:val="clear"/>
          </w:tcPr>
          <w:p>
            <w:r>
              <w:rPr>
                <w:b/>
                <w:color w:val="008000"/>
                <w:sz w:val="17"/>
              </w:rPr>
              <w:t>+0.8%</w:t>
            </w:r>
          </w:p>
        </w:tc>
      </w:tr>
      <w:tr>
        <w:tc>
          <w:tcPr>
            <w:tcW w:type="dxa" w:w="1440"/>
            <w:shd w:fill="FAFAFA" w:val="clear"/>
          </w:tcPr>
          <w:p>
            <w:r>
              <w:rPr>
                <w:sz w:val="17"/>
              </w:rPr>
              <w:t>J+6  ⭐</w:t>
            </w:r>
          </w:p>
        </w:tc>
        <w:tc>
          <w:tcPr>
            <w:tcW w:type="dxa" w:w="1440"/>
            <w:shd w:fill="FAFAFA" w:val="clear"/>
          </w:tcPr>
          <w:p>
            <w:r>
              <w:rPr>
                <w:sz w:val="17"/>
              </w:rPr>
              <w:t>2026-09-07</w:t>
            </w:r>
          </w:p>
        </w:tc>
        <w:tc>
          <w:tcPr>
            <w:tcW w:type="dxa" w:w="1440"/>
            <w:shd w:fill="FAFAFA" w:val="clear"/>
          </w:tcPr>
          <w:p>
            <w:r>
              <w:rPr>
                <w:sz w:val="17"/>
              </w:rPr>
              <w:t>7,372</w:t>
            </w:r>
          </w:p>
        </w:tc>
        <w:tc>
          <w:tcPr>
            <w:tcW w:type="dxa" w:w="1440"/>
            <w:shd w:fill="FAFAFA" w:val="clear"/>
          </w:tcPr>
          <w:p>
            <w:r>
              <w:rPr>
                <w:b/>
                <w:sz w:val="17"/>
              </w:rPr>
              <w:t>8,278</w:t>
            </w:r>
          </w:p>
        </w:tc>
        <w:tc>
          <w:tcPr>
            <w:tcW w:type="dxa" w:w="1440"/>
            <w:shd w:fill="FAFAFA" w:val="clear"/>
          </w:tcPr>
          <w:p>
            <w:r>
              <w:rPr>
                <w:sz w:val="17"/>
              </w:rPr>
              <w:t>9,184</w:t>
            </w:r>
          </w:p>
        </w:tc>
        <w:tc>
          <w:tcPr>
            <w:tcW w:type="dxa" w:w="1440"/>
            <w:shd w:fill="FAFAFA" w:val="clear"/>
          </w:tcPr>
          <w:p>
            <w:r>
              <w:rPr>
                <w:b/>
                <w:color w:val="008000"/>
                <w:sz w:val="17"/>
              </w:rPr>
              <w:t>+0.9%</w:t>
            </w:r>
          </w:p>
        </w:tc>
      </w:tr>
      <w:tr>
        <w:tc>
          <w:tcPr>
            <w:tcW w:type="dxa" w:w="1440"/>
            <w:shd w:fill="FAFAFA" w:val="clear"/>
          </w:tcPr>
          <w:p>
            <w:r>
              <w:rPr>
                <w:sz w:val="17"/>
              </w:rPr>
              <w:t>J+7  ⭐</w:t>
            </w:r>
          </w:p>
        </w:tc>
        <w:tc>
          <w:tcPr>
            <w:tcW w:type="dxa" w:w="1440"/>
            <w:shd w:fill="FAFAFA" w:val="clear"/>
          </w:tcPr>
          <w:p>
            <w:r>
              <w:rPr>
                <w:sz w:val="17"/>
              </w:rPr>
              <w:t>2026-09-08</w:t>
            </w:r>
          </w:p>
        </w:tc>
        <w:tc>
          <w:tcPr>
            <w:tcW w:type="dxa" w:w="1440"/>
            <w:shd w:fill="FAFAFA" w:val="clear"/>
          </w:tcPr>
          <w:p>
            <w:r>
              <w:rPr>
                <w:sz w:val="17"/>
              </w:rPr>
              <w:t>7,309</w:t>
            </w:r>
          </w:p>
        </w:tc>
        <w:tc>
          <w:tcPr>
            <w:tcW w:type="dxa" w:w="1440"/>
            <w:shd w:fill="FAFAFA" w:val="clear"/>
          </w:tcPr>
          <w:p>
            <w:r>
              <w:rPr>
                <w:b/>
                <w:sz w:val="17"/>
              </w:rPr>
              <w:t>8,289</w:t>
            </w:r>
          </w:p>
        </w:tc>
        <w:tc>
          <w:tcPr>
            <w:tcW w:type="dxa" w:w="1440"/>
            <w:shd w:fill="FAFAFA" w:val="clear"/>
          </w:tcPr>
          <w:p>
            <w:r>
              <w:rPr>
                <w:sz w:val="17"/>
              </w:rPr>
              <w:t>9,269</w:t>
            </w:r>
          </w:p>
        </w:tc>
        <w:tc>
          <w:tcPr>
            <w:tcW w:type="dxa" w:w="1440"/>
            <w:shd w:fill="FAFAFA" w:val="clear"/>
          </w:tcPr>
          <w:p>
            <w:r>
              <w:rPr>
                <w:b/>
                <w:color w:val="008000"/>
                <w:sz w:val="17"/>
              </w:rPr>
              <w:t>+1.1%</w:t>
            </w:r>
          </w:p>
        </w:tc>
      </w:tr>
      <w:tr>
        <w:tc>
          <w:tcPr>
            <w:tcW w:type="dxa" w:w="1440"/>
            <w:shd w:fill="FAFAFA" w:val="clear"/>
          </w:tcPr>
          <w:p>
            <w:r>
              <w:rPr>
                <w:sz w:val="17"/>
              </w:rPr>
              <w:t>J+8  ⭐</w:t>
            </w:r>
          </w:p>
        </w:tc>
        <w:tc>
          <w:tcPr>
            <w:tcW w:type="dxa" w:w="1440"/>
            <w:shd w:fill="FAFAFA" w:val="clear"/>
          </w:tcPr>
          <w:p>
            <w:r>
              <w:rPr>
                <w:sz w:val="17"/>
              </w:rPr>
              <w:t>2026-09-09</w:t>
            </w:r>
          </w:p>
        </w:tc>
        <w:tc>
          <w:tcPr>
            <w:tcW w:type="dxa" w:w="1440"/>
            <w:shd w:fill="FAFAFA" w:val="clear"/>
          </w:tcPr>
          <w:p>
            <w:r>
              <w:rPr>
                <w:sz w:val="17"/>
              </w:rPr>
              <w:t>7,251</w:t>
            </w:r>
          </w:p>
        </w:tc>
        <w:tc>
          <w:tcPr>
            <w:tcW w:type="dxa" w:w="1440"/>
            <w:shd w:fill="FAFAFA" w:val="clear"/>
          </w:tcPr>
          <w:p>
            <w:r>
              <w:rPr>
                <w:b/>
                <w:sz w:val="17"/>
              </w:rPr>
              <w:t>8,300</w:t>
            </w:r>
          </w:p>
        </w:tc>
        <w:tc>
          <w:tcPr>
            <w:tcW w:type="dxa" w:w="1440"/>
            <w:shd w:fill="FAFAFA" w:val="clear"/>
          </w:tcPr>
          <w:p>
            <w:r>
              <w:rPr>
                <w:sz w:val="17"/>
              </w:rPr>
              <w:t>9,349</w:t>
            </w:r>
          </w:p>
        </w:tc>
        <w:tc>
          <w:tcPr>
            <w:tcW w:type="dxa" w:w="1440"/>
            <w:shd w:fill="FAFAFA" w:val="clear"/>
          </w:tcPr>
          <w:p>
            <w:r>
              <w:rPr>
                <w:b/>
                <w:color w:val="008000"/>
                <w:sz w:val="17"/>
              </w:rPr>
              <w:t>+1.2%</w:t>
            </w:r>
          </w:p>
        </w:tc>
      </w:tr>
      <w:tr>
        <w:tc>
          <w:tcPr>
            <w:tcW w:type="dxa" w:w="1440"/>
            <w:shd w:fill="FAFAFA" w:val="clear"/>
          </w:tcPr>
          <w:p>
            <w:r>
              <w:rPr>
                <w:sz w:val="17"/>
              </w:rPr>
              <w:t>J+9  ⭐</w:t>
            </w:r>
          </w:p>
        </w:tc>
        <w:tc>
          <w:tcPr>
            <w:tcW w:type="dxa" w:w="1440"/>
            <w:shd w:fill="FAFAFA" w:val="clear"/>
          </w:tcPr>
          <w:p>
            <w:r>
              <w:rPr>
                <w:sz w:val="17"/>
              </w:rPr>
              <w:t>2026-09-10</w:t>
            </w:r>
          </w:p>
        </w:tc>
        <w:tc>
          <w:tcPr>
            <w:tcW w:type="dxa" w:w="1440"/>
            <w:shd w:fill="FAFAFA" w:val="clear"/>
          </w:tcPr>
          <w:p>
            <w:r>
              <w:rPr>
                <w:sz w:val="17"/>
              </w:rPr>
              <w:t>7,197</w:t>
            </w:r>
          </w:p>
        </w:tc>
        <w:tc>
          <w:tcPr>
            <w:tcW w:type="dxa" w:w="1440"/>
            <w:shd w:fill="FAFAFA" w:val="clear"/>
          </w:tcPr>
          <w:p>
            <w:r>
              <w:rPr>
                <w:b/>
                <w:sz w:val="17"/>
              </w:rPr>
              <w:t>8,311</w:t>
            </w:r>
          </w:p>
        </w:tc>
        <w:tc>
          <w:tcPr>
            <w:tcW w:type="dxa" w:w="1440"/>
            <w:shd w:fill="FAFAFA" w:val="clear"/>
          </w:tcPr>
          <w:p>
            <w:r>
              <w:rPr>
                <w:sz w:val="17"/>
              </w:rPr>
              <w:t>9,424</w:t>
            </w:r>
          </w:p>
        </w:tc>
        <w:tc>
          <w:tcPr>
            <w:tcW w:type="dxa" w:w="1440"/>
            <w:shd w:fill="FAFAFA" w:val="clear"/>
          </w:tcPr>
          <w:p>
            <w:r>
              <w:rPr>
                <w:b/>
                <w:color w:val="008000"/>
                <w:sz w:val="17"/>
              </w:rPr>
              <w:t>+1.3%</w:t>
            </w:r>
          </w:p>
        </w:tc>
      </w:tr>
      <w:tr>
        <w:tc>
          <w:tcPr>
            <w:tcW w:type="dxa" w:w="1440"/>
            <w:shd w:fill="FAFAFA" w:val="clear"/>
          </w:tcPr>
          <w:p>
            <w:r>
              <w:rPr>
                <w:sz w:val="17"/>
              </w:rPr>
              <w:t>J+10  ⭐</w:t>
            </w:r>
          </w:p>
        </w:tc>
        <w:tc>
          <w:tcPr>
            <w:tcW w:type="dxa" w:w="1440"/>
            <w:shd w:fill="FAFAFA" w:val="clear"/>
          </w:tcPr>
          <w:p>
            <w:r>
              <w:rPr>
                <w:sz w:val="17"/>
              </w:rPr>
              <w:t>2026-09-11</w:t>
            </w:r>
          </w:p>
        </w:tc>
        <w:tc>
          <w:tcPr>
            <w:tcW w:type="dxa" w:w="1440"/>
            <w:shd w:fill="FAFAFA" w:val="clear"/>
          </w:tcPr>
          <w:p>
            <w:r>
              <w:rPr>
                <w:sz w:val="17"/>
              </w:rPr>
              <w:t>7,146</w:t>
            </w:r>
          </w:p>
        </w:tc>
        <w:tc>
          <w:tcPr>
            <w:tcW w:type="dxa" w:w="1440"/>
            <w:shd w:fill="FAFAFA" w:val="clear"/>
          </w:tcPr>
          <w:p>
            <w:r>
              <w:rPr>
                <w:b/>
                <w:sz w:val="17"/>
              </w:rPr>
              <w:t>8,321</w:t>
            </w:r>
          </w:p>
        </w:tc>
        <w:tc>
          <w:tcPr>
            <w:tcW w:type="dxa" w:w="1440"/>
            <w:shd w:fill="FAFAFA" w:val="clear"/>
          </w:tcPr>
          <w:p>
            <w:r>
              <w:rPr>
                <w:sz w:val="17"/>
              </w:rPr>
              <w:t>9,497</w:t>
            </w:r>
          </w:p>
        </w:tc>
        <w:tc>
          <w:tcPr>
            <w:tcW w:type="dxa" w:w="1440"/>
            <w:shd w:fill="FAFAFA" w:val="clear"/>
          </w:tcPr>
          <w:p>
            <w:r>
              <w:rPr>
                <w:b/>
                <w:color w:val="008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**Date : 28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177,14 milliards FCFA positionne la SOGC parmi les valeurs moyennes à grandes capitalisations de la BRVM, lui conférant une liquidité et une visibilité notables. Avec un BPA de 578 FCFA, chaque action génère un bénéfice substantiel, justifiant un PER de 14,2x. Ce ratio est supérieur à la moyenne historique de la BRVM (8-12x), indiquant que le marché accorde une prime de croissance à la société, probablement en raison de ses performances passées exceptionnelles. Le P/B de 2,59x confirme cette prime, le marché valorisant la société à 2,6 fois ses capitaux propres, ce qui reflète une confiance dans sa rentabilité future (ROE élevé). Enfin, un EV/EBITDA de 7,4x reste dans une zone raisonnable (5-10x), signifiant que la valeur totale de l'entreprise (dette incluse) reste cohérente avec sa capacité opérationnelle à générer des bénéfices avant intérêts, impôts et amortissements.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SOGC a enregistré une progression totale de +6,63%, avec une dernière séance stable (0,00%). Le cours a évolué dans un range de 7 100 à 8 600 FCFA, démontrant une amplitude de trading significative. La moyenne du cours sur la période (7 986 FCFA) est légèrement inférieure à la médiane (8 010 FCFA), suggérant une distribution quasi symétrique, ce que confirme le skewness de -0,404. L'écart-type de 387 FCFA (CV=4,8%) indique une dispersion modérée autour de la moyenne, tandis que le kurtosis de -0,941 (mésokurtique) suggère une absence de risques extrêmes de pics ou de krachs soudains. La volatilité annualisée de 36,7% classe le titre comme très volatil (&gt;30%), ce qui est typique des valeurs agricoles exposées aux aléas climatiques et aux cours des matières premières. La tendance générale reste positive, mais avec des fluctuations marquées.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(8 200 FCFA) se situe au-dessus de la MM20 (8 049 FCFA) mais en dessous de la MM50 (8 193,3 FCFA). Cette configuration, où le prix est sous la moyenne à long terme, génère un signal de vente, indiquant que la dynamique haussière récente n'a pas encore inversé la tendance de fond.</w:t>
      </w:r>
    </w:p>
    <w:p>
      <w:pPr>
        <w:spacing w:after="120" w:line="276" w:lineRule="auto"/>
      </w:pPr>
      <w:r>
        <w:t>**Bandes de Bollinger** : Le prix se positionne dans la partie médiane-haute des bandes (borne supérieure à 8 540,38 FCFA et inférieure à 7 557,61 FCFA). La décision est neutre, le cours n'étant pas en situation de surachat ou de survente extrême. La largeur des bandes reflète la volatilité élevée du titre.</w:t>
      </w:r>
    </w:p>
    <w:p>
      <w:pPr>
        <w:spacing w:after="120" w:line="276" w:lineRule="auto"/>
      </w:pPr>
      <w:r>
        <w:t>**MACD** : La valeur du MACD (12,17) est positive et nettement supérieure à sa ligne de signal (-27,77). Cette divergence haussière est un signal d'achat classique, indiquant un momentum positif en train de se former, ce qui pourrait soutenir le cours à court terme.</w:t>
      </w:r>
    </w:p>
    <w:p>
      <w:pPr>
        <w:spacing w:after="120" w:line="276" w:lineRule="auto"/>
      </w:pPr>
      <w:r>
        <w:t>**RSI** : Avec une valeur de 52,40, le RSI est en zone neutre (entre 30 et 70). Cela signifie que le titre n'est ni suracheté ni survendu, laissant une marge de manœuvre dans les deux sens. La décision est neutre, mais la dynamique est légèrement positive.</w:t>
      </w:r>
    </w:p>
    <w:p>
      <w:pPr>
        <w:spacing w:after="120" w:line="276" w:lineRule="auto"/>
      </w:pPr>
      <w:r>
        <w:t>**Stochastique** : Les valeurs de %K et %D sont toutes deux à 90,77, ce qui place le titre en zone de surachat très prononcée. Ce niveau extrême génère un signal de vente, suggérant un risque de correction technique à très court terme.</w:t>
      </w:r>
    </w:p>
    <w:p>
      <w:pPr>
        <w:spacing w:after="120" w:line="276" w:lineRule="auto"/>
      </w:pPr>
      <w:r>
        <w:t>**Conclusion technique** : Les signaux sont mitigés. Le MACD est positif, mais le stochastique est en surachat extrême et la MM50 agit comme une résistance. La prudence est de mise, car un repli technique semble probable avant une éventuelle poursuite de la hausse. Le marché est dans une phase de consolidation après un mouvement haussier.</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la SOGC a réalisé un chiffre d'affaires de 98,98 milliards FCFA, en croissance de +10,7% par rapport à 2024. Le résultat net s'établit à 12,49 milliards FCFA, en léger repli de -5% par rapport aux 13,11 milliards de 2024 (rapport annuel 2024). Cette baisse est attribuée à une hausse des coûts des matières premières (+15%). La rentabilité reste excellente avec un ROE de 18,26% et un ROA de 13,84%, bien au-dessus des seuils de performance. La structure financière est très saine avec une autonomie financière de 75,8% et une capacité de remboursement quasi nulle (0,04 an). Le BFR est positif (7,12 Mds), mais la trésorerie nette est confortable (4,57 Mds). Les rapports trimestriels 2025 montrent une décélération : après un T1 exceptionnel (+63% de CA), le cumul 9 mois affiche une croissance de +21,3%, avec un ralentissement au S2. Sur la base de ces tendances, on estime que l'exercice 2026 pourrait voir un CA stable ou en légère baisse si les prix du caoutchouc continuent de fléchir, mais la solidité financière et la politique de dividende (570 FCFA/action proposé) restent des piliers. La recommandation fondamentale est de conserver le titre, la performance 2025 restant robuste malgré un environnement moins porteur.</w:t>
      </w:r>
    </w:p>
    <w:p>
      <w:pPr>
        <w:spacing w:after="120" w:line="276" w:lineRule="auto"/>
      </w:pPr>
      <w:r>
        <w:t>---</w:t>
      </w:r>
    </w:p>
    <w:p>
      <w:pPr>
        <w:spacing w:after="120" w:line="276" w:lineRule="auto"/>
      </w:pPr>
      <w:r>
        <w:t>### PARTIE 4 : CONCLUSION D'INVESTISSEMENT</w:t>
      </w:r>
    </w:p>
    <w:p>
      <w:pPr>
        <w:spacing w:after="120" w:line="276" w:lineRule="auto"/>
      </w:pPr>
      <w:r>
        <w:t>La valorisation actuelle (PER 14,2x, P/B 2,59x) intègre une prime de croissance qui semble justifiée par les excellents fondamentaux de la société, mais qui laisse peu de marge en cas de déception. Le comportement du cours sur 100 jours est positif (+6,6%) avec une volatilité élevée (36,7%), signe d'un marché actif mais nerveux. Les signaux techniques sont divergents : le MACD est haussier, mais le stochastique suracheté et la résistance de la MM50 suggèrent un potentiel de consolidation à court terme. Les fondamentaux, bien qu'en léger repli en 2025, restent très solides avec un ROE de 18,3% et une trésorerie saine. Les prédictions IA pour les 10 prochains jours (8 221 à 8 267 FCFA) indiquent une poursuite modérée de la hausse, ce qui contredit partiellement le signal de vente technique à très court terme. En synthèse, la convergence entre la solidité financière et la trajectoire de prix prédite est positive, mais la prudence technique recommande de ne pas courir après le titre à ces niveaux. **Notre recommandation finale est de CONSERVER** le titre, avec un niveau de confiance **Moyen** et un risque global **Moyen**. L'horizon d'investissement optimal serait le **moyen terme (3-12 mois)**, en attendant une meilleure opportunité d'achat sur un repli technique ou une confirmation de la hausse au-delà des 8 600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242.80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5,555 titres</w:t>
            </w:r>
          </w:p>
        </w:tc>
        <w:tc>
          <w:tcPr>
            <w:tcW w:type="dxa" w:w="2268"/>
            <w:shd w:fill="FFF2CC" w:val="clear"/>
          </w:tcPr>
          <w:p>
            <w:r>
              <w:rPr>
                <w:b/>
                <w:color w:val="503200"/>
                <w:sz w:val="16"/>
              </w:rPr>
              <w:t xml:space="preserve">Cours actuel : </w:t>
            </w:r>
            <w:r>
              <w:rPr>
                <w:color w:val="000000"/>
                <w:sz w:val="17"/>
              </w:rPr>
              <w:t>9,500 FCFA</w:t>
            </w:r>
          </w:p>
          <w:p>
            <w:r>
              <w:rPr>
                <w:b/>
                <w:color w:val="503200"/>
                <w:sz w:val="16"/>
              </w:rPr>
              <w:t xml:space="preserve">Var. 100 jours : </w:t>
            </w:r>
            <w:r>
              <w:rPr>
                <w:b/>
                <w:color w:val="007800"/>
                <w:sz w:val="17"/>
              </w:rPr>
              <w:t>+34.94%</w:t>
            </w:r>
          </w:p>
          <w:p>
            <w:r>
              <w:rPr>
                <w:b/>
                <w:color w:val="503200"/>
                <w:sz w:val="16"/>
              </w:rPr>
              <w:t xml:space="preserve">Plus haut 100j : </w:t>
            </w:r>
            <w:r>
              <w:rPr>
                <w:color w:val="000000"/>
                <w:sz w:val="17"/>
              </w:rPr>
              <w:t>9,660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39.4%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7.97% (Moyenne) — μ=7,559 FCFA, σ=602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β=1.0297 (Neutre (suit le marché)) — Cov=0.000037, Var(idx)=0.000036, ρ=0.249,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5,555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σ_j=2.48%/j (Stable) — Vol. annualisée≈39.4%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8,806</w:t>
            </w:r>
          </w:p>
        </w:tc>
        <w:tc>
          <w:tcPr>
            <w:tcW w:type="dxa" w:w="1440"/>
            <w:shd w:fill="FFDCE0" w:val="clear"/>
          </w:tcPr>
          <w:p>
            <w:r>
              <w:rPr>
                <w:b/>
                <w:sz w:val="17"/>
              </w:rPr>
              <w:t>9,249</w:t>
            </w:r>
          </w:p>
        </w:tc>
        <w:tc>
          <w:tcPr>
            <w:tcW w:type="dxa" w:w="1440"/>
            <w:shd w:fill="FFDCE0" w:val="clear"/>
          </w:tcPr>
          <w:p>
            <w:r>
              <w:rPr>
                <w:sz w:val="17"/>
              </w:rPr>
              <w:t>9,693</w:t>
            </w:r>
          </w:p>
        </w:tc>
        <w:tc>
          <w:tcPr>
            <w:tcW w:type="dxa" w:w="1440"/>
            <w:shd w:fill="FFDCE0" w:val="clear"/>
          </w:tcPr>
          <w:p>
            <w:r>
              <w:rPr>
                <w:b/>
                <w:color w:val="C00000"/>
                <w:sz w:val="17"/>
              </w:rPr>
              <w:t>-2.6%</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8,595</w:t>
            </w:r>
          </w:p>
        </w:tc>
        <w:tc>
          <w:tcPr>
            <w:tcW w:type="dxa" w:w="1440"/>
            <w:shd w:fill="FFDCE0" w:val="clear"/>
          </w:tcPr>
          <w:p>
            <w:r>
              <w:rPr>
                <w:b/>
                <w:sz w:val="17"/>
              </w:rPr>
              <w:t>9,220</w:t>
            </w:r>
          </w:p>
        </w:tc>
        <w:tc>
          <w:tcPr>
            <w:tcW w:type="dxa" w:w="1440"/>
            <w:shd w:fill="FFDCE0" w:val="clear"/>
          </w:tcPr>
          <w:p>
            <w:r>
              <w:rPr>
                <w:sz w:val="17"/>
              </w:rPr>
              <w:t>9,846</w:t>
            </w:r>
          </w:p>
        </w:tc>
        <w:tc>
          <w:tcPr>
            <w:tcW w:type="dxa" w:w="1440"/>
            <w:shd w:fill="FFDCE0" w:val="clear"/>
          </w:tcPr>
          <w:p>
            <w:r>
              <w:rPr>
                <w:b/>
                <w:color w:val="C00000"/>
                <w:sz w:val="17"/>
              </w:rPr>
              <w:t>-2.9%</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8,415</w:t>
            </w:r>
          </w:p>
        </w:tc>
        <w:tc>
          <w:tcPr>
            <w:tcW w:type="dxa" w:w="1440"/>
            <w:shd w:fill="FFDCE0" w:val="clear"/>
          </w:tcPr>
          <w:p>
            <w:r>
              <w:rPr>
                <w:b/>
                <w:sz w:val="17"/>
              </w:rPr>
              <w:t>9,177</w:t>
            </w:r>
          </w:p>
        </w:tc>
        <w:tc>
          <w:tcPr>
            <w:tcW w:type="dxa" w:w="1440"/>
            <w:shd w:fill="FFDCE0" w:val="clear"/>
          </w:tcPr>
          <w:p>
            <w:r>
              <w:rPr>
                <w:sz w:val="17"/>
              </w:rPr>
              <w:t>9,938</w:t>
            </w:r>
          </w:p>
        </w:tc>
        <w:tc>
          <w:tcPr>
            <w:tcW w:type="dxa" w:w="1440"/>
            <w:shd w:fill="FFDCE0" w:val="clear"/>
          </w:tcPr>
          <w:p>
            <w:r>
              <w:rPr>
                <w:b/>
                <w:color w:val="C00000"/>
                <w:sz w:val="17"/>
              </w:rPr>
              <w:t>-3.4%</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8,260</w:t>
            </w:r>
          </w:p>
        </w:tc>
        <w:tc>
          <w:tcPr>
            <w:tcW w:type="dxa" w:w="1440"/>
            <w:shd w:fill="FFDCE0" w:val="clear"/>
          </w:tcPr>
          <w:p>
            <w:r>
              <w:rPr>
                <w:b/>
                <w:sz w:val="17"/>
              </w:rPr>
              <w:t>9,136</w:t>
            </w:r>
          </w:p>
        </w:tc>
        <w:tc>
          <w:tcPr>
            <w:tcW w:type="dxa" w:w="1440"/>
            <w:shd w:fill="FFDCE0" w:val="clear"/>
          </w:tcPr>
          <w:p>
            <w:r>
              <w:rPr>
                <w:sz w:val="17"/>
              </w:rPr>
              <w:t>10,012</w:t>
            </w:r>
          </w:p>
        </w:tc>
        <w:tc>
          <w:tcPr>
            <w:tcW w:type="dxa" w:w="1440"/>
            <w:shd w:fill="FFDCE0" w:val="clear"/>
          </w:tcPr>
          <w:p>
            <w:r>
              <w:rPr>
                <w:b/>
                <w:color w:val="C00000"/>
                <w:sz w:val="17"/>
              </w:rPr>
              <w:t>-3.8%</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8,123</w:t>
            </w:r>
          </w:p>
        </w:tc>
        <w:tc>
          <w:tcPr>
            <w:tcW w:type="dxa" w:w="1440"/>
            <w:shd w:fill="FFDCE0" w:val="clear"/>
          </w:tcPr>
          <w:p>
            <w:r>
              <w:rPr>
                <w:b/>
                <w:sz w:val="17"/>
              </w:rPr>
              <w:t>9,098</w:t>
            </w:r>
          </w:p>
        </w:tc>
        <w:tc>
          <w:tcPr>
            <w:tcW w:type="dxa" w:w="1440"/>
            <w:shd w:fill="FFDCE0" w:val="clear"/>
          </w:tcPr>
          <w:p>
            <w:r>
              <w:rPr>
                <w:sz w:val="17"/>
              </w:rPr>
              <w:t>10,073</w:t>
            </w:r>
          </w:p>
        </w:tc>
        <w:tc>
          <w:tcPr>
            <w:tcW w:type="dxa" w:w="1440"/>
            <w:shd w:fill="FFDCE0" w:val="clear"/>
          </w:tcPr>
          <w:p>
            <w:r>
              <w:rPr>
                <w:b/>
                <w:color w:val="C00000"/>
                <w:sz w:val="17"/>
              </w:rPr>
              <w:t>-4.2%</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7,996</w:t>
            </w:r>
          </w:p>
        </w:tc>
        <w:tc>
          <w:tcPr>
            <w:tcW w:type="dxa" w:w="1440"/>
            <w:shd w:fill="FFDCE0" w:val="clear"/>
          </w:tcPr>
          <w:p>
            <w:r>
              <w:rPr>
                <w:b/>
                <w:sz w:val="17"/>
              </w:rPr>
              <w:t>9,060</w:t>
            </w:r>
          </w:p>
        </w:tc>
        <w:tc>
          <w:tcPr>
            <w:tcW w:type="dxa" w:w="1440"/>
            <w:shd w:fill="FFDCE0" w:val="clear"/>
          </w:tcPr>
          <w:p>
            <w:r>
              <w:rPr>
                <w:sz w:val="17"/>
              </w:rPr>
              <w:t>10,124</w:t>
            </w:r>
          </w:p>
        </w:tc>
        <w:tc>
          <w:tcPr>
            <w:tcW w:type="dxa" w:w="1440"/>
            <w:shd w:fill="FFDCE0" w:val="clear"/>
          </w:tcPr>
          <w:p>
            <w:r>
              <w:rPr>
                <w:b/>
                <w:color w:val="C00000"/>
                <w:sz w:val="17"/>
              </w:rPr>
              <w:t>-4.6%</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7,878</w:t>
            </w:r>
          </w:p>
        </w:tc>
        <w:tc>
          <w:tcPr>
            <w:tcW w:type="dxa" w:w="1440"/>
            <w:shd w:fill="FFDCE0" w:val="clear"/>
          </w:tcPr>
          <w:p>
            <w:r>
              <w:rPr>
                <w:b/>
                <w:sz w:val="17"/>
              </w:rPr>
              <w:t>9,022</w:t>
            </w:r>
          </w:p>
        </w:tc>
        <w:tc>
          <w:tcPr>
            <w:tcW w:type="dxa" w:w="1440"/>
            <w:shd w:fill="FFDCE0" w:val="clear"/>
          </w:tcPr>
          <w:p>
            <w:r>
              <w:rPr>
                <w:sz w:val="17"/>
              </w:rPr>
              <w:t>10,167</w:t>
            </w:r>
          </w:p>
        </w:tc>
        <w:tc>
          <w:tcPr>
            <w:tcW w:type="dxa" w:w="1440"/>
            <w:shd w:fill="FFDCE0" w:val="clear"/>
          </w:tcPr>
          <w:p>
            <w:r>
              <w:rPr>
                <w:b/>
                <w:color w:val="C00000"/>
                <w:sz w:val="17"/>
              </w:rPr>
              <w:t>-5.0%</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7,767</w:t>
            </w:r>
          </w:p>
        </w:tc>
        <w:tc>
          <w:tcPr>
            <w:tcW w:type="dxa" w:w="1440"/>
            <w:shd w:fill="FFDCE0" w:val="clear"/>
          </w:tcPr>
          <w:p>
            <w:r>
              <w:rPr>
                <w:b/>
                <w:sz w:val="17"/>
              </w:rPr>
              <w:t>8,985</w:t>
            </w:r>
          </w:p>
        </w:tc>
        <w:tc>
          <w:tcPr>
            <w:tcW w:type="dxa" w:w="1440"/>
            <w:shd w:fill="FFDCE0" w:val="clear"/>
          </w:tcPr>
          <w:p>
            <w:r>
              <w:rPr>
                <w:sz w:val="17"/>
              </w:rPr>
              <w:t>10,204</w:t>
            </w:r>
          </w:p>
        </w:tc>
        <w:tc>
          <w:tcPr>
            <w:tcW w:type="dxa" w:w="1440"/>
            <w:shd w:fill="FFDCE0" w:val="clear"/>
          </w:tcPr>
          <w:p>
            <w:r>
              <w:rPr>
                <w:b/>
                <w:color w:val="C00000"/>
                <w:sz w:val="17"/>
              </w:rPr>
              <w:t>-5.4%</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7,662</w:t>
            </w:r>
          </w:p>
        </w:tc>
        <w:tc>
          <w:tcPr>
            <w:tcW w:type="dxa" w:w="1440"/>
            <w:shd w:fill="FFDCE0" w:val="clear"/>
          </w:tcPr>
          <w:p>
            <w:r>
              <w:rPr>
                <w:b/>
                <w:sz w:val="17"/>
              </w:rPr>
              <w:t>8,949</w:t>
            </w:r>
          </w:p>
        </w:tc>
        <w:tc>
          <w:tcPr>
            <w:tcW w:type="dxa" w:w="1440"/>
            <w:shd w:fill="FFDCE0" w:val="clear"/>
          </w:tcPr>
          <w:p>
            <w:r>
              <w:rPr>
                <w:sz w:val="17"/>
              </w:rPr>
              <w:t>10,236</w:t>
            </w:r>
          </w:p>
        </w:tc>
        <w:tc>
          <w:tcPr>
            <w:tcW w:type="dxa" w:w="1440"/>
            <w:shd w:fill="FFDCE0" w:val="clear"/>
          </w:tcPr>
          <w:p>
            <w:r>
              <w:rPr>
                <w:b/>
                <w:color w:val="C00000"/>
                <w:sz w:val="17"/>
              </w:rPr>
              <w:t>-5.8%</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7,562</w:t>
            </w:r>
          </w:p>
        </w:tc>
        <w:tc>
          <w:tcPr>
            <w:tcW w:type="dxa" w:w="1440"/>
            <w:shd w:fill="FFDCE0" w:val="clear"/>
          </w:tcPr>
          <w:p>
            <w:r>
              <w:rPr>
                <w:b/>
                <w:sz w:val="17"/>
              </w:rPr>
              <w:t>8,913</w:t>
            </w:r>
          </w:p>
        </w:tc>
        <w:tc>
          <w:tcPr>
            <w:tcW w:type="dxa" w:w="1440"/>
            <w:shd w:fill="FFDCE0" w:val="clear"/>
          </w:tcPr>
          <w:p>
            <w:r>
              <w:rPr>
                <w:sz w:val="17"/>
              </w:rPr>
              <w:t>10,264</w:t>
            </w:r>
          </w:p>
        </w:tc>
        <w:tc>
          <w:tcPr>
            <w:tcW w:type="dxa" w:w="1440"/>
            <w:shd w:fill="FFDCE0" w:val="clear"/>
          </w:tcPr>
          <w:p>
            <w:r>
              <w:rPr>
                <w:b/>
                <w:color w:val="C00000"/>
                <w:sz w:val="17"/>
              </w:rPr>
              <w:t>-6.2%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**Date : 31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SPHC s'établit à 242,80 milliards FCFA, un niveau qui la positionne parmi les capitalisations significatives de la BRVM, reflétant son statut de leader régional dans la transformation du caoutchouc naturel. Le BPA de 977 FCFA indique que chaque action génère un bénéfice substantiel, justifiant un PER de 9,7x, légèrement inférieur à la moyenne historique du marché (8-12x), ce qui suggère une sous-évaluation relative du titre par rapport à ses pairs. Le P/B de 1,76x montre que le marché valorise l'entreprise à près de 1,8 fois sa valeur comptable, un niveau raisonnable pour une société affichant une rentabilité aussi élevée. Enfin, l'EV/EBITDA de 5,9x confirme que la valeur totale de l'entreprise (dette incluse) reste attractive par rapport à sa capacité opérationnelle à générer des flux, renforçant le potentiel de revalorisation du titre.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SPHC a enregistré une progression spectaculaire de +34,94%, avec une dernière séance en hausse de +3,26% à 9 500 FCFA, témoignant d'un fort momentum haussier. Le cours a évolué dans une fourchette large de 6 720 FCFA (plus bas) à 9 660 FCFA (plus haut), illustrant une volatilité marquée. La moyenne de 7 559 FCFA, légèrement supérieure à la médiane de 7 498 FCFA, indique une distribution asymétrique positive (skewness de 1,732), avec davantage de journées sous la moyenne mais des pics de hausse prononcés. L'écart-type de 605 FCFA (CV de 8,0%) révèle une dispersion modérée, tandis que le kurtosis de 3,204 signale un risque de mouvements extrêmes. La volatilité annualisée de 39,4% classe le titre dans la catégorie "élevée", nécessitant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(9 500 FCFA) évolue nettement au-dessus de la MM20 (8 377 FCFA) et de la MM50 (7 911 FCFA), confirmant une tendance haussière solide. L'écart croissant entre les deux moyennes indique une accélération du mouvement, justifiant la décision d'achat.</w:t>
      </w:r>
    </w:p>
    <w:p>
      <w:pPr>
        <w:spacing w:after="120" w:line="276" w:lineRule="auto"/>
      </w:pPr>
      <w:r>
        <w:t>**Bandes de Bollinger** : Le prix se situe à 9 500 FCFA, proche de la borne supérieure (9 969 FCFA), reflétant une pression acheteuse soutenue. La largeur des bandes (écart de 3 184 FCFA) témoigne d'une volatilité élevée, mais le signal reste neutre, le cours n'ayant pas encore franchi la borne.</w:t>
      </w:r>
    </w:p>
    <w:p>
      <w:pPr>
        <w:spacing w:after="120" w:line="276" w:lineRule="auto"/>
      </w:pPr>
      <w:r>
        <w:t>**MACD** : La valeur du MACD (483,13) est nettement supérieure à son signal (373,42), confirmant un momentum haussier robuste. La divergence positive indique une dynamique d'achat toujours active, justifiant la décision d'achat.</w:t>
      </w:r>
    </w:p>
    <w:p>
      <w:pPr>
        <w:spacing w:after="120" w:line="276" w:lineRule="auto"/>
      </w:pPr>
      <w:r>
        <w:t>**RSI** : À 74,49, le RSI entre en zone de surachat (&gt;70), signalant une possible correction à court terme. Les investisseurs devraient surveiller ce niveau, car il suggère que le titre est temporairement surévalué techniquement, d'où la décision de vente.</w:t>
      </w:r>
    </w:p>
    <w:p>
      <w:pPr>
        <w:spacing w:after="120" w:line="276" w:lineRule="auto"/>
      </w:pPr>
      <w:r>
        <w:t>**Stochastique** : Le %K (91,06) et le %D (82,46) sont tous deux en zone de surachat, avec un %K nettement supérieur au %D, indiquant une force acheteuse excessive. Ce croisement haussier, bien que puissant, renforce le signal de prudence à court terme.</w:t>
      </w:r>
    </w:p>
    <w:p>
      <w:pPr>
        <w:spacing w:after="120" w:line="276" w:lineRule="auto"/>
      </w:pPr>
      <w:r>
        <w:t>**Conclusion technique** : Les indicateurs de tendance (MM, MACD) sont unanimement haussiers, mais les oscillateurs (RSI, Stochastique) signalent une surachat imminent. Cette divergence suggère une poursuite possible de la hausse à moyen terme, mais avec un risque accru de consolidation à court terme. La prudence est recommandée pour les nouveaux achats.</w:t>
      </w:r>
    </w:p>
    <w:p>
      <w:pPr>
        <w:spacing w:after="120" w:line="276" w:lineRule="auto"/>
      </w:pPr>
      <w:r>
        <w:t>---</w:t>
      </w:r>
    </w:p>
    <w:p>
      <w:pPr>
        <w:spacing w:after="120" w:line="276" w:lineRule="auto"/>
      </w:pPr>
      <w:r>
        <w:t>### PARTIE 3 : ANALYSE FONDAMENTALE (SECTION CRITIQUE)</w:t>
      </w:r>
    </w:p>
    <w:p>
      <w:pPr>
        <w:spacing w:after="120" w:line="276" w:lineRule="auto"/>
      </w:pPr>
      <w:r>
        <w:t>En 2025, SPHC a réalisé un chiffre d'affaires de 340,83 milliards FCFA, en hausse de 22% par rapport à 2024 (279,44 milliards), porté par une augmentation des volumes (+17%) et des prix (+17,6%). Le résultat net a atteint 24,97 milliards FCFA, soit une progression de 32,9%, avec un ROE de 18,1% et un ROA de 11,1%, témoignant d'une excellente rentabilité. La marge nette s'est améliorée à 7,3%, contre 6,7% en 2024, grâce à une maîtrise des charges financières (-9,9%). Le BFR de 65,39 milliards FCFA, bien que positif, reflète un besoin de financement lié aux stocks (68,48 milliards) et aux créances clients (33,14 milliards), avec un délai de stockage de 72 jours. L'endettement reste modéré (ratio d'endettement de 25,8%), et la capacité de remboursement est saine (0,97 an). Les rapports trimestriels 2025 confirment cette dynamique : le T1 2025 affichait un CA de 94,3 milliards (+72%) et un résultat net de 11,8 milliards (+949%), tandis que le S1 2025 montrait un CA de 171,4 milliards (+51%) et un résultat net de 18,1 milliards (+449%). Cependant, le T1 2026 (rapport du 31 mars 2026) révèle une dégradation : CA de 71,8 milliards (-24%) et résultat net de 2,6 milliards (-78%), pénalisés par la chute des cours mondiaux et l'engorgement du port de San Pedro. Sur la base de ces données, on estime que l'exercice 2026 pourrait voir un CA annuel autour de 300 milliards FCFA et un résultat net de 15-18 milliards, si les conditions de marché s'améliorent au S2. La recommandation fondamentale reste "CONSERVER", avec une surveillance active de la trésorerie et de la diversification.</w:t>
      </w:r>
    </w:p>
    <w:p>
      <w:pPr>
        <w:spacing w:after="120" w:line="276" w:lineRule="auto"/>
      </w:pPr>
      <w:r>
        <w:t>---</w:t>
      </w:r>
    </w:p>
    <w:p>
      <w:pPr>
        <w:spacing w:after="120" w:line="276" w:lineRule="auto"/>
      </w:pPr>
      <w:r>
        <w:t>### PARTIE 4 : CONCLUSION D'INVESTISSEMENT</w:t>
      </w:r>
    </w:p>
    <w:p>
      <w:pPr>
        <w:spacing w:after="120" w:line="276" w:lineRule="auto"/>
      </w:pPr>
      <w:r>
        <w:t>La valorisation de SPHC (PER de 9,7x, P/B de 1,76x, EV/EBITDA de 5,9x) indique une sous-évaluation relative, renforcée par une croissance solide des fondamentaux en 2025. Le comportement du cours (+34,94% sur 100 jours) est haussier mais volatil (volatilité de 39,4%), avec des statistiques (kurtosis élevé, skewness positif) suggérant des pics de hausse mais aussi des risques de correction. Les signaux techniques sont mitigés : les moyennes mobiles et le MACD sont positifs, mais le RSI (74,5) et le Stochastique (91,1) signalent une surachat, indiquant une possible consolidation à court terme. Les fondamentaux restent solides (ROE de 18,1%, CA en hausse de 22% en 2025), mais le T1 2026 montre un ralentissement (-24% de CA), nécessitant une prudence. Les prédictions IA (9 249 FCFA à J+10) suggèrent une légère baisse, confirmant le risque de correction technique. En synthèse, la convergence entre la sous-évaluation fondamentale et la tendance haussière est contrebalancée par les signaux techniques de surachat et les perspectives 2026 incertaines. **Recommandation finale : CONSERVER**, avec un niveau de confiance Moyen et un risque global Élevé. L'horizon d'investissement optimal est à moyen terme (3-12 mois), en attendant une stabilisation des cours du caoutchouc et une confirmation de la reprise au S2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34.88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6,143 titres</w:t>
            </w:r>
          </w:p>
        </w:tc>
        <w:tc>
          <w:tcPr>
            <w:tcW w:type="dxa" w:w="2268"/>
            <w:shd w:fill="FFF2CC" w:val="clear"/>
          </w:tcPr>
          <w:p>
            <w:r>
              <w:rPr>
                <w:b/>
                <w:color w:val="503200"/>
                <w:sz w:val="16"/>
              </w:rPr>
              <w:t xml:space="preserve">Cours actuel : </w:t>
            </w:r>
            <w:r>
              <w:rPr>
                <w:color w:val="000000"/>
                <w:sz w:val="17"/>
              </w:rPr>
              <w:t>2,595 FCFA</w:t>
            </w:r>
          </w:p>
          <w:p>
            <w:r>
              <w:rPr>
                <w:b/>
                <w:color w:val="503200"/>
                <w:sz w:val="16"/>
              </w:rPr>
              <w:t xml:space="preserve">Var. 100 jours : </w:t>
            </w:r>
            <w:r>
              <w:rPr>
                <w:b/>
                <w:color w:val="B40000"/>
                <w:sz w:val="17"/>
              </w:rPr>
              <w:t>-17.36%</w:t>
            </w:r>
          </w:p>
          <w:p>
            <w:r>
              <w:rPr>
                <w:b/>
                <w:color w:val="503200"/>
                <w:sz w:val="16"/>
              </w:rPr>
              <w:t xml:space="preserve">Plus haut 100j : </w:t>
            </w:r>
            <w:r>
              <w:rPr>
                <w:color w:val="000000"/>
                <w:sz w:val="17"/>
              </w:rPr>
              <w:t>3,895 FCFA</w:t>
            </w:r>
          </w:p>
          <w:p>
            <w:r>
              <w:rPr>
                <w:b/>
                <w:color w:val="503200"/>
                <w:sz w:val="16"/>
              </w:rPr>
              <w:t xml:space="preserve">Plus bas 100j : </w:t>
            </w:r>
            <w:r>
              <w:rPr>
                <w:color w:val="000000"/>
                <w:sz w:val="17"/>
              </w:rPr>
              <w:t>2,515 FCFA</w:t>
            </w:r>
          </w:p>
          <w:p>
            <w:r>
              <w:rPr>
                <w:b/>
                <w:color w:val="503200"/>
                <w:sz w:val="16"/>
              </w:rPr>
              <w:t xml:space="preserve">Volatilité ann. : </w:t>
            </w:r>
            <w:r>
              <w:rPr>
                <w:color w:val="000000"/>
                <w:sz w:val="17"/>
              </w:rPr>
              <w:t>63.7%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11.22% (Moyenne) — μ=3,032 FCFA, σ=340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β=-0.7284 (Contre-cyclique) — Cov=-0.000026, Var(idx)=0.000036, ρ=-0.111,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6,143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σ_j=4.01%/j (Modérée) — Vol. annualisée≈63.7%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2,351</w:t>
            </w:r>
          </w:p>
        </w:tc>
        <w:tc>
          <w:tcPr>
            <w:tcW w:type="dxa" w:w="1440"/>
            <w:shd w:fill="FFDCE0" w:val="clear"/>
          </w:tcPr>
          <w:p>
            <w:r>
              <w:rPr>
                <w:b/>
                <w:sz w:val="17"/>
              </w:rPr>
              <w:t>2,456</w:t>
            </w:r>
          </w:p>
        </w:tc>
        <w:tc>
          <w:tcPr>
            <w:tcW w:type="dxa" w:w="1440"/>
            <w:shd w:fill="FFDCE0" w:val="clear"/>
          </w:tcPr>
          <w:p>
            <w:r>
              <w:rPr>
                <w:sz w:val="17"/>
              </w:rPr>
              <w:t>2,561</w:t>
            </w:r>
          </w:p>
        </w:tc>
        <w:tc>
          <w:tcPr>
            <w:tcW w:type="dxa" w:w="1440"/>
            <w:shd w:fill="FFDCE0" w:val="clear"/>
          </w:tcPr>
          <w:p>
            <w:r>
              <w:rPr>
                <w:b/>
                <w:color w:val="C00000"/>
                <w:sz w:val="17"/>
              </w:rPr>
              <w:t>-5.4%</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2,183</w:t>
            </w:r>
          </w:p>
        </w:tc>
        <w:tc>
          <w:tcPr>
            <w:tcW w:type="dxa" w:w="1440"/>
            <w:shd w:fill="FFDCE0" w:val="clear"/>
          </w:tcPr>
          <w:p>
            <w:r>
              <w:rPr>
                <w:b/>
                <w:sz w:val="17"/>
              </w:rPr>
              <w:t>2,323</w:t>
            </w:r>
          </w:p>
        </w:tc>
        <w:tc>
          <w:tcPr>
            <w:tcW w:type="dxa" w:w="1440"/>
            <w:shd w:fill="FFDCE0" w:val="clear"/>
          </w:tcPr>
          <w:p>
            <w:r>
              <w:rPr>
                <w:sz w:val="17"/>
              </w:rPr>
              <w:t>2,463</w:t>
            </w:r>
          </w:p>
        </w:tc>
        <w:tc>
          <w:tcPr>
            <w:tcW w:type="dxa" w:w="1440"/>
            <w:shd w:fill="FFDCE0" w:val="clear"/>
          </w:tcPr>
          <w:p>
            <w:r>
              <w:rPr>
                <w:b/>
                <w:color w:val="C00000"/>
                <w:sz w:val="17"/>
              </w:rPr>
              <w:t>-10.5%</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2,016</w:t>
            </w:r>
          </w:p>
        </w:tc>
        <w:tc>
          <w:tcPr>
            <w:tcW w:type="dxa" w:w="1440"/>
            <w:shd w:fill="FFDCE0" w:val="clear"/>
          </w:tcPr>
          <w:p>
            <w:r>
              <w:rPr>
                <w:b/>
                <w:sz w:val="17"/>
              </w:rPr>
              <w:t>2,177</w:t>
            </w:r>
          </w:p>
        </w:tc>
        <w:tc>
          <w:tcPr>
            <w:tcW w:type="dxa" w:w="1440"/>
            <w:shd w:fill="FFDCE0" w:val="clear"/>
          </w:tcPr>
          <w:p>
            <w:r>
              <w:rPr>
                <w:sz w:val="17"/>
              </w:rPr>
              <w:t>2,338</w:t>
            </w:r>
          </w:p>
        </w:tc>
        <w:tc>
          <w:tcPr>
            <w:tcW w:type="dxa" w:w="1440"/>
            <w:shd w:fill="FFDCE0" w:val="clear"/>
          </w:tcPr>
          <w:p>
            <w:r>
              <w:rPr>
                <w:b/>
                <w:color w:val="C00000"/>
                <w:sz w:val="17"/>
              </w:rPr>
              <w:t>-16.1%</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1,868</w:t>
            </w:r>
          </w:p>
        </w:tc>
        <w:tc>
          <w:tcPr>
            <w:tcW w:type="dxa" w:w="1440"/>
            <w:shd w:fill="FFDCE0" w:val="clear"/>
          </w:tcPr>
          <w:p>
            <w:r>
              <w:rPr>
                <w:b/>
                <w:sz w:val="17"/>
              </w:rPr>
              <w:t>2,043</w:t>
            </w:r>
          </w:p>
        </w:tc>
        <w:tc>
          <w:tcPr>
            <w:tcW w:type="dxa" w:w="1440"/>
            <w:shd w:fill="FFDCE0" w:val="clear"/>
          </w:tcPr>
          <w:p>
            <w:r>
              <w:rPr>
                <w:sz w:val="17"/>
              </w:rPr>
              <w:t>2,217</w:t>
            </w:r>
          </w:p>
        </w:tc>
        <w:tc>
          <w:tcPr>
            <w:tcW w:type="dxa" w:w="1440"/>
            <w:shd w:fill="FFDCE0" w:val="clear"/>
          </w:tcPr>
          <w:p>
            <w:r>
              <w:rPr>
                <w:b/>
                <w:color w:val="C00000"/>
                <w:sz w:val="17"/>
              </w:rPr>
              <w:t>-21.3%</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1,744</w:t>
            </w:r>
          </w:p>
        </w:tc>
        <w:tc>
          <w:tcPr>
            <w:tcW w:type="dxa" w:w="1440"/>
            <w:shd w:fill="FFDCE0" w:val="clear"/>
          </w:tcPr>
          <w:p>
            <w:r>
              <w:rPr>
                <w:b/>
                <w:sz w:val="17"/>
              </w:rPr>
              <w:t>1,928</w:t>
            </w:r>
          </w:p>
        </w:tc>
        <w:tc>
          <w:tcPr>
            <w:tcW w:type="dxa" w:w="1440"/>
            <w:shd w:fill="FFDCE0" w:val="clear"/>
          </w:tcPr>
          <w:p>
            <w:r>
              <w:rPr>
                <w:sz w:val="17"/>
              </w:rPr>
              <w:t>2,112</w:t>
            </w:r>
          </w:p>
        </w:tc>
        <w:tc>
          <w:tcPr>
            <w:tcW w:type="dxa" w:w="1440"/>
            <w:shd w:fill="FFDCE0" w:val="clear"/>
          </w:tcPr>
          <w:p>
            <w:r>
              <w:rPr>
                <w:b/>
                <w:color w:val="C00000"/>
                <w:sz w:val="17"/>
              </w:rPr>
              <w:t>-25.7%</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1,642</w:t>
            </w:r>
          </w:p>
        </w:tc>
        <w:tc>
          <w:tcPr>
            <w:tcW w:type="dxa" w:w="1440"/>
            <w:shd w:fill="FFDCE0" w:val="clear"/>
          </w:tcPr>
          <w:p>
            <w:r>
              <w:rPr>
                <w:b/>
                <w:sz w:val="17"/>
              </w:rPr>
              <w:t>1,834</w:t>
            </w:r>
          </w:p>
        </w:tc>
        <w:tc>
          <w:tcPr>
            <w:tcW w:type="dxa" w:w="1440"/>
            <w:shd w:fill="FFDCE0" w:val="clear"/>
          </w:tcPr>
          <w:p>
            <w:r>
              <w:rPr>
                <w:sz w:val="17"/>
              </w:rPr>
              <w:t>2,026</w:t>
            </w:r>
          </w:p>
        </w:tc>
        <w:tc>
          <w:tcPr>
            <w:tcW w:type="dxa" w:w="1440"/>
            <w:shd w:fill="FFDCE0" w:val="clear"/>
          </w:tcPr>
          <w:p>
            <w:r>
              <w:rPr>
                <w:b/>
                <w:color w:val="C00000"/>
                <w:sz w:val="17"/>
              </w:rPr>
              <w:t>-29.3%</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1,559</w:t>
            </w:r>
          </w:p>
        </w:tc>
        <w:tc>
          <w:tcPr>
            <w:tcW w:type="dxa" w:w="1440"/>
            <w:shd w:fill="FFDCE0" w:val="clear"/>
          </w:tcPr>
          <w:p>
            <w:r>
              <w:rPr>
                <w:b/>
                <w:sz w:val="17"/>
              </w:rPr>
              <w:t>1,757</w:t>
            </w:r>
          </w:p>
        </w:tc>
        <w:tc>
          <w:tcPr>
            <w:tcW w:type="dxa" w:w="1440"/>
            <w:shd w:fill="FFDCE0" w:val="clear"/>
          </w:tcPr>
          <w:p>
            <w:r>
              <w:rPr>
                <w:sz w:val="17"/>
              </w:rPr>
              <w:t>1,956</w:t>
            </w:r>
          </w:p>
        </w:tc>
        <w:tc>
          <w:tcPr>
            <w:tcW w:type="dxa" w:w="1440"/>
            <w:shd w:fill="FFDCE0" w:val="clear"/>
          </w:tcPr>
          <w:p>
            <w:r>
              <w:rPr>
                <w:b/>
                <w:color w:val="C00000"/>
                <w:sz w:val="17"/>
              </w:rPr>
              <w:t>-32.3%</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1,490</w:t>
            </w:r>
          </w:p>
        </w:tc>
        <w:tc>
          <w:tcPr>
            <w:tcW w:type="dxa" w:w="1440"/>
            <w:shd w:fill="FFDCE0" w:val="clear"/>
          </w:tcPr>
          <w:p>
            <w:r>
              <w:rPr>
                <w:b/>
                <w:sz w:val="17"/>
              </w:rPr>
              <w:t>1,695</w:t>
            </w:r>
          </w:p>
        </w:tc>
        <w:tc>
          <w:tcPr>
            <w:tcW w:type="dxa" w:w="1440"/>
            <w:shd w:fill="FFDCE0" w:val="clear"/>
          </w:tcPr>
          <w:p>
            <w:r>
              <w:rPr>
                <w:sz w:val="17"/>
              </w:rPr>
              <w:t>1,899</w:t>
            </w:r>
          </w:p>
        </w:tc>
        <w:tc>
          <w:tcPr>
            <w:tcW w:type="dxa" w:w="1440"/>
            <w:shd w:fill="FFDCE0" w:val="clear"/>
          </w:tcPr>
          <w:p>
            <w:r>
              <w:rPr>
                <w:b/>
                <w:color w:val="C00000"/>
                <w:sz w:val="17"/>
              </w:rPr>
              <w:t>-34.7%</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1,432</w:t>
            </w:r>
          </w:p>
        </w:tc>
        <w:tc>
          <w:tcPr>
            <w:tcW w:type="dxa" w:w="1440"/>
            <w:shd w:fill="FFDCE0" w:val="clear"/>
          </w:tcPr>
          <w:p>
            <w:r>
              <w:rPr>
                <w:b/>
                <w:sz w:val="17"/>
              </w:rPr>
              <w:t>1,642</w:t>
            </w:r>
          </w:p>
        </w:tc>
        <w:tc>
          <w:tcPr>
            <w:tcW w:type="dxa" w:w="1440"/>
            <w:shd w:fill="FFDCE0" w:val="clear"/>
          </w:tcPr>
          <w:p>
            <w:r>
              <w:rPr>
                <w:sz w:val="17"/>
              </w:rPr>
              <w:t>1,852</w:t>
            </w:r>
          </w:p>
        </w:tc>
        <w:tc>
          <w:tcPr>
            <w:tcW w:type="dxa" w:w="1440"/>
            <w:shd w:fill="FFDCE0" w:val="clear"/>
          </w:tcPr>
          <w:p>
            <w:r>
              <w:rPr>
                <w:b/>
                <w:color w:val="C00000"/>
                <w:sz w:val="17"/>
              </w:rPr>
              <w:t>-36.7%</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1,382</w:t>
            </w:r>
          </w:p>
        </w:tc>
        <w:tc>
          <w:tcPr>
            <w:tcW w:type="dxa" w:w="1440"/>
            <w:shd w:fill="FFDCE0" w:val="clear"/>
          </w:tcPr>
          <w:p>
            <w:r>
              <w:rPr>
                <w:b/>
                <w:sz w:val="17"/>
              </w:rPr>
              <w:t>1,598</w:t>
            </w:r>
          </w:p>
        </w:tc>
        <w:tc>
          <w:tcPr>
            <w:tcW w:type="dxa" w:w="1440"/>
            <w:shd w:fill="FFDCE0" w:val="clear"/>
          </w:tcPr>
          <w:p>
            <w:r>
              <w:rPr>
                <w:sz w:val="17"/>
              </w:rPr>
              <w:t>1,813</w:t>
            </w:r>
          </w:p>
        </w:tc>
        <w:tc>
          <w:tcPr>
            <w:tcW w:type="dxa" w:w="1440"/>
            <w:shd w:fill="FFDCE0" w:val="clear"/>
          </w:tcPr>
          <w:p>
            <w:r>
              <w:rPr>
                <w:b/>
                <w:color w:val="C00000"/>
                <w:sz w:val="17"/>
              </w:rPr>
              <w:t>-38.4%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 CI)**</w:t>
        <w:br/>
        <w:t>**Date de l'analyse : 28 août 2026**</w:t>
        <w:br/>
        <w:t>**Marché : BRVM (Afrique de l'Ouest)**</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34,88 milliards FCFA, un niveau relativement modeste dans l'écosystème de la BRVM, mais qui contraste fortement avec la situation financière de la société. Le BPA est négatif à -7 FCFA, reflétant une perte nette par action, ce qui rend le PER non exploitable (-361,2x) et signale une absence totale de bénéfices pour justifier la valorisation. Le P/B de 97,76x est extrêmement élevé, indiquant que le marché valorise l'actif net comptable à une prime de près de 98 fois sa valeur, ce qui est totalement déconnecté des fondamentaux actuels. En l'absence d'EBITDA positif, le ratio EV/EBITDA ne peut être calculé, confirmant que la valorisation actuelle repose sur des anticipations spéculatives plutôt que sur des performances tangibles.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STAC a enregistré une chute vertigineuse de -17,36%, avec un cours actuel de 2 595 FCFA, proche de son plus bas historique de 2 515 FCFA et très loin de son plus haut de 3 895 FCFA. La baisse de -0,19% lors de la dernière séance confirme une pression vendeuse persistante. La moyenne du cours sur la période est de 3 032 FCFA, légèrement supérieure à la médiane de 2 990 FCFA, indiquant une distribution relativement symétrique, confirmée par un skewness de 0,390. L'écart-type de 342 FCFA (CV=11,3%) montre une dispersion modérée, tandis que le kurtosis de -0,908 (mésokurtique) suggère une absence de pics extrêmes, mais une volatilité annualisée de 63,7% classe le titre comme extrêmement risqué. La tendance est clairement baissière, avec un cours qui a perdu plus de 33% de sa valeur depuis son sommet.</w:t>
      </w:r>
    </w:p>
    <w:p>
      <w:pPr>
        <w:spacing w:after="120" w:line="276" w:lineRule="auto"/>
      </w:pPr>
      <w:r>
        <w:t>---</w:t>
      </w:r>
    </w:p>
    <w:p>
      <w:pPr>
        <w:spacing w:after="120" w:line="276" w:lineRule="auto"/>
      </w:pPr>
      <w:r>
        <w:t>### PARTIE 2 : ANALYSE TECHNIQUE DÉTAILLÉE</w:t>
      </w:r>
    </w:p>
    <w:p>
      <w:pPr>
        <w:spacing w:after="120" w:line="276" w:lineRule="auto"/>
      </w:pPr>
      <w:r>
        <w:t>**Moyennes Mobiles :** La MM20 à 2 638 FCFA et la MM50 à 3 009 FCFA sont toutes deux au-dessus du cours actuel (2 595 FCFA), confirmant une dynamique baissière. Le croisement de la MM20 sous la MM50 indique une tendance négative à court et moyen terme, justifiant la décision de Vente.</w:t>
      </w:r>
    </w:p>
    <w:p>
      <w:pPr>
        <w:spacing w:after="120" w:line="276" w:lineRule="auto"/>
      </w:pPr>
      <w:r>
        <w:t>**Bandes de Bollinger :** Le cours se situe à 2 595 FCFA, entre la borne inférieure (2 462 FCFA) et la borne supérieure (2 814 FCFA), avec une position proche de la borne inférieure. Cela reflète une volatilité élevée et une pression vendeuse, mais sans signal de surachat ou de survente extrême, d'où la décision Neutre.</w:t>
      </w:r>
    </w:p>
    <w:p>
      <w:pPr>
        <w:spacing w:after="120" w:line="276" w:lineRule="auto"/>
      </w:pPr>
      <w:r>
        <w:t>**MACD :** Le MACD (-112,35) est au-dessus de sa ligne de signal (-131,50), indiquant un momentum légèrement positif à court terme. Cependant, les deux valeurs restent profondément négatives, ce qui suggère une possible stabilisation technique mais pas encore de retournement de tendance. La décision Achat est prématurée mais reflète un début de convergence haussière.</w:t>
      </w:r>
    </w:p>
    <w:p>
      <w:pPr>
        <w:spacing w:after="120" w:line="276" w:lineRule="auto"/>
      </w:pPr>
      <w:r>
        <w:t>**RSI :** À 39,19, le RSI se situe en zone neutre (30-70), sans signal de surachat ni de survente. Cela indique que le titre n'est pas encore oversold, mais la faiblesse relative suggère que les vendeurs dominent toujours le marché.</w:t>
      </w:r>
    </w:p>
    <w:p>
      <w:pPr>
        <w:spacing w:after="120" w:line="276" w:lineRule="auto"/>
      </w:pPr>
      <w:r>
        <w:t>**Stochastique :** Le %K (50,0) est au-dessus du %D (36,9), indiquant un croisement haussier potentiel. Cependant, les deux valeurs restent en zone neutre, ce qui ne confirme pas encore un retournement durable. La décision Neutre est justifiée par l'absence de signaux forts.</w:t>
      </w:r>
    </w:p>
    <w:p>
      <w:pPr>
        <w:spacing w:after="120" w:line="276" w:lineRule="auto"/>
      </w:pPr>
      <w:r>
        <w:t>**Conclusion technique :** Les indicateurs sont mitigés, avec une prédominance baissière à moyen terme (MM, Bollinger) mais des signaux de stabilisation à court terme (MACD, Stochastique). Le titre reste dans une tendance baissière globale, et toute reprise technique serait fragile sans confirmation fondamentale.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révèlent une situation financière critique pour STAC. Le chiffre d'affaires s'élève à 3,878 milliards FCFA, en forte croissance de +116% par rapport à 2024, porté par la reprise des travaux de l'aéroport d'Abidjan. Cependant, le résultat net reste déficitaire à -96,56 millions FCFA, avec une marge nette de -2,49% et une marge opérationnelle de -19,90%. Le ROE est très négatif à -27,07%, et le ROA à -1,77%, reflétant une incapacité à générer de la rentabilité sur les capitaux propres et les actifs. Le BFR est négatif à -930 millions FCFA, ce qui est favorable, mais l'endettement est massif avec un ratio d'endettement de 93,45% et une dépendance financière de 129,87%. Les capitaux propres ne représentent que 6,55% du total du bilan, un niveau alarmant qui menace la solvabilité à long terme. **Les rapports trimestriels 2025** (S1 et T3) confirment cette tendance : le CA cumulé sur 9 mois atteint 3,456 milliards FCFA (+176% vs 2024), mais la perte nette reste de -477 millions FCFA, en amélioration de 22% grâce à une réduction des pertes d'exploitation. **Les rapports historiques** (2020-2021) montrent que la société était rentable avec un résultat net de 2,32 milliards FCFA en 2020, mais la chute a été brutale depuis 2022. Les estimations pour 2025, basées sur les prévisions de la direction (CA de 4 milliards FCFA), suggèrent que la rentabilité opérationnelle pourrait s'améliorer, mais la structure de coûts reste inadaptée. La trésorerie nette positive de 1,33 milliard FCFA est le seul point positif, mais elle est consommée par les pertes récurrentes. En conclusion, STAC présente des fondamentaux très fragiles, avec une dépendance excessive à un seul projet et une rentabilité structurellement déficitaire.</w:t>
      </w:r>
    </w:p>
    <w:p>
      <w:pPr>
        <w:spacing w:after="120" w:line="276" w:lineRule="auto"/>
      </w:pPr>
      <w:r>
        <w:t>---</w:t>
      </w:r>
    </w:p>
    <w:p>
      <w:pPr>
        <w:spacing w:after="120" w:line="276" w:lineRule="auto"/>
      </w:pPr>
      <w:r>
        <w:t>### PARTIE 4 : CONCLUSION D'INVESTISSEMENT</w:t>
      </w:r>
    </w:p>
    <w:p>
      <w:pPr>
        <w:spacing w:after="120" w:line="276" w:lineRule="auto"/>
      </w:pPr>
      <w:r>
        <w:t>La valorisation de STAC est totalement déconnectée des fondamentaux, avec un P/B de 97,76x et un PER négatif, indiquant une surévaluation spéculative malgré des pertes persistantes. Le comportement du cours est préoccupant, avec une chute de -17,36% sur 100 jours et une volatilité annualisée de 63,7%, reflétant un risque élevé. Les signaux techniques sont mitigés, avec une tendance baissière dominante mais des indicateurs de court terme (MACD, Stochastique) suggérant une possible stabilisation. Les fondamentaux sont très fragiles, avec un ROE de -27,07% et une dépendance critique à un seul chantier, bien que le CA 2025 montre une forte croissance. Les prédictions IA pour les 10 prochains jours (2 456 à 1 928 FCFA) confirment une poursuite de la baisse, en ligne avec les signaux techniques et fondamentaux. **Recommandation finale : VENTE FORTE.** La convergence entre la surévaluation, la tendance baissière, les fondamentaux dégradés et les prédictions IA est totale. **Niveau de confiance : Élevé.** **Risque global : Élevé.** **Horizon d'investissement :** Aucun intérêt à court terme (&lt;3 mois) ; à moyen terme (3-12 mois), seule une restructuration majeure ou un contrat significatif pourrait justifier une réévaluation.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401.29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3,662 titres</w:t>
            </w:r>
          </w:p>
        </w:tc>
        <w:tc>
          <w:tcPr>
            <w:tcW w:type="dxa" w:w="2268"/>
            <w:shd w:fill="FFF2CC" w:val="clear"/>
          </w:tcPr>
          <w:p>
            <w:r>
              <w:rPr>
                <w:b/>
                <w:color w:val="503200"/>
                <w:sz w:val="16"/>
              </w:rPr>
              <w:t xml:space="preserve">Cours actuel : </w:t>
            </w:r>
            <w:r>
              <w:rPr>
                <w:color w:val="000000"/>
                <w:sz w:val="17"/>
              </w:rPr>
              <w:t>22,350 FCFA</w:t>
            </w:r>
          </w:p>
          <w:p>
            <w:r>
              <w:rPr>
                <w:b/>
                <w:color w:val="503200"/>
                <w:sz w:val="16"/>
              </w:rPr>
              <w:t xml:space="preserve">Var. 100 jours : </w:t>
            </w:r>
            <w:r>
              <w:rPr>
                <w:b/>
                <w:color w:val="007800"/>
                <w:sz w:val="17"/>
              </w:rPr>
              <w:t>+3.95%</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36.3%</w:t>
            </w:r>
          </w:p>
        </w:tc>
        <w:tc>
          <w:tcPr>
            <w:tcW w:type="dxa" w:w="2835"/>
            <w:shd w:fill="FCE4D6" w:val="clear"/>
          </w:tcPr>
          <w:p>
            <w:r>
              <w:rPr>
                <w:b/>
                <w:color w:val="500000"/>
                <w:sz w:val="16"/>
              </w:rPr>
              <w:t xml:space="preserve">Recommandation : </w:t>
            </w:r>
            <w:r>
              <w:rPr>
                <w:b/>
                <w:color w:val="646400"/>
                <w:sz w:val="19"/>
              </w:rPr>
              <w:t>CONSERVER</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6.15% (Moyenne) — μ=22,289 FCFA, σ=1,371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β=0.4689 (Défensif) — Cov=0.000017, Var(idx)=0.000036, ρ=0.123,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3,662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21,473</w:t>
            </w:r>
          </w:p>
        </w:tc>
        <w:tc>
          <w:tcPr>
            <w:tcW w:type="dxa" w:w="1440"/>
            <w:shd w:fill="FAFAFA" w:val="clear"/>
          </w:tcPr>
          <w:p>
            <w:r>
              <w:rPr>
                <w:b/>
                <w:sz w:val="17"/>
              </w:rPr>
              <w:t>22,692</w:t>
            </w:r>
          </w:p>
        </w:tc>
        <w:tc>
          <w:tcPr>
            <w:tcW w:type="dxa" w:w="1440"/>
            <w:shd w:fill="FAFAFA" w:val="clear"/>
          </w:tcPr>
          <w:p>
            <w:r>
              <w:rPr>
                <w:sz w:val="17"/>
              </w:rPr>
              <w:t>23,911</w:t>
            </w:r>
          </w:p>
        </w:tc>
        <w:tc>
          <w:tcPr>
            <w:tcW w:type="dxa" w:w="1440"/>
            <w:shd w:fill="FAFAFA" w:val="clear"/>
          </w:tcPr>
          <w:p>
            <w:r>
              <w:rPr>
                <w:b/>
                <w:color w:val="008000"/>
                <w:sz w:val="17"/>
              </w:rPr>
              <w:t>+1.5%</w:t>
            </w:r>
          </w:p>
        </w:tc>
      </w:tr>
      <w:tr>
        <w:tc>
          <w:tcPr>
            <w:tcW w:type="dxa" w:w="1440"/>
            <w:shd w:fill="C6EFCE" w:val="clear"/>
          </w:tcPr>
          <w:p>
            <w:r>
              <w:rPr>
                <w:sz w:val="17"/>
              </w:rPr>
              <w:t>J+2  ⭐</w:t>
            </w:r>
          </w:p>
        </w:tc>
        <w:tc>
          <w:tcPr>
            <w:tcW w:type="dxa" w:w="1440"/>
            <w:shd w:fill="C6EFCE" w:val="clear"/>
          </w:tcPr>
          <w:p>
            <w:r>
              <w:rPr>
                <w:sz w:val="17"/>
              </w:rPr>
              <w:t>2026-09-01</w:t>
            </w:r>
          </w:p>
        </w:tc>
        <w:tc>
          <w:tcPr>
            <w:tcW w:type="dxa" w:w="1440"/>
            <w:shd w:fill="C6EFCE" w:val="clear"/>
          </w:tcPr>
          <w:p>
            <w:r>
              <w:rPr>
                <w:sz w:val="17"/>
              </w:rPr>
              <w:t>21,141</w:t>
            </w:r>
          </w:p>
        </w:tc>
        <w:tc>
          <w:tcPr>
            <w:tcW w:type="dxa" w:w="1440"/>
            <w:shd w:fill="C6EFCE" w:val="clear"/>
          </w:tcPr>
          <w:p>
            <w:r>
              <w:rPr>
                <w:b/>
                <w:sz w:val="17"/>
              </w:rPr>
              <w:t>22,880</w:t>
            </w:r>
          </w:p>
        </w:tc>
        <w:tc>
          <w:tcPr>
            <w:tcW w:type="dxa" w:w="1440"/>
            <w:shd w:fill="C6EFCE" w:val="clear"/>
          </w:tcPr>
          <w:p>
            <w:r>
              <w:rPr>
                <w:sz w:val="17"/>
              </w:rPr>
              <w:t>24,619</w:t>
            </w:r>
          </w:p>
        </w:tc>
        <w:tc>
          <w:tcPr>
            <w:tcW w:type="dxa" w:w="1440"/>
            <w:shd w:fill="C6EFCE" w:val="clear"/>
          </w:tcPr>
          <w:p>
            <w:r>
              <w:rPr>
                <w:b/>
                <w:color w:val="008000"/>
                <w:sz w:val="17"/>
              </w:rPr>
              <w:t>+2.4%</w:t>
            </w:r>
          </w:p>
        </w:tc>
      </w:tr>
      <w:tr>
        <w:tc>
          <w:tcPr>
            <w:tcW w:type="dxa" w:w="1440"/>
            <w:shd w:fill="C6EFCE" w:val="clear"/>
          </w:tcPr>
          <w:p>
            <w:r>
              <w:rPr>
                <w:sz w:val="17"/>
              </w:rPr>
              <w:t>J+3  ⭐</w:t>
            </w:r>
          </w:p>
        </w:tc>
        <w:tc>
          <w:tcPr>
            <w:tcW w:type="dxa" w:w="1440"/>
            <w:shd w:fill="C6EFCE" w:val="clear"/>
          </w:tcPr>
          <w:p>
            <w:r>
              <w:rPr>
                <w:sz w:val="17"/>
              </w:rPr>
              <w:t>2026-09-02</w:t>
            </w:r>
          </w:p>
        </w:tc>
        <w:tc>
          <w:tcPr>
            <w:tcW w:type="dxa" w:w="1440"/>
            <w:shd w:fill="C6EFCE" w:val="clear"/>
          </w:tcPr>
          <w:p>
            <w:r>
              <w:rPr>
                <w:sz w:val="17"/>
              </w:rPr>
              <w:t>20,937</w:t>
            </w:r>
          </w:p>
        </w:tc>
        <w:tc>
          <w:tcPr>
            <w:tcW w:type="dxa" w:w="1440"/>
            <w:shd w:fill="C6EFCE" w:val="clear"/>
          </w:tcPr>
          <w:p>
            <w:r>
              <w:rPr>
                <w:b/>
                <w:sz w:val="17"/>
              </w:rPr>
              <w:t>23,086</w:t>
            </w:r>
          </w:p>
        </w:tc>
        <w:tc>
          <w:tcPr>
            <w:tcW w:type="dxa" w:w="1440"/>
            <w:shd w:fill="C6EFCE" w:val="clear"/>
          </w:tcPr>
          <w:p>
            <w:r>
              <w:rPr>
                <w:sz w:val="17"/>
              </w:rPr>
              <w:t>25,235</w:t>
            </w:r>
          </w:p>
        </w:tc>
        <w:tc>
          <w:tcPr>
            <w:tcW w:type="dxa" w:w="1440"/>
            <w:shd w:fill="C6EFCE" w:val="clear"/>
          </w:tcPr>
          <w:p>
            <w:r>
              <w:rPr>
                <w:b/>
                <w:color w:val="008000"/>
                <w:sz w:val="17"/>
              </w:rPr>
              <w:t>+3.3%</w:t>
            </w:r>
          </w:p>
        </w:tc>
      </w:tr>
      <w:tr>
        <w:tc>
          <w:tcPr>
            <w:tcW w:type="dxa" w:w="1440"/>
            <w:shd w:fill="C6EFCE" w:val="clear"/>
          </w:tcPr>
          <w:p>
            <w:r>
              <w:rPr>
                <w:sz w:val="17"/>
              </w:rPr>
              <w:t>J+4  ⭐</w:t>
            </w:r>
          </w:p>
        </w:tc>
        <w:tc>
          <w:tcPr>
            <w:tcW w:type="dxa" w:w="1440"/>
            <w:shd w:fill="C6EFCE" w:val="clear"/>
          </w:tcPr>
          <w:p>
            <w:r>
              <w:rPr>
                <w:sz w:val="17"/>
              </w:rPr>
              <w:t>2026-09-03</w:t>
            </w:r>
          </w:p>
        </w:tc>
        <w:tc>
          <w:tcPr>
            <w:tcW w:type="dxa" w:w="1440"/>
            <w:shd w:fill="C6EFCE" w:val="clear"/>
          </w:tcPr>
          <w:p>
            <w:r>
              <w:rPr>
                <w:sz w:val="17"/>
              </w:rPr>
              <w:t>20,794</w:t>
            </w:r>
          </w:p>
        </w:tc>
        <w:tc>
          <w:tcPr>
            <w:tcW w:type="dxa" w:w="1440"/>
            <w:shd w:fill="C6EFCE" w:val="clear"/>
          </w:tcPr>
          <w:p>
            <w:r>
              <w:rPr>
                <w:b/>
                <w:sz w:val="17"/>
              </w:rPr>
              <w:t>23,298</w:t>
            </w:r>
          </w:p>
        </w:tc>
        <w:tc>
          <w:tcPr>
            <w:tcW w:type="dxa" w:w="1440"/>
            <w:shd w:fill="C6EFCE" w:val="clear"/>
          </w:tcPr>
          <w:p>
            <w:r>
              <w:rPr>
                <w:sz w:val="17"/>
              </w:rPr>
              <w:t>25,801</w:t>
            </w:r>
          </w:p>
        </w:tc>
        <w:tc>
          <w:tcPr>
            <w:tcW w:type="dxa" w:w="1440"/>
            <w:shd w:fill="C6EFCE" w:val="clear"/>
          </w:tcPr>
          <w:p>
            <w:r>
              <w:rPr>
                <w:b/>
                <w:color w:val="008000"/>
                <w:sz w:val="17"/>
              </w:rPr>
              <w:t>+4.2%</w:t>
            </w:r>
          </w:p>
        </w:tc>
      </w:tr>
      <w:tr>
        <w:tc>
          <w:tcPr>
            <w:tcW w:type="dxa" w:w="1440"/>
            <w:shd w:fill="C6EFCE" w:val="clear"/>
          </w:tcPr>
          <w:p>
            <w:r>
              <w:rPr>
                <w:sz w:val="17"/>
              </w:rPr>
              <w:t>J+5  ⭐</w:t>
            </w:r>
          </w:p>
        </w:tc>
        <w:tc>
          <w:tcPr>
            <w:tcW w:type="dxa" w:w="1440"/>
            <w:shd w:fill="C6EFCE" w:val="clear"/>
          </w:tcPr>
          <w:p>
            <w:r>
              <w:rPr>
                <w:sz w:val="17"/>
              </w:rPr>
              <w:t>2026-09-04</w:t>
            </w:r>
          </w:p>
        </w:tc>
        <w:tc>
          <w:tcPr>
            <w:tcW w:type="dxa" w:w="1440"/>
            <w:shd w:fill="C6EFCE" w:val="clear"/>
          </w:tcPr>
          <w:p>
            <w:r>
              <w:rPr>
                <w:sz w:val="17"/>
              </w:rPr>
              <w:t>20,691</w:t>
            </w:r>
          </w:p>
        </w:tc>
        <w:tc>
          <w:tcPr>
            <w:tcW w:type="dxa" w:w="1440"/>
            <w:shd w:fill="C6EFCE" w:val="clear"/>
          </w:tcPr>
          <w:p>
            <w:r>
              <w:rPr>
                <w:b/>
                <w:sz w:val="17"/>
              </w:rPr>
              <w:t>23,517</w:t>
            </w:r>
          </w:p>
        </w:tc>
        <w:tc>
          <w:tcPr>
            <w:tcW w:type="dxa" w:w="1440"/>
            <w:shd w:fill="C6EFCE" w:val="clear"/>
          </w:tcPr>
          <w:p>
            <w:r>
              <w:rPr>
                <w:sz w:val="17"/>
              </w:rPr>
              <w:t>26,343</w:t>
            </w:r>
          </w:p>
        </w:tc>
        <w:tc>
          <w:tcPr>
            <w:tcW w:type="dxa" w:w="1440"/>
            <w:shd w:fill="C6EFCE" w:val="clear"/>
          </w:tcPr>
          <w:p>
            <w:r>
              <w:rPr>
                <w:b/>
                <w:color w:val="008000"/>
                <w:sz w:val="17"/>
              </w:rPr>
              <w:t>+5.2%</w:t>
            </w:r>
          </w:p>
        </w:tc>
      </w:tr>
      <w:tr>
        <w:tc>
          <w:tcPr>
            <w:tcW w:type="dxa" w:w="1440"/>
            <w:shd w:fill="C6EFCE" w:val="clear"/>
          </w:tcPr>
          <w:p>
            <w:r>
              <w:rPr>
                <w:sz w:val="17"/>
              </w:rPr>
              <w:t>J+6  ⭐</w:t>
            </w:r>
          </w:p>
        </w:tc>
        <w:tc>
          <w:tcPr>
            <w:tcW w:type="dxa" w:w="1440"/>
            <w:shd w:fill="C6EFCE" w:val="clear"/>
          </w:tcPr>
          <w:p>
            <w:r>
              <w:rPr>
                <w:sz w:val="17"/>
              </w:rPr>
              <w:t>2026-09-07</w:t>
            </w:r>
          </w:p>
        </w:tc>
        <w:tc>
          <w:tcPr>
            <w:tcW w:type="dxa" w:w="1440"/>
            <w:shd w:fill="C6EFCE" w:val="clear"/>
          </w:tcPr>
          <w:p>
            <w:r>
              <w:rPr>
                <w:sz w:val="17"/>
              </w:rPr>
              <w:t>20,617</w:t>
            </w:r>
          </w:p>
        </w:tc>
        <w:tc>
          <w:tcPr>
            <w:tcW w:type="dxa" w:w="1440"/>
            <w:shd w:fill="C6EFCE" w:val="clear"/>
          </w:tcPr>
          <w:p>
            <w:r>
              <w:rPr>
                <w:b/>
                <w:sz w:val="17"/>
              </w:rPr>
              <w:t>23,743</w:t>
            </w:r>
          </w:p>
        </w:tc>
        <w:tc>
          <w:tcPr>
            <w:tcW w:type="dxa" w:w="1440"/>
            <w:shd w:fill="C6EFCE" w:val="clear"/>
          </w:tcPr>
          <w:p>
            <w:r>
              <w:rPr>
                <w:sz w:val="17"/>
              </w:rPr>
              <w:t>26,868</w:t>
            </w:r>
          </w:p>
        </w:tc>
        <w:tc>
          <w:tcPr>
            <w:tcW w:type="dxa" w:w="1440"/>
            <w:shd w:fill="C6EFCE" w:val="clear"/>
          </w:tcPr>
          <w:p>
            <w:r>
              <w:rPr>
                <w:b/>
                <w:color w:val="008000"/>
                <w:sz w:val="17"/>
              </w:rPr>
              <w:t>+6.2%</w:t>
            </w:r>
          </w:p>
        </w:tc>
      </w:tr>
      <w:tr>
        <w:tc>
          <w:tcPr>
            <w:tcW w:type="dxa" w:w="1440"/>
            <w:shd w:fill="C6EFCE" w:val="clear"/>
          </w:tcPr>
          <w:p>
            <w:r>
              <w:rPr>
                <w:sz w:val="17"/>
              </w:rPr>
              <w:t>J+7  ⭐</w:t>
            </w:r>
          </w:p>
        </w:tc>
        <w:tc>
          <w:tcPr>
            <w:tcW w:type="dxa" w:w="1440"/>
            <w:shd w:fill="C6EFCE" w:val="clear"/>
          </w:tcPr>
          <w:p>
            <w:r>
              <w:rPr>
                <w:sz w:val="17"/>
              </w:rPr>
              <w:t>2026-09-08</w:t>
            </w:r>
          </w:p>
        </w:tc>
        <w:tc>
          <w:tcPr>
            <w:tcW w:type="dxa" w:w="1440"/>
            <w:shd w:fill="C6EFCE" w:val="clear"/>
          </w:tcPr>
          <w:p>
            <w:r>
              <w:rPr>
                <w:sz w:val="17"/>
              </w:rPr>
              <w:t>20,566</w:t>
            </w:r>
          </w:p>
        </w:tc>
        <w:tc>
          <w:tcPr>
            <w:tcW w:type="dxa" w:w="1440"/>
            <w:shd w:fill="C6EFCE" w:val="clear"/>
          </w:tcPr>
          <w:p>
            <w:r>
              <w:rPr>
                <w:b/>
                <w:sz w:val="17"/>
              </w:rPr>
              <w:t>23,975</w:t>
            </w:r>
          </w:p>
        </w:tc>
        <w:tc>
          <w:tcPr>
            <w:tcW w:type="dxa" w:w="1440"/>
            <w:shd w:fill="C6EFCE" w:val="clear"/>
          </w:tcPr>
          <w:p>
            <w:r>
              <w:rPr>
                <w:sz w:val="17"/>
              </w:rPr>
              <w:t>27,383</w:t>
            </w:r>
          </w:p>
        </w:tc>
        <w:tc>
          <w:tcPr>
            <w:tcW w:type="dxa" w:w="1440"/>
            <w:shd w:fill="C6EFCE" w:val="clear"/>
          </w:tcPr>
          <w:p>
            <w:r>
              <w:rPr>
                <w:b/>
                <w:color w:val="008000"/>
                <w:sz w:val="17"/>
              </w:rPr>
              <w:t>+7.3%</w:t>
            </w:r>
          </w:p>
        </w:tc>
      </w:tr>
      <w:tr>
        <w:tc>
          <w:tcPr>
            <w:tcW w:type="dxa" w:w="1440"/>
            <w:shd w:fill="C6EFCE" w:val="clear"/>
          </w:tcPr>
          <w:p>
            <w:r>
              <w:rPr>
                <w:sz w:val="17"/>
              </w:rPr>
              <w:t>J+8  ⭐</w:t>
            </w:r>
          </w:p>
        </w:tc>
        <w:tc>
          <w:tcPr>
            <w:tcW w:type="dxa" w:w="1440"/>
            <w:shd w:fill="C6EFCE" w:val="clear"/>
          </w:tcPr>
          <w:p>
            <w:r>
              <w:rPr>
                <w:sz w:val="17"/>
              </w:rPr>
              <w:t>2026-09-09</w:t>
            </w:r>
          </w:p>
        </w:tc>
        <w:tc>
          <w:tcPr>
            <w:tcW w:type="dxa" w:w="1440"/>
            <w:shd w:fill="C6EFCE" w:val="clear"/>
          </w:tcPr>
          <w:p>
            <w:r>
              <w:rPr>
                <w:sz w:val="17"/>
              </w:rPr>
              <w:t>20,535</w:t>
            </w:r>
          </w:p>
        </w:tc>
        <w:tc>
          <w:tcPr>
            <w:tcW w:type="dxa" w:w="1440"/>
            <w:shd w:fill="C6EFCE" w:val="clear"/>
          </w:tcPr>
          <w:p>
            <w:r>
              <w:rPr>
                <w:b/>
                <w:sz w:val="17"/>
              </w:rPr>
              <w:t>24,216</w:t>
            </w:r>
          </w:p>
        </w:tc>
        <w:tc>
          <w:tcPr>
            <w:tcW w:type="dxa" w:w="1440"/>
            <w:shd w:fill="C6EFCE" w:val="clear"/>
          </w:tcPr>
          <w:p>
            <w:r>
              <w:rPr>
                <w:sz w:val="17"/>
              </w:rPr>
              <w:t>27,896</w:t>
            </w:r>
          </w:p>
        </w:tc>
        <w:tc>
          <w:tcPr>
            <w:tcW w:type="dxa" w:w="1440"/>
            <w:shd w:fill="C6EFCE" w:val="clear"/>
          </w:tcPr>
          <w:p>
            <w:r>
              <w:rPr>
                <w:b/>
                <w:color w:val="008000"/>
                <w:sz w:val="17"/>
              </w:rPr>
              <w:t>+8.3%</w:t>
            </w:r>
          </w:p>
        </w:tc>
      </w:tr>
      <w:tr>
        <w:tc>
          <w:tcPr>
            <w:tcW w:type="dxa" w:w="1440"/>
            <w:shd w:fill="C6EFCE" w:val="clear"/>
          </w:tcPr>
          <w:p>
            <w:r>
              <w:rPr>
                <w:sz w:val="17"/>
              </w:rPr>
              <w:t>J+9  ⭐</w:t>
            </w:r>
          </w:p>
        </w:tc>
        <w:tc>
          <w:tcPr>
            <w:tcW w:type="dxa" w:w="1440"/>
            <w:shd w:fill="C6EFCE" w:val="clear"/>
          </w:tcPr>
          <w:p>
            <w:r>
              <w:rPr>
                <w:sz w:val="17"/>
              </w:rPr>
              <w:t>2026-09-10</w:t>
            </w:r>
          </w:p>
        </w:tc>
        <w:tc>
          <w:tcPr>
            <w:tcW w:type="dxa" w:w="1440"/>
            <w:shd w:fill="C6EFCE" w:val="clear"/>
          </w:tcPr>
          <w:p>
            <w:r>
              <w:rPr>
                <w:sz w:val="17"/>
              </w:rPr>
              <w:t>20,521</w:t>
            </w:r>
          </w:p>
        </w:tc>
        <w:tc>
          <w:tcPr>
            <w:tcW w:type="dxa" w:w="1440"/>
            <w:shd w:fill="C6EFCE" w:val="clear"/>
          </w:tcPr>
          <w:p>
            <w:r>
              <w:rPr>
                <w:b/>
                <w:sz w:val="17"/>
              </w:rPr>
              <w:t>24,465</w:t>
            </w:r>
          </w:p>
        </w:tc>
        <w:tc>
          <w:tcPr>
            <w:tcW w:type="dxa" w:w="1440"/>
            <w:shd w:fill="C6EFCE" w:val="clear"/>
          </w:tcPr>
          <w:p>
            <w:r>
              <w:rPr>
                <w:sz w:val="17"/>
              </w:rPr>
              <w:t>28,409</w:t>
            </w:r>
          </w:p>
        </w:tc>
        <w:tc>
          <w:tcPr>
            <w:tcW w:type="dxa" w:w="1440"/>
            <w:shd w:fill="C6EFCE" w:val="clear"/>
          </w:tcPr>
          <w:p>
            <w:r>
              <w:rPr>
                <w:b/>
                <w:color w:val="008000"/>
                <w:sz w:val="17"/>
              </w:rPr>
              <w:t>+9.5%</w:t>
            </w:r>
          </w:p>
        </w:tc>
      </w:tr>
      <w:tr>
        <w:tc>
          <w:tcPr>
            <w:tcW w:type="dxa" w:w="1440"/>
            <w:shd w:fill="C6EFCE" w:val="clear"/>
          </w:tcPr>
          <w:p>
            <w:r>
              <w:rPr>
                <w:sz w:val="17"/>
              </w:rPr>
              <w:t>J+10  ⭐</w:t>
            </w:r>
          </w:p>
        </w:tc>
        <w:tc>
          <w:tcPr>
            <w:tcW w:type="dxa" w:w="1440"/>
            <w:shd w:fill="C6EFCE" w:val="clear"/>
          </w:tcPr>
          <w:p>
            <w:r>
              <w:rPr>
                <w:sz w:val="17"/>
              </w:rPr>
              <w:t>2026-09-11</w:t>
            </w:r>
          </w:p>
        </w:tc>
        <w:tc>
          <w:tcPr>
            <w:tcW w:type="dxa" w:w="1440"/>
            <w:shd w:fill="C6EFCE" w:val="clear"/>
          </w:tcPr>
          <w:p>
            <w:r>
              <w:rPr>
                <w:sz w:val="17"/>
              </w:rPr>
              <w:t>20,520</w:t>
            </w:r>
          </w:p>
        </w:tc>
        <w:tc>
          <w:tcPr>
            <w:tcW w:type="dxa" w:w="1440"/>
            <w:shd w:fill="C6EFCE" w:val="clear"/>
          </w:tcPr>
          <w:p>
            <w:r>
              <w:rPr>
                <w:b/>
                <w:sz w:val="17"/>
              </w:rPr>
              <w:t>24,721</w:t>
            </w:r>
          </w:p>
        </w:tc>
        <w:tc>
          <w:tcPr>
            <w:tcW w:type="dxa" w:w="1440"/>
            <w:shd w:fill="C6EFCE" w:val="clear"/>
          </w:tcPr>
          <w:p>
            <w:r>
              <w:rPr>
                <w:sz w:val="17"/>
              </w:rPr>
              <w:t>28,922</w:t>
            </w:r>
          </w:p>
        </w:tc>
        <w:tc>
          <w:tcPr>
            <w:tcW w:type="dxa" w:w="1440"/>
            <w:shd w:fill="C6EFCE" w:val="clear"/>
          </w:tcPr>
          <w:p>
            <w:r>
              <w:rPr>
                <w:b/>
                <w:color w:val="008000"/>
                <w:sz w:val="17"/>
              </w:rPr>
              <w:t>+10.6%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w:t>
        <w:br/>
        <w:t>**Date : 26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401,29 milliards FCFA positionne STBC comme une valeur de premier plan sur la BRVM, reflétant son statut de leader sur le marché ivoirien du tabac. Le BPA de 2 014 FCFA indique que chaque action génère un bénéfice substantiel, ce qui soutient la politique de distribution généreuse de la société. Avec un PER de 11,1x, le titre se négocie dans la fourchette haute de la moyenne BRVM (8-12x), ce qui suggère une valorisation raisonnable, les investisseurs acceptant de payer un léger premium pour la qualité de l'actif. Cependant, le P/B de 8,85x est particulièrement élevé, indiquant que le marché valorise fortement la société au-dessus de sa valeur comptable, ce qui reflète des attentes de rentabilité future soutenue. Enfin, l'EV/EBITDA de 8,0x reste dans une zone modérée, confirmant une valorisation globalement cohérente avec les fondamentaux opérationnels de l'entreprise.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STBC affiche une progression modeste de +3,95%, avec une dernière séance en repli de -1,50% à 22 350 FCFA. Le titre a évolué dans une fourchette de 19 705 FCFA à 25 000 FCFA, démontrant une amplitude de trading significative. La moyenne de 22 289 FCFA et la médiane de 22 048 FCFA sont très proches, indiquant une distribution relativement symétrique des cours, confirmée par un skewness de 0,284. L'écart-type de 1 378 FCFA, avec un coefficient de variation de 6,2%, révèle une dispersion modérée des prix autour de la moyenne. Le kurtosis de -0,976, qualifié de mésokurtique, suggère une distribution proche de la normale avec un risque de pics limité. La volatilité annualisée de 36,3% classe le titre dans la catégorie des valeurs à forte volatilité, ce qui implique des fluctuations de prix importantes et un risque accru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22 350 FCFA se situe sous les MM20 (23 304 FCFA) et MM50 (23 431 FCFA), indiquant une tendance baissière à court et moyen terme. La configuration des moyennes mobiles, avec le cours sous les deux moyennes, confirme la pression vendeuse et justifie la décision de Vente.</w:t>
      </w:r>
    </w:p>
    <w:p>
      <w:pPr>
        <w:spacing w:after="120" w:line="276" w:lineRule="auto"/>
      </w:pPr>
      <w:r>
        <w:t>**Bandes de Bollinger** : Le prix évolue dans la partie inférieure des bandes, entre la borne inférieure à 21 411 FCFA et la borne supérieure à 25 197 FCFA. La position du cours proche de la borne inférieure suggère une faiblesse relative, mais sans signal de survente extrême, d'où la décision Neutre.</w:t>
      </w:r>
    </w:p>
    <w:p>
      <w:pPr>
        <w:spacing w:after="120" w:line="276" w:lineRule="auto"/>
      </w:pPr>
      <w:r>
        <w:t>**MACD** : La valeur du MACD à -304,89 est inférieure à son signal à -157,52, confirmant un momentum baissier. Cette divergence négative indique que la dynamique de prix reste défavorable, justifiant la décision de Vente.</w:t>
      </w:r>
    </w:p>
    <w:p>
      <w:pPr>
        <w:spacing w:after="120" w:line="276" w:lineRule="auto"/>
      </w:pPr>
      <w:r>
        <w:t>**RSI** : À 35,21, le RSI se situe dans la zone neutre (30-70), mais proche de la zone de survente. Cette valeur suggère que le titre n'est ni suracheté ni survendu, laissant une marge de manœuvre dans les deux sens, d'où la décision Neutre.</w:t>
      </w:r>
    </w:p>
    <w:p>
      <w:pPr>
        <w:spacing w:after="120" w:line="276" w:lineRule="auto"/>
      </w:pPr>
      <w:r>
        <w:t>**Stochastique** : Le %K à 30,17 et le %D à 23,10 sont en zone de survente relative, avec un %K au-dessus du %D, indiquant un potentiel de retournement haussier. Cependant, la faiblesse des valeurs maintient une décision Neutre.</w:t>
      </w:r>
    </w:p>
    <w:p>
      <w:pPr>
        <w:spacing w:after="120" w:line="276" w:lineRule="auto"/>
      </w:pPr>
      <w:r>
        <w:t>**Conclusion technique** : Les indicateurs techniques sont globalement baissiers, avec les moyennes mobiles et le MACD en signal de vente, tandis que le RSI et le stochastique restent neutres. Cette configuration suggère une pression vendeuse persistante, mais avec des signes de stabilisation potentielle à court terme.</w:t>
      </w:r>
    </w:p>
    <w:p>
      <w:pPr>
        <w:spacing w:after="120" w:line="276" w:lineRule="auto"/>
      </w:pPr>
      <w:r>
        <w:t>---</w:t>
      </w:r>
    </w:p>
    <w:p>
      <w:pPr>
        <w:spacing w:after="120" w:line="276" w:lineRule="auto"/>
      </w:pPr>
      <w:r>
        <w:t>### PARTIE 3 : ANALYSE FONDAMENTALE (SECTION CRITIQUE)</w:t>
      </w:r>
    </w:p>
    <w:p>
      <w:pPr>
        <w:spacing w:after="120" w:line="276" w:lineRule="auto"/>
      </w:pPr>
      <w:r>
        <w:t>En 2025, STBC a réalisé un chiffre d'affaires de 268,5 milliards FCFA, en hausse de 25,3% par rapport à 2024, démontrant une dynamique commerciale soutenue. Le résultat net s'établit à 36,2 milliards FCFA, en baisse de 17,5% par rapport à 2024, avec une marge nette de 13,5%. La rentabilité des fonds propres (ROE) atteint un niveau exceptionnel de 79,75%, tandis que le ROA s'élève à 48,09%, reflétant une utilisation très efficace des actifs. La société maintient une structure financière saine avec une autonomie financière de 60,3% et une trésorerie nette de 30,8 milliards FCFA. Le BFR de 5,6 milliards FCFA est positif, indiquant un besoin de financement de l'exploitation, mais le délai clients de 42,6 jours reste maîtrisé. Selon le rapport annuel certifié 2025 (analysé par DeepSeek le 26 juin 2026), la baisse de rentabilité s'explique par la hausse des droits d'accise de 49% à 70% et un contrôle fiscal ayant impacté les charges. Sur la base du rapport T1 2026 (croissance du CA de +12% à 68,8 milliards FCFA, résultat net de 9,3 milliards FCFA), on estime que l'exercice 2026 pourrait voir une stabilisation de la rentabilité, avec un résultat net annuel projeté entre 36 et 38 milliards FCFA, soutenu par la reprise des volumes (+10% au T1 2026). La société propose un dividende de 1 940 FCFA par action pour 2025, confirmant une politique de distribution généreuse avec un taux de distribution de 84,9%.</w:t>
      </w:r>
    </w:p>
    <w:p>
      <w:pPr>
        <w:spacing w:after="120" w:line="276" w:lineRule="auto"/>
      </w:pPr>
      <w:r>
        <w:t>---</w:t>
      </w:r>
    </w:p>
    <w:p>
      <w:pPr>
        <w:spacing w:after="120" w:line="276" w:lineRule="auto"/>
      </w:pPr>
      <w:r>
        <w:t>### PARTIE 4 : CONCLUSION D'INVESTISSEMENT</w:t>
      </w:r>
    </w:p>
    <w:p>
      <w:pPr>
        <w:spacing w:after="120" w:line="276" w:lineRule="auto"/>
      </w:pPr>
      <w:r>
        <w:t>La valorisation de STBC apparaît globalement raisonnable avec un PER de 11,1x, mais le P/B de 8,85x indique une prime significative par rapport aux actifs comptables. Le comportement du cours sur 100 jours montre une tendance modérément haussière avec une volatilité élevée de 36,3%, ce qui représente un risque non négligeable. Les signaux techniques sont majoritairement baissiers, avec les moyennes mobiles et le MACD en vente, bien que le RSI et le stochastique suggèrent un potentiel de stabilisation. Les fondamentaux restent solides avec une croissance du chiffre d'affaires de 25,3% en 2025, une rentabilité exceptionnelle (ROE de 79,75%) et une trésorerie confortable, malgré une pression fiscale croissante. Les prédictions IA pour les 10 prochains jours indiquent une trajectoire haussière progressive de 22 692 à 23 517 FCFA, contredisant les signaux techniques baissiers. Cette divergence entre les signaux techniques et les prédictions IA suggère un potentiel de rebond à court terme. **Recommandation : CONSERVER** avec un niveau de confiance Moyen et un risque global Moyen. L'horizon d'investissement optimal est le moyen terme (3-12 mois), permettant de capter le rendement du dividende attractif tout en surveillant l'évolution de la pression fiscale et la capacité de la direction à restaurer les marges.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214.07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7,425 titres</w:t>
            </w:r>
          </w:p>
        </w:tc>
        <w:tc>
          <w:tcPr>
            <w:tcW w:type="dxa" w:w="2268"/>
            <w:shd w:fill="FFF2CC" w:val="clear"/>
          </w:tcPr>
          <w:p>
            <w:r>
              <w:rPr>
                <w:b/>
                <w:color w:val="503200"/>
                <w:sz w:val="16"/>
              </w:rPr>
              <w:t xml:space="preserve">Cours actuel : </w:t>
            </w:r>
            <w:r>
              <w:rPr>
                <w:color w:val="000000"/>
                <w:sz w:val="17"/>
              </w:rPr>
              <w:t>3,400 FCFA</w:t>
            </w:r>
          </w:p>
          <w:p>
            <w:r>
              <w:rPr>
                <w:b/>
                <w:color w:val="503200"/>
                <w:sz w:val="16"/>
              </w:rPr>
              <w:t xml:space="preserve">Var. 100 jours : </w:t>
            </w:r>
            <w:r>
              <w:rPr>
                <w:b/>
                <w:color w:val="007800"/>
                <w:sz w:val="17"/>
              </w:rPr>
              <w:t>+25.69%</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6.08% (Moyenne) — μ=2,903 FCFA, σ=176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β=-0.2511 (Contre-cyclique) — Cov=-0.000009, Var(idx)=0.000036, ρ=-0.059,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7,425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σ_j=2.55%/j (Stable) — Vol. annualisée≈40.5%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2026-08-31</w:t>
            </w:r>
          </w:p>
        </w:tc>
        <w:tc>
          <w:tcPr>
            <w:tcW w:type="dxa" w:w="1440"/>
            <w:shd w:fill="FAFAFA" w:val="clear"/>
          </w:tcPr>
          <w:p>
            <w:r>
              <w:rPr>
                <w:sz w:val="17"/>
              </w:rPr>
              <w:t>3,186</w:t>
            </w:r>
          </w:p>
        </w:tc>
        <w:tc>
          <w:tcPr>
            <w:tcW w:type="dxa" w:w="1440"/>
            <w:shd w:fill="FAFAFA" w:val="clear"/>
          </w:tcPr>
          <w:p>
            <w:r>
              <w:rPr>
                <w:b/>
                <w:sz w:val="17"/>
              </w:rPr>
              <w:t>3,370</w:t>
            </w:r>
          </w:p>
        </w:tc>
        <w:tc>
          <w:tcPr>
            <w:tcW w:type="dxa" w:w="1440"/>
            <w:shd w:fill="FAFAFA" w:val="clear"/>
          </w:tcPr>
          <w:p>
            <w:r>
              <w:rPr>
                <w:sz w:val="17"/>
              </w:rPr>
              <w:t>3,554</w:t>
            </w:r>
          </w:p>
        </w:tc>
        <w:tc>
          <w:tcPr>
            <w:tcW w:type="dxa" w:w="1440"/>
            <w:shd w:fill="FAFAFA" w:val="clear"/>
          </w:tcPr>
          <w:p>
            <w:r>
              <w:rPr>
                <w:b/>
                <w:color w:val="C00000"/>
                <w:sz w:val="17"/>
              </w:rPr>
              <w:t>-0.9%</w:t>
            </w:r>
          </w:p>
        </w:tc>
      </w:tr>
      <w:tr>
        <w:tc>
          <w:tcPr>
            <w:tcW w:type="dxa" w:w="1440"/>
            <w:shd w:fill="FAFAFA" w:val="clear"/>
          </w:tcPr>
          <w:p>
            <w:r>
              <w:rPr>
                <w:sz w:val="17"/>
              </w:rPr>
              <w:t>J+2  ⭐</w:t>
            </w:r>
          </w:p>
        </w:tc>
        <w:tc>
          <w:tcPr>
            <w:tcW w:type="dxa" w:w="1440"/>
            <w:shd w:fill="FAFAFA" w:val="clear"/>
          </w:tcPr>
          <w:p>
            <w:r>
              <w:rPr>
                <w:sz w:val="17"/>
              </w:rPr>
              <w:t>2026-09-01</w:t>
            </w:r>
          </w:p>
        </w:tc>
        <w:tc>
          <w:tcPr>
            <w:tcW w:type="dxa" w:w="1440"/>
            <w:shd w:fill="FAFAFA" w:val="clear"/>
          </w:tcPr>
          <w:p>
            <w:r>
              <w:rPr>
                <w:sz w:val="17"/>
              </w:rPr>
              <w:t>3,097</w:t>
            </w:r>
          </w:p>
        </w:tc>
        <w:tc>
          <w:tcPr>
            <w:tcW w:type="dxa" w:w="1440"/>
            <w:shd w:fill="FAFAFA" w:val="clear"/>
          </w:tcPr>
          <w:p>
            <w:r>
              <w:rPr>
                <w:b/>
                <w:sz w:val="17"/>
              </w:rPr>
              <w:t>3,356</w:t>
            </w:r>
          </w:p>
        </w:tc>
        <w:tc>
          <w:tcPr>
            <w:tcW w:type="dxa" w:w="1440"/>
            <w:shd w:fill="FAFAFA" w:val="clear"/>
          </w:tcPr>
          <w:p>
            <w:r>
              <w:rPr>
                <w:sz w:val="17"/>
              </w:rPr>
              <w:t>3,615</w:t>
            </w:r>
          </w:p>
        </w:tc>
        <w:tc>
          <w:tcPr>
            <w:tcW w:type="dxa" w:w="1440"/>
            <w:shd w:fill="FAFAFA" w:val="clear"/>
          </w:tcPr>
          <w:p>
            <w:r>
              <w:rPr>
                <w:b/>
                <w:color w:val="C00000"/>
                <w:sz w:val="17"/>
              </w:rPr>
              <w:t>-1.3%</w:t>
            </w:r>
          </w:p>
        </w:tc>
      </w:tr>
      <w:tr>
        <w:tc>
          <w:tcPr>
            <w:tcW w:type="dxa" w:w="1440"/>
            <w:shd w:fill="FAFAFA" w:val="clear"/>
          </w:tcPr>
          <w:p>
            <w:r>
              <w:rPr>
                <w:sz w:val="17"/>
              </w:rPr>
              <w:t>J+3  ⭐</w:t>
            </w:r>
          </w:p>
        </w:tc>
        <w:tc>
          <w:tcPr>
            <w:tcW w:type="dxa" w:w="1440"/>
            <w:shd w:fill="FAFAFA" w:val="clear"/>
          </w:tcPr>
          <w:p>
            <w:r>
              <w:rPr>
                <w:sz w:val="17"/>
              </w:rPr>
              <w:t>2026-09-02</w:t>
            </w:r>
          </w:p>
        </w:tc>
        <w:tc>
          <w:tcPr>
            <w:tcW w:type="dxa" w:w="1440"/>
            <w:shd w:fill="FAFAFA" w:val="clear"/>
          </w:tcPr>
          <w:p>
            <w:r>
              <w:rPr>
                <w:sz w:val="17"/>
              </w:rPr>
              <w:t>3,027</w:t>
            </w:r>
          </w:p>
        </w:tc>
        <w:tc>
          <w:tcPr>
            <w:tcW w:type="dxa" w:w="1440"/>
            <w:shd w:fill="FAFAFA" w:val="clear"/>
          </w:tcPr>
          <w:p>
            <w:r>
              <w:rPr>
                <w:b/>
                <w:sz w:val="17"/>
              </w:rPr>
              <w:t>3,343</w:t>
            </w:r>
          </w:p>
        </w:tc>
        <w:tc>
          <w:tcPr>
            <w:tcW w:type="dxa" w:w="1440"/>
            <w:shd w:fill="FAFAFA" w:val="clear"/>
          </w:tcPr>
          <w:p>
            <w:r>
              <w:rPr>
                <w:sz w:val="17"/>
              </w:rPr>
              <w:t>3,660</w:t>
            </w:r>
          </w:p>
        </w:tc>
        <w:tc>
          <w:tcPr>
            <w:tcW w:type="dxa" w:w="1440"/>
            <w:shd w:fill="FAFAFA" w:val="clear"/>
          </w:tcPr>
          <w:p>
            <w:r>
              <w:rPr>
                <w:b/>
                <w:color w:val="C00000"/>
                <w:sz w:val="17"/>
              </w:rPr>
              <w:t>-1.7%</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2,966</w:t>
            </w:r>
          </w:p>
        </w:tc>
        <w:tc>
          <w:tcPr>
            <w:tcW w:type="dxa" w:w="1440"/>
            <w:shd w:fill="FFDCE0" w:val="clear"/>
          </w:tcPr>
          <w:p>
            <w:r>
              <w:rPr>
                <w:b/>
                <w:sz w:val="17"/>
              </w:rPr>
              <w:t>3,330</w:t>
            </w:r>
          </w:p>
        </w:tc>
        <w:tc>
          <w:tcPr>
            <w:tcW w:type="dxa" w:w="1440"/>
            <w:shd w:fill="FFDCE0" w:val="clear"/>
          </w:tcPr>
          <w:p>
            <w:r>
              <w:rPr>
                <w:sz w:val="17"/>
              </w:rPr>
              <w:t>3,694</w:t>
            </w:r>
          </w:p>
        </w:tc>
        <w:tc>
          <w:tcPr>
            <w:tcW w:type="dxa" w:w="1440"/>
            <w:shd w:fill="FFDCE0"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2,912</w:t>
            </w:r>
          </w:p>
        </w:tc>
        <w:tc>
          <w:tcPr>
            <w:tcW w:type="dxa" w:w="1440"/>
            <w:shd w:fill="FFDCE0" w:val="clear"/>
          </w:tcPr>
          <w:p>
            <w:r>
              <w:rPr>
                <w:b/>
                <w:sz w:val="17"/>
              </w:rPr>
              <w:t>3,317</w:t>
            </w:r>
          </w:p>
        </w:tc>
        <w:tc>
          <w:tcPr>
            <w:tcW w:type="dxa" w:w="1440"/>
            <w:shd w:fill="FFDCE0" w:val="clear"/>
          </w:tcPr>
          <w:p>
            <w:r>
              <w:rPr>
                <w:sz w:val="17"/>
              </w:rPr>
              <w:t>3,723</w:t>
            </w:r>
          </w:p>
        </w:tc>
        <w:tc>
          <w:tcPr>
            <w:tcW w:type="dxa" w:w="1440"/>
            <w:shd w:fill="FFDCE0" w:val="clear"/>
          </w:tcPr>
          <w:p>
            <w:r>
              <w:rPr>
                <w:b/>
                <w:color w:val="C00000"/>
                <w:sz w:val="17"/>
              </w:rPr>
              <w:t>-2.4%</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2,862</w:t>
            </w:r>
          </w:p>
        </w:tc>
        <w:tc>
          <w:tcPr>
            <w:tcW w:type="dxa" w:w="1440"/>
            <w:shd w:fill="FFDCE0" w:val="clear"/>
          </w:tcPr>
          <w:p>
            <w:r>
              <w:rPr>
                <w:b/>
                <w:sz w:val="17"/>
              </w:rPr>
              <w:t>3,305</w:t>
            </w:r>
          </w:p>
        </w:tc>
        <w:tc>
          <w:tcPr>
            <w:tcW w:type="dxa" w:w="1440"/>
            <w:shd w:fill="FFDCE0" w:val="clear"/>
          </w:tcPr>
          <w:p>
            <w:r>
              <w:rPr>
                <w:sz w:val="17"/>
              </w:rPr>
              <w:t>3,747</w:t>
            </w:r>
          </w:p>
        </w:tc>
        <w:tc>
          <w:tcPr>
            <w:tcW w:type="dxa" w:w="1440"/>
            <w:shd w:fill="FFDCE0" w:val="clear"/>
          </w:tcPr>
          <w:p>
            <w:r>
              <w:rPr>
                <w:b/>
                <w:color w:val="C00000"/>
                <w:sz w:val="17"/>
              </w:rPr>
              <w:t>-2.8%</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2,816</w:t>
            </w:r>
          </w:p>
        </w:tc>
        <w:tc>
          <w:tcPr>
            <w:tcW w:type="dxa" w:w="1440"/>
            <w:shd w:fill="FFDCE0" w:val="clear"/>
          </w:tcPr>
          <w:p>
            <w:r>
              <w:rPr>
                <w:b/>
                <w:sz w:val="17"/>
              </w:rPr>
              <w:t>3,292</w:t>
            </w:r>
          </w:p>
        </w:tc>
        <w:tc>
          <w:tcPr>
            <w:tcW w:type="dxa" w:w="1440"/>
            <w:shd w:fill="FFDCE0" w:val="clear"/>
          </w:tcPr>
          <w:p>
            <w:r>
              <w:rPr>
                <w:sz w:val="17"/>
              </w:rPr>
              <w:t>3,768</w:t>
            </w:r>
          </w:p>
        </w:tc>
        <w:tc>
          <w:tcPr>
            <w:tcW w:type="dxa" w:w="1440"/>
            <w:shd w:fill="FFDCE0" w:val="clear"/>
          </w:tcPr>
          <w:p>
            <w:r>
              <w:rPr>
                <w:b/>
                <w:color w:val="C00000"/>
                <w:sz w:val="17"/>
              </w:rPr>
              <w:t>-3.2%</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2,773</w:t>
            </w:r>
          </w:p>
        </w:tc>
        <w:tc>
          <w:tcPr>
            <w:tcW w:type="dxa" w:w="1440"/>
            <w:shd w:fill="FFDCE0" w:val="clear"/>
          </w:tcPr>
          <w:p>
            <w:r>
              <w:rPr>
                <w:b/>
                <w:sz w:val="17"/>
              </w:rPr>
              <w:t>3,280</w:t>
            </w:r>
          </w:p>
        </w:tc>
        <w:tc>
          <w:tcPr>
            <w:tcW w:type="dxa" w:w="1440"/>
            <w:shd w:fill="FFDCE0" w:val="clear"/>
          </w:tcPr>
          <w:p>
            <w:r>
              <w:rPr>
                <w:sz w:val="17"/>
              </w:rPr>
              <w:t>3,787</w:t>
            </w:r>
          </w:p>
        </w:tc>
        <w:tc>
          <w:tcPr>
            <w:tcW w:type="dxa" w:w="1440"/>
            <w:shd w:fill="FFDCE0" w:val="clear"/>
          </w:tcPr>
          <w:p>
            <w:r>
              <w:rPr>
                <w:b/>
                <w:color w:val="C00000"/>
                <w:sz w:val="17"/>
              </w:rPr>
              <w:t>-3.5%</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2,732</w:t>
            </w:r>
          </w:p>
        </w:tc>
        <w:tc>
          <w:tcPr>
            <w:tcW w:type="dxa" w:w="1440"/>
            <w:shd w:fill="FFDCE0" w:val="clear"/>
          </w:tcPr>
          <w:p>
            <w:r>
              <w:rPr>
                <w:b/>
                <w:sz w:val="17"/>
              </w:rPr>
              <w:t>3,268</w:t>
            </w:r>
          </w:p>
        </w:tc>
        <w:tc>
          <w:tcPr>
            <w:tcW w:type="dxa" w:w="1440"/>
            <w:shd w:fill="FFDCE0" w:val="clear"/>
          </w:tcPr>
          <w:p>
            <w:r>
              <w:rPr>
                <w:sz w:val="17"/>
              </w:rPr>
              <w:t>3,804</w:t>
            </w:r>
          </w:p>
        </w:tc>
        <w:tc>
          <w:tcPr>
            <w:tcW w:type="dxa" w:w="1440"/>
            <w:shd w:fill="FFDCE0" w:val="clear"/>
          </w:tcPr>
          <w:p>
            <w:r>
              <w:rPr>
                <w:b/>
                <w:color w:val="C00000"/>
                <w:sz w:val="17"/>
              </w:rPr>
              <w:t>-3.9%</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2,693</w:t>
            </w:r>
          </w:p>
        </w:tc>
        <w:tc>
          <w:tcPr>
            <w:tcW w:type="dxa" w:w="1440"/>
            <w:shd w:fill="FFDCE0" w:val="clear"/>
          </w:tcPr>
          <w:p>
            <w:r>
              <w:rPr>
                <w:b/>
                <w:sz w:val="17"/>
              </w:rPr>
              <w:t>3,256</w:t>
            </w:r>
          </w:p>
        </w:tc>
        <w:tc>
          <w:tcPr>
            <w:tcW w:type="dxa" w:w="1440"/>
            <w:shd w:fill="FFDCE0" w:val="clear"/>
          </w:tcPr>
          <w:p>
            <w:r>
              <w:rPr>
                <w:sz w:val="17"/>
              </w:rPr>
              <w:t>3,819</w:t>
            </w:r>
          </w:p>
        </w:tc>
        <w:tc>
          <w:tcPr>
            <w:tcW w:type="dxa" w:w="1440"/>
            <w:shd w:fill="FFDCE0" w:val="clear"/>
          </w:tcPr>
          <w:p>
            <w:r>
              <w:rPr>
                <w:b/>
                <w:color w:val="C00000"/>
                <w:sz w:val="17"/>
              </w:rPr>
              <w:t>-4.2%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**Date de l'analyse : 28 août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214,07 milliards FCFA, TTLC se positionne comme une valeur de première ligne sur la BRVM, représentant un poids significatif dans l'indice. Le BPA de 144 FCFA indique que chaque action a généré ce niveau de bénéfice sur l'exercice 2025. Le PER de 23,6x est nettement supérieur à la moyenne historique de la BRVM (8-12x), signifiant que les investisseurs paient une prime substantielle pour la croissance anticipée et la solidité de la marque, mais cela expose également le titre à un risque de correction si les résultats déçoivent. Le P/B de 5,91x confirme cette valorisation exigeante, le marché valorisant l'actif net comptable près de six fois sa valeur. Enfin, l'EV/EBITDA de 12,0x, bien que dans la fourchette haute (10-15x), indique que la valeur totale de l'entreprise (capitalisation + dette nette) reste cohérente avec sa capacité opérationnelle à générer de l'EBITDA.</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TTLC a enregistré une performance remarquable de +25,69%, avec une légère consolidation de -0,44% lors de la dernière séance. Le titre a évolué dans une fourchette de 945 FCFA, oscillant entre un plus bas de 2 650 FCFA et un plus haut de 3 595 FCFA, démontrant une forte dynamique haussière. La moyenne du cours sur la période (2 903 FCFA) est inférieure à la médiane (2 880 FCFA), et le skewness positif de 1,601 indique une distribution asymétrique avec des journées de forte hausse plus fréquentes. L'écart-type de 177 FCFA (CV=6,1%) révèle une dispersion modérée autour de la moyenne. Le kurtosis élevé (3,046) signale un risque de mouvements extrêmes, tandis que la volatilité annualisée de 40,5% classe le titre comme très volatil, un niveau élevé qui implique un risque important mais aussi un potentiel de rendement supérieur.</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(3 400 FCFA) se situe nettement au-dessus de la MM20 (3 138 FCFA) et de la MM50 (2 998,9 FCFA), confirmant une tendance haussière solide à court et moyen terme. La configuration des MM (MM20 &gt; MM50) valide le signal d'achat, indiquant que la dynamique positive est soutenue par les investisseurs.</w:t>
      </w:r>
    </w:p>
    <w:p>
      <w:pPr>
        <w:spacing w:after="120" w:line="276" w:lineRule="auto"/>
      </w:pPr>
      <w:r>
        <w:t>**Bandes de Bollinger** : Le prix évolue dans la partie supérieure des bandes, entre la borne inférieure (2 673,35 FCFA) et la borne supérieure (3 602,65 FCFA), proche de cette dernière. Cette position suggère une pression acheteuse soutenue, mais le signal est neutre car le cours n'a pas encore franchi la borne supérieure, ce qui pourrait indiquer une consolidation avant une nouvelle impulsion.</w:t>
      </w:r>
    </w:p>
    <w:p>
      <w:pPr>
        <w:spacing w:after="120" w:line="276" w:lineRule="auto"/>
      </w:pPr>
      <w:r>
        <w:t>**MACD** : La valeur du MACD (138,28) est supérieure à son signal (104,14), avec un écart positif croissant. Cette configuration est un signal d'achat classique, indiquant un momentum haussier fort. La dynamique positive du MACD renforce la tendance haussière en cours.</w:t>
      </w:r>
    </w:p>
    <w:p>
      <w:pPr>
        <w:spacing w:after="120" w:line="276" w:lineRule="auto"/>
      </w:pPr>
      <w:r>
        <w:t>**RSI** : À 74,49, le RSI est entré en zone de surachat (&gt;70), ce qui génère un signal de vente. Cette lecture suggère que le titre est temporairement surévalué à court terme et qu'une correction technique est possible, bien que dans une tendance haussière forte, le RSI puisse rester suracheté pendant une période prolongée.</w:t>
      </w:r>
    </w:p>
    <w:p>
      <w:pPr>
        <w:spacing w:after="120" w:line="276" w:lineRule="auto"/>
      </w:pPr>
      <w:r>
        <w:t>**Stochastique** : Le %K (69,77) est inférieur au %D (82,33), indiquant un croisement baissier potentiel. Bien que le signal soit neutre, cette configuration suggère un essoufflement de la dynamique haussière à très court terme, avec un risque de consolidation.</w:t>
      </w:r>
    </w:p>
    <w:p>
      <w:pPr>
        <w:spacing w:after="120" w:line="276" w:lineRule="auto"/>
      </w:pPr>
      <w:r>
        <w:t>**Conclusion technique** : Les indicateurs de tendance (MM, MACD) sont résolument haussiers, tandis que les oscillateurs (RSI, Stochastique) signalent une possible correction à court terme. La convergence des signaux de tendance avec la divergence des oscillateurs suggère une phase de consolidation avant une éventuelle poursuite de la hausse.</w:t>
      </w:r>
    </w:p>
    <w:p>
      <w:pPr>
        <w:spacing w:after="120" w:line="276" w:lineRule="auto"/>
      </w:pPr>
      <w:r>
        <w:t>---</w:t>
      </w:r>
    </w:p>
    <w:p>
      <w:pPr>
        <w:spacing w:after="120" w:line="276" w:lineRule="auto"/>
      </w:pPr>
      <w:r>
        <w:t>### PARTIE 3 : ANALYSE FONDAMENTALE (SECTION CRITIQUE)</w:t>
      </w:r>
    </w:p>
    <w:p>
      <w:pPr>
        <w:spacing w:after="120" w:line="276" w:lineRule="auto"/>
      </w:pPr>
      <w:r>
        <w:t>En 2025, TTLC a enregistré un chiffre d'affaires de 588,709 milliards FCFA, en baisse de 5,2% par rapport à 2024 (621,042 milliards FCFA), mais avec une amélioration notable de la rentabilité opérationnelle : l'EBE a progressé de 12% à 22,347 milliards FCFA et le résultat d'exploitation de 18% à 12,329 milliards FCFA. Le résultat net s'établit à 9,087 milliards FCFA (-3% vs 2024), avec un ROE excellent de 25,1% et un ROA de 4,8%. La marge nette reste faible à 1,54%, typique du secteur de distribution. Le BFR négatif de -9,662 milliards FCFA est un point très positif, indiquant que la société finance son exploitation grâce aux délais fournisseurs (49,72 jours) et une rotation rapide des stocks (13,80 jours). Cependant, la trésorerie nette est fortement négative (-21,926 milliards FCFA) et le ratio d'endettement élevé (90,2%), reflétant une dépendance aux crédits bancaires court terme. Le rapport annuel 2025 (daté du 31/12/2025) confirme une politique de dividende généreuse de 10 milliards FCFA, soit un taux de distribution supérieur à 100% du bénéfice net. Le rapport T1 2026 (daté du 31/03/2026) montre une reprise encourageante : CA en hausse de 4,3% à 154,392 milliards FCFA et résultat net en progression de 5,5% à 2,329 milliards FCFA, portés par l'augmentation des volumes vendus sur tous les canaux. Sur la base de ce T1 2026, on estime que l'exercice 2026 pourrait voir un CA autour de 610-620 milliards FCFA et un résultat net proche de 9,5-10 milliards FCFA, soit une amélioration de 5-10% par rapport à 2025.</w:t>
      </w:r>
    </w:p>
    <w:p>
      <w:pPr>
        <w:spacing w:after="120" w:line="276" w:lineRule="auto"/>
      </w:pPr>
      <w:r>
        <w:t>---</w:t>
      </w:r>
    </w:p>
    <w:p>
      <w:pPr>
        <w:spacing w:after="120" w:line="276" w:lineRule="auto"/>
      </w:pPr>
      <w:r>
        <w:t>### PARTIE 4 : CONCLUSION D'INVESTISSEMENT</w:t>
      </w:r>
    </w:p>
    <w:p>
      <w:pPr>
        <w:spacing w:after="120" w:line="276" w:lineRule="auto"/>
      </w:pPr>
      <w:r>
        <w:t>La valorisation de TTLC (PER 23,6x, P/B 5,91x) est exigeante, indiquant une surévaluation relative par rapport au marché BRVM, mais justifiée par un ROE exceptionnel de 25,1% et une position de leader. Le comportement du cours (+25,69% sur 100 jours) est très favorable, bien que la volatilité élevée (40,5%) et le RSI suracheté signalent un risque de correction à court terme. Les signaux techniques sont mitigés : tendance haussière confirmée par les MM et le MACD, mais oscillateurs en zone de surachat. Les fondamentaux sont solides avec une amélioration opérationnelle et une reprise au T1 2026, mais la trésorerie négative et le payout supérieur à 100% constituent des points de vigilance. Les prédictions IA (3 370 FCFA à J+10) suggèrent une légère consolidation, cohérente avec les signaux techniques de surachat. En synthèse, la convergence entre la solidité fondamentale, la tendance haussière et les perspectives de croissance 2026 plaide pour une recommandation **CONSERVER**, avec un niveau de confiance **Moyen** et un risque global **Élevé** en raison de la volatilité et de la valorisation. L'horizon d'investissement optimal serait à **moyen terme (3-12 mois)**, en attendant une éventuelle correction pour renforcer la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123.63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2,632 titres</w:t>
            </w:r>
          </w:p>
        </w:tc>
        <w:tc>
          <w:tcPr>
            <w:tcW w:type="dxa" w:w="2268"/>
            <w:shd w:fill="FFF2CC" w:val="clear"/>
          </w:tcPr>
          <w:p>
            <w:r>
              <w:rPr>
                <w:b/>
                <w:color w:val="503200"/>
                <w:sz w:val="16"/>
              </w:rPr>
              <w:t xml:space="preserve">Cours actuel : </w:t>
            </w:r>
            <w:r>
              <w:rPr>
                <w:color w:val="000000"/>
                <w:sz w:val="17"/>
              </w:rPr>
              <w:t>3,795 FCFA</w:t>
            </w:r>
          </w:p>
          <w:p>
            <w:r>
              <w:rPr>
                <w:b/>
                <w:color w:val="503200"/>
                <w:sz w:val="16"/>
              </w:rPr>
              <w:t xml:space="preserve">Var. 100 jours : </w:t>
            </w:r>
            <w:r>
              <w:rPr>
                <w:b/>
                <w:color w:val="007800"/>
                <w:sz w:val="17"/>
              </w:rPr>
              <w:t>+13.28%</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10.51% (Moyenne) — μ=3,508 FCFA, σ=369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β=0.7573 (Défensif) — Cov=0.000028, Var(idx)=0.000036, ρ=0.151,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2,632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annualisée≈47.9%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2026-08-31</w:t>
            </w:r>
          </w:p>
        </w:tc>
        <w:tc>
          <w:tcPr>
            <w:tcW w:type="dxa" w:w="1440"/>
            <w:shd w:fill="FFDCE0" w:val="clear"/>
          </w:tcPr>
          <w:p>
            <w:r>
              <w:rPr>
                <w:sz w:val="17"/>
              </w:rPr>
              <w:t>3,478</w:t>
            </w:r>
          </w:p>
        </w:tc>
        <w:tc>
          <w:tcPr>
            <w:tcW w:type="dxa" w:w="1440"/>
            <w:shd w:fill="FFDCE0" w:val="clear"/>
          </w:tcPr>
          <w:p>
            <w:r>
              <w:rPr>
                <w:b/>
                <w:sz w:val="17"/>
              </w:rPr>
              <w:t>3,638</w:t>
            </w:r>
          </w:p>
        </w:tc>
        <w:tc>
          <w:tcPr>
            <w:tcW w:type="dxa" w:w="1440"/>
            <w:shd w:fill="FFDCE0" w:val="clear"/>
          </w:tcPr>
          <w:p>
            <w:r>
              <w:rPr>
                <w:sz w:val="17"/>
              </w:rPr>
              <w:t>3,798</w:t>
            </w:r>
          </w:p>
        </w:tc>
        <w:tc>
          <w:tcPr>
            <w:tcW w:type="dxa" w:w="1440"/>
            <w:shd w:fill="FFDCE0" w:val="clear"/>
          </w:tcPr>
          <w:p>
            <w:r>
              <w:rPr>
                <w:b/>
                <w:color w:val="C00000"/>
                <w:sz w:val="17"/>
              </w:rPr>
              <w:t>-4.1%</w:t>
            </w:r>
          </w:p>
        </w:tc>
      </w:tr>
      <w:tr>
        <w:tc>
          <w:tcPr>
            <w:tcW w:type="dxa" w:w="1440"/>
            <w:shd w:fill="FFDCE0" w:val="clear"/>
          </w:tcPr>
          <w:p>
            <w:r>
              <w:rPr>
                <w:sz w:val="17"/>
              </w:rPr>
              <w:t>J+2  ⭐</w:t>
            </w:r>
          </w:p>
        </w:tc>
        <w:tc>
          <w:tcPr>
            <w:tcW w:type="dxa" w:w="1440"/>
            <w:shd w:fill="FFDCE0" w:val="clear"/>
          </w:tcPr>
          <w:p>
            <w:r>
              <w:rPr>
                <w:sz w:val="17"/>
              </w:rPr>
              <w:t>2026-09-01</w:t>
            </w:r>
          </w:p>
        </w:tc>
        <w:tc>
          <w:tcPr>
            <w:tcW w:type="dxa" w:w="1440"/>
            <w:shd w:fill="FFDCE0" w:val="clear"/>
          </w:tcPr>
          <w:p>
            <w:r>
              <w:rPr>
                <w:sz w:val="17"/>
              </w:rPr>
              <w:t>3,354</w:t>
            </w:r>
          </w:p>
        </w:tc>
        <w:tc>
          <w:tcPr>
            <w:tcW w:type="dxa" w:w="1440"/>
            <w:shd w:fill="FFDCE0" w:val="clear"/>
          </w:tcPr>
          <w:p>
            <w:r>
              <w:rPr>
                <w:b/>
                <w:sz w:val="17"/>
              </w:rPr>
              <w:t>3,577</w:t>
            </w:r>
          </w:p>
        </w:tc>
        <w:tc>
          <w:tcPr>
            <w:tcW w:type="dxa" w:w="1440"/>
            <w:shd w:fill="FFDCE0" w:val="clear"/>
          </w:tcPr>
          <w:p>
            <w:r>
              <w:rPr>
                <w:sz w:val="17"/>
              </w:rPr>
              <w:t>3,799</w:t>
            </w:r>
          </w:p>
        </w:tc>
        <w:tc>
          <w:tcPr>
            <w:tcW w:type="dxa" w:w="1440"/>
            <w:shd w:fill="FFDCE0" w:val="clear"/>
          </w:tcPr>
          <w:p>
            <w:r>
              <w:rPr>
                <w:b/>
                <w:color w:val="C00000"/>
                <w:sz w:val="17"/>
              </w:rPr>
              <w:t>-5.8%</w:t>
            </w:r>
          </w:p>
        </w:tc>
      </w:tr>
      <w:tr>
        <w:tc>
          <w:tcPr>
            <w:tcW w:type="dxa" w:w="1440"/>
            <w:shd w:fill="FFDCE0" w:val="clear"/>
          </w:tcPr>
          <w:p>
            <w:r>
              <w:rPr>
                <w:sz w:val="17"/>
              </w:rPr>
              <w:t>J+3  ⭐</w:t>
            </w:r>
          </w:p>
        </w:tc>
        <w:tc>
          <w:tcPr>
            <w:tcW w:type="dxa" w:w="1440"/>
            <w:shd w:fill="FFDCE0" w:val="clear"/>
          </w:tcPr>
          <w:p>
            <w:r>
              <w:rPr>
                <w:sz w:val="17"/>
              </w:rPr>
              <w:t>2026-09-02</w:t>
            </w:r>
          </w:p>
        </w:tc>
        <w:tc>
          <w:tcPr>
            <w:tcW w:type="dxa" w:w="1440"/>
            <w:shd w:fill="FFDCE0" w:val="clear"/>
          </w:tcPr>
          <w:p>
            <w:r>
              <w:rPr>
                <w:sz w:val="17"/>
              </w:rPr>
              <w:t>3,254</w:t>
            </w:r>
          </w:p>
        </w:tc>
        <w:tc>
          <w:tcPr>
            <w:tcW w:type="dxa" w:w="1440"/>
            <w:shd w:fill="FFDCE0" w:val="clear"/>
          </w:tcPr>
          <w:p>
            <w:r>
              <w:rPr>
                <w:b/>
                <w:sz w:val="17"/>
              </w:rPr>
              <w:t>3,522</w:t>
            </w:r>
          </w:p>
        </w:tc>
        <w:tc>
          <w:tcPr>
            <w:tcW w:type="dxa" w:w="1440"/>
            <w:shd w:fill="FFDCE0" w:val="clear"/>
          </w:tcPr>
          <w:p>
            <w:r>
              <w:rPr>
                <w:sz w:val="17"/>
              </w:rPr>
              <w:t>3,790</w:t>
            </w:r>
          </w:p>
        </w:tc>
        <w:tc>
          <w:tcPr>
            <w:tcW w:type="dxa" w:w="1440"/>
            <w:shd w:fill="FFDCE0" w:val="clear"/>
          </w:tcPr>
          <w:p>
            <w:r>
              <w:rPr>
                <w:b/>
                <w:color w:val="C00000"/>
                <w:sz w:val="17"/>
              </w:rPr>
              <w:t>-7.2%</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3,169</w:t>
            </w:r>
          </w:p>
        </w:tc>
        <w:tc>
          <w:tcPr>
            <w:tcW w:type="dxa" w:w="1440"/>
            <w:shd w:fill="FFDCE0" w:val="clear"/>
          </w:tcPr>
          <w:p>
            <w:r>
              <w:rPr>
                <w:b/>
                <w:sz w:val="17"/>
              </w:rPr>
              <w:t>3,475</w:t>
            </w:r>
          </w:p>
        </w:tc>
        <w:tc>
          <w:tcPr>
            <w:tcW w:type="dxa" w:w="1440"/>
            <w:shd w:fill="FFDCE0" w:val="clear"/>
          </w:tcPr>
          <w:p>
            <w:r>
              <w:rPr>
                <w:sz w:val="17"/>
              </w:rPr>
              <w:t>3,780</w:t>
            </w:r>
          </w:p>
        </w:tc>
        <w:tc>
          <w:tcPr>
            <w:tcW w:type="dxa" w:w="1440"/>
            <w:shd w:fill="FFDCE0" w:val="clear"/>
          </w:tcPr>
          <w:p>
            <w:r>
              <w:rPr>
                <w:b/>
                <w:color w:val="C00000"/>
                <w:sz w:val="17"/>
              </w:rPr>
              <w:t>-8.4%</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3,095</w:t>
            </w:r>
          </w:p>
        </w:tc>
        <w:tc>
          <w:tcPr>
            <w:tcW w:type="dxa" w:w="1440"/>
            <w:shd w:fill="FFDCE0" w:val="clear"/>
          </w:tcPr>
          <w:p>
            <w:r>
              <w:rPr>
                <w:b/>
                <w:sz w:val="17"/>
              </w:rPr>
              <w:t>3,432</w:t>
            </w:r>
          </w:p>
        </w:tc>
        <w:tc>
          <w:tcPr>
            <w:tcW w:type="dxa" w:w="1440"/>
            <w:shd w:fill="FFDCE0" w:val="clear"/>
          </w:tcPr>
          <w:p>
            <w:r>
              <w:rPr>
                <w:sz w:val="17"/>
              </w:rPr>
              <w:t>3,770</w:t>
            </w:r>
          </w:p>
        </w:tc>
        <w:tc>
          <w:tcPr>
            <w:tcW w:type="dxa" w:w="1440"/>
            <w:shd w:fill="FFDCE0" w:val="clear"/>
          </w:tcPr>
          <w:p>
            <w:r>
              <w:rPr>
                <w:b/>
                <w:color w:val="C00000"/>
                <w:sz w:val="17"/>
              </w:rPr>
              <w:t>-9.6%</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3,028</w:t>
            </w:r>
          </w:p>
        </w:tc>
        <w:tc>
          <w:tcPr>
            <w:tcW w:type="dxa" w:w="1440"/>
            <w:shd w:fill="FFDCE0" w:val="clear"/>
          </w:tcPr>
          <w:p>
            <w:r>
              <w:rPr>
                <w:b/>
                <w:sz w:val="17"/>
              </w:rPr>
              <w:t>3,393</w:t>
            </w:r>
          </w:p>
        </w:tc>
        <w:tc>
          <w:tcPr>
            <w:tcW w:type="dxa" w:w="1440"/>
            <w:shd w:fill="FFDCE0" w:val="clear"/>
          </w:tcPr>
          <w:p>
            <w:r>
              <w:rPr>
                <w:sz w:val="17"/>
              </w:rPr>
              <w:t>3,759</w:t>
            </w:r>
          </w:p>
        </w:tc>
        <w:tc>
          <w:tcPr>
            <w:tcW w:type="dxa" w:w="1440"/>
            <w:shd w:fill="FFDCE0" w:val="clear"/>
          </w:tcPr>
          <w:p>
            <w:r>
              <w:rPr>
                <w:b/>
                <w:color w:val="C00000"/>
                <w:sz w:val="17"/>
              </w:rPr>
              <w:t>-10.6%</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2,966</w:t>
            </w:r>
          </w:p>
        </w:tc>
        <w:tc>
          <w:tcPr>
            <w:tcW w:type="dxa" w:w="1440"/>
            <w:shd w:fill="FFDCE0" w:val="clear"/>
          </w:tcPr>
          <w:p>
            <w:r>
              <w:rPr>
                <w:b/>
                <w:sz w:val="17"/>
              </w:rPr>
              <w:t>3,357</w:t>
            </w:r>
          </w:p>
        </w:tc>
        <w:tc>
          <w:tcPr>
            <w:tcW w:type="dxa" w:w="1440"/>
            <w:shd w:fill="FFDCE0" w:val="clear"/>
          </w:tcPr>
          <w:p>
            <w:r>
              <w:rPr>
                <w:sz w:val="17"/>
              </w:rPr>
              <w:t>3,747</w:t>
            </w:r>
          </w:p>
        </w:tc>
        <w:tc>
          <w:tcPr>
            <w:tcW w:type="dxa" w:w="1440"/>
            <w:shd w:fill="FFDCE0" w:val="clear"/>
          </w:tcPr>
          <w:p>
            <w:r>
              <w:rPr>
                <w:b/>
                <w:color w:val="C00000"/>
                <w:sz w:val="17"/>
              </w:rPr>
              <w:t>-11.6%</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2,909</w:t>
            </w:r>
          </w:p>
        </w:tc>
        <w:tc>
          <w:tcPr>
            <w:tcW w:type="dxa" w:w="1440"/>
            <w:shd w:fill="FFDCE0" w:val="clear"/>
          </w:tcPr>
          <w:p>
            <w:r>
              <w:rPr>
                <w:b/>
                <w:sz w:val="17"/>
              </w:rPr>
              <w:t>3,322</w:t>
            </w:r>
          </w:p>
        </w:tc>
        <w:tc>
          <w:tcPr>
            <w:tcW w:type="dxa" w:w="1440"/>
            <w:shd w:fill="FFDCE0" w:val="clear"/>
          </w:tcPr>
          <w:p>
            <w:r>
              <w:rPr>
                <w:sz w:val="17"/>
              </w:rPr>
              <w:t>3,735</w:t>
            </w:r>
          </w:p>
        </w:tc>
        <w:tc>
          <w:tcPr>
            <w:tcW w:type="dxa" w:w="1440"/>
            <w:shd w:fill="FFDCE0" w:val="clear"/>
          </w:tcPr>
          <w:p>
            <w:r>
              <w:rPr>
                <w:b/>
                <w:color w:val="C00000"/>
                <w:sz w:val="17"/>
              </w:rPr>
              <w:t>-12.5%</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2,856</w:t>
            </w:r>
          </w:p>
        </w:tc>
        <w:tc>
          <w:tcPr>
            <w:tcW w:type="dxa" w:w="1440"/>
            <w:shd w:fill="FFDCE0" w:val="clear"/>
          </w:tcPr>
          <w:p>
            <w:r>
              <w:rPr>
                <w:b/>
                <w:sz w:val="17"/>
              </w:rPr>
              <w:t>3,290</w:t>
            </w:r>
          </w:p>
        </w:tc>
        <w:tc>
          <w:tcPr>
            <w:tcW w:type="dxa" w:w="1440"/>
            <w:shd w:fill="FFDCE0" w:val="clear"/>
          </w:tcPr>
          <w:p>
            <w:r>
              <w:rPr>
                <w:sz w:val="17"/>
              </w:rPr>
              <w:t>3,723</w:t>
            </w:r>
          </w:p>
        </w:tc>
        <w:tc>
          <w:tcPr>
            <w:tcW w:type="dxa" w:w="1440"/>
            <w:shd w:fill="FFDCE0" w:val="clear"/>
          </w:tcPr>
          <w:p>
            <w:r>
              <w:rPr>
                <w:b/>
                <w:color w:val="C00000"/>
                <w:sz w:val="17"/>
              </w:rPr>
              <w:t>-13.3%</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2,806</w:t>
            </w:r>
          </w:p>
        </w:tc>
        <w:tc>
          <w:tcPr>
            <w:tcW w:type="dxa" w:w="1440"/>
            <w:shd w:fill="FFDCE0" w:val="clear"/>
          </w:tcPr>
          <w:p>
            <w:r>
              <w:rPr>
                <w:b/>
                <w:sz w:val="17"/>
              </w:rPr>
              <w:t>3,259</w:t>
            </w:r>
          </w:p>
        </w:tc>
        <w:tc>
          <w:tcPr>
            <w:tcW w:type="dxa" w:w="1440"/>
            <w:shd w:fill="FFDCE0" w:val="clear"/>
          </w:tcPr>
          <w:p>
            <w:r>
              <w:rPr>
                <w:sz w:val="17"/>
              </w:rPr>
              <w:t>3,712</w:t>
            </w:r>
          </w:p>
        </w:tc>
        <w:tc>
          <w:tcPr>
            <w:tcW w:type="dxa" w:w="1440"/>
            <w:shd w:fill="FFDCE0" w:val="clear"/>
          </w:tcPr>
          <w:p>
            <w:r>
              <w:rPr>
                <w:b/>
                <w:color w:val="C00000"/>
                <w:sz w:val="17"/>
              </w:rPr>
              <w:t>-14.1%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TTLS s'établit à 123,63 milliards FCFA, un niveau significatif qui en fait l'une des valeurs moyennes les plus notables de la BRVM, reflétant la position dominante de l'entreprise sur le marché sénégalais des produits pétroliers. Avec un BPA de 208 FCFA, chaque action génère un bénéfice modeste mais stable, typique du secteur de la distribution. Le PER de 18,2x est nettement supérieur à la moyenne historique de la BRVM (8-12x), indiquant que les investisseurs acceptent de payer une prime substantielle pour la qualité perçue du titre et sa liquidité. Le P/B de 4,38x confirme cette prime, le marché valorisant le titre à plus de quatre fois sa valeur comptable, ce qui reflète des attentes de croissance ou de rendement élevées. Enfin, l'EV/EBITDA de 7,7x se situe dans une fourchette raisonnable (5-10x), suggérant que la valorisation de l'entreprise par rapport à sa capacité opérationnelle reste soutenable malgré les primes sur les autres ratios.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TTLS affiche une progression totale de +13,28%, avec une dernière séance particulièrement dynamique en hausse de +2,99% à 3 795 FCFA. Le titre a évolué dans une fourchette large de 2 845 à 4 500 FCFA, démontrant une amplitude de trading considérable qui témoigne d'une volatilité marquée. La moyenne du cours sur la période est de 3 508 FCFA, légèrement supérieure à la médiane de 3 468 FCFA, indiquant une distribution légèrement asymétrique positive (skewness de 0,522), avec davantage de journées sous la moyenne mais quelques fortes hausses qui tirent la moyenne vers le haut. L'écart-type de 370 FCFA représente un coefficient de variation de 10,6%, une dispersion modérée, tandis que le kurtosis de -0,159 (mésokurtique) suggère une distribution proche de la normale, sans risque de pics extrêmes. La volatilité annualisée de 47,9% classe le titre dans la catégorie des valeurs à forte volatilité (&gt;30%), ce qui implique un risque élevé mais aussi un potentiel de rendement significatif pour les investisseurs aguerris.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à 3 688,5 FCFA et la MM50 à 3 796,9 FCFA encadrent le cours actuel de 3 795 FCFA, qui se situe juste au niveau de la MM50. Le fait que le cours soit inférieur à la MM50 génère un signal de vente, bien que la proximité du cours avec cette moyenne suggère une possible résistance à ce niveau. La MM20 étant inférieure à la MM50, la tendance de fond reste baissière à moyen terme, mais le cours teste actuellement cette résistance.</w:t>
      </w:r>
    </w:p>
    <w:p>
      <w:pPr>
        <w:spacing w:after="120" w:line="276" w:lineRule="auto"/>
      </w:pPr>
      <w:r>
        <w:t>**Bandes de Bollinger** : Le cours à 3 795 FCFA se positionne dans la partie supérieure des bandes, entre la borne inférieure à 3 435,5 FCFA et la borne supérieure à 3 941,5 FCFA. Cette position médiane-haute indique une volatilité normale sans situation de surachat ou de survente. La décision neutre est justifiée par l'absence de signal directionnel fort, le cours n'ayant pas encore atteint les extrêmes des bandes.</w:t>
      </w:r>
    </w:p>
    <w:p>
      <w:pPr>
        <w:spacing w:after="120" w:line="276" w:lineRule="auto"/>
      </w:pPr>
      <w:r>
        <w:t>**MACD** : Avec une valeur de 13,882 et un signal à -3,085, le MACD est positif et nettement au-dessus de sa ligne de signal, générant un signal d'achat clair. Cette configuration indique un momentum haussier en cours de formation, avec une divergence positive qui suggère une accélération de la tendance haussière à court terme.</w:t>
      </w:r>
    </w:p>
    <w:p>
      <w:pPr>
        <w:spacing w:after="120" w:line="276" w:lineRule="auto"/>
      </w:pPr>
      <w:r>
        <w:t>**RSI** : Le RSI à 63,594 se situe dans la zone neutre (30-70), mais proche de la zone de surachat (70). Cette valeur indique une pression acheteuse modérée sans excès, laissant une marge de progression avant d'atteindre des niveaux de surachat. La décision neutre est cohérente avec cette lecture, le titre n'étant ni survendu ni suracheté.</w:t>
      </w:r>
    </w:p>
    <w:p>
      <w:pPr>
        <w:spacing w:after="120" w:line="276" w:lineRule="auto"/>
      </w:pPr>
      <w:r>
        <w:t>**Stochastique** : Le %K à 55,263 et le %D à 53,188 sont proches et en zone neutre, indiquant une absence de signal directionnel fort. Le croisement n'est pas encore net, mais la proximité des deux lignes suggère une possible consolidation avant un mouvement directionnel. La décision neutre est justifiée par cette configuration indécise.</w:t>
      </w:r>
    </w:p>
    <w:p>
      <w:pPr>
        <w:spacing w:after="120" w:line="276" w:lineRule="auto"/>
      </w:pPr>
      <w:r>
        <w:t>**Conclusion technique** : La convergence des indicateurs est mitigée, avec un signal d'achat du MACD contrastant avec la décision de vente des moyennes mobiles et la neutralité des autres indicateurs. Le titre semble dans une phase de transition, testant des niveaux de résistance clés. La tendance haussière récente (+13,28% sur 100 jours) et le momentum positif du MACD suggèrent une possible poursuite du mouvement haussier, mais la prudence reste de mise tant que le cours n'aura pas franchi durablement la MM50 à 3 797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TTLS affiche un chiffre d'affaires de 455,209 milliards FCFA, en baisse de 6,1% par rapport à 2024 (484,945 milliards FCFA), une contraction principalement attribuée à l'arrêt stratégique de la commercialisation du fuel lourd. Le résultat net s'établit à 6,779 milliards FCFA, en recul de 5,1% par rapport aux 7,140 milliards FCFA de 2024, mais la marge nette s'améliore légèrement à 1,49%. Le ROE de 24,01% est excellent, nettement supérieur au seuil de 15% considéré comme satisfaisant, tandis que le ROA de 3,95% reflète une rotation des actifs très élevée (265%). Le BFR négatif de -36,899 milliards FCFA est un signal très favorable, indiquant que l'entreprise finance son exploitation grâce aux délais fournisseurs (97,76 jours) nettement supérieurs aux délais clients (47,43 jours). La trésorerie nette positive de 13,941 milliards FCFA et la capacité de remboursement de 0,94 an témoignent d'une solidité financière remarquable. Les rapports trimestriels 2025 confirment la transformation stratégique : le S1 2025 montre une progression de 22% du résultat d'exploitation malgré une baisse de 3% du CA, et le T1 2026 (rapport du 31 mars 2026) révèle une hausse de 28% du résultat d'exploitation à 2,623 milliards FCFA malgré une baisse de 10% du CA, grâce à l'amélioration des marges sur les lubrifiants. Sur la base de ces tendances, on estime que l'exercice 2026 devrait maintenir une rentabilité opérationnelle en amélioration, avec un résultat net potentiellement stable autour de 6,5-7 milliards FCFA. La recommandation fondamentale est de conserver, compte tenu de la solidité financière, de la position de leader (140 stations-service) et des perspectives de croissance liées aux projets Sangomar et GNL, malgré la pression réglementaire sur les prix.</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fait ressortir une situation contrastée pour TTLS. La valorisation (PER 18,2x, P/B 4,38x) apparaît exigeante par rapport aux moyennes BRVM, mais l'EV/EBITDA raisonnable (7,7x) et le ROE exceptionnel (24%) justifient partiellement cette prime. Le comportement du cours sur 100 jours (+13,28%) est positif, avec une volatilité élevée (47,9%) qui offre des opportunités mais aussi des risques. Les signaux techniques sont mitigés, avec un MACD haussier contrastant avec des moyennes mobiles baissières, suggérant une phase de transition. Les fondamentaux sont solides : BFR négatif, trésorerie nette positive, et amélioration de la rentabilité opérationnelle malgré la baisse du CA. Les prédictions IA pour les 10 prochains jours (3 638 à 3 432 FCFA) indiquent une correction baissière d'environ 10%, ce qui contredit le momentum haussier récent et suggère une possible consolidation technique. Cette divergence entre les signaux techniques et les prédictions IA appelle à la prudence. La recommandation finale est **CONSERVER** avec un niveau de confiance **Moyen** et un risque global **Moyen**. L'horizon d'investissement optimal est le **moyen terme (3-12 mois)**, permettant d'absorber la volatilité à court terme et de bénéficier des fondamentaux solides et des perspectives de croissance liées aux nouveaux projets énergétiques sénégalais.</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479.37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23 titres</w:t>
            </w:r>
          </w:p>
        </w:tc>
        <w:tc>
          <w:tcPr>
            <w:tcW w:type="dxa" w:w="2268"/>
            <w:shd w:fill="FFF2CC" w:val="clear"/>
          </w:tcPr>
          <w:p>
            <w:r>
              <w:rPr>
                <w:b/>
                <w:color w:val="503200"/>
                <w:sz w:val="16"/>
              </w:rPr>
              <w:t xml:space="preserve">Cours actuel : </w:t>
            </w:r>
            <w:r>
              <w:rPr>
                <w:color w:val="000000"/>
                <w:sz w:val="17"/>
              </w:rPr>
              <w:t>52,200 FCFA</w:t>
            </w:r>
          </w:p>
          <w:p>
            <w:r>
              <w:rPr>
                <w:b/>
                <w:color w:val="503200"/>
                <w:sz w:val="16"/>
              </w:rPr>
              <w:t xml:space="preserve">Var. 100 jours : </w:t>
            </w:r>
            <w:r>
              <w:rPr>
                <w:b/>
                <w:color w:val="B40000"/>
                <w:sz w:val="17"/>
              </w:rPr>
              <w:t>-8.56%</w:t>
            </w:r>
          </w:p>
          <w:p>
            <w:r>
              <w:rPr>
                <w:b/>
                <w:color w:val="503200"/>
                <w:sz w:val="16"/>
              </w:rPr>
              <w:t xml:space="preserve">Plus haut 100j : </w:t>
            </w:r>
            <w:r>
              <w:rPr>
                <w:color w:val="000000"/>
                <w:sz w:val="17"/>
              </w:rPr>
              <w:t>69,005 FCFA</w:t>
            </w:r>
          </w:p>
          <w:p>
            <w:r>
              <w:rPr>
                <w:b/>
                <w:color w:val="503200"/>
                <w:sz w:val="16"/>
              </w:rPr>
              <w:t xml:space="preserve">Plus bas 100j : </w:t>
            </w:r>
            <w:r>
              <w:rPr>
                <w:color w:val="000000"/>
                <w:sz w:val="17"/>
              </w:rPr>
              <w:t>50,000 FCFA</w:t>
            </w:r>
          </w:p>
          <w:p>
            <w:r>
              <w:rPr>
                <w:b/>
                <w:color w:val="503200"/>
                <w:sz w:val="16"/>
              </w:rPr>
              <w:t xml:space="preserve">Volatilité ann. : </w:t>
            </w:r>
            <w:r>
              <w:rPr>
                <w:color w:val="000000"/>
                <w:sz w:val="17"/>
              </w:rPr>
              <w:t>62.8%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24.8/100 → Moyen</w:t>
      </w:r>
    </w:p>
    <w:p>
      <w:pPr>
        <w:spacing w:before="40" w:after="80"/>
      </w:pPr>
      <w:r>
        <w:rPr>
          <w:rFonts w:ascii="Courier New" w:hAnsi="Courier New"/>
          <w:color w:val="825A00"/>
          <w:sz w:val="18"/>
        </w:rPr>
        <w:t>████░░░░░░░░░░░░░░░░  24.8/100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6.26% (Moyenne) — μ=56,684 FCFA, σ=3,551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β=0.3917 (Défensif) — Cov=0.000014, Var(idx)=0.000037, ρ=0.061, n=95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23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σ_j=3.96%/j (Modérée) — Vol. annualisée≈62.8%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2026-08-31</w:t>
            </w:r>
          </w:p>
        </w:tc>
        <w:tc>
          <w:tcPr>
            <w:tcW w:type="dxa" w:w="1440"/>
            <w:shd w:fill="C6EFCE" w:val="clear"/>
          </w:tcPr>
          <w:p>
            <w:r>
              <w:rPr>
                <w:sz w:val="17"/>
              </w:rPr>
              <w:t>50,849</w:t>
            </w:r>
          </w:p>
        </w:tc>
        <w:tc>
          <w:tcPr>
            <w:tcW w:type="dxa" w:w="1440"/>
            <w:shd w:fill="C6EFCE" w:val="clear"/>
          </w:tcPr>
          <w:p>
            <w:r>
              <w:rPr>
                <w:b/>
                <w:sz w:val="17"/>
              </w:rPr>
              <w:t>54,054</w:t>
            </w:r>
          </w:p>
        </w:tc>
        <w:tc>
          <w:tcPr>
            <w:tcW w:type="dxa" w:w="1440"/>
            <w:shd w:fill="C6EFCE" w:val="clear"/>
          </w:tcPr>
          <w:p>
            <w:r>
              <w:rPr>
                <w:sz w:val="17"/>
              </w:rPr>
              <w:t>57,258</w:t>
            </w:r>
          </w:p>
        </w:tc>
        <w:tc>
          <w:tcPr>
            <w:tcW w:type="dxa" w:w="1440"/>
            <w:shd w:fill="C6EFCE" w:val="clear"/>
          </w:tcPr>
          <w:p>
            <w:r>
              <w:rPr>
                <w:b/>
                <w:color w:val="008000"/>
                <w:sz w:val="17"/>
              </w:rPr>
              <w:t>+3.6%</w:t>
            </w:r>
          </w:p>
        </w:tc>
      </w:tr>
      <w:tr>
        <w:tc>
          <w:tcPr>
            <w:tcW w:type="dxa" w:w="1440"/>
            <w:shd w:fill="C6EFCE" w:val="clear"/>
          </w:tcPr>
          <w:p>
            <w:r>
              <w:rPr>
                <w:sz w:val="17"/>
              </w:rPr>
              <w:t>J+2  ⭐</w:t>
            </w:r>
          </w:p>
        </w:tc>
        <w:tc>
          <w:tcPr>
            <w:tcW w:type="dxa" w:w="1440"/>
            <w:shd w:fill="C6EFCE" w:val="clear"/>
          </w:tcPr>
          <w:p>
            <w:r>
              <w:rPr>
                <w:sz w:val="17"/>
              </w:rPr>
              <w:t>2026-09-01</w:t>
            </w:r>
          </w:p>
        </w:tc>
        <w:tc>
          <w:tcPr>
            <w:tcW w:type="dxa" w:w="1440"/>
            <w:shd w:fill="C6EFCE" w:val="clear"/>
          </w:tcPr>
          <w:p>
            <w:r>
              <w:rPr>
                <w:sz w:val="17"/>
              </w:rPr>
              <w:t>49,825</w:t>
            </w:r>
          </w:p>
        </w:tc>
        <w:tc>
          <w:tcPr>
            <w:tcW w:type="dxa" w:w="1440"/>
            <w:shd w:fill="C6EFCE" w:val="clear"/>
          </w:tcPr>
          <w:p>
            <w:r>
              <w:rPr>
                <w:b/>
                <w:sz w:val="17"/>
              </w:rPr>
              <w:t>54,384</w:t>
            </w:r>
          </w:p>
        </w:tc>
        <w:tc>
          <w:tcPr>
            <w:tcW w:type="dxa" w:w="1440"/>
            <w:shd w:fill="C6EFCE" w:val="clear"/>
          </w:tcPr>
          <w:p>
            <w:r>
              <w:rPr>
                <w:sz w:val="17"/>
              </w:rPr>
              <w:t>58,943</w:t>
            </w:r>
          </w:p>
        </w:tc>
        <w:tc>
          <w:tcPr>
            <w:tcW w:type="dxa" w:w="1440"/>
            <w:shd w:fill="C6EFCE" w:val="clear"/>
          </w:tcPr>
          <w:p>
            <w:r>
              <w:rPr>
                <w:b/>
                <w:color w:val="008000"/>
                <w:sz w:val="17"/>
              </w:rPr>
              <w:t>+4.2%</w:t>
            </w:r>
          </w:p>
        </w:tc>
      </w:tr>
      <w:tr>
        <w:tc>
          <w:tcPr>
            <w:tcW w:type="dxa" w:w="1440"/>
            <w:shd w:fill="C6EFCE" w:val="clear"/>
          </w:tcPr>
          <w:p>
            <w:r>
              <w:rPr>
                <w:sz w:val="17"/>
              </w:rPr>
              <w:t>J+3  ⭐</w:t>
            </w:r>
          </w:p>
        </w:tc>
        <w:tc>
          <w:tcPr>
            <w:tcW w:type="dxa" w:w="1440"/>
            <w:shd w:fill="C6EFCE" w:val="clear"/>
          </w:tcPr>
          <w:p>
            <w:r>
              <w:rPr>
                <w:sz w:val="17"/>
              </w:rPr>
              <w:t>2026-09-02</w:t>
            </w:r>
          </w:p>
        </w:tc>
        <w:tc>
          <w:tcPr>
            <w:tcW w:type="dxa" w:w="1440"/>
            <w:shd w:fill="C6EFCE" w:val="clear"/>
          </w:tcPr>
          <w:p>
            <w:r>
              <w:rPr>
                <w:sz w:val="17"/>
              </w:rPr>
              <w:t>49,276</w:t>
            </w:r>
          </w:p>
        </w:tc>
        <w:tc>
          <w:tcPr>
            <w:tcW w:type="dxa" w:w="1440"/>
            <w:shd w:fill="C6EFCE" w:val="clear"/>
          </w:tcPr>
          <w:p>
            <w:r>
              <w:rPr>
                <w:b/>
                <w:sz w:val="17"/>
              </w:rPr>
              <w:t>54,914</w:t>
            </w:r>
          </w:p>
        </w:tc>
        <w:tc>
          <w:tcPr>
            <w:tcW w:type="dxa" w:w="1440"/>
            <w:shd w:fill="C6EFCE" w:val="clear"/>
          </w:tcPr>
          <w:p>
            <w:r>
              <w:rPr>
                <w:sz w:val="17"/>
              </w:rPr>
              <w:t>60,552</w:t>
            </w:r>
          </w:p>
        </w:tc>
        <w:tc>
          <w:tcPr>
            <w:tcW w:type="dxa" w:w="1440"/>
            <w:shd w:fill="C6EFCE" w:val="clear"/>
          </w:tcPr>
          <w:p>
            <w:r>
              <w:rPr>
                <w:b/>
                <w:color w:val="008000"/>
                <w:sz w:val="17"/>
              </w:rPr>
              <w:t>+5.2%</w:t>
            </w:r>
          </w:p>
        </w:tc>
      </w:tr>
      <w:tr>
        <w:tc>
          <w:tcPr>
            <w:tcW w:type="dxa" w:w="1440"/>
            <w:shd w:fill="C6EFCE" w:val="clear"/>
          </w:tcPr>
          <w:p>
            <w:r>
              <w:rPr>
                <w:sz w:val="17"/>
              </w:rPr>
              <w:t>J+4  ⭐</w:t>
            </w:r>
          </w:p>
        </w:tc>
        <w:tc>
          <w:tcPr>
            <w:tcW w:type="dxa" w:w="1440"/>
            <w:shd w:fill="C6EFCE" w:val="clear"/>
          </w:tcPr>
          <w:p>
            <w:r>
              <w:rPr>
                <w:sz w:val="17"/>
              </w:rPr>
              <w:t>2026-09-03</w:t>
            </w:r>
          </w:p>
        </w:tc>
        <w:tc>
          <w:tcPr>
            <w:tcW w:type="dxa" w:w="1440"/>
            <w:shd w:fill="C6EFCE" w:val="clear"/>
          </w:tcPr>
          <w:p>
            <w:r>
              <w:rPr>
                <w:sz w:val="17"/>
              </w:rPr>
              <w:t>48,923</w:t>
            </w:r>
          </w:p>
        </w:tc>
        <w:tc>
          <w:tcPr>
            <w:tcW w:type="dxa" w:w="1440"/>
            <w:shd w:fill="C6EFCE" w:val="clear"/>
          </w:tcPr>
          <w:p>
            <w:r>
              <w:rPr>
                <w:b/>
                <w:sz w:val="17"/>
              </w:rPr>
              <w:t>55,503</w:t>
            </w:r>
          </w:p>
        </w:tc>
        <w:tc>
          <w:tcPr>
            <w:tcW w:type="dxa" w:w="1440"/>
            <w:shd w:fill="C6EFCE" w:val="clear"/>
          </w:tcPr>
          <w:p>
            <w:r>
              <w:rPr>
                <w:sz w:val="17"/>
              </w:rPr>
              <w:t>62,083</w:t>
            </w:r>
          </w:p>
        </w:tc>
        <w:tc>
          <w:tcPr>
            <w:tcW w:type="dxa" w:w="1440"/>
            <w:shd w:fill="C6EFCE" w:val="clear"/>
          </w:tcPr>
          <w:p>
            <w:r>
              <w:rPr>
                <w:b/>
                <w:color w:val="008000"/>
                <w:sz w:val="17"/>
              </w:rPr>
              <w:t>+6.3%</w:t>
            </w:r>
          </w:p>
        </w:tc>
      </w:tr>
      <w:tr>
        <w:tc>
          <w:tcPr>
            <w:tcW w:type="dxa" w:w="1440"/>
            <w:shd w:fill="C6EFCE" w:val="clear"/>
          </w:tcPr>
          <w:p>
            <w:r>
              <w:rPr>
                <w:sz w:val="17"/>
              </w:rPr>
              <w:t>J+5  ⭐</w:t>
            </w:r>
          </w:p>
        </w:tc>
        <w:tc>
          <w:tcPr>
            <w:tcW w:type="dxa" w:w="1440"/>
            <w:shd w:fill="C6EFCE" w:val="clear"/>
          </w:tcPr>
          <w:p>
            <w:r>
              <w:rPr>
                <w:sz w:val="17"/>
              </w:rPr>
              <w:t>2026-09-04</w:t>
            </w:r>
          </w:p>
        </w:tc>
        <w:tc>
          <w:tcPr>
            <w:tcW w:type="dxa" w:w="1440"/>
            <w:shd w:fill="C6EFCE" w:val="clear"/>
          </w:tcPr>
          <w:p>
            <w:r>
              <w:rPr>
                <w:sz w:val="17"/>
              </w:rPr>
              <w:t>48,679</w:t>
            </w:r>
          </w:p>
        </w:tc>
        <w:tc>
          <w:tcPr>
            <w:tcW w:type="dxa" w:w="1440"/>
            <w:shd w:fill="C6EFCE" w:val="clear"/>
          </w:tcPr>
          <w:p>
            <w:r>
              <w:rPr>
                <w:b/>
                <w:sz w:val="17"/>
              </w:rPr>
              <w:t>56,117</w:t>
            </w:r>
          </w:p>
        </w:tc>
        <w:tc>
          <w:tcPr>
            <w:tcW w:type="dxa" w:w="1440"/>
            <w:shd w:fill="C6EFCE" w:val="clear"/>
          </w:tcPr>
          <w:p>
            <w:r>
              <w:rPr>
                <w:sz w:val="17"/>
              </w:rPr>
              <w:t>63,555</w:t>
            </w:r>
          </w:p>
        </w:tc>
        <w:tc>
          <w:tcPr>
            <w:tcW w:type="dxa" w:w="1440"/>
            <w:shd w:fill="C6EFCE" w:val="clear"/>
          </w:tcPr>
          <w:p>
            <w:r>
              <w:rPr>
                <w:b/>
                <w:color w:val="008000"/>
                <w:sz w:val="17"/>
              </w:rPr>
              <w:t>+7.5%</w:t>
            </w:r>
          </w:p>
        </w:tc>
      </w:tr>
      <w:tr>
        <w:tc>
          <w:tcPr>
            <w:tcW w:type="dxa" w:w="1440"/>
            <w:shd w:fill="C6EFCE" w:val="clear"/>
          </w:tcPr>
          <w:p>
            <w:r>
              <w:rPr>
                <w:sz w:val="17"/>
              </w:rPr>
              <w:t>J+6  ⭐</w:t>
            </w:r>
          </w:p>
        </w:tc>
        <w:tc>
          <w:tcPr>
            <w:tcW w:type="dxa" w:w="1440"/>
            <w:shd w:fill="C6EFCE" w:val="clear"/>
          </w:tcPr>
          <w:p>
            <w:r>
              <w:rPr>
                <w:sz w:val="17"/>
              </w:rPr>
              <w:t>2026-09-07</w:t>
            </w:r>
          </w:p>
        </w:tc>
        <w:tc>
          <w:tcPr>
            <w:tcW w:type="dxa" w:w="1440"/>
            <w:shd w:fill="C6EFCE" w:val="clear"/>
          </w:tcPr>
          <w:p>
            <w:r>
              <w:rPr>
                <w:sz w:val="17"/>
              </w:rPr>
              <w:t>48,505</w:t>
            </w:r>
          </w:p>
        </w:tc>
        <w:tc>
          <w:tcPr>
            <w:tcW w:type="dxa" w:w="1440"/>
            <w:shd w:fill="C6EFCE" w:val="clear"/>
          </w:tcPr>
          <w:p>
            <w:r>
              <w:rPr>
                <w:b/>
                <w:sz w:val="17"/>
              </w:rPr>
              <w:t>56,744</w:t>
            </w:r>
          </w:p>
        </w:tc>
        <w:tc>
          <w:tcPr>
            <w:tcW w:type="dxa" w:w="1440"/>
            <w:shd w:fill="C6EFCE" w:val="clear"/>
          </w:tcPr>
          <w:p>
            <w:r>
              <w:rPr>
                <w:sz w:val="17"/>
              </w:rPr>
              <w:t>64,983</w:t>
            </w:r>
          </w:p>
        </w:tc>
        <w:tc>
          <w:tcPr>
            <w:tcW w:type="dxa" w:w="1440"/>
            <w:shd w:fill="C6EFCE" w:val="clear"/>
          </w:tcPr>
          <w:p>
            <w:r>
              <w:rPr>
                <w:b/>
                <w:color w:val="008000"/>
                <w:sz w:val="17"/>
              </w:rPr>
              <w:t>+8.7%</w:t>
            </w:r>
          </w:p>
        </w:tc>
      </w:tr>
      <w:tr>
        <w:tc>
          <w:tcPr>
            <w:tcW w:type="dxa" w:w="1440"/>
            <w:shd w:fill="C6EFCE" w:val="clear"/>
          </w:tcPr>
          <w:p>
            <w:r>
              <w:rPr>
                <w:sz w:val="17"/>
              </w:rPr>
              <w:t>J+7  ⭐</w:t>
            </w:r>
          </w:p>
        </w:tc>
        <w:tc>
          <w:tcPr>
            <w:tcW w:type="dxa" w:w="1440"/>
            <w:shd w:fill="C6EFCE" w:val="clear"/>
          </w:tcPr>
          <w:p>
            <w:r>
              <w:rPr>
                <w:sz w:val="17"/>
              </w:rPr>
              <w:t>2026-09-08</w:t>
            </w:r>
          </w:p>
        </w:tc>
        <w:tc>
          <w:tcPr>
            <w:tcW w:type="dxa" w:w="1440"/>
            <w:shd w:fill="C6EFCE" w:val="clear"/>
          </w:tcPr>
          <w:p>
            <w:r>
              <w:rPr>
                <w:sz w:val="17"/>
              </w:rPr>
              <w:t>48,381</w:t>
            </w:r>
          </w:p>
        </w:tc>
        <w:tc>
          <w:tcPr>
            <w:tcW w:type="dxa" w:w="1440"/>
            <w:shd w:fill="C6EFCE" w:val="clear"/>
          </w:tcPr>
          <w:p>
            <w:r>
              <w:rPr>
                <w:b/>
                <w:sz w:val="17"/>
              </w:rPr>
              <w:t>57,379</w:t>
            </w:r>
          </w:p>
        </w:tc>
        <w:tc>
          <w:tcPr>
            <w:tcW w:type="dxa" w:w="1440"/>
            <w:shd w:fill="C6EFCE" w:val="clear"/>
          </w:tcPr>
          <w:p>
            <w:r>
              <w:rPr>
                <w:sz w:val="17"/>
              </w:rPr>
              <w:t>66,378</w:t>
            </w:r>
          </w:p>
        </w:tc>
        <w:tc>
          <w:tcPr>
            <w:tcW w:type="dxa" w:w="1440"/>
            <w:shd w:fill="C6EFCE" w:val="clear"/>
          </w:tcPr>
          <w:p>
            <w:r>
              <w:rPr>
                <w:b/>
                <w:color w:val="008000"/>
                <w:sz w:val="17"/>
              </w:rPr>
              <w:t>+9.9%</w:t>
            </w:r>
          </w:p>
        </w:tc>
      </w:tr>
      <w:tr>
        <w:tc>
          <w:tcPr>
            <w:tcW w:type="dxa" w:w="1440"/>
            <w:shd w:fill="C6EFCE" w:val="clear"/>
          </w:tcPr>
          <w:p>
            <w:r>
              <w:rPr>
                <w:sz w:val="17"/>
              </w:rPr>
              <w:t>J+8  ⭐</w:t>
            </w:r>
          </w:p>
        </w:tc>
        <w:tc>
          <w:tcPr>
            <w:tcW w:type="dxa" w:w="1440"/>
            <w:shd w:fill="C6EFCE" w:val="clear"/>
          </w:tcPr>
          <w:p>
            <w:r>
              <w:rPr>
                <w:sz w:val="17"/>
              </w:rPr>
              <w:t>2026-09-09</w:t>
            </w:r>
          </w:p>
        </w:tc>
        <w:tc>
          <w:tcPr>
            <w:tcW w:type="dxa" w:w="1440"/>
            <w:shd w:fill="C6EFCE" w:val="clear"/>
          </w:tcPr>
          <w:p>
            <w:r>
              <w:rPr>
                <w:sz w:val="17"/>
              </w:rPr>
              <w:t>48,293</w:t>
            </w:r>
          </w:p>
        </w:tc>
        <w:tc>
          <w:tcPr>
            <w:tcW w:type="dxa" w:w="1440"/>
            <w:shd w:fill="C6EFCE" w:val="clear"/>
          </w:tcPr>
          <w:p>
            <w:r>
              <w:rPr>
                <w:b/>
                <w:sz w:val="17"/>
              </w:rPr>
              <w:t>58,021</w:t>
            </w:r>
          </w:p>
        </w:tc>
        <w:tc>
          <w:tcPr>
            <w:tcW w:type="dxa" w:w="1440"/>
            <w:shd w:fill="C6EFCE" w:val="clear"/>
          </w:tcPr>
          <w:p>
            <w:r>
              <w:rPr>
                <w:sz w:val="17"/>
              </w:rPr>
              <w:t>67,749</w:t>
            </w:r>
          </w:p>
        </w:tc>
        <w:tc>
          <w:tcPr>
            <w:tcW w:type="dxa" w:w="1440"/>
            <w:shd w:fill="C6EFCE" w:val="clear"/>
          </w:tcPr>
          <w:p>
            <w:r>
              <w:rPr>
                <w:b/>
                <w:color w:val="008000"/>
                <w:sz w:val="17"/>
              </w:rPr>
              <w:t>+11.2%</w:t>
            </w:r>
          </w:p>
        </w:tc>
      </w:tr>
      <w:tr>
        <w:tc>
          <w:tcPr>
            <w:tcW w:type="dxa" w:w="1440"/>
            <w:shd w:fill="C6EFCE" w:val="clear"/>
          </w:tcPr>
          <w:p>
            <w:r>
              <w:rPr>
                <w:sz w:val="17"/>
              </w:rPr>
              <w:t>J+9  ⭐</w:t>
            </w:r>
          </w:p>
        </w:tc>
        <w:tc>
          <w:tcPr>
            <w:tcW w:type="dxa" w:w="1440"/>
            <w:shd w:fill="C6EFCE" w:val="clear"/>
          </w:tcPr>
          <w:p>
            <w:r>
              <w:rPr>
                <w:sz w:val="17"/>
              </w:rPr>
              <w:t>2026-09-10</w:t>
            </w:r>
          </w:p>
        </w:tc>
        <w:tc>
          <w:tcPr>
            <w:tcW w:type="dxa" w:w="1440"/>
            <w:shd w:fill="C6EFCE" w:val="clear"/>
          </w:tcPr>
          <w:p>
            <w:r>
              <w:rPr>
                <w:sz w:val="17"/>
              </w:rPr>
              <w:t>48,235</w:t>
            </w:r>
          </w:p>
        </w:tc>
        <w:tc>
          <w:tcPr>
            <w:tcW w:type="dxa" w:w="1440"/>
            <w:shd w:fill="C6EFCE" w:val="clear"/>
          </w:tcPr>
          <w:p>
            <w:r>
              <w:rPr>
                <w:b/>
                <w:sz w:val="17"/>
              </w:rPr>
              <w:t>58,668</w:t>
            </w:r>
          </w:p>
        </w:tc>
        <w:tc>
          <w:tcPr>
            <w:tcW w:type="dxa" w:w="1440"/>
            <w:shd w:fill="C6EFCE" w:val="clear"/>
          </w:tcPr>
          <w:p>
            <w:r>
              <w:rPr>
                <w:sz w:val="17"/>
              </w:rPr>
              <w:t>69,101</w:t>
            </w:r>
          </w:p>
        </w:tc>
        <w:tc>
          <w:tcPr>
            <w:tcW w:type="dxa" w:w="1440"/>
            <w:shd w:fill="C6EFCE" w:val="clear"/>
          </w:tcPr>
          <w:p>
            <w:r>
              <w:rPr>
                <w:b/>
                <w:color w:val="008000"/>
                <w:sz w:val="17"/>
              </w:rPr>
              <w:t>+12.4%</w:t>
            </w:r>
          </w:p>
        </w:tc>
      </w:tr>
      <w:tr>
        <w:tc>
          <w:tcPr>
            <w:tcW w:type="dxa" w:w="1440"/>
            <w:shd w:fill="C6EFCE" w:val="clear"/>
          </w:tcPr>
          <w:p>
            <w:r>
              <w:rPr>
                <w:sz w:val="17"/>
              </w:rPr>
              <w:t>J+10  ⭐</w:t>
            </w:r>
          </w:p>
        </w:tc>
        <w:tc>
          <w:tcPr>
            <w:tcW w:type="dxa" w:w="1440"/>
            <w:shd w:fill="C6EFCE" w:val="clear"/>
          </w:tcPr>
          <w:p>
            <w:r>
              <w:rPr>
                <w:sz w:val="17"/>
              </w:rPr>
              <w:t>2026-09-11</w:t>
            </w:r>
          </w:p>
        </w:tc>
        <w:tc>
          <w:tcPr>
            <w:tcW w:type="dxa" w:w="1440"/>
            <w:shd w:fill="C6EFCE" w:val="clear"/>
          </w:tcPr>
          <w:p>
            <w:r>
              <w:rPr>
                <w:sz w:val="17"/>
              </w:rPr>
              <w:t>48,199</w:t>
            </w:r>
          </w:p>
        </w:tc>
        <w:tc>
          <w:tcPr>
            <w:tcW w:type="dxa" w:w="1440"/>
            <w:shd w:fill="C6EFCE" w:val="clear"/>
          </w:tcPr>
          <w:p>
            <w:r>
              <w:rPr>
                <w:b/>
                <w:sz w:val="17"/>
              </w:rPr>
              <w:t>59,318</w:t>
            </w:r>
          </w:p>
        </w:tc>
        <w:tc>
          <w:tcPr>
            <w:tcW w:type="dxa" w:w="1440"/>
            <w:shd w:fill="C6EFCE" w:val="clear"/>
          </w:tcPr>
          <w:p>
            <w:r>
              <w:rPr>
                <w:sz w:val="17"/>
              </w:rPr>
              <w:t>70,437</w:t>
            </w:r>
          </w:p>
        </w:tc>
        <w:tc>
          <w:tcPr>
            <w:tcW w:type="dxa" w:w="1440"/>
            <w:shd w:fill="C6EFCE" w:val="clear"/>
          </w:tcPr>
          <w:p>
            <w:r>
              <w:rPr>
                <w:b/>
                <w:color w:val="008000"/>
                <w:sz w:val="17"/>
              </w:rPr>
              <w:t>+13.6%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479,37 milliards FCFA, un niveau significatif qui la positionne parmi les valeurs moyennes à grandes capitalisations de la BRVM. Cependant, les ratios de valorisation (BPA, PER, P/B, EV/EBITDA) ne sont pas calculables en raison de l'absence de données financières structurées actualisées dans la base. Cette situation est regrettable car elle prive l'investisseur d'une comparaison directe avec le PER moyen de la BRVM (8-12x). Néanmoins, sur la base des rapports financiers disponibles, le bénéfice net de 640 millions FCFA en 2023 impliquerait un PER extrêmement élevé (environ 750x), ce qui traduirait une valorisation très onéreuse par rapport aux bénéfices actuels. Cette absence de ratios calculables constitue un signal d'alerte sur la pertinence de la valorisation actuelle au regard des fondamentaux historiques.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des 100 derniers jours, l'action UNLC a enregistré une baisse significative de -8,56%, avec une dernière séance stable (+0,00%). Le cours a évolué dans une fourchette large de 50 000 à 69 005 FCFA, démontrant une amplitude de trading considérable de près de 38%. La tendance générale est baissière, le titre ayant cédé du terrain depuis ses plus hauts. Les statistiques descriptives révèlent une moyenne de 56 684 FCFA légèrement supérieure à la médiane de 56 252 FCFA, indiquant une distribution quasi symétrique avec un skewness positif de 0,537, signifiant que les journées sous la moyenne sont plus fréquentes. L'écart-type de 3 568 FCFA (CV=6,3%) témoigne d'une dispersion modérée, tandis que le kurtosis de 0,632 (mésokurtique) suggère une distribution proche de la normale, sans risque extrême de pics. La volatilité annualisée de 62,8% est très élevée, positionnant UNLC comme un titre spéculatif à fort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Les MM20 (54 268 FCFA) et MM50 (54 235 FCFA) sont très proches l'une de l'autre et se situent au-dessus du cours actuel de 52 200 FCFA. Cette configuration indique que le prix évolue sous ses moyennes mobiles, signalant une pression vendeuse persistante. La décision d'achat générée par le croisement des MM est toutefois prématurée, car le cours n'a pas encore confirmé un retour au-dessus de ces niveaux clés.</w:t>
      </w:r>
    </w:p>
    <w:p>
      <w:pPr>
        <w:spacing w:after="120" w:line="276" w:lineRule="auto"/>
      </w:pPr>
      <w:r>
        <w:t>**Bandes de Bollinger** : Le cours se positionne à 52 200 FCFA, nettement sous la borne inférieure de 49 749 FCFA et la borne supérieure de 58 787 FCFA. Cette position médiane-basse indique une volatilité modérée avec un biais baissier. La décision neutre est justifiée par l'absence de sortie franche des bandes, mais la proximité de la borne inférieure suggère un potentiel de rebond technique.</w:t>
      </w:r>
    </w:p>
    <w:p>
      <w:pPr>
        <w:spacing w:after="120" w:line="276" w:lineRule="auto"/>
      </w:pPr>
      <w:r>
        <w:t>**MACD** : Le MACD (-189,46) est négatif et se situe sous sa ligne de signal (97,94), confirmant une dynamique baissière. La divergence négative entre ces deux indicateurs indique un affaiblissement du momentum haussier. La décision de vente est cohérente avec cette configuration, bien que l'écart important puisse signaler une possible correction technique à court terme.</w:t>
      </w:r>
    </w:p>
    <w:p>
      <w:pPr>
        <w:spacing w:after="120" w:line="276" w:lineRule="auto"/>
      </w:pPr>
      <w:r>
        <w:t>**RSI** : À 42,87, le RSI se situe dans la zone neutre (30-70), indiquant un équilibre relatif entre pression acheteuse et vendeuse. Cette valeur suggère que le titre n'est ni suracheté ni survendu, laissant place à une évolution directionnelle. La décision neutre est appropriée, mais la tendance baissière du RSI mérite une attention particulière.</w:t>
      </w:r>
    </w:p>
    <w:p>
      <w:pPr>
        <w:spacing w:after="120" w:line="276" w:lineRule="auto"/>
      </w:pPr>
      <w:r>
        <w:t>**Stochastique** : Le %K (3,33) est extrêmement bas, largement sous le %D (26,55), signalant une condition de survente sévère. Cette configuration suggère un potentiel de rebond technique imminent, justifiant la décision d'achat. Cependant, la faiblesse extrême du %K indique une pression vendeuse intense qui pourrait persister.</w:t>
      </w:r>
    </w:p>
    <w:p>
      <w:pPr>
        <w:spacing w:after="120" w:line="276" w:lineRule="auto"/>
      </w:pPr>
      <w:r>
        <w:t>**Conclusion technique** : Les signaux sont mitigés avec une prédominance baissière (MACD, position sous les MM) contre des signaux de retournement potentiel (Stochastique survendu). La configuration globale reste fragile, nécessitant une confirmation haussière avant tout positionnement.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ne sont pas disponibles dans la base, mais les rapports officiels fournissent des informations cruciales. Pour l'exercice 2023 (rapport daté du 31/12/2024), UNLC a réalisé un chiffre d'affaires de 24,34 milliards FCFA, stable par rapport à 2022, avec un bénéfice net de 640 millions FCFA (marge nette de 2,63%), en nette amélioration par rapport à la perte de 6,9 milliards FCFA en 2022. Le résultat d'exploitation est passé de -6,26 milliards FCFA en 2022 à +3,34 milliards FCFA en 2023, démontrant une amélioration opérationnelle significative. Cependant, les capitaux propres restent négatifs à -10,66 milliards FCFA, et les dettes financières s'élèvent à 4,38 milliards FCFA. En 2022 (rapport du 31/12/2023), le CA était de 24,34 milliards FCFA avec une perte nette de 6,38 milliards FCFA (marge nette de -26,2%). En 2021, le CA était identique (24,34 milliards FCFA) avec un bénéfice de 6,09 milliards FCFA (marge nette de 25%). L'évolution montre une forte volatilité des résultats : bénéfice en 2021, perte massive en 2022, retour à un bénéfice modeste en 2023. La structure financière reste fragile avec des capitaux propres négatifs, un endettement élevé et une absence de dividende depuis plusieurs années. Les perspectives de redressement sont réelles mais incertaines, nécessitant une surveillance étroite des résultats 2024-2025.</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révèle une situation complexe et contrastée pour UNLC. La valorisation boursière (479,37 milliards FCFA) apparaît surévaluée au regard des bénéfices actuels (PER implicite très élevé), tandis que le comportement du cours montre une tendance baissière avec une volatilité extrême (62,8%), des statistiques indiquant une distribution relativement normale mais une pression vendeuse persistante. Les signaux techniques sont mitigés, avec une prédominance baissière (MACD négatif, cours sous les MM) contre des signaux de survente (Stochastique à 3,33) suggérant un potentiel de rebond technique. Les fondamentaux révèlent une amélioration en 2023 (retour au bénéfice) mais une structure financière fragile (capitaux propres négatifs, endettement élevé, absence de dividende). Les prédictions IA (54 054 à 56 117 FCFA sur 10 jours) suggèrent un rebond modéré, contredisant partiellement la tendance baissière récente. Cette divergence entre les signaux techniques baissiers et les prédictions haussières, combinée à des fondamentaux encore précaires, justifie une recommandation de **CONSERVER** avec un niveau de confiance **Faible** et un risque global **Élevé**. L'horizon d'investissement optimal serait le **moyen terme (3-12 mois)**, en attendant une confirmation de la stabilisation des résultats et une amélioration de la structure financière.</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50.94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13,224 titres</w:t>
            </w:r>
          </w:p>
        </w:tc>
        <w:tc>
          <w:tcPr>
            <w:tcW w:type="dxa" w:w="2268"/>
            <w:shd w:fill="FFF2CC" w:val="clear"/>
          </w:tcPr>
          <w:p>
            <w:r>
              <w:rPr>
                <w:b/>
                <w:color w:val="503200"/>
                <w:sz w:val="16"/>
              </w:rPr>
              <w:t xml:space="preserve">Cours actuel : </w:t>
            </w:r>
            <w:r>
              <w:rPr>
                <w:color w:val="000000"/>
                <w:sz w:val="17"/>
              </w:rPr>
              <w:t>2,455 FCFA</w:t>
            </w:r>
          </w:p>
          <w:p>
            <w:r>
              <w:rPr>
                <w:b/>
                <w:color w:val="503200"/>
                <w:sz w:val="16"/>
              </w:rPr>
              <w:t xml:space="preserve">Var. 100 jours : </w:t>
            </w:r>
            <w:r>
              <w:rPr>
                <w:b/>
                <w:color w:val="007800"/>
                <w:sz w:val="17"/>
              </w:rPr>
              <w:t>+23.99%</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18.6/100 → Faible</w:t>
      </w:r>
    </w:p>
    <w:p>
      <w:pPr>
        <w:spacing w:before="40" w:after="80"/>
      </w:pPr>
      <w:r>
        <w:rPr>
          <w:rFonts w:ascii="Courier New" w:hAnsi="Courier New"/>
          <w:color w:val="006400"/>
          <w:sz w:val="18"/>
        </w:rPr>
        <w:t>███░░░░░░░░░░░░░░░░░  18.6/100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11.71% (Moyenne) — μ=1,895 FCFA, σ=222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β=0.0366 (Défensif) — Cov=0.000001, Var(idx)=0.000036, ρ=0.007,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13,224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σ_j=3.24%/j (Modérée) — Vol. annualisée≈51.4%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2026-08-31</w:t>
            </w:r>
          </w:p>
        </w:tc>
        <w:tc>
          <w:tcPr>
            <w:tcW w:type="dxa" w:w="1440"/>
            <w:shd w:fill="FFDCE0" w:val="clear"/>
          </w:tcPr>
          <w:p>
            <w:r>
              <w:rPr>
                <w:sz w:val="17"/>
              </w:rPr>
              <w:t>2,279</w:t>
            </w:r>
          </w:p>
        </w:tc>
        <w:tc>
          <w:tcPr>
            <w:tcW w:type="dxa" w:w="1440"/>
            <w:shd w:fill="FFDCE0" w:val="clear"/>
          </w:tcPr>
          <w:p>
            <w:r>
              <w:rPr>
                <w:b/>
                <w:sz w:val="17"/>
              </w:rPr>
              <w:t>2,395</w:t>
            </w:r>
          </w:p>
        </w:tc>
        <w:tc>
          <w:tcPr>
            <w:tcW w:type="dxa" w:w="1440"/>
            <w:shd w:fill="FFDCE0" w:val="clear"/>
          </w:tcPr>
          <w:p>
            <w:r>
              <w:rPr>
                <w:sz w:val="17"/>
              </w:rPr>
              <w:t>2,512</w:t>
            </w:r>
          </w:p>
        </w:tc>
        <w:tc>
          <w:tcPr>
            <w:tcW w:type="dxa" w:w="1440"/>
            <w:shd w:fill="FFDCE0" w:val="clear"/>
          </w:tcPr>
          <w:p>
            <w:r>
              <w:rPr>
                <w:b/>
                <w:color w:val="C00000"/>
                <w:sz w:val="17"/>
              </w:rPr>
              <w:t>-2.4%</w:t>
            </w:r>
          </w:p>
        </w:tc>
      </w:tr>
      <w:tr>
        <w:tc>
          <w:tcPr>
            <w:tcW w:type="dxa" w:w="1440"/>
            <w:shd w:fill="FFDCE0" w:val="clear"/>
          </w:tcPr>
          <w:p>
            <w:r>
              <w:rPr>
                <w:sz w:val="17"/>
              </w:rPr>
              <w:t>J+2  Moyenne</w:t>
            </w:r>
          </w:p>
        </w:tc>
        <w:tc>
          <w:tcPr>
            <w:tcW w:type="dxa" w:w="1440"/>
            <w:shd w:fill="FFDCE0" w:val="clear"/>
          </w:tcPr>
          <w:p>
            <w:r>
              <w:rPr>
                <w:sz w:val="17"/>
              </w:rPr>
              <w:t>2026-09-01</w:t>
            </w:r>
          </w:p>
        </w:tc>
        <w:tc>
          <w:tcPr>
            <w:tcW w:type="dxa" w:w="1440"/>
            <w:shd w:fill="FFDCE0" w:val="clear"/>
          </w:tcPr>
          <w:p>
            <w:r>
              <w:rPr>
                <w:sz w:val="17"/>
              </w:rPr>
              <w:t>2,220</w:t>
            </w:r>
          </w:p>
        </w:tc>
        <w:tc>
          <w:tcPr>
            <w:tcW w:type="dxa" w:w="1440"/>
            <w:shd w:fill="FFDCE0" w:val="clear"/>
          </w:tcPr>
          <w:p>
            <w:r>
              <w:rPr>
                <w:b/>
                <w:sz w:val="17"/>
              </w:rPr>
              <w:t>2,384</w:t>
            </w:r>
          </w:p>
        </w:tc>
        <w:tc>
          <w:tcPr>
            <w:tcW w:type="dxa" w:w="1440"/>
            <w:shd w:fill="FFDCE0" w:val="clear"/>
          </w:tcPr>
          <w:p>
            <w:r>
              <w:rPr>
                <w:sz w:val="17"/>
              </w:rPr>
              <w:t>2,548</w:t>
            </w:r>
          </w:p>
        </w:tc>
        <w:tc>
          <w:tcPr>
            <w:tcW w:type="dxa" w:w="1440"/>
            <w:shd w:fill="FFDCE0" w:val="clear"/>
          </w:tcPr>
          <w:p>
            <w:r>
              <w:rPr>
                <w:b/>
                <w:color w:val="C00000"/>
                <w:sz w:val="17"/>
              </w:rPr>
              <w:t>-2.9%</w:t>
            </w:r>
          </w:p>
        </w:tc>
      </w:tr>
      <w:tr>
        <w:tc>
          <w:tcPr>
            <w:tcW w:type="dxa" w:w="1440"/>
            <w:shd w:fill="FFDCE0" w:val="clear"/>
          </w:tcPr>
          <w:p>
            <w:r>
              <w:rPr>
                <w:sz w:val="17"/>
              </w:rPr>
              <w:t>J+3  Moyenne</w:t>
            </w:r>
          </w:p>
        </w:tc>
        <w:tc>
          <w:tcPr>
            <w:tcW w:type="dxa" w:w="1440"/>
            <w:shd w:fill="FFDCE0" w:val="clear"/>
          </w:tcPr>
          <w:p>
            <w:r>
              <w:rPr>
                <w:sz w:val="17"/>
              </w:rPr>
              <w:t>2026-09-02</w:t>
            </w:r>
          </w:p>
        </w:tc>
        <w:tc>
          <w:tcPr>
            <w:tcW w:type="dxa" w:w="1440"/>
            <w:shd w:fill="FFDCE0" w:val="clear"/>
          </w:tcPr>
          <w:p>
            <w:r>
              <w:rPr>
                <w:sz w:val="17"/>
              </w:rPr>
              <w:t>2,169</w:t>
            </w:r>
          </w:p>
        </w:tc>
        <w:tc>
          <w:tcPr>
            <w:tcW w:type="dxa" w:w="1440"/>
            <w:shd w:fill="FFDCE0" w:val="clear"/>
          </w:tcPr>
          <w:p>
            <w:r>
              <w:rPr>
                <w:b/>
                <w:sz w:val="17"/>
              </w:rPr>
              <w:t>2,368</w:t>
            </w:r>
          </w:p>
        </w:tc>
        <w:tc>
          <w:tcPr>
            <w:tcW w:type="dxa" w:w="1440"/>
            <w:shd w:fill="FFDCE0" w:val="clear"/>
          </w:tcPr>
          <w:p>
            <w:r>
              <w:rPr>
                <w:sz w:val="17"/>
              </w:rPr>
              <w:t>2,568</w:t>
            </w:r>
          </w:p>
        </w:tc>
        <w:tc>
          <w:tcPr>
            <w:tcW w:type="dxa" w:w="1440"/>
            <w:shd w:fill="FFDCE0" w:val="clear"/>
          </w:tcPr>
          <w:p>
            <w:r>
              <w:rPr>
                <w:b/>
                <w:color w:val="C00000"/>
                <w:sz w:val="17"/>
              </w:rPr>
              <w:t>-3.5%</w:t>
            </w:r>
          </w:p>
        </w:tc>
      </w:tr>
      <w:tr>
        <w:tc>
          <w:tcPr>
            <w:tcW w:type="dxa" w:w="1440"/>
            <w:shd w:fill="FFDCE0" w:val="clear"/>
          </w:tcPr>
          <w:p>
            <w:r>
              <w:rPr>
                <w:sz w:val="17"/>
              </w:rPr>
              <w:t>J+4  ⭐</w:t>
            </w:r>
          </w:p>
        </w:tc>
        <w:tc>
          <w:tcPr>
            <w:tcW w:type="dxa" w:w="1440"/>
            <w:shd w:fill="FFDCE0" w:val="clear"/>
          </w:tcPr>
          <w:p>
            <w:r>
              <w:rPr>
                <w:sz w:val="17"/>
              </w:rPr>
              <w:t>2026-09-03</w:t>
            </w:r>
          </w:p>
        </w:tc>
        <w:tc>
          <w:tcPr>
            <w:tcW w:type="dxa" w:w="1440"/>
            <w:shd w:fill="FFDCE0" w:val="clear"/>
          </w:tcPr>
          <w:p>
            <w:r>
              <w:rPr>
                <w:sz w:val="17"/>
              </w:rPr>
              <w:t>2,125</w:t>
            </w:r>
          </w:p>
        </w:tc>
        <w:tc>
          <w:tcPr>
            <w:tcW w:type="dxa" w:w="1440"/>
            <w:shd w:fill="FFDCE0" w:val="clear"/>
          </w:tcPr>
          <w:p>
            <w:r>
              <w:rPr>
                <w:b/>
                <w:sz w:val="17"/>
              </w:rPr>
              <w:t>2,353</w:t>
            </w:r>
          </w:p>
        </w:tc>
        <w:tc>
          <w:tcPr>
            <w:tcW w:type="dxa" w:w="1440"/>
            <w:shd w:fill="FFDCE0" w:val="clear"/>
          </w:tcPr>
          <w:p>
            <w:r>
              <w:rPr>
                <w:sz w:val="17"/>
              </w:rPr>
              <w:t>2,582</w:t>
            </w:r>
          </w:p>
        </w:tc>
        <w:tc>
          <w:tcPr>
            <w:tcW w:type="dxa" w:w="1440"/>
            <w:shd w:fill="FFDCE0" w:val="clear"/>
          </w:tcPr>
          <w:p>
            <w:r>
              <w:rPr>
                <w:b/>
                <w:color w:val="C00000"/>
                <w:sz w:val="17"/>
              </w:rPr>
              <w:t>-4.1%</w:t>
            </w:r>
          </w:p>
        </w:tc>
      </w:tr>
      <w:tr>
        <w:tc>
          <w:tcPr>
            <w:tcW w:type="dxa" w:w="1440"/>
            <w:shd w:fill="FFDCE0" w:val="clear"/>
          </w:tcPr>
          <w:p>
            <w:r>
              <w:rPr>
                <w:sz w:val="17"/>
              </w:rPr>
              <w:t>J+5  ⭐</w:t>
            </w:r>
          </w:p>
        </w:tc>
        <w:tc>
          <w:tcPr>
            <w:tcW w:type="dxa" w:w="1440"/>
            <w:shd w:fill="FFDCE0" w:val="clear"/>
          </w:tcPr>
          <w:p>
            <w:r>
              <w:rPr>
                <w:sz w:val="17"/>
              </w:rPr>
              <w:t>2026-09-04</w:t>
            </w:r>
          </w:p>
        </w:tc>
        <w:tc>
          <w:tcPr>
            <w:tcW w:type="dxa" w:w="1440"/>
            <w:shd w:fill="FFDCE0" w:val="clear"/>
          </w:tcPr>
          <w:p>
            <w:r>
              <w:rPr>
                <w:sz w:val="17"/>
              </w:rPr>
              <w:t>2,085</w:t>
            </w:r>
          </w:p>
        </w:tc>
        <w:tc>
          <w:tcPr>
            <w:tcW w:type="dxa" w:w="1440"/>
            <w:shd w:fill="FFDCE0" w:val="clear"/>
          </w:tcPr>
          <w:p>
            <w:r>
              <w:rPr>
                <w:b/>
                <w:sz w:val="17"/>
              </w:rPr>
              <w:t>2,339</w:t>
            </w:r>
          </w:p>
        </w:tc>
        <w:tc>
          <w:tcPr>
            <w:tcW w:type="dxa" w:w="1440"/>
            <w:shd w:fill="FFDCE0" w:val="clear"/>
          </w:tcPr>
          <w:p>
            <w:r>
              <w:rPr>
                <w:sz w:val="17"/>
              </w:rPr>
              <w:t>2,593</w:t>
            </w:r>
          </w:p>
        </w:tc>
        <w:tc>
          <w:tcPr>
            <w:tcW w:type="dxa" w:w="1440"/>
            <w:shd w:fill="FFDCE0" w:val="clear"/>
          </w:tcPr>
          <w:p>
            <w:r>
              <w:rPr>
                <w:b/>
                <w:color w:val="C00000"/>
                <w:sz w:val="17"/>
              </w:rPr>
              <w:t>-4.7%</w:t>
            </w:r>
          </w:p>
        </w:tc>
      </w:tr>
      <w:tr>
        <w:tc>
          <w:tcPr>
            <w:tcW w:type="dxa" w:w="1440"/>
            <w:shd w:fill="FFDCE0" w:val="clear"/>
          </w:tcPr>
          <w:p>
            <w:r>
              <w:rPr>
                <w:sz w:val="17"/>
              </w:rPr>
              <w:t>J+6  ⭐</w:t>
            </w:r>
          </w:p>
        </w:tc>
        <w:tc>
          <w:tcPr>
            <w:tcW w:type="dxa" w:w="1440"/>
            <w:shd w:fill="FFDCE0" w:val="clear"/>
          </w:tcPr>
          <w:p>
            <w:r>
              <w:rPr>
                <w:sz w:val="17"/>
              </w:rPr>
              <w:t>2026-09-07</w:t>
            </w:r>
          </w:p>
        </w:tc>
        <w:tc>
          <w:tcPr>
            <w:tcW w:type="dxa" w:w="1440"/>
            <w:shd w:fill="FFDCE0" w:val="clear"/>
          </w:tcPr>
          <w:p>
            <w:r>
              <w:rPr>
                <w:sz w:val="17"/>
              </w:rPr>
              <w:t>2,048</w:t>
            </w:r>
          </w:p>
        </w:tc>
        <w:tc>
          <w:tcPr>
            <w:tcW w:type="dxa" w:w="1440"/>
            <w:shd w:fill="FFDCE0" w:val="clear"/>
          </w:tcPr>
          <w:p>
            <w:r>
              <w:rPr>
                <w:b/>
                <w:sz w:val="17"/>
              </w:rPr>
              <w:t>2,325</w:t>
            </w:r>
          </w:p>
        </w:tc>
        <w:tc>
          <w:tcPr>
            <w:tcW w:type="dxa" w:w="1440"/>
            <w:shd w:fill="FFDCE0" w:val="clear"/>
          </w:tcPr>
          <w:p>
            <w:r>
              <w:rPr>
                <w:sz w:val="17"/>
              </w:rPr>
              <w:t>2,602</w:t>
            </w:r>
          </w:p>
        </w:tc>
        <w:tc>
          <w:tcPr>
            <w:tcW w:type="dxa" w:w="1440"/>
            <w:shd w:fill="FFDCE0" w:val="clear"/>
          </w:tcPr>
          <w:p>
            <w:r>
              <w:rPr>
                <w:b/>
                <w:color w:val="C00000"/>
                <w:sz w:val="17"/>
              </w:rPr>
              <w:t>-5.3%</w:t>
            </w:r>
          </w:p>
        </w:tc>
      </w:tr>
      <w:tr>
        <w:tc>
          <w:tcPr>
            <w:tcW w:type="dxa" w:w="1440"/>
            <w:shd w:fill="FFDCE0" w:val="clear"/>
          </w:tcPr>
          <w:p>
            <w:r>
              <w:rPr>
                <w:sz w:val="17"/>
              </w:rPr>
              <w:t>J+7  ⭐</w:t>
            </w:r>
          </w:p>
        </w:tc>
        <w:tc>
          <w:tcPr>
            <w:tcW w:type="dxa" w:w="1440"/>
            <w:shd w:fill="FFDCE0" w:val="clear"/>
          </w:tcPr>
          <w:p>
            <w:r>
              <w:rPr>
                <w:sz w:val="17"/>
              </w:rPr>
              <w:t>2026-09-08</w:t>
            </w:r>
          </w:p>
        </w:tc>
        <w:tc>
          <w:tcPr>
            <w:tcW w:type="dxa" w:w="1440"/>
            <w:shd w:fill="FFDCE0" w:val="clear"/>
          </w:tcPr>
          <w:p>
            <w:r>
              <w:rPr>
                <w:sz w:val="17"/>
              </w:rPr>
              <w:t>2,014</w:t>
            </w:r>
          </w:p>
        </w:tc>
        <w:tc>
          <w:tcPr>
            <w:tcW w:type="dxa" w:w="1440"/>
            <w:shd w:fill="FFDCE0" w:val="clear"/>
          </w:tcPr>
          <w:p>
            <w:r>
              <w:rPr>
                <w:b/>
                <w:sz w:val="17"/>
              </w:rPr>
              <w:t>2,311</w:t>
            </w:r>
          </w:p>
        </w:tc>
        <w:tc>
          <w:tcPr>
            <w:tcW w:type="dxa" w:w="1440"/>
            <w:shd w:fill="FFDCE0" w:val="clear"/>
          </w:tcPr>
          <w:p>
            <w:r>
              <w:rPr>
                <w:sz w:val="17"/>
              </w:rPr>
              <w:t>2,608</w:t>
            </w:r>
          </w:p>
        </w:tc>
        <w:tc>
          <w:tcPr>
            <w:tcW w:type="dxa" w:w="1440"/>
            <w:shd w:fill="FFDCE0" w:val="clear"/>
          </w:tcPr>
          <w:p>
            <w:r>
              <w:rPr>
                <w:b/>
                <w:color w:val="C00000"/>
                <w:sz w:val="17"/>
              </w:rPr>
              <w:t>-5.9%</w:t>
            </w:r>
          </w:p>
        </w:tc>
      </w:tr>
      <w:tr>
        <w:tc>
          <w:tcPr>
            <w:tcW w:type="dxa" w:w="1440"/>
            <w:shd w:fill="FFDCE0" w:val="clear"/>
          </w:tcPr>
          <w:p>
            <w:r>
              <w:rPr>
                <w:sz w:val="17"/>
              </w:rPr>
              <w:t>J+8  ⭐</w:t>
            </w:r>
          </w:p>
        </w:tc>
        <w:tc>
          <w:tcPr>
            <w:tcW w:type="dxa" w:w="1440"/>
            <w:shd w:fill="FFDCE0" w:val="clear"/>
          </w:tcPr>
          <w:p>
            <w:r>
              <w:rPr>
                <w:sz w:val="17"/>
              </w:rPr>
              <w:t>2026-09-09</w:t>
            </w:r>
          </w:p>
        </w:tc>
        <w:tc>
          <w:tcPr>
            <w:tcW w:type="dxa" w:w="1440"/>
            <w:shd w:fill="FFDCE0" w:val="clear"/>
          </w:tcPr>
          <w:p>
            <w:r>
              <w:rPr>
                <w:sz w:val="17"/>
              </w:rPr>
              <w:t>1,981</w:t>
            </w:r>
          </w:p>
        </w:tc>
        <w:tc>
          <w:tcPr>
            <w:tcW w:type="dxa" w:w="1440"/>
            <w:shd w:fill="FFDCE0" w:val="clear"/>
          </w:tcPr>
          <w:p>
            <w:r>
              <w:rPr>
                <w:b/>
                <w:sz w:val="17"/>
              </w:rPr>
              <w:t>2,297</w:t>
            </w:r>
          </w:p>
        </w:tc>
        <w:tc>
          <w:tcPr>
            <w:tcW w:type="dxa" w:w="1440"/>
            <w:shd w:fill="FFDCE0" w:val="clear"/>
          </w:tcPr>
          <w:p>
            <w:r>
              <w:rPr>
                <w:sz w:val="17"/>
              </w:rPr>
              <w:t>2,613</w:t>
            </w:r>
          </w:p>
        </w:tc>
        <w:tc>
          <w:tcPr>
            <w:tcW w:type="dxa" w:w="1440"/>
            <w:shd w:fill="FFDCE0" w:val="clear"/>
          </w:tcPr>
          <w:p>
            <w:r>
              <w:rPr>
                <w:b/>
                <w:color w:val="C00000"/>
                <w:sz w:val="17"/>
              </w:rPr>
              <w:t>-6.4%</w:t>
            </w:r>
          </w:p>
        </w:tc>
      </w:tr>
      <w:tr>
        <w:tc>
          <w:tcPr>
            <w:tcW w:type="dxa" w:w="1440"/>
            <w:shd w:fill="FFDCE0" w:val="clear"/>
          </w:tcPr>
          <w:p>
            <w:r>
              <w:rPr>
                <w:sz w:val="17"/>
              </w:rPr>
              <w:t>J+9  ⭐</w:t>
            </w:r>
          </w:p>
        </w:tc>
        <w:tc>
          <w:tcPr>
            <w:tcW w:type="dxa" w:w="1440"/>
            <w:shd w:fill="FFDCE0" w:val="clear"/>
          </w:tcPr>
          <w:p>
            <w:r>
              <w:rPr>
                <w:sz w:val="17"/>
              </w:rPr>
              <w:t>2026-09-10</w:t>
            </w:r>
          </w:p>
        </w:tc>
        <w:tc>
          <w:tcPr>
            <w:tcW w:type="dxa" w:w="1440"/>
            <w:shd w:fill="FFDCE0" w:val="clear"/>
          </w:tcPr>
          <w:p>
            <w:r>
              <w:rPr>
                <w:sz w:val="17"/>
              </w:rPr>
              <w:t>1,951</w:t>
            </w:r>
          </w:p>
        </w:tc>
        <w:tc>
          <w:tcPr>
            <w:tcW w:type="dxa" w:w="1440"/>
            <w:shd w:fill="FFDCE0" w:val="clear"/>
          </w:tcPr>
          <w:p>
            <w:r>
              <w:rPr>
                <w:b/>
                <w:sz w:val="17"/>
              </w:rPr>
              <w:t>2,284</w:t>
            </w:r>
          </w:p>
        </w:tc>
        <w:tc>
          <w:tcPr>
            <w:tcW w:type="dxa" w:w="1440"/>
            <w:shd w:fill="FFDCE0" w:val="clear"/>
          </w:tcPr>
          <w:p>
            <w:r>
              <w:rPr>
                <w:sz w:val="17"/>
              </w:rPr>
              <w:t>2,617</w:t>
            </w:r>
          </w:p>
        </w:tc>
        <w:tc>
          <w:tcPr>
            <w:tcW w:type="dxa" w:w="1440"/>
            <w:shd w:fill="FFDCE0" w:val="clear"/>
          </w:tcPr>
          <w:p>
            <w:r>
              <w:rPr>
                <w:b/>
                <w:color w:val="C00000"/>
                <w:sz w:val="17"/>
              </w:rPr>
              <w:t>-7.0%</w:t>
            </w:r>
          </w:p>
        </w:tc>
      </w:tr>
      <w:tr>
        <w:tc>
          <w:tcPr>
            <w:tcW w:type="dxa" w:w="1440"/>
            <w:shd w:fill="FFDCE0" w:val="clear"/>
          </w:tcPr>
          <w:p>
            <w:r>
              <w:rPr>
                <w:sz w:val="17"/>
              </w:rPr>
              <w:t>J+10  ⭐</w:t>
            </w:r>
          </w:p>
        </w:tc>
        <w:tc>
          <w:tcPr>
            <w:tcW w:type="dxa" w:w="1440"/>
            <w:shd w:fill="FFDCE0" w:val="clear"/>
          </w:tcPr>
          <w:p>
            <w:r>
              <w:rPr>
                <w:sz w:val="17"/>
              </w:rPr>
              <w:t>2026-09-11</w:t>
            </w:r>
          </w:p>
        </w:tc>
        <w:tc>
          <w:tcPr>
            <w:tcW w:type="dxa" w:w="1440"/>
            <w:shd w:fill="FFDCE0" w:val="clear"/>
          </w:tcPr>
          <w:p>
            <w:r>
              <w:rPr>
                <w:sz w:val="17"/>
              </w:rPr>
              <w:t>1,921</w:t>
            </w:r>
          </w:p>
        </w:tc>
        <w:tc>
          <w:tcPr>
            <w:tcW w:type="dxa" w:w="1440"/>
            <w:shd w:fill="FFDCE0" w:val="clear"/>
          </w:tcPr>
          <w:p>
            <w:r>
              <w:rPr>
                <w:b/>
                <w:sz w:val="17"/>
              </w:rPr>
              <w:t>2,270</w:t>
            </w:r>
          </w:p>
        </w:tc>
        <w:tc>
          <w:tcPr>
            <w:tcW w:type="dxa" w:w="1440"/>
            <w:shd w:fill="FFDCE0" w:val="clear"/>
          </w:tcPr>
          <w:p>
            <w:r>
              <w:rPr>
                <w:sz w:val="17"/>
              </w:rPr>
              <w:t>2,619</w:t>
            </w:r>
          </w:p>
        </w:tc>
        <w:tc>
          <w:tcPr>
            <w:tcW w:type="dxa" w:w="1440"/>
            <w:shd w:fill="FFDCE0" w:val="clear"/>
          </w:tcPr>
          <w:p>
            <w:r>
              <w:rPr>
                <w:b/>
                <w:color w:val="C00000"/>
                <w:sz w:val="17"/>
              </w:rPr>
              <w:t>-7.5%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d'UNXC s'établit à 50,94 milliards FCFA, un niveau significatif sur la BRVM qui positionne la société comme une valeur de taille moyenne, avec un flottant potentiellement limité. Le BPA est négatif à -105 FCFA, ce qui reflète la perte nette de l'exercice 2024 et rend le PER non significatif (-23,3x). Ce ratio négatif indique que le marché valorise l'entreprise sur ses actifs et ses perspectives de redressement plutôt que sur ses bénéfices actuels. Le P/B de 3,27x est nettement supérieur à la moyenne du marché, ce qui signifie que les investisseurs paient une prime de plus de 200% par rapport à la valeur comptable des capitaux propres. Cette prime s'explique par les anticipations de retour à la rentabilité opérationnelle, mais elle expose également le titre à un risque de correction si les résultats déçoivent. En l'absence de données sur l'EBITDA, nous ne pouvons pas calculer le ratio EV/EBITDA, mais la combinaison d'un PER négatif et d'un P/B élevé suggère une valorisation exigeante qui repose entièrement sur la réussite du plan de redressement.</w:t>
      </w:r>
    </w:p>
    <w:p>
      <w:pPr>
        <w:spacing w:after="120" w:line="276" w:lineRule="auto" w:before="240"/>
      </w:pPr>
      <w:r>
        <w:rPr>
          <w:b/>
          <w:color w:val="003366"/>
          <w:sz w:val="24"/>
        </w:rPr>
        <w:t>**PARTIE 1 : ANALYSE DU COURS — STATISTIQUES ET ÉVOLUTION (100 derniers jours)**</w:t>
      </w:r>
    </w:p>
    <w:p>
      <w:pPr>
        <w:spacing w:after="120" w:line="276" w:lineRule="auto"/>
      </w:pPr>
      <w:r>
        <w:t>Le titre UNXC a enregistré une progression spectaculaire de +23,99% sur les 100 derniers jours, avec une dernière séance en hausse de +1,66% à 2 455 FCFA. Le cours a évolué dans une fourchette très large, allant d'un plus bas de 1 250 FCFA à un plus haut de 2 495 FCFA, ce qui représente une amplitude de près de 100% entre les extrêmes. La moyenne du cours sur la période est de 1 895 FCFA, tandis que la médiane et le mode sont identiques à 1 900 FCFA, indiquant une distribution relativement symétrique des prix autour de ce niveau central. L'écart-type de 223 FCFA, avec un coefficient de variation de 11,8%, révèle une dispersion modérée des prix autour de la moyenne. Le kurtosis excédentaire de 2,285 signale une distribution leptokurtique, c'est-à-dire avec des queues épaisses, ce qui implique un risque de mouvements extrêmes plus élevé que la normale. Le skewness de 0,119 confirme une distribution quasi symétrique avec une légère asymétrie positive. La volatilité annualisée de 51,4% est très élevée, classant UNXC comme un titre spéculatif à fort risque, ce qui est cohérent avec la phase de redressement que traverse l'entreprise.</w:t>
      </w:r>
    </w:p>
    <w:p>
      <w:pPr>
        <w:spacing w:after="120" w:line="276" w:lineRule="auto" w:before="240"/>
      </w:pPr>
      <w:r>
        <w:rPr>
          <w:b/>
          <w:color w:val="003366"/>
          <w:sz w:val="24"/>
        </w:rPr>
        <w:t>**PARTIE 2 : ANALYSE TECHNIQUE DÉTAILLÉE**</w:t>
      </w:r>
    </w:p>
    <w:p>
      <w:pPr>
        <w:spacing w:after="120" w:line="276" w:lineRule="auto"/>
      </w:pPr>
      <w:r>
        <w:t>**Moyennes Mobiles**: La MM20 à 2 131 FCFA et la MM50 à 1 900,9 FCFA sont toutes deux largement dépassées par le cours actuel de 2 455 FCFA. Cette configuration haussière, où le prix évolue au-dessus des deux moyennes, confirme la dynamique positive du titre. L'écart croissant entre les deux moyennes indique une accélération du mouvement haussier, justifiant la décision d'Achat.</w:t>
      </w:r>
    </w:p>
    <w:p>
      <w:pPr>
        <w:spacing w:after="120" w:line="276" w:lineRule="auto"/>
      </w:pPr>
      <w:r>
        <w:t>**Bandes de Bollinger**: Le cours à 2 455 FCFA se positionne dans la partie supérieure des bandes, dont la borne haute est à 2 637 FCFA et la borne basse à 1 625 FCFA. La largeur des bandes reflète la forte volatilité du titre. Le prix n'ayant pas encore touché la borne supérieure, la décision est Neutre, mais la proximité de cette borne suggère une possible résistance à court terme.</w:t>
      </w:r>
    </w:p>
    <w:p>
      <w:pPr>
        <w:spacing w:after="120" w:line="276" w:lineRule="auto"/>
      </w:pPr>
      <w:r>
        <w:t>**MACD**: La valeur du MACD à 172,012 est nettement supérieure à son signal à 140,32, avec un écart positif de plus de 31 points. Cette divergence positive confirme la force du momentum haussier. La décision d'Achat est justifiée par cette configuration, qui indique que la tendance haussière est soutenue par une dynamique de fond.</w:t>
      </w:r>
    </w:p>
    <w:p>
      <w:pPr>
        <w:spacing w:after="120" w:line="276" w:lineRule="auto"/>
      </w:pPr>
      <w:r>
        <w:t>**RSI**: Le RSI à 83,636 est extrêmement élevé, bien au-delà du seuil de surachat fixé à 70. Cette valeur indique que le titre est fortement suracheté et que la pression acheteuse a été excessive. La décision de Vente est justifiée par ce niveau extrême, qui suggère un risque élevé de correction technique à court terme.</w:t>
      </w:r>
    </w:p>
    <w:p>
      <w:pPr>
        <w:spacing w:after="120" w:line="276" w:lineRule="auto"/>
      </w:pPr>
      <w:r>
        <w:t>**Stochastique**: Le %K à 93,277 et le %D à 88,0 sont tous deux dans la zone de surachat extrême (&gt;80). Le %K est au-dessus du %D, ce qui maintient un signal haussier, mais les niveaux atteints sont insoutenables. La décision de Vente est justifiée par cette configuration, qui précède généralement un retournement baissier.</w:t>
      </w:r>
    </w:p>
    <w:p>
      <w:pPr>
        <w:spacing w:after="120" w:line="276" w:lineRule="auto"/>
      </w:pPr>
      <w:r>
        <w:t>**Conclusion technique**: La convergence des indicateurs de surachat (RSI et Stochastique) avec une dynamique haussière encore intacte (MM et MACD) crée une situation paradoxale. Le titre est dans une tendance haussière forte mais techniquement surchauffée, avec un risque élevé de consolidation ou de correction à court terme. La prudence est recommandée malgré la tendance positive.</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révèlent une situation financière difficile pour UNXC, avec un chiffre d'affaires de 27,333 milliards FCFA, en baisse de 7,9% par rapport à l'année précédente. Le résultat net est fortement déficitaire à -2,189 milliards FCFA, avec une marge nette de -8,0% et un ROE de -14,0%, traduisant une destruction de valeur pour les actionnaires. Le BFR de 2,149 milliards FCFA est positif, ce qui est défavorable pour une entreprise, et les délais de paiement clients (51 jours) et de stockage (255 jours) sont élevés, immobilisant une part importante de la trésorerie. Cependant, les rapports trimestriels de 2025 montrent une amélioration significative : le chiffre d'affaires du S1 2025 atteint 15,711 milliards FCFA (+12,5%), et le résultat net semestriel est exceptionnellement bénéficiaire à 8,217 milliards FCFA, grâce à une plus-value de cession-bail de 9,994 milliards FCFA. Le rapport du 3ème trimestre 2025 confirme cette tendance avec un CA cumulé de 22,474 milliards FCFA (+13%) et un résultat net de 8,143 milliards FCFA, mais le résultat des activités ordinaires reste déficitaire à -371 millions FCFA. Le rapport S1 2026 est le plus encourageant : le résultat d'exploitation est redevenu positif à 771 millions FCFA, contre une perte de 314 millions au S1 2025, et le résultat net s'établit à 771 millions FCFA, hors éléments exceptionnels. Sur la base de ces rapports, on estime que l'exercice 2026 pourrait marquer le retour à une rentabilité opérationnelle durable, avec un CA annuel projeté autour de 31 milliards FCFA et un résultat net positif de l'ordre de 1,5 milliard FCFA, si la tendance du S1 se confirme.</w:t>
      </w:r>
    </w:p>
    <w:p>
      <w:pPr>
        <w:spacing w:after="120" w:line="276" w:lineRule="auto" w:before="240"/>
      </w:pPr>
      <w:r>
        <w:rPr>
          <w:b/>
          <w:color w:val="003366"/>
          <w:sz w:val="24"/>
        </w:rPr>
        <w:t>**PARTIE 4 : CONCLUSION D'INVESTISSEMENT**</w:t>
      </w:r>
    </w:p>
    <w:p>
      <w:pPr>
        <w:spacing w:after="120" w:line="276" w:lineRule="auto"/>
      </w:pPr>
      <w:r>
        <w:t>La valorisation d'UNXC est exigeante, avec un P/B de 3,27x et un PER négatif, indiquant que le marché anticipe déjà un redressement réussi. Le comportement du cours sur 100 jours est très positif (+23,99%) mais la volatilité annualisée de 51,4% et le kurtosis élevé signalent un risque de mouvements brusques. Les signaux techniques sont contradictoires : la tendance de fond reste haussière (MM, MACD) mais les indicateurs de surachat (RSI à 83,6, Stochastique à 93,3) suggèrent une correction imminente. Les fondamentaux montrent une amélioration réelle et progressive, avec un retour à l'équilibre opérationnel au S1 2026, mais la prudence reste de mise tant que la rentabilité récurrente n'est pas confirmée sur plusieurs trimestres. Les prédictions IA prévoient une légère baisse du cours sur les 10 prochains jours, de 2 455 à 2 339 FCFA, ce qui contredit la tendance haussière récente et confirme le risque de consolidation technique. La synthèse de ces éléments conduit à une recommandation de **CONSERVER** avec un niveau de confiance **Moyen** et un risque global **Élevé**. L'horizon d'investissement optimal serait le **moyen terme (3-12 mois)**, en attendant la confirmation d'une rentabilité opérationnelle durable et une stabilisation du cours après la phase de surachat actuelle.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