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14/09/2026 à 09:51</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BOAC  (score 80/100)</w:t>
      </w:r>
    </w:p>
    <w:p>
      <w:pPr>
        <w:spacing w:before="20" w:after="20"/>
        <w:ind w:left="360" w:right="360"/>
        <w:shd w:val="clear" w:color="auto" w:fill="EBF5FB"/>
      </w:pPr>
      <w:r>
        <w:rPr>
          <w:b/>
          <w:sz w:val="19"/>
        </w:rPr>
        <w:t xml:space="preserve">Secteur surperformant :  </w:t>
      </w:r>
      <w:r>
        <w:rPr>
          <w:color w:val="008000"/>
          <w:sz w:val="19"/>
        </w:rPr>
        <w:t>SERVICES PUBLICS  (+108.4%)</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9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555.48 points </w:t>
      </w:r>
      <w:r>
        <w:rPr>
          <w:color w:val="008000"/>
        </w:rPr>
        <w:t>(+0.49%)</w:t>
      </w:r>
      <w:r>
        <w:t xml:space="preserve"> sur la séance. </w:t>
      </w:r>
      <w:r>
        <w:t>La capitalisation globale du marché atteint 21 420,094 milliards FCFA.</w:t>
      </w:r>
    </w:p>
    <w:p/>
    <w:p>
      <w:pPr>
        <w:pStyle w:val="Heading3"/>
      </w:pPr>
      <w:r>
        <w:t>📊 Évolution de l'indice BRVM Composite (100 derniers jours)</w:t>
      </w:r>
    </w:p>
    <w:p>
      <w:r>
        <w:rPr>
          <w:b/>
        </w:rPr>
        <w:t xml:space="preserve">BRVM Composite — </w:t>
      </w:r>
      <w:r>
        <w:t xml:space="preserve">Sur les 100 derniers jours de cotation (2026-04-17 au 2026-09-11), l'indice BRVM Composite a évolué de </w:t>
      </w:r>
      <w:r>
        <w:rPr>
          <w:b/>
          <w:color w:val="008000"/>
        </w:rPr>
        <w:t>+39.21%</w:t>
      </w:r>
      <w:r>
        <w:t>, passant de 399.03 pts à 555.48 pts. Le plus haut atteint est 555.48 pts et le plus bas 399.03 pts. Sur l'ensemble de la période, la moyenne de l'indice s'établit à 461.75 pts, la médiane à 458.59 pts et le mode à 399.03 pts</w:t>
      </w:r>
      <w:r>
        <w:t xml:space="preserve"> (asymétrie positive — plus de jours sous la moyenne). </w:t>
      </w:r>
      <w:r>
        <w:t xml:space="preserve">L'écart-type de 45.73 pts (CV=9.9%) traduit une modérée dispersion des cotations. Le kurtosis de -0.84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+39.23%</w:t>
      </w:r>
      <w:r>
        <w:t xml:space="preserve"> sur la période, passant de 15 384,908 Mds FCFA à 21 420,094 Mds FCFA. Le pic de capitalisation observé est de 21 420,094 Mds FCFA et le plancher de 15 384,908 Mds FCFA. La moyenne de la capitalisation sur la période s'établit à 17 796,489 Mds FCFA, la médiane à 17 666,409 Mds FCFA et le mode à 15 384,908 Mds FCFA</w:t>
      </w:r>
      <w:r>
        <w:t xml:space="preserve"> (asymétrie positive). </w:t>
      </w:r>
      <w:r>
        <w:t>L'écart-type de 1 764,333 Mds FCFA (CV=9.9%) reflète une modérée variabilité de la valorisation du marché. Le kurtosis de -0.83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SLBC - SLBC - SOLIBRA COTE D'IVOIRE</w:t>
      </w:r>
      <w:r>
        <w:t xml:space="preserve"> | Prix: 37905 FCFA | </w:t>
      </w:r>
      <w:r>
        <w:rPr>
          <w:b/>
          <w:color w:val="008000"/>
        </w:rPr>
        <w:t>ACHAT FORT</w:t>
      </w:r>
      <w:r>
        <w:t xml:space="preserve"> | Confiance: Faible | Risque: Faible</w:t>
      </w:r>
    </w:p>
    <w:p>
      <w:pPr>
        <w:pStyle w:val="ListNumber"/>
      </w:pPr>
      <w:r>
        <w:rPr>
          <w:b/>
        </w:rPr>
        <w:t>SOGC - SOGC - Société des caoutchoucs de Grand-Béréby</w:t>
      </w:r>
      <w:r>
        <w:t xml:space="preserve"> | Prix: 8100 FCFA | </w:t>
      </w:r>
      <w:r>
        <w:rPr>
          <w:b/>
          <w:color w:val="008000"/>
        </w:rPr>
        <w:t>ACHAT FORT</w:t>
      </w:r>
      <w:r>
        <w:t xml:space="preserve"> | Confiance: Faible | Risque: Faible</w:t>
      </w:r>
    </w:p>
    <w:p>
      <w:pPr>
        <w:pStyle w:val="ListNumber"/>
      </w:pPr>
      <w:r>
        <w:rPr>
          <w:b/>
        </w:rPr>
        <w:t>ABJC - ABJC - SERVAIR ABIDJAN CI</w:t>
      </w:r>
      <w:r>
        <w:t xml:space="preserve"> | Prix: 4095 FCFA | </w:t>
      </w:r>
      <w:r>
        <w:rPr>
          <w:b/>
          <w:color w:val="008000"/>
        </w:rPr>
        <w:t>ACHAT</w:t>
      </w:r>
      <w:r>
        <w:t xml:space="preserve"> | Confiance: Moyen | Risque: Moyen</w:t>
      </w:r>
    </w:p>
    <w:p>
      <w:pPr>
        <w:pStyle w:val="ListNumber"/>
      </w:pPr>
      <w:r>
        <w:rPr>
          <w:b/>
        </w:rPr>
        <w:t>BICB - BIIC BN - Banque internationale pour le commerce du benin</w:t>
      </w:r>
      <w:r>
        <w:t xml:space="preserve"> | Prix: 10450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33010 FCFA | </w:t>
      </w:r>
      <w:r>
        <w:rPr>
          <w:b/>
          <w:color w:val="008000"/>
        </w:rPr>
        <w:t>ACHAT</w:t>
      </w:r>
      <w:r>
        <w:t xml:space="preserve"> | Confiance: Moyen | Risque: Moyen</w:t>
      </w:r>
    </w:p>
    <w:p>
      <w:pPr>
        <w:pStyle w:val="ListNumber"/>
      </w:pPr>
      <w:r>
        <w:rPr>
          <w:b/>
        </w:rPr>
        <w:t>BNBC - BNBC - BERNABE CI</w:t>
      </w:r>
      <w:r>
        <w:t xml:space="preserve"> | Prix: 2135 FCFA | </w:t>
      </w:r>
      <w:r>
        <w:rPr>
          <w:b/>
          <w:color w:val="008000"/>
        </w:rPr>
        <w:t>ACHAT</w:t>
      </w:r>
      <w:r>
        <w:t xml:space="preserve"> | Confiance: Moyen | Risque: Faible</w:t>
      </w:r>
    </w:p>
    <w:p>
      <w:pPr>
        <w:pStyle w:val="ListNumber"/>
      </w:pPr>
      <w:r>
        <w:rPr>
          <w:b/>
        </w:rPr>
        <w:t>BOAB - BANK OF AFRICA BENIN</w:t>
      </w:r>
      <w:r>
        <w:t xml:space="preserve"> | Prix: 10100 FCFA | </w:t>
      </w:r>
      <w:r>
        <w:rPr>
          <w:b/>
          <w:color w:val="008000"/>
        </w:rPr>
        <w:t>ACHAT</w:t>
      </w:r>
      <w:r>
        <w:t xml:space="preserve"> | Confiance: Moyen | Risque: Moyen</w:t>
      </w:r>
    </w:p>
    <w:p>
      <w:pPr>
        <w:pStyle w:val="ListNumber"/>
      </w:pPr>
      <w:r>
        <w:rPr>
          <w:b/>
        </w:rPr>
        <w:t>BOABF - BANK OF AFRICA BURKINA FASO</w:t>
      </w:r>
      <w:r>
        <w:t xml:space="preserve"> | Prix: 8990 FCFA | </w:t>
      </w:r>
      <w:r>
        <w:rPr>
          <w:b/>
          <w:color w:val="008000"/>
        </w:rPr>
        <w:t>ACHAT</w:t>
      </w:r>
      <w:r>
        <w:t xml:space="preserve"> | Confiance: Faible | Risque: Moyen</w:t>
      </w:r>
    </w:p>
    <w:p>
      <w:pPr>
        <w:pStyle w:val="ListNumber"/>
      </w:pPr>
      <w:r>
        <w:rPr>
          <w:b/>
        </w:rPr>
        <w:t>BOAC - BANK OF AFRICA COTE D'IVOIRE</w:t>
      </w:r>
      <w:r>
        <w:t xml:space="preserve"> | Prix: 12400 FCFA | </w:t>
      </w:r>
      <w:r>
        <w:rPr>
          <w:b/>
          <w:color w:val="008000"/>
        </w:rPr>
        <w:t>ACHAT</w:t>
      </w:r>
      <w:r>
        <w:t xml:space="preserve"> | Confiance: Élevée | Risque: Moyen</w:t>
      </w:r>
    </w:p>
    <w:p>
      <w:pPr>
        <w:pStyle w:val="ListNumber"/>
      </w:pPr>
      <w:r>
        <w:rPr>
          <w:b/>
        </w:rPr>
        <w:t>BOAM - BANK OF AFRICA MALI</w:t>
      </w:r>
      <w:r>
        <w:t xml:space="preserve"> | Prix: 7150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STBC - STBC - SITAB COTE D'IVOIRE</w:t>
      </w:r>
      <w:r>
        <w:t xml:space="preserve"> | Prix: 22200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108.35%</w:t>
      </w:r>
      <w:r>
        <w:t xml:space="preserve">  |  </w:t>
      </w:r>
      <w:r>
        <w:rPr>
          <w:b/>
        </w:rPr>
        <w:t xml:space="preserve">vs BRVM Composite: </w:t>
      </w:r>
      <w:r>
        <w:rPr>
          <w:b/>
          <w:color w:val="008000"/>
        </w:rPr>
        <w:t>+69.15%  🟢 Surperformance</w:t>
      </w:r>
      <w:r>
        <w:br/>
      </w:r>
      <w:r>
        <w:rPr>
          <w:b/>
        </w:rPr>
        <w:t xml:space="preserve">Sentiment général: </w:t>
      </w:r>
      <w:r>
        <w:t xml:space="preserve">ACHAT  |  </w:t>
      </w:r>
      <w:r>
        <w:rPr>
          <w:b/>
        </w:rPr>
        <w:t xml:space="preserve">Risque moyen: </w:t>
      </w:r>
      <w:r>
        <w:t xml:space="preserve">Moyen  |  </w:t>
      </w:r>
      <w:r>
        <w:rPr>
          <w:b/>
        </w:rPr>
        <w:t xml:space="preserve">Prix moyen: </w:t>
      </w:r>
      <w:r>
        <w:t>10250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51.20%</w:t>
      </w:r>
      <w:r>
        <w:t xml:space="preserve">  |  </w:t>
      </w:r>
      <w:r>
        <w:rPr>
          <w:b/>
        </w:rPr>
        <w:t xml:space="preserve">vs BRVM Composite: </w:t>
      </w:r>
      <w:r>
        <w:rPr>
          <w:b/>
          <w:color w:val="008000"/>
        </w:rPr>
        <w:t>+11.99%  🟢 Surperformance</w:t>
      </w:r>
      <w:r>
        <w:br/>
      </w:r>
      <w:r>
        <w:rPr>
          <w:b/>
        </w:rPr>
        <w:t xml:space="preserve">Sentiment général: </w:t>
      </w:r>
      <w:r>
        <w:t xml:space="preserve">ACHAT  |  </w:t>
      </w:r>
      <w:r>
        <w:rPr>
          <w:b/>
        </w:rPr>
        <w:t xml:space="preserve">Risque moyen: </w:t>
      </w:r>
      <w:r>
        <w:t xml:space="preserve">Moyen  |  </w:t>
      </w:r>
      <w:r>
        <w:rPr>
          <w:b/>
        </w:rPr>
        <w:t xml:space="preserve">Prix moyen: </w:t>
      </w:r>
      <w:r>
        <w:t>14272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32.38%</w:t>
      </w:r>
      <w:r>
        <w:t xml:space="preserve">  |  </w:t>
      </w:r>
      <w:r>
        <w:rPr>
          <w:b/>
        </w:rPr>
        <w:t xml:space="preserve">vs BRVM Composite: </w:t>
      </w:r>
      <w:r>
        <w:rPr>
          <w:b/>
          <w:color w:val="C00000"/>
        </w:rPr>
        <w:t>-6.83%  🔴 Sous-performance</w:t>
      </w:r>
      <w:r>
        <w:br/>
      </w:r>
      <w:r>
        <w:rPr>
          <w:b/>
        </w:rPr>
        <w:t xml:space="preserve">Sentiment général: </w:t>
      </w:r>
      <w:r>
        <w:t xml:space="preserve">ACHAT  |  </w:t>
      </w:r>
      <w:r>
        <w:rPr>
          <w:b/>
        </w:rPr>
        <w:t xml:space="preserve">Risque moyen: </w:t>
      </w:r>
      <w:r>
        <w:t xml:space="preserve">Moyen  |  </w:t>
      </w:r>
      <w:r>
        <w:rPr>
          <w:b/>
        </w:rPr>
        <w:t xml:space="preserve">Prix moyen: </w:t>
      </w:r>
      <w:r>
        <w:t>7005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32.02%</w:t>
      </w:r>
      <w:r>
        <w:t xml:space="preserve">  |  </w:t>
      </w:r>
      <w:r>
        <w:rPr>
          <w:b/>
        </w:rPr>
        <w:t xml:space="preserve">vs BRVM Composite: </w:t>
      </w:r>
      <w:r>
        <w:rPr>
          <w:b/>
          <w:color w:val="C00000"/>
        </w:rPr>
        <w:t>-7.19%  🔴 Sous-performance</w:t>
      </w:r>
      <w:r>
        <w:br/>
      </w:r>
      <w:r>
        <w:rPr>
          <w:b/>
        </w:rPr>
        <w:t xml:space="preserve">Sentiment général: </w:t>
      </w:r>
      <w:r>
        <w:t xml:space="preserve">ACHAT  |  </w:t>
      </w:r>
      <w:r>
        <w:rPr>
          <w:b/>
        </w:rPr>
        <w:t xml:space="preserve">Risque moyen: </w:t>
      </w:r>
      <w:r>
        <w:t xml:space="preserve">Moyen  |  </w:t>
      </w:r>
      <w:r>
        <w:rPr>
          <w:b/>
        </w:rPr>
        <w:t xml:space="preserve">Prix moyen: </w:t>
      </w:r>
      <w:r>
        <w:t>21532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28.02%</w:t>
      </w:r>
      <w:r>
        <w:t xml:space="preserve">  |  </w:t>
      </w:r>
      <w:r>
        <w:rPr>
          <w:b/>
        </w:rPr>
        <w:t xml:space="preserve">vs BRVM Composite: </w:t>
      </w:r>
      <w:r>
        <w:rPr>
          <w:b/>
          <w:color w:val="C00000"/>
        </w:rPr>
        <w:t>-11.19%  🔴 Sous-performance</w:t>
      </w:r>
      <w:r>
        <w:br/>
      </w:r>
      <w:r>
        <w:rPr>
          <w:b/>
        </w:rPr>
        <w:t xml:space="preserve">Sentiment général: </w:t>
      </w:r>
      <w:r>
        <w:t xml:space="preserve">ACHAT  |  </w:t>
      </w:r>
      <w:r>
        <w:rPr>
          <w:b/>
        </w:rPr>
        <w:t xml:space="preserve">Risque moyen: </w:t>
      </w:r>
      <w:r>
        <w:t xml:space="preserve">Faible  |  </w:t>
      </w:r>
      <w:r>
        <w:rPr>
          <w:b/>
        </w:rPr>
        <w:t xml:space="preserve">Prix moyen: </w:t>
      </w:r>
      <w:r>
        <w:t>3067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23.68%</w:t>
      </w:r>
      <w:r>
        <w:t xml:space="preserve">  |  </w:t>
      </w:r>
      <w:r>
        <w:rPr>
          <w:b/>
        </w:rPr>
        <w:t xml:space="preserve">vs BRVM Composite: </w:t>
      </w:r>
      <w:r>
        <w:rPr>
          <w:b/>
          <w:color w:val="C00000"/>
        </w:rPr>
        <w:t>-15.53%  🔴 Sous-performance</w:t>
      </w:r>
      <w:r>
        <w:br/>
      </w:r>
      <w:r>
        <w:rPr>
          <w:b/>
        </w:rPr>
        <w:t xml:space="preserve">Sentiment général: </w:t>
      </w:r>
      <w:r>
        <w:t xml:space="preserve">ACHAT  |  </w:t>
      </w:r>
      <w:r>
        <w:rPr>
          <w:b/>
        </w:rPr>
        <w:t xml:space="preserve">Risque moyen: </w:t>
      </w:r>
      <w:r>
        <w:t xml:space="preserve">Moyen  |  </w:t>
      </w:r>
      <w:r>
        <w:rPr>
          <w:b/>
        </w:rPr>
        <w:t xml:space="preserve">Prix moyen: </w:t>
      </w:r>
      <w:r>
        <w:t>18610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6.08%</w:t>
      </w:r>
      <w:r>
        <w:t xml:space="preserve">  |  </w:t>
      </w:r>
      <w:r>
        <w:rPr>
          <w:b/>
        </w:rPr>
        <w:t xml:space="preserve">vs BRVM Composite: </w:t>
      </w:r>
      <w:r>
        <w:rPr>
          <w:b/>
          <w:color w:val="C00000"/>
        </w:rPr>
        <w:t>-33.13%  🔴 Sous-performance</w:t>
      </w:r>
      <w:r>
        <w:br/>
      </w:r>
      <w:r>
        <w:rPr>
          <w:b/>
        </w:rPr>
        <w:t xml:space="preserve">Sentiment général: </w:t>
      </w:r>
      <w:r>
        <w:t xml:space="preserve">ACHAT  |  </w:t>
      </w:r>
      <w:r>
        <w:rPr>
          <w:b/>
        </w:rPr>
        <w:t xml:space="preserve">Risque moyen: </w:t>
      </w:r>
      <w:r>
        <w:t xml:space="preserve">Faible  |  </w:t>
      </w:r>
      <w:r>
        <w:rPr>
          <w:b/>
        </w:rPr>
        <w:t xml:space="preserve">Prix moyen: </w:t>
      </w:r>
      <w:r>
        <w:t>2531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BOAC, BOAS, CABC, CIEC, ECOC, ETIT, NSBC, ORAC, PALC, SDSC, SEMC, SGBC, SHEC, SIBC, SNTS, SPHC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BICB, BICC, BNBC, BOAB, BOAM, CBIBF, CFAC, FTSC, LNBB, NEIC, NTLC, ONTBF, ORGT, SAFC, SDCC, SIVC, SMBC, STAC, TTLC, UNLC,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BOABF, BOAN, PRSC, SCRC, SICC, SLBC, SOGC, TTLS</w:t>
            </w:r>
          </w:p>
        </w:tc>
        <w:tc>
          <w:tcPr>
            <w:tcW w:type="dxa" w:w="2160"/>
            <w:shd w:fill="FFC7CE" w:val="clear"/>
          </w:tcPr>
          <w:p>
            <w:pPr>
              <w:spacing w:before="40" w:after="40"/>
            </w:pPr>
            <w:r/>
            <w:r>
              <w:rPr>
                <w:b w:val="0"/>
                <w:sz w:val="16"/>
              </w:rPr>
              <w:t>STBC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1307242</w:t>
            </w:r>
          </w:p>
        </w:tc>
        <w:tc>
          <w:tcPr>
            <w:tcW w:type="dxa" w:w="1728"/>
          </w:tcPr>
          <w:p>
            <w:r>
              <w:t>88216437 FCFA</w:t>
            </w:r>
          </w:p>
        </w:tc>
        <w:tc>
          <w:tcPr>
            <w:tcW w:type="dxa" w:w="1728"/>
          </w:tcPr>
          <w:p>
            <w:r>
              <w:t>169.23%</w:t>
            </w:r>
          </w:p>
        </w:tc>
        <w:tc>
          <w:tcPr>
            <w:tcW w:type="dxa" w:w="1728"/>
          </w:tcPr>
          <w:p>
            <w:r>
              <w:t>ACHAT</w:t>
            </w:r>
          </w:p>
        </w:tc>
      </w:tr>
      <w:tr>
        <w:tc>
          <w:tcPr>
            <w:tcW w:type="dxa" w:w="1728"/>
          </w:tcPr>
          <w:p>
            <w:r>
              <w:t>BICB (BIIC BN - Banque internationale pour le commerce du benin)</w:t>
            </w:r>
          </w:p>
        </w:tc>
        <w:tc>
          <w:tcPr>
            <w:tcW w:type="dxa" w:w="1728"/>
          </w:tcPr>
          <w:p>
            <w:r>
              <w:t>20242</w:t>
            </w:r>
          </w:p>
        </w:tc>
        <w:tc>
          <w:tcPr>
            <w:tcW w:type="dxa" w:w="1728"/>
          </w:tcPr>
          <w:p>
            <w:r>
              <w:t>178437960 FCFA</w:t>
            </w:r>
          </w:p>
        </w:tc>
        <w:tc>
          <w:tcPr>
            <w:tcW w:type="dxa" w:w="1728"/>
          </w:tcPr>
          <w:p>
            <w:r>
              <w:t>104.50%</w:t>
            </w:r>
          </w:p>
        </w:tc>
        <w:tc>
          <w:tcPr>
            <w:tcW w:type="dxa" w:w="1728"/>
          </w:tcPr>
          <w:p>
            <w:r>
              <w:t>ACHAT</w:t>
            </w:r>
          </w:p>
        </w:tc>
      </w:tr>
      <w:tr>
        <w:tc>
          <w:tcPr>
            <w:tcW w:type="dxa" w:w="1728"/>
          </w:tcPr>
          <w:p>
            <w:r>
              <w:t>SDSC (SDSC - AFRICA GLOBAL LOGISTICS CI)</w:t>
            </w:r>
          </w:p>
        </w:tc>
        <w:tc>
          <w:tcPr>
            <w:tcW w:type="dxa" w:w="1728"/>
          </w:tcPr>
          <w:p>
            <w:r>
              <w:t>18768</w:t>
            </w:r>
          </w:p>
        </w:tc>
        <w:tc>
          <w:tcPr>
            <w:tcW w:type="dxa" w:w="1728"/>
          </w:tcPr>
          <w:p>
            <w:r>
              <w:t>52744001 FCFA</w:t>
            </w:r>
          </w:p>
        </w:tc>
        <w:tc>
          <w:tcPr>
            <w:tcW w:type="dxa" w:w="1728"/>
          </w:tcPr>
          <w:p>
            <w:r>
              <w:t>69.75%</w:t>
            </w:r>
          </w:p>
        </w:tc>
        <w:tc>
          <w:tcPr>
            <w:tcW w:type="dxa" w:w="1728"/>
          </w:tcPr>
          <w:p>
            <w:r>
              <w:t>ACHAT</w:t>
            </w:r>
          </w:p>
        </w:tc>
      </w:tr>
      <w:tr>
        <w:tc>
          <w:tcPr>
            <w:tcW w:type="dxa" w:w="1728"/>
          </w:tcPr>
          <w:p>
            <w:r>
              <w:t>SIBC (SIBC - SOCIETE IVOIRIENNE DE BANQUE)</w:t>
            </w:r>
          </w:p>
        </w:tc>
        <w:tc>
          <w:tcPr>
            <w:tcW w:type="dxa" w:w="1728"/>
          </w:tcPr>
          <w:p>
            <w:r>
              <w:t>15994</w:t>
            </w:r>
          </w:p>
        </w:tc>
        <w:tc>
          <w:tcPr>
            <w:tcW w:type="dxa" w:w="1728"/>
          </w:tcPr>
          <w:p>
            <w:r>
              <w:t>146099664 FCFA</w:t>
            </w:r>
          </w:p>
        </w:tc>
        <w:tc>
          <w:tcPr>
            <w:tcW w:type="dxa" w:w="1728"/>
          </w:tcPr>
          <w:p>
            <w:r>
              <w:t>32.48%</w:t>
            </w:r>
          </w:p>
        </w:tc>
        <w:tc>
          <w:tcPr>
            <w:tcW w:type="dxa" w:w="1728"/>
          </w:tcPr>
          <w:p>
            <w:r>
              <w:t>ACHAT</w:t>
            </w:r>
          </w:p>
        </w:tc>
      </w:tr>
      <w:tr>
        <w:tc>
          <w:tcPr>
            <w:tcW w:type="dxa" w:w="1728"/>
          </w:tcPr>
          <w:p>
            <w:r>
              <w:t>BOAS (BANK OF AFRICA SENEGAL)</w:t>
            </w:r>
          </w:p>
        </w:tc>
        <w:tc>
          <w:tcPr>
            <w:tcW w:type="dxa" w:w="1728"/>
          </w:tcPr>
          <w:p>
            <w:r>
              <w:t>15404</w:t>
            </w:r>
          </w:p>
        </w:tc>
        <w:tc>
          <w:tcPr>
            <w:tcW w:type="dxa" w:w="1728"/>
          </w:tcPr>
          <w:p>
            <w:r>
              <w:t>124830537 FCFA</w:t>
            </w:r>
          </w:p>
        </w:tc>
        <w:tc>
          <w:tcPr>
            <w:tcW w:type="dxa" w:w="1728"/>
          </w:tcPr>
          <w:p>
            <w:r>
              <w:t>20.68%</w:t>
            </w:r>
          </w:p>
        </w:tc>
        <w:tc>
          <w:tcPr>
            <w:tcW w:type="dxa" w:w="1728"/>
          </w:tcPr>
          <w:p>
            <w:r>
              <w:t>ACHAT</w:t>
            </w:r>
          </w:p>
        </w:tc>
      </w:tr>
      <w:tr>
        <w:tc>
          <w:tcPr>
            <w:tcW w:type="dxa" w:w="1728"/>
          </w:tcPr>
          <w:p>
            <w:r>
              <w:t>UNXC (UNXC - UNIWAX COTE D'IVOIRE)</w:t>
            </w:r>
          </w:p>
        </w:tc>
        <w:tc>
          <w:tcPr>
            <w:tcW w:type="dxa" w:w="1728"/>
          </w:tcPr>
          <w:p>
            <w:r>
              <w:t>15158</w:t>
            </w:r>
          </w:p>
        </w:tc>
        <w:tc>
          <w:tcPr>
            <w:tcW w:type="dxa" w:w="1728"/>
          </w:tcPr>
          <w:p>
            <w:r>
              <w:t>36182596 FCFA</w:t>
            </w:r>
          </w:p>
        </w:tc>
        <w:tc>
          <w:tcPr>
            <w:tcW w:type="dxa" w:w="1728"/>
          </w:tcPr>
          <w:p>
            <w:r>
              <w:t>28.00%</w:t>
            </w:r>
          </w:p>
        </w:tc>
        <w:tc>
          <w:tcPr>
            <w:tcW w:type="dxa" w:w="1728"/>
          </w:tcPr>
          <w:p>
            <w:r>
              <w:t>ACHAT</w:t>
            </w:r>
          </w:p>
        </w:tc>
      </w:tr>
      <w:tr>
        <w:tc>
          <w:tcPr>
            <w:tcW w:type="dxa" w:w="1728"/>
          </w:tcPr>
          <w:p>
            <w:r>
              <w:t>SNTS (SNTS - SONATEL SN)</w:t>
            </w:r>
          </w:p>
        </w:tc>
        <w:tc>
          <w:tcPr>
            <w:tcW w:type="dxa" w:w="1728"/>
          </w:tcPr>
          <w:p>
            <w:r>
              <w:t>12438</w:t>
            </w:r>
          </w:p>
        </w:tc>
        <w:tc>
          <w:tcPr>
            <w:tcW w:type="dxa" w:w="1728"/>
          </w:tcPr>
          <w:p>
            <w:r>
              <w:t>454307442 FCFA</w:t>
            </w:r>
          </w:p>
        </w:tc>
        <w:tc>
          <w:tcPr>
            <w:tcW w:type="dxa" w:w="1728"/>
          </w:tcPr>
          <w:p>
            <w:r>
              <w:t>37.83%</w:t>
            </w:r>
          </w:p>
        </w:tc>
        <w:tc>
          <w:tcPr>
            <w:tcW w:type="dxa" w:w="1728"/>
          </w:tcPr>
          <w:p>
            <w:r>
              <w:t>ACHAT</w:t>
            </w:r>
          </w:p>
        </w:tc>
      </w:tr>
      <w:tr>
        <w:tc>
          <w:tcPr>
            <w:tcW w:type="dxa" w:w="1728"/>
          </w:tcPr>
          <w:p>
            <w:r>
              <w:t>BOAC (BANK OF AFRICA COTE D'IVOIRE)</w:t>
            </w:r>
          </w:p>
        </w:tc>
        <w:tc>
          <w:tcPr>
            <w:tcW w:type="dxa" w:w="1728"/>
          </w:tcPr>
          <w:p>
            <w:r>
              <w:t>11728</w:t>
            </w:r>
          </w:p>
        </w:tc>
        <w:tc>
          <w:tcPr>
            <w:tcW w:type="dxa" w:w="1728"/>
          </w:tcPr>
          <w:p>
            <w:r>
              <w:t>148902699 FCFA</w:t>
            </w:r>
          </w:p>
        </w:tc>
        <w:tc>
          <w:tcPr>
            <w:tcW w:type="dxa" w:w="1728"/>
          </w:tcPr>
          <w:p>
            <w:r>
              <w:t>44.19%</w:t>
            </w:r>
          </w:p>
        </w:tc>
        <w:tc>
          <w:tcPr>
            <w:tcW w:type="dxa" w:w="1728"/>
          </w:tcPr>
          <w:p>
            <w:r>
              <w:t>ACHAT</w:t>
            </w:r>
          </w:p>
        </w:tc>
      </w:tr>
      <w:tr>
        <w:tc>
          <w:tcPr>
            <w:tcW w:type="dxa" w:w="1728"/>
          </w:tcPr>
          <w:p>
            <w:r>
              <w:t>SPHC (SPHC - Société Africaine de Plantation d'Hévéas de Côte d'Ivoire)</w:t>
            </w:r>
          </w:p>
        </w:tc>
        <w:tc>
          <w:tcPr>
            <w:tcW w:type="dxa" w:w="1728"/>
          </w:tcPr>
          <w:p>
            <w:r>
              <w:t>10872</w:t>
            </w:r>
          </w:p>
        </w:tc>
        <w:tc>
          <w:tcPr>
            <w:tcW w:type="dxa" w:w="1728"/>
          </w:tcPr>
          <w:p>
            <w:r>
              <w:t>96371254 FCFA</w:t>
            </w:r>
          </w:p>
        </w:tc>
        <w:tc>
          <w:tcPr>
            <w:tcW w:type="dxa" w:w="1728"/>
          </w:tcPr>
          <w:p>
            <w:r>
              <w:t>13.70%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SOGC (SOGC - Société des caoutchoucs de Grand-Béréby)</w:t>
            </w:r>
          </w:p>
        </w:tc>
        <w:tc>
          <w:tcPr>
            <w:tcW w:type="dxa" w:w="1728"/>
          </w:tcPr>
          <w:p>
            <w:r>
              <w:t>4265</w:t>
            </w:r>
          </w:p>
        </w:tc>
        <w:tc>
          <w:tcPr>
            <w:tcW w:type="dxa" w:w="1728"/>
          </w:tcPr>
          <w:p>
            <w:r>
              <w:t>35193518 FCFA</w:t>
            </w:r>
          </w:p>
        </w:tc>
        <w:tc>
          <w:tcPr>
            <w:tcW w:type="dxa" w:w="1728"/>
          </w:tcPr>
          <w:p>
            <w:r>
              <w:t>2.92%</w:t>
            </w:r>
          </w:p>
        </w:tc>
        <w:tc>
          <w:tcPr>
            <w:tcW w:type="dxa" w:w="1728"/>
          </w:tcPr>
          <w:p>
            <w:r>
              <w:t>ACHAT FORT</w:t>
            </w:r>
          </w:p>
        </w:tc>
      </w:tr>
      <w:tr>
        <w:tc>
          <w:tcPr>
            <w:tcW w:type="dxa" w:w="1728"/>
          </w:tcPr>
          <w:p>
            <w:r>
              <w:t>ORAC (ORAC - ORANGE COTE D'IVOIRE)</w:t>
            </w:r>
          </w:p>
        </w:tc>
        <w:tc>
          <w:tcPr>
            <w:tcW w:type="dxa" w:w="1728"/>
          </w:tcPr>
          <w:p>
            <w:r>
              <w:t>4189</w:t>
            </w:r>
          </w:p>
        </w:tc>
        <w:tc>
          <w:tcPr>
            <w:tcW w:type="dxa" w:w="1728"/>
          </w:tcPr>
          <w:p>
            <w:r>
              <w:t>87691275 FCFA</w:t>
            </w:r>
          </w:p>
        </w:tc>
        <w:tc>
          <w:tcPr>
            <w:tcW w:type="dxa" w:w="1728"/>
          </w:tcPr>
          <w:p>
            <w:r>
              <w:t>52.72%</w:t>
            </w:r>
          </w:p>
        </w:tc>
        <w:tc>
          <w:tcPr>
            <w:tcW w:type="dxa" w:w="1728"/>
          </w:tcPr>
          <w:p>
            <w:r>
              <w:t>ACHAT</w:t>
            </w:r>
          </w:p>
        </w:tc>
      </w:tr>
      <w:tr>
        <w:tc>
          <w:tcPr>
            <w:tcW w:type="dxa" w:w="1728"/>
          </w:tcPr>
          <w:p>
            <w:r>
              <w:t>NSBC (NSBC - NSIA BANQUE COTE D'IVOIRE)</w:t>
            </w:r>
          </w:p>
        </w:tc>
        <w:tc>
          <w:tcPr>
            <w:tcW w:type="dxa" w:w="1728"/>
          </w:tcPr>
          <w:p>
            <w:r>
              <w:t>4170</w:t>
            </w:r>
          </w:p>
        </w:tc>
        <w:tc>
          <w:tcPr>
            <w:tcW w:type="dxa" w:w="1728"/>
          </w:tcPr>
          <w:p>
            <w:r>
              <w:t>96896071 FCFA</w:t>
            </w:r>
          </w:p>
        </w:tc>
        <w:tc>
          <w:tcPr>
            <w:tcW w:type="dxa" w:w="1728"/>
          </w:tcPr>
          <w:p>
            <w:r>
              <w:t>73.67%</w:t>
            </w:r>
          </w:p>
        </w:tc>
        <w:tc>
          <w:tcPr>
            <w:tcW w:type="dxa" w:w="1728"/>
          </w:tcPr>
          <w:p>
            <w:r>
              <w:t>ACHAT</w:t>
            </w:r>
          </w:p>
        </w:tc>
      </w:tr>
      <w:tr>
        <w:tc>
          <w:tcPr>
            <w:tcW w:type="dxa" w:w="1728"/>
          </w:tcPr>
          <w:p>
            <w:r>
              <w:t>CFAC (CFAC - CFAO MOTORS CI)</w:t>
            </w:r>
          </w:p>
        </w:tc>
        <w:tc>
          <w:tcPr>
            <w:tcW w:type="dxa" w:w="1728"/>
          </w:tcPr>
          <w:p>
            <w:r>
              <w:t>3725</w:t>
            </w:r>
          </w:p>
        </w:tc>
        <w:tc>
          <w:tcPr>
            <w:tcW w:type="dxa" w:w="1728"/>
          </w:tcPr>
          <w:p>
            <w:r>
              <w:t>6363389 FCFA</w:t>
            </w:r>
          </w:p>
        </w:tc>
        <w:tc>
          <w:tcPr>
            <w:tcW w:type="dxa" w:w="1728"/>
          </w:tcPr>
          <w:p>
            <w:r>
              <w:t>10.36%</w:t>
            </w:r>
          </w:p>
        </w:tc>
        <w:tc>
          <w:tcPr>
            <w:tcW w:type="dxa" w:w="1728"/>
          </w:tcPr>
          <w:p>
            <w:r>
              <w:t>ACHAT</w:t>
            </w:r>
          </w:p>
        </w:tc>
      </w:tr>
      <w:tr>
        <w:tc>
          <w:tcPr>
            <w:tcW w:type="dxa" w:w="1728"/>
          </w:tcPr>
          <w:p>
            <w:r>
              <w:t>STBC (STBC - SITAB COTE D'IVOIRE)</w:t>
            </w:r>
          </w:p>
        </w:tc>
        <w:tc>
          <w:tcPr>
            <w:tcW w:type="dxa" w:w="1728"/>
          </w:tcPr>
          <w:p>
            <w:r>
              <w:t>3385</w:t>
            </w:r>
          </w:p>
        </w:tc>
        <w:tc>
          <w:tcPr>
            <w:tcW w:type="dxa" w:w="1728"/>
          </w:tcPr>
          <w:p>
            <w:r>
              <w:t>75191092 FCFA</w:t>
            </w:r>
          </w:p>
        </w:tc>
        <w:tc>
          <w:tcPr>
            <w:tcW w:type="dxa" w:w="1728"/>
          </w:tcPr>
          <w:p>
            <w:r>
              <w:t>8.29%</w:t>
            </w:r>
          </w:p>
        </w:tc>
        <w:tc>
          <w:tcPr>
            <w:tcW w:type="dxa" w:w="1728"/>
          </w:tcPr>
          <w:p>
            <w:r>
              <w:t>CONSERVER</w:t>
            </w:r>
          </w:p>
        </w:tc>
      </w:tr>
      <w:tr>
        <w:tc>
          <w:tcPr>
            <w:tcW w:type="dxa" w:w="1728"/>
          </w:tcPr>
          <w:p>
            <w:r>
              <w:t>FTSC (FTSC - FILTISAC COTE D'IVOIRE)</w:t>
            </w:r>
          </w:p>
        </w:tc>
        <w:tc>
          <w:tcPr>
            <w:tcW w:type="dxa" w:w="1728"/>
          </w:tcPr>
          <w:p>
            <w:r>
              <w:t>3212</w:t>
            </w:r>
          </w:p>
        </w:tc>
        <w:tc>
          <w:tcPr>
            <w:tcW w:type="dxa" w:w="1728"/>
          </w:tcPr>
          <w:p>
            <w:r>
              <w:t>6857298 FCFA</w:t>
            </w:r>
          </w:p>
        </w:tc>
        <w:tc>
          <w:tcPr>
            <w:tcW w:type="dxa" w:w="1728"/>
          </w:tcPr>
          <w:p>
            <w:r>
              <w:t>-3.64%</w:t>
            </w:r>
          </w:p>
        </w:tc>
        <w:tc>
          <w:tcPr>
            <w:tcW w:type="dxa" w:w="1728"/>
          </w:tcPr>
          <w:p>
            <w:r>
              <w:t>ACHAT</w:t>
            </w:r>
          </w:p>
        </w:tc>
      </w:tr>
      <w:tr>
        <w:tc>
          <w:tcPr>
            <w:tcW w:type="dxa" w:w="1728"/>
          </w:tcPr>
          <w:p>
            <w:r>
              <w:t>PALC (PALC - PALM COTE D'IVOIRE)</w:t>
            </w:r>
          </w:p>
        </w:tc>
        <w:tc>
          <w:tcPr>
            <w:tcW w:type="dxa" w:w="1728"/>
          </w:tcPr>
          <w:p>
            <w:r>
              <w:t>3177</w:t>
            </w:r>
          </w:p>
        </w:tc>
        <w:tc>
          <w:tcPr>
            <w:tcW w:type="dxa" w:w="1728"/>
          </w:tcPr>
          <w:p>
            <w:r>
              <w:t>28543883 FCFA</w:t>
            </w:r>
          </w:p>
        </w:tc>
        <w:tc>
          <w:tcPr>
            <w:tcW w:type="dxa" w:w="1728"/>
          </w:tcPr>
          <w:p>
            <w:r>
              <w:t>2.47%</w:t>
            </w:r>
          </w:p>
        </w:tc>
        <w:tc>
          <w:tcPr>
            <w:tcW w:type="dxa" w:w="1728"/>
          </w:tcPr>
          <w:p>
            <w:r>
              <w:t>ACHAT</w:t>
            </w:r>
          </w:p>
        </w:tc>
      </w:tr>
      <w:tr>
        <w:tc>
          <w:tcPr>
            <w:tcW w:type="dxa" w:w="1728"/>
          </w:tcPr>
          <w:p>
            <w:r>
              <w:t>NEIC (NEIC - NEI-CEDA CI)</w:t>
            </w:r>
          </w:p>
        </w:tc>
        <w:tc>
          <w:tcPr>
            <w:tcW w:type="dxa" w:w="1728"/>
          </w:tcPr>
          <w:p>
            <w:r>
              <w:t>2646</w:t>
            </w:r>
          </w:p>
        </w:tc>
        <w:tc>
          <w:tcPr>
            <w:tcW w:type="dxa" w:w="1728"/>
          </w:tcPr>
          <w:p>
            <w:r>
              <w:t>7357551 FCFA</w:t>
            </w:r>
          </w:p>
        </w:tc>
        <w:tc>
          <w:tcPr>
            <w:tcW w:type="dxa" w:w="1728"/>
          </w:tcPr>
          <w:p>
            <w:r>
              <w:t>100.73%</w:t>
            </w:r>
          </w:p>
        </w:tc>
        <w:tc>
          <w:tcPr>
            <w:tcW w:type="dxa" w:w="1728"/>
          </w:tcPr>
          <w:p>
            <w:r>
              <w:t>ACHAT</w:t>
            </w:r>
          </w:p>
        </w:tc>
      </w:tr>
      <w:tr>
        <w:tc>
          <w:tcPr>
            <w:tcW w:type="dxa" w:w="1728"/>
          </w:tcPr>
          <w:p>
            <w:r>
              <w:t>TTLS (TTLS - TOTAL ENERGIES MARKETING SENEGAL)</w:t>
            </w:r>
          </w:p>
        </w:tc>
        <w:tc>
          <w:tcPr>
            <w:tcW w:type="dxa" w:w="1728"/>
          </w:tcPr>
          <w:p>
            <w:r>
              <w:t>2529</w:t>
            </w:r>
          </w:p>
        </w:tc>
        <w:tc>
          <w:tcPr>
            <w:tcW w:type="dxa" w:w="1728"/>
          </w:tcPr>
          <w:p>
            <w:r>
              <w:t>9629896 FCFA</w:t>
            </w:r>
          </w:p>
        </w:tc>
        <w:tc>
          <w:tcPr>
            <w:tcW w:type="dxa" w:w="1728"/>
          </w:tcPr>
          <w:p>
            <w:r>
              <w:t>18.60%</w:t>
            </w:r>
          </w:p>
        </w:tc>
        <w:tc>
          <w:tcPr>
            <w:tcW w:type="dxa" w:w="1728"/>
          </w:tcPr>
          <w:p>
            <w:r>
              <w:t>ACHAT</w:t>
            </w:r>
          </w:p>
        </w:tc>
      </w:tr>
      <w:tr>
        <w:tc>
          <w:tcPr>
            <w:tcW w:type="dxa" w:w="1728"/>
          </w:tcPr>
          <w:p>
            <w:r>
              <w:t>SDCC (SDCC - Société de Distribution d'Eau de Côte d'Ivoire)</w:t>
            </w:r>
          </w:p>
        </w:tc>
        <w:tc>
          <w:tcPr>
            <w:tcW w:type="dxa" w:w="1728"/>
          </w:tcPr>
          <w:p>
            <w:r>
              <w:t>2414</w:t>
            </w:r>
          </w:p>
        </w:tc>
        <w:tc>
          <w:tcPr>
            <w:tcW w:type="dxa" w:w="1728"/>
          </w:tcPr>
          <w:p>
            <w:r>
              <w:t>31350573 FCFA</w:t>
            </w:r>
          </w:p>
        </w:tc>
        <w:tc>
          <w:tcPr>
            <w:tcW w:type="dxa" w:w="1728"/>
          </w:tcPr>
          <w:p>
            <w:r>
              <w:t>87.68%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BOABF - BANK OF AFRICA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SOGC - SOGC - Société des caoutchoucs de Grand-Béréby</w:t>
      </w:r>
    </w:p>
    <w:p>
      <w:r>
        <w:rPr>
          <w:b/>
        </w:rPr>
        <w:t xml:space="preserve">Score de divergence: </w:t>
      </w:r>
      <w:r>
        <w:t>5/8</w:t>
        <w:br/>
      </w:r>
      <w:r>
        <w:rPr>
          <w:b/>
        </w:rPr>
        <w:t xml:space="preserve">Description: </w:t>
      </w:r>
      <w:r>
        <w:t>Signaux de vente: MM, MACD | Recommandation finale: ACHAT FORT</w:t>
        <w:br/>
      </w:r>
    </w:p>
    <w:p/>
    <w:p>
      <w:pPr>
        <w:pStyle w:val="Heading3"/>
      </w:pPr>
      <w:r>
        <w:t>3. BOAN - BANK OF AFRICA NIGER</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4. PRSC - PRSC - TRACTAFRIC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5. SCRC - SCRC - SUCRIVOIRE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7. SLBC - SLBC - SOLIBRA COTE D'IVOIRE</w:t>
      </w:r>
    </w:p>
    <w:p>
      <w:r>
        <w:rPr>
          <w:b/>
        </w:rPr>
        <w:t xml:space="preserve">Score de divergence: </w:t>
      </w:r>
      <w:r>
        <w:t>4/8</w:t>
        <w:br/>
      </w:r>
      <w:r>
        <w:rPr>
          <w:b/>
        </w:rPr>
        <w:t xml:space="preserve">Description: </w:t>
      </w:r>
      <w:r>
        <w:t>Signaux d'achat: MACD | Signaux de vente: MM, Stochastique | Recommandation finale: ACHAT FORT</w:t>
        <w:br/>
      </w:r>
    </w:p>
    <w:p/>
    <w:p>
      <w:pPr>
        <w:pStyle w:val="Heading3"/>
      </w:pPr>
      <w:r>
        <w:t>8. TTLS - TTLS - TOTAL ENERGIES MARKETING SENEGAL</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BOAC - BANK OF AFRICA COTE D'IVOIRE</w:t>
      </w:r>
    </w:p>
    <w:p>
      <w:r>
        <w:rPr>
          <w:b/>
        </w:rPr>
        <w:t xml:space="preserve">Score de divergence: </w:t>
      </w:r>
      <w:r>
        <w:t>2/8</w:t>
        <w:br/>
      </w:r>
      <w:r>
        <w:rPr>
          <w:b/>
        </w:rPr>
        <w:t xml:space="preserve">Description: </w:t>
      </w:r>
      <w:r>
        <w:t>Signaux d'achat: MM, RSI, Stochastique | Signaux de vente: MACD | Recommandation finale: ACHAT</w:t>
        <w:br/>
      </w:r>
    </w:p>
    <w:p/>
    <w:p>
      <w:pPr>
        <w:pStyle w:val="Heading3"/>
      </w:pPr>
      <w:r>
        <w:t>10. CABC - CABC - SICABLE COTE D'IVOIRE</w:t>
      </w:r>
    </w:p>
    <w:p>
      <w:r>
        <w:rPr>
          <w:b/>
        </w:rPr>
        <w:t xml:space="preserve">Score de divergence: </w:t>
      </w:r>
      <w:r>
        <w:t>2/8</w:t>
        <w:br/>
      </w:r>
      <w:r>
        <w:rPr>
          <w:b/>
        </w:rPr>
        <w:t xml:space="preserve">Description: </w:t>
      </w:r>
      <w:r>
        <w:t>Signaux d'achat: MACD, RSI, Stochastique | Signaux de vente: MM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22</w:t>
            </w:r>
          </w:p>
        </w:tc>
        <w:tc>
          <w:tcPr>
            <w:tcW w:type="dxa" w:w="2160"/>
          </w:tcPr>
          <w:p>
            <w:r>
              <w:t>0</w:t>
            </w:r>
          </w:p>
        </w:tc>
      </w:tr>
      <w:tr>
        <w:tc>
          <w:tcPr>
            <w:tcW w:type="dxa" w:w="2160"/>
          </w:tcPr>
          <w:p>
            <w:r>
              <w:t>Risque Moyen</w:t>
            </w:r>
          </w:p>
        </w:tc>
        <w:tc>
          <w:tcPr>
            <w:tcW w:type="dxa" w:w="2160"/>
          </w:tcPr>
          <w:p>
            <w:r>
              <w:t>0</w:t>
            </w:r>
          </w:p>
        </w:tc>
        <w:tc>
          <w:tcPr>
            <w:tcW w:type="dxa" w:w="2160"/>
          </w:tcPr>
          <w:p>
            <w:r>
              <w:t>25</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C00000"/>
          <w:sz w:val="18"/>
        </w:rPr>
        <w:t>**Matières premières** : l'indice MXV progresse pour la 6e semaine consécutive, avec une forte pression à l'achat sur le marché de l'énergie (vietnam.vn, 14/09).</w:t>
      </w:r>
    </w:p>
    <w:p>
      <w:pPr>
        <w:pStyle w:val="ListBullet"/>
        <w:spacing w:before="20" w:after="20"/>
        <w:ind w:left="360"/>
      </w:pPr>
      <w:r>
        <w:rPr>
          <w:sz w:val="18"/>
        </w:rPr>
        <w:t>**BCE** : envisage un relèvement de ses taux directeurs face à une inflation persistante (Alternatives économiques, 11/09).</w:t>
      </w:r>
    </w:p>
    <w:p>
      <w:pPr>
        <w:pStyle w:val="ListBullet"/>
        <w:spacing w:before="20" w:after="20"/>
        <w:ind w:left="360"/>
      </w:pPr>
      <w:r>
        <w:rPr>
          <w:sz w:val="18"/>
        </w:rPr>
        <w:t>**Banques centrales** : posture de fermeté généralisée, taux maintenus élevés face à l'inflation (Boursorama, 14/09).</w:t>
      </w:r>
    </w:p>
    <w:p>
      <w:pPr>
        <w:pStyle w:val="ListBullet"/>
        <w:spacing w:before="20" w:after="20"/>
        <w:ind w:left="360"/>
      </w:pPr>
      <w:r>
        <w:rPr>
          <w:sz w:val="18"/>
        </w:rPr>
        <w:t>**Matières premières (été)** : évolution contrastée selon Les Echos (09/09).</w:t>
      </w:r>
    </w:p>
    <w:p>
      <w:pPr>
        <w:pStyle w:val="Heading3"/>
      </w:pPr>
      <w:r>
        <w:rPr>
          <w:color w:val="500050"/>
        </w:rPr>
        <w:t>⚡ Impact estimé sur la BRVM</w:t>
      </w:r>
    </w:p>
    <w:p>
      <w:pPr>
        <w:spacing w:before="20" w:after="40"/>
        <w:ind w:left="280"/>
      </w:pPr>
      <w:r>
        <w:rPr>
          <w:i/>
          <w:sz w:val="18"/>
        </w:rPr>
        <w:t>La hausse de l'énergie est favorable à **SHEC** (Energie) et indirectement à **SDCC** (Services publics). Le durcissement monétaire mondial renchérit le coût des capitaux et pèse sur les valorisations, notamment des banques (**SGBC, BICB, BOAB, ETIT**). Les matières premières en hausse soutiennent les exportateurs agricoles de la zone.</w:t>
      </w:r>
    </w:p>
    <w:p>
      <w:pPr>
        <w:pStyle w:val="Heading2"/>
      </w:pPr>
      <w:r>
        <w:rPr>
          <w:color w:val="006E32"/>
        </w:rPr>
        <w:t>🌍 Plan Africain</w:t>
      </w:r>
    </w:p>
    <w:p>
      <w:pPr>
        <w:pStyle w:val="ListBullet"/>
        <w:spacing w:before="20" w:after="20"/>
        <w:ind w:left="360"/>
      </w:pPr>
      <w:r>
        <w:rPr>
          <w:sz w:val="18"/>
        </w:rPr>
        <w:t>**Sénégal/FMI** : accord sur un programme d'aide de ~1,9 Md€ (Les Echos, 01-02/09).</w:t>
      </w:r>
    </w:p>
    <w:p>
      <w:pPr>
        <w:pStyle w:val="ListBullet"/>
        <w:spacing w:before="20" w:after="20"/>
        <w:ind w:left="360"/>
      </w:pPr>
      <w:r>
        <w:rPr>
          <w:sz w:val="18"/>
        </w:rPr>
        <w:t>**Afrique du Sud** : Goldman Sachs anticipe un retour en "Investment grade" dès 2028 (02/09).</w:t>
      </w:r>
    </w:p>
    <w:p>
      <w:pPr>
        <w:pStyle w:val="ListBullet"/>
        <w:spacing w:before="20" w:after="20"/>
        <w:ind w:left="360"/>
      </w:pPr>
      <w:r>
        <w:rPr>
          <w:sz w:val="18"/>
        </w:rPr>
        <w:t>**Agroécologie Afrique de l'Ouest** : promotion d'une agriculture durable (mafrique, 13/09).</w:t>
      </w:r>
    </w:p>
    <w:p>
      <w:pPr>
        <w:pStyle w:val="Heading3"/>
      </w:pPr>
      <w:r>
        <w:rPr>
          <w:color w:val="500050"/>
        </w:rPr>
        <w:t>⚡ Impact estimé sur la BRVM</w:t>
      </w:r>
    </w:p>
    <w:p>
      <w:pPr>
        <w:spacing w:before="20" w:after="40"/>
        <w:ind w:left="280"/>
      </w:pPr>
      <w:r>
        <w:rPr>
          <w:i/>
          <w:sz w:val="18"/>
        </w:rPr>
        <w:t>Le soutien du FMI au Sénégal renforce la stabilité macro de l'UEMOA et la confiance des investisseurs, bénéfique à l'ensemble du marché BRVM. L'amélioration souveraine sud-africaine pourrait détourner une partie des flux émergents vers Johannesburg, concurrençant la BRVM.</w:t>
      </w:r>
    </w:p>
    <w:p>
      <w:pPr>
        <w:pStyle w:val="Heading2"/>
      </w:pPr>
      <w:r>
        <w:rPr>
          <w:color w:val="145A28"/>
        </w:rPr>
        <w:t>🌍 Plan Afrique de l'Ouest</w:t>
      </w:r>
    </w:p>
    <w:p>
      <w:pPr>
        <w:pStyle w:val="ListBullet"/>
        <w:spacing w:before="20" w:after="20"/>
        <w:ind w:left="360"/>
      </w:pPr>
      <w:r>
        <w:rPr>
          <w:color w:val="C00000"/>
          <w:sz w:val="18"/>
        </w:rPr>
        <w:t>**Entreprises algériennes** : dynamique affirmée (L'Expression, 11/09).</w:t>
      </w:r>
    </w:p>
    <w:p>
      <w:pPr>
        <w:pStyle w:val="ListBullet"/>
        <w:spacing w:before="20" w:after="20"/>
        <w:ind w:left="360"/>
      </w:pPr>
      <w:r>
        <w:rPr>
          <w:sz w:val="18"/>
        </w:rPr>
        <w:t>**OOAS** : nouvelle direction régionale santé (FratMat, 11/09).</w:t>
      </w:r>
    </w:p>
    <w:p>
      <w:pPr>
        <w:pStyle w:val="ListBullet"/>
        <w:spacing w:before="20" w:after="20"/>
        <w:ind w:left="360"/>
      </w:pPr>
      <w:r>
        <w:rPr>
          <w:sz w:val="18"/>
        </w:rPr>
        <w:t>**Mali-Algérie** : médiation diplomatique en cours (Benin Web TV, 14/09).</w:t>
      </w:r>
    </w:p>
    <w:p>
      <w:pPr>
        <w:pStyle w:val="Heading3"/>
      </w:pPr>
      <w:r>
        <w:rPr>
          <w:color w:val="500050"/>
        </w:rPr>
        <w:t>⚡ Impact estimé sur la BRVM</w:t>
      </w:r>
    </w:p>
    <w:p>
      <w:pPr>
        <w:spacing w:before="20" w:after="40"/>
        <w:ind w:left="280"/>
      </w:pPr>
      <w:r>
        <w:rPr>
          <w:i/>
          <w:sz w:val="18"/>
        </w:rPr>
        <w:t>Données essentiellement politiques, impact économique direct limité sur les sociétés cotées. Stabilité régionale globalement neutre pour les flux vers la BRVM.</w:t>
      </w:r>
    </w:p>
    <w:p>
      <w:pPr>
        <w:pStyle w:val="Heading2"/>
      </w:pPr>
      <w:r>
        <w:rPr>
          <w:color w:val="8C4600"/>
        </w:rPr>
        <w:t>🏦 Plan UEMOA / Zone Franc</w:t>
      </w:r>
    </w:p>
    <w:p>
      <w:pPr>
        <w:pStyle w:val="ListBullet"/>
        <w:spacing w:before="20" w:after="20"/>
        <w:ind w:left="360"/>
      </w:pPr>
      <w:r>
        <w:rPr>
          <w:sz w:val="18"/>
        </w:rPr>
        <w:t>**Sénégal** : DPG sous le signe de l'austérité et des ruptures budgétaires (Bamada.net, 14/09) — sentiment négatif.</w:t>
      </w:r>
    </w:p>
    <w:p>
      <w:pPr>
        <w:pStyle w:val="ListBullet"/>
        <w:spacing w:before="20" w:after="20"/>
        <w:ind w:left="360"/>
      </w:pPr>
      <w:r>
        <w:rPr>
          <w:sz w:val="18"/>
        </w:rPr>
        <w:t>**BIIC** : dépasse 1 Md$ de capitalisation, action presque doublée depuis l'IPO (14/09).</w:t>
      </w:r>
    </w:p>
    <w:p>
      <w:pPr>
        <w:pStyle w:val="ListBullet"/>
        <w:spacing w:before="20" w:after="20"/>
        <w:ind w:left="360"/>
      </w:pPr>
      <w:r>
        <w:rPr>
          <w:sz w:val="18"/>
        </w:rPr>
        <w:t>**BCEAO** : aucune décision monétaire spécifique rapportée.</w:t>
      </w:r>
    </w:p>
    <w:p>
      <w:pPr>
        <w:pStyle w:val="Heading3"/>
      </w:pPr>
      <w:r>
        <w:rPr>
          <w:color w:val="500050"/>
        </w:rPr>
        <w:t>⚡ Impact estimé sur la BRVM</w:t>
      </w:r>
    </w:p>
    <w:p>
      <w:pPr>
        <w:spacing w:before="20" w:after="40"/>
        <w:ind w:left="280"/>
      </w:pPr>
      <w:r>
        <w:rPr>
          <w:i/>
          <w:sz w:val="18"/>
        </w:rPr>
        <w:t>L'austérité sénégalaise pourrait réduire les dépenses publiques, pesant modérément sur **SONATEL** et les banques exposées au Sénégal (**SGBC, BICB, BOAB**). La performance de **BIIC** illustre l'attrait des nouvelles cotations et soutient le sentiment général du marché.</w:t>
      </w:r>
    </w:p>
    <w:p>
      <w:pPr>
        <w:pStyle w:val="Heading2"/>
      </w:pPr>
      <w:r>
        <w:rPr>
          <w:color w:val="003366"/>
        </w:rPr>
        <w:t>📈 Plan BRVM</w:t>
      </w:r>
    </w:p>
    <w:p>
      <w:pPr>
        <w:pStyle w:val="ListBullet"/>
        <w:spacing w:before="20" w:after="20"/>
        <w:ind w:left="360"/>
      </w:pPr>
      <w:r>
        <w:rPr>
          <w:sz w:val="18"/>
        </w:rPr>
        <w:t>**Résultats ivoiriens** : encourageants pour les sociétés cotées (La Tribune, 09/06).</w:t>
      </w:r>
    </w:p>
    <w:p>
      <w:pPr>
        <w:pStyle w:val="ListBullet"/>
        <w:spacing w:before="20" w:after="20"/>
        <w:ind w:left="360"/>
      </w:pPr>
      <w:r>
        <w:rPr>
          <w:sz w:val="18"/>
        </w:rPr>
        <w:t>**BIIC** : capitalisation &gt; 1 Md$, quasi-doublement depuis l'IPO.</w:t>
      </w:r>
    </w:p>
    <w:p>
      <w:pPr>
        <w:pStyle w:val="ListBullet"/>
        <w:spacing w:before="20" w:after="20"/>
        <w:ind w:left="360"/>
      </w:pPr>
      <w:r>
        <w:rPr>
          <w:sz w:val="18"/>
        </w:rPr>
        <w:t>Indice BRVM Composite : 555,48 points.</w:t>
      </w:r>
    </w:p>
    <w:p>
      <w:pPr>
        <w:pStyle w:val="Heading3"/>
      </w:pPr>
      <w:r>
        <w:rPr>
          <w:color w:val="500050"/>
        </w:rPr>
        <w:t>⚡ Impact estimé sur la BRVM</w:t>
      </w:r>
    </w:p>
    <w:p>
      <w:pPr>
        <w:spacing w:before="20" w:after="40"/>
        <w:ind w:left="280"/>
      </w:pPr>
      <w:r>
        <w:rPr>
          <w:i/>
          <w:sz w:val="18"/>
        </w:rPr>
        <w:t>Sentiment global positif porté par les bons résultats et la dynamique BIIC. Recommandations : **BIIC** (momentum haussier, prudence sur valorisation), **SGBC/BICB** (surveiller coût du risque), **PALC** (défensif, consommation de base), **SHEC** (favorable énergie), **ETIT** (bancaire, sensible aux taux).</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**BCE** : fermeté monétaire face à l'inflation (11/09).</w:t>
      </w:r>
    </w:p>
    <w:p>
      <w:pPr>
        <w:pStyle w:val="ListBullet"/>
        <w:spacing w:before="20" w:after="20"/>
        <w:ind w:left="360"/>
      </w:pPr>
      <w:r>
        <w:rPr>
          <w:sz w:val="18"/>
        </w:rPr>
        <w:t>**Banques centrales** : posture restrictive coordonnée (14/09).</w:t>
      </w:r>
    </w:p>
    <w:p>
      <w:pPr>
        <w:pStyle w:val="ListBullet"/>
        <w:spacing w:before="20" w:after="20"/>
        <w:ind w:left="360"/>
      </w:pPr>
      <w:r>
        <w:rPr>
          <w:sz w:val="18"/>
        </w:rPr>
        <w:t>Aucun conflit majeur nouveau rapporté dans les sources.</w:t>
      </w:r>
    </w:p>
    <w:p>
      <w:pPr>
        <w:pStyle w:val="Heading3"/>
      </w:pPr>
      <w:r>
        <w:rPr>
          <w:color w:val="500050"/>
        </w:rPr>
        <w:t>⚡ Impact estimé sur la BRVM</w:t>
      </w:r>
    </w:p>
    <w:p>
      <w:pPr>
        <w:spacing w:before="20" w:after="40"/>
        <w:ind w:left="280"/>
      </w:pPr>
      <w:r>
        <w:rPr>
          <w:i/>
          <w:sz w:val="18"/>
        </w:rPr>
        <w:t>Le resserrement mondial réduit l'appétit pour le risque et détourne les capitaux des marchés frontières comme la BRVM. Effet modéré mais réel sur les valorisations bancaires.</w:t>
      </w:r>
    </w:p>
    <w:p>
      <w:pPr>
        <w:pStyle w:val="Heading2"/>
      </w:pPr>
      <w:r>
        <w:rPr>
          <w:color w:val="006E32"/>
        </w:rPr>
        <w:t>🌍 Plan Africain</w:t>
      </w:r>
    </w:p>
    <w:p>
      <w:pPr>
        <w:pStyle w:val="ListBullet"/>
        <w:spacing w:before="20" w:after="20"/>
        <w:ind w:left="360"/>
      </w:pPr>
      <w:r>
        <w:rPr>
          <w:sz w:val="18"/>
        </w:rPr>
        <w:t>**Sénégal/FMI** : accord de financement signé (01-02/09).</w:t>
      </w:r>
    </w:p>
    <w:p>
      <w:pPr>
        <w:pStyle w:val="ListBullet"/>
        <w:spacing w:before="20" w:after="20"/>
        <w:ind w:left="360"/>
      </w:pPr>
      <w:r>
        <w:rPr>
          <w:color w:val="008000"/>
          <w:sz w:val="18"/>
        </w:rPr>
        <w:t>**Afrique du Sud** : perspective de rehaussement souverain (02/09).</w:t>
      </w:r>
    </w:p>
    <w:p>
      <w:pPr>
        <w:pStyle w:val="Heading3"/>
      </w:pPr>
      <w:r>
        <w:rPr>
          <w:color w:val="500050"/>
        </w:rPr>
        <w:t>⚡ Impact estimé sur la BRVM</w:t>
      </w:r>
    </w:p>
    <w:p>
      <w:pPr>
        <w:spacing w:before="20" w:after="40"/>
        <w:ind w:left="280"/>
      </w:pPr>
      <w:r>
        <w:rPr>
          <w:i/>
          <w:sz w:val="18"/>
        </w:rPr>
        <w:t>Signal positif sur la stabilité africaine, susceptible de rassurer les investisseurs institutionnels et de soutenir les flux vers la BRVM.</w:t>
      </w:r>
    </w:p>
    <w:p>
      <w:pPr>
        <w:pStyle w:val="Heading2"/>
      </w:pPr>
      <w:r>
        <w:rPr>
          <w:color w:val="145A28"/>
        </w:rPr>
        <w:t>🌍 Plan Afrique de l'Ouest</w:t>
      </w:r>
    </w:p>
    <w:p>
      <w:pPr>
        <w:pStyle w:val="ListBullet"/>
        <w:spacing w:before="20" w:after="20"/>
        <w:ind w:left="360"/>
      </w:pPr>
      <w:r>
        <w:rPr>
          <w:sz w:val="18"/>
        </w:rPr>
        <w:t>**Mali-Algérie** : médiation diplomatique (14/09).</w:t>
      </w:r>
    </w:p>
    <w:p>
      <w:pPr>
        <w:pStyle w:val="ListBullet"/>
        <w:spacing w:before="20" w:after="20"/>
        <w:ind w:left="360"/>
      </w:pPr>
      <w:r>
        <w:rPr>
          <w:sz w:val="18"/>
        </w:rPr>
        <w:t>**OOAS** : nouvelle gouvernance santé (11/09).</w:t>
      </w:r>
    </w:p>
    <w:p>
      <w:pPr>
        <w:pStyle w:val="ListBullet"/>
        <w:spacing w:before="20" w:after="20"/>
        <w:ind w:left="360"/>
      </w:pPr>
      <w:r>
        <w:rPr>
          <w:sz w:val="18"/>
        </w:rPr>
        <w:t>**Agroécologie** : initiative régionale (13/09).</w:t>
      </w:r>
    </w:p>
    <w:p>
      <w:pPr>
        <w:pStyle w:val="Heading3"/>
      </w:pPr>
      <w:r>
        <w:rPr>
          <w:color w:val="500050"/>
        </w:rPr>
        <w:t>⚡ Impact estimé sur la BRVM</w:t>
      </w:r>
    </w:p>
    <w:p>
      <w:pPr>
        <w:spacing w:before="20" w:after="40"/>
        <w:ind w:left="280"/>
      </w:pPr>
      <w:r>
        <w:rPr>
          <w:i/>
          <w:sz w:val="18"/>
        </w:rPr>
        <w:t>Risques politiques maîtrisés dans la sous-région. Pas d'impact direct significatif sur les sociétés cotées, mais stabilité favorable aux opérations transfrontalières de **SONATEL, ETIT, BOAB**.</w:t>
      </w:r>
    </w:p>
    <w:p>
      <w:pPr>
        <w:pStyle w:val="Heading2"/>
      </w:pPr>
      <w:r>
        <w:rPr>
          <w:color w:val="8C4600"/>
        </w:rPr>
        <w:t>🏦 Plan UEMOA / Zone Franc</w:t>
      </w:r>
    </w:p>
    <w:p>
      <w:pPr>
        <w:pStyle w:val="ListBullet"/>
        <w:spacing w:before="20" w:after="20"/>
        <w:ind w:left="360"/>
      </w:pPr>
      <w:r>
        <w:rPr>
          <w:sz w:val="18"/>
        </w:rPr>
        <w:t>**Sénégal** : austérité budgétaire et ruptures de gestion (14/09).</w:t>
      </w:r>
    </w:p>
    <w:p>
      <w:pPr>
        <w:pStyle w:val="ListBullet"/>
        <w:spacing w:before="20" w:after="20"/>
        <w:ind w:left="360"/>
      </w:pPr>
      <w:r>
        <w:rPr>
          <w:sz w:val="18"/>
        </w:rPr>
        <w:t>Réformes institutionnelles non détaillées dans les sources.</w:t>
      </w:r>
    </w:p>
    <w:p>
      <w:pPr>
        <w:pStyle w:val="Heading3"/>
      </w:pPr>
      <w:r>
        <w:rPr>
          <w:color w:val="500050"/>
        </w:rPr>
        <w:t>⚡ Impact estimé sur la BRVM</w:t>
      </w:r>
    </w:p>
    <w:p>
      <w:pPr>
        <w:spacing w:before="20" w:after="40"/>
        <w:ind w:left="280"/>
      </w:pPr>
      <w:r>
        <w:rPr>
          <w:i/>
          <w:sz w:val="18"/>
        </w:rPr>
        <w:t>Risque réglementaire modéré. L'austérité sénégalaise pourrait affecter les commandes publiques, impactant indirectement **SONATEL** et les banques sénégalaises.</w:t>
      </w:r>
    </w:p>
    <w:p>
      <w:pPr>
        <w:pStyle w:val="Heading2"/>
      </w:pPr>
      <w:r>
        <w:rPr>
          <w:color w:val="003366"/>
        </w:rPr>
        <w:t>📈 Plan BRVM</w:t>
      </w:r>
    </w:p>
    <w:p>
      <w:pPr>
        <w:pStyle w:val="ListBullet"/>
        <w:spacing w:before="20" w:after="20"/>
        <w:ind w:left="360"/>
      </w:pPr>
      <w:r>
        <w:rPr>
          <w:sz w:val="18"/>
        </w:rPr>
        <w:t>**BIIC** : franchissement du seuil du milliard de dollars (14/09).</w:t>
      </w:r>
    </w:p>
    <w:p>
      <w:pPr>
        <w:pStyle w:val="ListBullet"/>
        <w:spacing w:before="20" w:after="20"/>
        <w:ind w:left="360"/>
      </w:pPr>
      <w:r>
        <w:rPr>
          <w:sz w:val="18"/>
        </w:rPr>
        <w:t>Aucune nouvelle réglementation CREPMF rapportée.</w:t>
      </w:r>
    </w:p>
    <w:p>
      <w:pPr>
        <w:pStyle w:val="Heading3"/>
      </w:pPr>
      <w:r>
        <w:rPr>
          <w:color w:val="500050"/>
        </w:rPr>
        <w:t>⚡ Impact estimé sur la BRVM</w:t>
      </w:r>
    </w:p>
    <w:p>
      <w:pPr>
        <w:spacing w:before="20" w:after="40"/>
        <w:ind w:left="280"/>
      </w:pPr>
      <w:r>
        <w:rPr>
          <w:i/>
          <w:sz w:val="18"/>
        </w:rPr>
        <w:t>La réussite de BIIC renforce l'attractivité de la cote et pourrait inciter à de nouvelles IPO. Gouvernance et transparence restent des axes à surveiller.</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**Matières premières** : MXV en hausse 6e semaine consécutive (14/09).</w:t>
      </w:r>
    </w:p>
    <w:p>
      <w:pPr>
        <w:pStyle w:val="ListBullet"/>
        <w:spacing w:before="20" w:after="20"/>
        <w:ind w:left="360"/>
      </w:pPr>
      <w:r>
        <w:rPr>
          <w:color w:val="C00000"/>
          <w:sz w:val="18"/>
        </w:rPr>
        <w:t>**Energie** : forte pression à l'achat (14/09).</w:t>
      </w:r>
    </w:p>
    <w:p>
      <w:pPr>
        <w:pStyle w:val="ListBullet"/>
        <w:spacing w:before="20" w:after="20"/>
        <w:ind w:left="360"/>
      </w:pPr>
      <w:r>
        <w:rPr>
          <w:sz w:val="18"/>
        </w:rPr>
        <w:t>**Taux** : fermeté des banques centrales (14/09).</w:t>
      </w:r>
    </w:p>
    <w:p>
      <w:pPr>
        <w:pStyle w:val="Heading3"/>
      </w:pPr>
      <w:r>
        <w:rPr>
          <w:color w:val="500050"/>
        </w:rPr>
        <w:t>⚡ Impact estimé sur la BRVM</w:t>
      </w:r>
    </w:p>
    <w:p>
      <w:pPr>
        <w:spacing w:before="20" w:after="40"/>
        <w:ind w:left="280"/>
      </w:pPr>
      <w:r>
        <w:rPr>
          <w:i/>
          <w:sz w:val="18"/>
        </w:rPr>
        <w:t>Corrélation modérée avec les émergents. La hausse des matières premières soutient les exportateurs UEMOA (cacao, caoutchouc) et donc **PALC, SOGC, SIFC**. La fermeté des taux mondiaux limite les flux vers la BRVM.</w:t>
      </w:r>
    </w:p>
    <w:p>
      <w:pPr>
        <w:pStyle w:val="Heading2"/>
      </w:pPr>
      <w:r>
        <w:rPr>
          <w:color w:val="006E32"/>
        </w:rPr>
        <w:t>🌍 Plan Africain</w:t>
      </w:r>
    </w:p>
    <w:p>
      <w:pPr>
        <w:pStyle w:val="ListBullet"/>
        <w:spacing w:before="20" w:after="20"/>
        <w:ind w:left="360"/>
      </w:pPr>
      <w:r>
        <w:rPr>
          <w:sz w:val="18"/>
        </w:rPr>
        <w:t>**Afrique du Sud** : perspective Investment grade 2028 (02/09).</w:t>
      </w:r>
    </w:p>
    <w:p>
      <w:pPr>
        <w:pStyle w:val="ListBullet"/>
        <w:spacing w:before="20" w:after="20"/>
        <w:ind w:left="360"/>
      </w:pPr>
      <w:r>
        <w:rPr>
          <w:sz w:val="18"/>
        </w:rPr>
        <w:t>**Sénégal** : accord FMI renforce la signature souveraine (01-02/09).</w:t>
      </w:r>
    </w:p>
    <w:p>
      <w:pPr>
        <w:pStyle w:val="Heading3"/>
      </w:pPr>
      <w:r>
        <w:rPr>
          <w:color w:val="500050"/>
        </w:rPr>
        <w:t>⚡ Impact estimé sur la BRVM</w:t>
      </w:r>
    </w:p>
    <w:p>
      <w:pPr>
        <w:spacing w:before="20" w:after="40"/>
        <w:ind w:left="280"/>
      </w:pPr>
      <w:r>
        <w:rPr>
          <w:i/>
          <w:sz w:val="18"/>
        </w:rPr>
        <w:t>Concurrence accrue des marchés sud-africains et obligataires africains pour les capitaux. Toutefois, la meilleure signature sénégalaise soutient les émissions UEMOA et indirectement la BRVM.</w:t>
      </w:r>
    </w:p>
    <w:p>
      <w:pPr>
        <w:pStyle w:val="Heading2"/>
      </w:pPr>
      <w:r>
        <w:rPr>
          <w:color w:val="145A28"/>
        </w:rPr>
        <w:t>🌍 Plan Afrique de l'Ouest</w:t>
      </w:r>
    </w:p>
    <w:p>
      <w:pPr>
        <w:pStyle w:val="ListBullet"/>
        <w:spacing w:before="20" w:after="20"/>
        <w:ind w:left="360"/>
      </w:pPr>
      <w:r>
        <w:rPr>
          <w:sz w:val="18"/>
        </w:rPr>
        <w:t>**BIIC** : performance exceptionnelle à la BRVM (14/09).</w:t>
      </w:r>
    </w:p>
    <w:p>
      <w:pPr>
        <w:pStyle w:val="ListBullet"/>
        <w:spacing w:before="20" w:after="20"/>
        <w:ind w:left="360"/>
      </w:pPr>
      <w:r>
        <w:rPr>
          <w:sz w:val="18"/>
        </w:rPr>
        <w:t>Pas de données sur les bourses concurrentes (Ghana, Nigeria).</w:t>
      </w:r>
    </w:p>
    <w:p>
      <w:pPr>
        <w:pStyle w:val="Heading3"/>
      </w:pPr>
      <w:r>
        <w:rPr>
          <w:color w:val="500050"/>
        </w:rPr>
        <w:t>⚡ Impact estimé sur la BRVM</w:t>
      </w:r>
    </w:p>
    <w:p>
      <w:pPr>
        <w:spacing w:before="20" w:after="40"/>
        <w:ind w:left="280"/>
      </w:pPr>
      <w:r>
        <w:rPr>
          <w:i/>
          <w:sz w:val="18"/>
        </w:rPr>
        <w:t>La BRVM confirme son positionnement de place financière régionale de référence en UEMOA. La dynamique BIIC attire l'attention des investisseurs sous-régionaux.</w:t>
      </w:r>
    </w:p>
    <w:p>
      <w:pPr>
        <w:pStyle w:val="Heading2"/>
      </w:pPr>
      <w:r>
        <w:rPr>
          <w:color w:val="8C4600"/>
        </w:rPr>
        <w:t>🏦 Plan UEMOA / Zone Franc</w:t>
      </w:r>
    </w:p>
    <w:p>
      <w:pPr>
        <w:pStyle w:val="ListBullet"/>
        <w:spacing w:before="20" w:after="20"/>
        <w:ind w:left="360"/>
      </w:pPr>
      <w:r>
        <w:rPr>
          <w:sz w:val="18"/>
        </w:rPr>
        <w:t>**Titres publics** : pas de données spécifiques fournies.</w:t>
      </w:r>
    </w:p>
    <w:p>
      <w:pPr>
        <w:pStyle w:val="ListBullet"/>
        <w:spacing w:before="20" w:after="20"/>
        <w:ind w:left="360"/>
      </w:pPr>
      <w:r>
        <w:rPr>
          <w:sz w:val="18"/>
        </w:rPr>
        <w:t>**Liquidité bancaire** : non renseignée.</w:t>
      </w:r>
    </w:p>
    <w:p>
      <w:pPr>
        <w:pStyle w:val="Heading3"/>
      </w:pPr>
      <w:r>
        <w:rPr>
          <w:color w:val="500050"/>
        </w:rPr>
        <w:t>⚡ Impact estimé sur la BRVM</w:t>
      </w:r>
    </w:p>
    <w:p>
      <w:pPr>
        <w:spacing w:before="20" w:after="40"/>
        <w:ind w:left="280"/>
      </w:pPr>
      <w:r>
        <w:rPr>
          <w:i/>
          <w:sz w:val="18"/>
        </w:rPr>
        <w:t>Données insuffisantes pour évaluer l'arbitrage titres publics/actions. À surveiller : toute tension sur les taux BCEAO affecterait directement **SGBC, BICB, BOAB, ETIT**.</w:t>
      </w:r>
    </w:p>
    <w:p>
      <w:pPr>
        <w:pStyle w:val="Heading2"/>
      </w:pPr>
      <w:r>
        <w:rPr>
          <w:color w:val="003366"/>
        </w:rPr>
        <w:t>📈 Plan BRVM</w:t>
      </w:r>
    </w:p>
    <w:p>
      <w:pPr>
        <w:pStyle w:val="ListBullet"/>
        <w:spacing w:before="20" w:after="20"/>
        <w:ind w:left="360"/>
      </w:pPr>
      <w:r>
        <w:rPr>
          <w:sz w:val="18"/>
        </w:rPr>
        <w:t>**Indice Composite** : 555,48 points.</w:t>
      </w:r>
    </w:p>
    <w:p>
      <w:pPr>
        <w:pStyle w:val="ListBullet"/>
        <w:spacing w:before="20" w:after="20"/>
        <w:ind w:left="360"/>
      </w:pPr>
      <w:r>
        <w:rPr>
          <w:sz w:val="18"/>
        </w:rPr>
        <w:t>**BIIC** : capitalisation &gt; 1 Md$, action presque doublée depuis l'IPO.</w:t>
      </w:r>
    </w:p>
    <w:p>
      <w:pPr>
        <w:pStyle w:val="ListBullet"/>
        <w:spacing w:before="20" w:after="20"/>
        <w:ind w:left="360"/>
      </w:pPr>
      <w:r>
        <w:rPr>
          <w:sz w:val="18"/>
        </w:rPr>
        <w:t>**Résultats ivoiriens** : encourageants (09/06).</w:t>
      </w:r>
    </w:p>
    <w:p>
      <w:pPr>
        <w:pStyle w:val="Heading3"/>
      </w:pPr>
      <w:r>
        <w:rPr>
          <w:color w:val="500050"/>
        </w:rPr>
        <w:t>⚡ Impact estimé sur la BRVM</w:t>
      </w:r>
    </w:p>
    <w:p>
      <w:pPr>
        <w:pStyle w:val="ListBullet"/>
        <w:spacing w:before="20" w:after="20"/>
        <w:ind w:left="560"/>
      </w:pPr>
      <w:r>
        <w:rPr>
          <w:color w:val="500050"/>
          <w:sz w:val="18"/>
        </w:rPr>
        <w:t>**BIIC** : momentum fort, prises de profit possibles après le doublement — conserver avec stop.</w:t>
      </w:r>
    </w:p>
    <w:p>
      <w:pPr>
        <w:pStyle w:val="ListBullet"/>
        <w:spacing w:before="20" w:after="20"/>
        <w:ind w:left="560"/>
      </w:pPr>
      <w:r>
        <w:rPr>
          <w:color w:val="500050"/>
          <w:sz w:val="18"/>
        </w:rPr>
        <w:t>**SGBC, BICB, ETIT** : valeurs bancaires à surveiller, sensibles aux taux.</w:t>
      </w:r>
    </w:p>
    <w:p>
      <w:pPr>
        <w:pStyle w:val="ListBullet"/>
        <w:spacing w:before="20" w:after="20"/>
        <w:ind w:left="560"/>
      </w:pPr>
      <w:r>
        <w:rPr>
          <w:color w:val="500050"/>
          <w:sz w:val="18"/>
        </w:rPr>
        <w:t>**PALC** : défensif, à conserver en portefeuille.</w:t>
      </w:r>
    </w:p>
    <w:p>
      <w:pPr>
        <w:pStyle w:val="ListBullet"/>
        <w:spacing w:before="20" w:after="20"/>
        <w:ind w:left="560"/>
      </w:pPr>
      <w:r>
        <w:rPr>
          <w:color w:val="008000"/>
          <w:sz w:val="18"/>
        </w:rPr>
        <w:t>**SHEC** : bénéficie de la hausse énergie — opportunité.</w:t>
      </w:r>
    </w:p>
    <w:p>
      <w:pPr>
        <w:pStyle w:val="ListBullet"/>
        <w:spacing w:before="20" w:after="20"/>
        <w:ind w:left="560"/>
      </w:pPr>
      <w:r>
        <w:rPr>
          <w:color w:val="500050"/>
          <w:sz w:val="18"/>
        </w:rPr>
        <w:t>**SONATEL** : valeur refuge, rendement dividende attractif.</w:t>
      </w:r>
    </w:p>
    <w:p>
      <w:pPr>
        <w:pStyle w:val="ListBullet"/>
        <w:spacing w:before="20" w:after="20"/>
        <w:ind w:left="560"/>
      </w:pPr>
      <w:r>
        <w:rPr>
          <w:color w:val="008000"/>
          <w:sz w:val="18"/>
        </w:rPr>
        <w:t>**SOGC, SIFC** : exposition cacao/caoutchouc, favorable.</w:t>
      </w:r>
    </w:p>
    <w:p>
      <w:pPr>
        <w:pStyle w:val="Heading1"/>
      </w:pPr>
      <w:r>
        <w:rPr>
          <w:color w:val="003366"/>
        </w:rPr>
        <w:t>🎯 SYNTHÈSE &amp; RECOMMANDATION FINALE</w:t>
      </w:r>
    </w:p>
    <w:p>
      <w:pPr>
        <w:spacing w:before="120"/>
      </w:pPr>
      <w:r>
        <w:rPr>
          <w:b/>
          <w:color w:val="008000"/>
          <w:sz w:val="22"/>
        </w:rPr>
        <w:t>**Niveau d'alerte global : VERT**</w:t>
      </w:r>
    </w:p>
    <w:p>
      <w:pPr>
        <w:spacing w:before="20" w:after="40"/>
        <w:ind w:left="0"/>
      </w:pPr>
      <w:r>
        <w:rPr>
          <w:sz w:val="18"/>
        </w:rPr>
        <w:t>Le contexte macro est globalement favorable à la BRVM : matières premières en hausse (soutien à **PALC, SHEC, SOGC**), accord FMI-Sénégal renforçant la stabilité UEMOA, et dynamique positive des résultats ivoiriens. Les risques résident dans le resserrement monétaire mondial (pression sur les banques **SGBC, BICB, ETIT**) et l'austérité budgétaire sénégalaise. Recommandation : surpondérer les valeurs matières premières et énergie (**SHEC, PALC, SOGC**), conserver les bancaires avec prudence, et prendre des profits partiels sur **BIIC** après sa forte hausse.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Une forte pression à l'achat est apparue sur le marché de l'énergie la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POINT HEBDO-Face à l'inflation, l'heure de la fermeté pour les banques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Croissance, emploi, pouvoir d'achat : la France décroche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récession inflat</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COUNTRY REPORT – CEDEAO REPORT : Croissance du PIB de 6,1% réalisée en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2026-09-10</w:t>
            </w:r>
          </w:p>
        </w:tc>
        <w:tc>
          <w:tcPr>
            <w:tcW w:type="dxa" w:w="1728"/>
          </w:tcPr>
          <w:p>
            <w:r>
              <w:rPr>
                <w:sz w:val="14"/>
              </w:rPr>
              <w:t xml:space="preserve">Monnaie unique : la CEDEAO maintient le cap sur le lancement de l’ECO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2026-09-10</w:t>
            </w:r>
          </w:p>
        </w:tc>
        <w:tc>
          <w:tcPr>
            <w:tcW w:type="dxa" w:w="1728"/>
          </w:tcPr>
          <w:p>
            <w:r>
              <w:rPr>
                <w:sz w:val="14"/>
              </w:rPr>
              <w:t>DOSSIER–CEDEAO REPORT - Centre international Julius Maada Bio, une inf</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Mali-Algérie : Sifi Ghrieb attendu à Bamako avec un message de Tebboun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Sénégal : Une DPG sous le signe de l’austérité et des ruptures - Bamad</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BRVM : la BIIC dépasse 1 milliard $ de capitalisation, son action a pr</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2026-09-12</w:t>
            </w:r>
          </w:p>
        </w:tc>
        <w:tc>
          <w:tcPr>
            <w:tcW w:type="dxa" w:w="1728"/>
          </w:tcPr>
          <w:p>
            <w:r>
              <w:rPr>
                <w:sz w:val="14"/>
              </w:rPr>
              <w:t>Sénégal: le pays accueille la flamme olympique des Jeux de la Jeunesse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2026-09-12</w:t>
            </w:r>
          </w:p>
        </w:tc>
        <w:tc>
          <w:tcPr>
            <w:tcW w:type="dxa" w:w="1728"/>
          </w:tcPr>
          <w:p>
            <w:r>
              <w:rPr>
                <w:sz w:val="14"/>
              </w:rPr>
              <w:t>Afrique : la BCEAO maintient son taux directeur à 3% - Africa24 TV</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2026-09-09</w:t>
            </w:r>
          </w:p>
        </w:tc>
        <w:tc>
          <w:tcPr>
            <w:tcW w:type="dxa" w:w="1728"/>
          </w:tcPr>
          <w:p>
            <w:r>
              <w:rPr>
                <w:sz w:val="14"/>
              </w:rPr>
              <w:t>Sénégal : le FMI au cœur d'un bras de fer politique à l'Assemblée - Af</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POINT HEBDO-Face à l'inflation, l'heure de la fermeté pour les banques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2026-09-14</w:t>
            </w:r>
          </w:p>
        </w:tc>
        <w:tc>
          <w:tcPr>
            <w:tcW w:type="dxa" w:w="1728"/>
          </w:tcPr>
          <w:p>
            <w:r>
              <w:rPr>
                <w:sz w:val="14"/>
              </w:rPr>
              <w:t>Mali-Algérie : Sifi Ghrieb attendu à Bamako avec un message de Tebboun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2026-09-14</w:t>
            </w:r>
          </w:p>
        </w:tc>
        <w:tc>
          <w:tcPr>
            <w:tcW w:type="dxa" w:w="1728"/>
          </w:tcPr>
          <w:p>
            <w:r>
              <w:rPr>
                <w:sz w:val="14"/>
              </w:rPr>
              <w:t>Mali-Algérie : Sifi Ghrieb attendu à Bamako avec un message de Tebboun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Sénégal : Une DPG sous le signe de l’austérité et des ruptures - Bamad</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2026-09-14</w:t>
            </w:r>
          </w:p>
        </w:tc>
        <w:tc>
          <w:tcPr>
            <w:tcW w:type="dxa" w:w="1728"/>
          </w:tcPr>
          <w:p>
            <w:r>
              <w:rPr>
                <w:sz w:val="14"/>
              </w:rPr>
              <w:t>Mali-Algérie : Sifi Ghrieb attendu à Bamako avec un message de Tebboun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2026-09-14</w:t>
            </w:r>
          </w:p>
        </w:tc>
        <w:tc>
          <w:tcPr>
            <w:tcW w:type="dxa" w:w="1728"/>
          </w:tcPr>
          <w:p>
            <w:r>
              <w:rPr>
                <w:sz w:val="14"/>
              </w:rPr>
              <w:t>Sénégal : Une DPG sous le signe de l’austérité et des ruptures - Bamad</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2026-09-14</w:t>
            </w:r>
          </w:p>
        </w:tc>
        <w:tc>
          <w:tcPr>
            <w:tcW w:type="dxa" w:w="1728"/>
          </w:tcPr>
          <w:p>
            <w:r>
              <w:rPr>
                <w:sz w:val="14"/>
              </w:rPr>
              <w:t>Mali-Algérie : Sifi Ghrieb attendu à Bamako avec un message de Tebboun</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Une forte pression à l'achat est apparue sur le marché de l'énergie la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Une forte pression à l'achat est apparue sur le marché de l'énergie la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2026-09-14</w:t>
            </w:r>
          </w:p>
        </w:tc>
        <w:tc>
          <w:tcPr>
            <w:tcW w:type="dxa" w:w="1728"/>
          </w:tcPr>
          <w:p>
            <w:r>
              <w:rPr>
                <w:sz w:val="14"/>
              </w:rPr>
              <w:t>POINT HEBDO-Face à l'inflation, l'heure de la fermeté pour les banques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Une forte pression à l'achat est apparue sur le marché de l'énergie la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Une forte pression à l'achat est apparue sur le marché de l'énergie la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Une forte pression à l'achat est apparue sur le marché de l'énergie la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2026-09-09</w:t>
            </w:r>
          </w:p>
        </w:tc>
        <w:tc>
          <w:tcPr>
            <w:tcW w:type="dxa" w:w="1728"/>
          </w:tcPr>
          <w:p>
            <w:r>
              <w:rPr>
                <w:sz w:val="14"/>
              </w:rPr>
              <w:t>Les matières premières, miroirs de l'été - Les Echos</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Une forte pression à l'achat est apparue sur le marché de l'énergie la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2026-09-14</w:t>
            </w:r>
          </w:p>
        </w:tc>
        <w:tc>
          <w:tcPr>
            <w:tcW w:type="dxa" w:w="1728"/>
          </w:tcPr>
          <w:p>
            <w:r>
              <w:rPr>
                <w:sz w:val="14"/>
              </w:rPr>
              <w:t>Marché des matières premières : l'indice MXV progresse pour la 6e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2026-09-11</w:t>
            </w:r>
          </w:p>
        </w:tc>
        <w:tc>
          <w:tcPr>
            <w:tcW w:type="dxa" w:w="1728"/>
          </w:tcPr>
          <w:p>
            <w:r>
              <w:rPr>
                <w:sz w:val="14"/>
              </w:rPr>
              <w:t>Pourquoi la BCE veut-elle que nos crédits soient plus chers ? - Altern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2026-09-13</w:t>
            </w:r>
          </w:p>
        </w:tc>
        <w:tc>
          <w:tcPr>
            <w:tcW w:type="dxa" w:w="1728"/>
          </w:tcPr>
          <w:p>
            <w:r>
              <w:rPr>
                <w:sz w:val="14"/>
              </w:rPr>
              <w:t>Pour promouvoir l’agroécologie en Afrique de l’Ouest - mafrique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(4 alerte(s))</w:t>
      </w:r>
    </w:p>
    <w:p>
      <w:pPr>
        <w:spacing w:before="40" w:after="40"/>
        <w:ind w:left="360"/>
      </w:pPr>
      <w:r>
        <w:rPr>
          <w:color w:val="646464"/>
          <w:sz w:val="17"/>
        </w:rPr>
        <w:t xml:space="preserve">[14/09/2026] 🟢  </w:t>
      </w:r>
      <w:r>
        <w:rPr>
          <w:b/>
          <w:color w:val="008000"/>
          <w:sz w:val="18"/>
        </w:rPr>
        <w:t>Marché des matières premières : l'indice MXV progresse pour la 6e semaine consécutive.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a progressé pour la sixième semaine consécutive. Cette hausse reflète une dynamique haussière sur les marchés mondiaux des matières premières. Les investisseurs surveillent l'évolution des prix, notamment dans un contexte de demande soutenue et de tensions géopolitiques. Cette tendance pourrai</w:t>
      </w:r>
    </w:p>
    <w:p>
      <w:pPr>
        <w:spacing w:before="0" w:after="40"/>
        <w:ind w:left="600"/>
      </w:pPr>
      <w:r>
        <w:rPr>
          <w:color w:val="00643C"/>
          <w:sz w:val="16"/>
        </w:rPr>
        <w:t>Points clés : L'indice MXV enregistre une sixième semaine consécutive de hausse.  •  La progression des matières premières est portée par une demande mondiale soutenue.  •  Les marchés restent attentifs aux risques géopolitiques et aux politiques monétaires.</w:t>
      </w:r>
    </w:p>
    <w:p>
      <w:pPr>
        <w:spacing w:before="0" w:after="60"/>
        <w:ind w:left="600"/>
      </w:pPr>
      <w:r>
        <w:rPr>
          <w:color w:val="0064B4"/>
          <w:sz w:val="15"/>
        </w:rPr>
        <w:t>Source : https://news.google.com/rss/articles/CBMiiAFBVV95cUxPaTlRc05TMV9JYi0yQ3VmLVdVUWR</w:t>
      </w:r>
    </w:p>
    <w:p>
      <w:pPr>
        <w:spacing w:before="40" w:after="40"/>
        <w:ind w:left="360"/>
      </w:pPr>
      <w:r>
        <w:rPr>
          <w:color w:val="646464"/>
          <w:sz w:val="17"/>
        </w:rPr>
        <w:t xml:space="preserve">[14/09/2026] 🟢  </w:t>
      </w:r>
      <w:r>
        <w:rPr>
          <w:b/>
          <w:color w:val="008000"/>
          <w:sz w:val="18"/>
        </w:rPr>
        <w:t>Une forte pression à l'achat est apparue sur le marché de l'énergie la semaine dernière. - vietnam.vn</w:t>
      </w:r>
      <w:r>
        <w:rPr>
          <w:color w:val="787878"/>
          <w:sz w:val="15"/>
        </w:rPr>
        <w:t xml:space="preserve">  [matieres_premieres]</w:t>
      </w:r>
      <w:r>
        <w:rPr>
          <w:color w:val="B47800"/>
          <w:sz w:val="16"/>
        </w:rPr>
        <w:t xml:space="preserve">  ★ 50/10</w:t>
      </w:r>
    </w:p>
    <w:p>
      <w:pPr>
        <w:spacing w:before="0" w:after="40"/>
        <w:ind w:left="600"/>
      </w:pPr>
      <w:r>
        <w:rPr>
          <w:color w:val="00643C"/>
          <w:sz w:val="16"/>
        </w:rPr>
        <w:t>Points clés : Forte pression à l'achat sur le marché de l'énergie la semaine dernière  •  Source : vietnam.vn, portée internationale  •  Signal haussier sur les matières premières énergétiques</w:t>
      </w:r>
    </w:p>
    <w:p>
      <w:pPr>
        <w:spacing w:before="0" w:after="60"/>
        <w:ind w:left="600"/>
      </w:pPr>
      <w:r>
        <w:rPr>
          <w:color w:val="0064B4"/>
          <w:sz w:val="15"/>
        </w:rPr>
        <w:t>Source : https://news.google.com/rss/articles/CBMif0FVX3lxTE9fd1gwRGNPUTJzRlVZckZnMWlGYi0</w:t>
      </w:r>
    </w:p>
    <w:p>
      <w:pPr>
        <w:spacing w:before="40" w:after="40"/>
        <w:ind w:left="360"/>
      </w:pPr>
      <w:r>
        <w:rPr>
          <w:color w:val="646464"/>
          <w:sz w:val="17"/>
        </w:rPr>
        <w:t xml:space="preserve">[11/09/2026] 🔴  </w:t>
      </w:r>
      <w:r>
        <w:rPr>
          <w:b/>
          <w:color w:val="C00000"/>
          <w:sz w:val="18"/>
        </w:rPr>
        <w:t>L'indice MXV poursuit sa progression, le prix du pétrole dépasse les 100 dollars le baril.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contrats à terme sur les matières premières, continue de progresser alors que le prix du pétrole brut dépasse le seuil symbolique des 100 dollars le baril. Cette hausse reflète des tensions persistantes sur l'offre et une demande mondiale soutenue. Le franchissement de ce cap pourrait alimenter les pressions inflationnist</w:t>
      </w:r>
    </w:p>
    <w:p>
      <w:pPr>
        <w:spacing w:before="0" w:after="40"/>
        <w:ind w:left="600"/>
      </w:pPr>
      <w:r>
        <w:rPr>
          <w:color w:val="00643C"/>
          <w:sz w:val="16"/>
        </w:rPr>
        <w:t>Points clés : L'indice MXV poursuit sa tendance haussière  •  Le prix du pétrole dépasse les 100 dollars le baril  •  Risque accru de pressions inflationnistes mondiales</w:t>
      </w:r>
    </w:p>
    <w:p>
      <w:pPr>
        <w:spacing w:before="0" w:after="60"/>
        <w:ind w:left="600"/>
      </w:pPr>
      <w:r>
        <w:rPr>
          <w:color w:val="0064B4"/>
          <w:sz w:val="15"/>
        </w:rPr>
        <w:t>Source : https://news.google.com/rss/articles/CBMihAFBVV95cUxPOTdiR3dKMXdOc0lXbnptUVU1OTV</w:t>
      </w:r>
    </w:p>
    <w:p>
      <w:pPr>
        <w:spacing w:before="40" w:after="40"/>
        <w:ind w:left="360"/>
      </w:pPr>
      <w:r>
        <w:rPr>
          <w:color w:val="646464"/>
          <w:sz w:val="17"/>
        </w:rPr>
        <w:t xml:space="preserve">[11/09/2026] 🟢  </w:t>
      </w:r>
      <w:r>
        <w:rPr>
          <w:b/>
          <w:color w:val="008000"/>
          <w:sz w:val="18"/>
        </w:rPr>
        <w:t>Marché des matières premières : l'indice MXV poursuit sa progression, fluctuant au-dessus de 3 000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l'évolution des matières premières sur les marchés internationaux, poursuit sa progression et évolue au-dessus du seuil des 3 000 points. Cette dynamique haussière reflète une demande soutenue et des tensions sur l'offre de certaines matières premières. Le marché reste toutefois volatil, les investisseurs surveillant les fact</w:t>
      </w:r>
    </w:p>
    <w:p>
      <w:pPr>
        <w:spacing w:before="0" w:after="40"/>
        <w:ind w:left="600"/>
      </w:pPr>
      <w:r>
        <w:rPr>
          <w:color w:val="00643C"/>
          <w:sz w:val="16"/>
        </w:rPr>
        <w:t>Points clés : L'indice MXV dépasse les 3 000 points et poursuit sa hausse  •  La progression est portée par la demande et les tensions d'approvisionnement  •  Le marché reste volatil face aux incertitudes macroéconomiques  •  Impact potentiel sur les coûts d'importation des matières premières</w:t>
      </w:r>
    </w:p>
    <w:p>
      <w:pPr>
        <w:spacing w:before="0" w:after="60"/>
        <w:ind w:left="600"/>
      </w:pPr>
      <w:r>
        <w:rPr>
          <w:color w:val="0064B4"/>
          <w:sz w:val="15"/>
        </w:rPr>
        <w:t>Source : https://news.google.com/rss/articles/CBMinAFBVV95cUxNTWs5d0U4MEJ2RjIxNk5rUEVjTFV</w:t>
      </w:r>
    </w:p>
    <w:p>
      <w:pPr>
        <w:spacing w:before="120" w:after="40"/>
      </w:pPr>
      <w:r>
        <w:rPr>
          <w:b/>
          <w:color w:val="00467F"/>
          <w:sz w:val="20"/>
        </w:rPr>
        <w:t>🔑 politique  (3 alerte(s))</w:t>
      </w:r>
    </w:p>
    <w:p>
      <w:pPr>
        <w:spacing w:before="40" w:after="40"/>
        <w:ind w:left="360"/>
      </w:pPr>
      <w:r>
        <w:rPr>
          <w:color w:val="646464"/>
          <w:sz w:val="17"/>
        </w:rPr>
        <w:t xml:space="preserve">[14/09/2026] 🔴  </w:t>
      </w:r>
      <w:r>
        <w:rPr>
          <w:b/>
          <w:color w:val="C00000"/>
          <w:sz w:val="18"/>
        </w:rPr>
        <w:t>Sénégal : Une DPG sous le signe de l’austérité et des ruptures - Bamada.net</w:t>
      </w:r>
      <w:r>
        <w:rPr>
          <w:color w:val="787878"/>
          <w:sz w:val="15"/>
        </w:rPr>
        <w:t xml:space="preserve">  [politique]</w:t>
      </w:r>
      <w:r>
        <w:rPr>
          <w:color w:val="B47800"/>
          <w:sz w:val="16"/>
        </w:rPr>
        <w:t xml:space="preserve">  ★ 50/10</w:t>
      </w:r>
    </w:p>
    <w:p>
      <w:pPr>
        <w:spacing w:before="0" w:after="20"/>
        <w:ind w:left="600"/>
      </w:pPr>
      <w:r>
        <w:rPr>
          <w:color w:val="323232"/>
          <w:sz w:val="17"/>
        </w:rPr>
        <w:t>Le Sénégal a présenté une Déclaration de Politique Générale (DPG) marquée par l'austérité budgétaire et des ruptures dans la gestion des finances publiques. Cette orientation vise à réduire les dépenses et à assainir les comptes publics, dans un contexte de tensions budgétaires. Les mesures annoncées pourraient affecter les secteurs dépendant des c</w:t>
      </w:r>
    </w:p>
    <w:p>
      <w:pPr>
        <w:spacing w:before="0" w:after="40"/>
        <w:ind w:left="600"/>
      </w:pPr>
      <w:r>
        <w:rPr>
          <w:color w:val="00643C"/>
          <w:sz w:val="16"/>
        </w:rPr>
        <w:t>Points clés : Annonce d'une politique d'austérité budgétaire  •  Ruptures dans la gestion des finances publiques  •  Réduction des dépenses publiques et des subventions  •  Objectif d'assainissement des comptes publics</w:t>
      </w:r>
    </w:p>
    <w:p>
      <w:pPr>
        <w:spacing w:before="0" w:after="60"/>
        <w:ind w:left="600"/>
      </w:pPr>
      <w:r>
        <w:rPr>
          <w:color w:val="0064B4"/>
          <w:sz w:val="15"/>
        </w:rPr>
        <w:t>Source : https://news.google.com/rss/articles/CBMihAFBVV95cUxQeFMzaFFfMXRpazNxNTJLblRxT2h</w:t>
      </w:r>
    </w:p>
    <w:p>
      <w:pPr>
        <w:spacing w:before="40" w:after="40"/>
        <w:ind w:left="360"/>
      </w:pPr>
      <w:r>
        <w:rPr>
          <w:color w:val="646464"/>
          <w:sz w:val="17"/>
        </w:rPr>
        <w:t xml:space="preserve">[14/09/2026] ⚪  </w:t>
      </w:r>
      <w:r>
        <w:rPr>
          <w:b/>
          <w:color w:val="505050"/>
          <w:sz w:val="18"/>
        </w:rPr>
        <w:t>Mali-Algérie : Sifi Ghrieb attendu à Bamako avec un message de Tebboune - Benin Web TV</w:t>
      </w:r>
      <w:r>
        <w:rPr>
          <w:color w:val="787878"/>
          <w:sz w:val="15"/>
        </w:rPr>
        <w:t xml:space="preserve">  [politique]</w:t>
      </w:r>
      <w:r>
        <w:rPr>
          <w:color w:val="B47800"/>
          <w:sz w:val="16"/>
        </w:rPr>
        <w:t xml:space="preserve">  ★ 50/10</w:t>
      </w:r>
    </w:p>
    <w:p>
      <w:pPr>
        <w:spacing w:before="0" w:after="20"/>
        <w:ind w:left="600"/>
      </w:pPr>
      <w:r>
        <w:rPr>
          <w:color w:val="323232"/>
          <w:sz w:val="17"/>
        </w:rPr>
        <w:t>L'envoyé spécial algérien Sifi Ghrieb est attendu à Bamako pour transmettre un message du président Abdelmadjid Tebboune aux autorités maliennes. Cette visite s'inscrit dans un contexte de tensions régionales et de repositionnement diplomatique au Sahel. Elle intervient alors que le Mali, sous régime militaire, diversifie ses partenariats internati</w:t>
      </w:r>
    </w:p>
    <w:p>
      <w:pPr>
        <w:spacing w:before="0" w:after="40"/>
        <w:ind w:left="600"/>
      </w:pPr>
      <w:r>
        <w:rPr>
          <w:color w:val="00643C"/>
          <w:sz w:val="16"/>
        </w:rPr>
        <w:t>Points clés : Visite diplomatique de Sifi Ghrieb, envoyé de Tebboune, à Bamako  •  Message présidentiel algérien aux autorités maliennes  •  Contexte de tensions et de repositionnement au Sahel  •  Enjeux pour les équilibres géopolitiques en Afrique de l'Ouest</w:t>
      </w:r>
    </w:p>
    <w:p>
      <w:pPr>
        <w:spacing w:before="0" w:after="60"/>
        <w:ind w:left="600"/>
      </w:pPr>
      <w:r>
        <w:rPr>
          <w:color w:val="0064B4"/>
          <w:sz w:val="15"/>
        </w:rPr>
        <w:t>Source : https://news.google.com/rss/articles/CBMilwFBVV95cUxNZ2dmLWhmc2pzcG81enljdXlhTWd</w:t>
      </w:r>
    </w:p>
    <w:p>
      <w:pPr>
        <w:spacing w:before="40" w:after="40"/>
        <w:ind w:left="360"/>
      </w:pPr>
      <w:r>
        <w:rPr>
          <w:color w:val="646464"/>
          <w:sz w:val="17"/>
        </w:rPr>
        <w:t xml:space="preserve">[12/09/2026] 🟢  </w:t>
      </w:r>
      <w:r>
        <w:rPr>
          <w:b/>
          <w:color w:val="008000"/>
          <w:sz w:val="18"/>
        </w:rPr>
        <w:t>Sénégal: le pays accueille la flamme olympique des Jeux de la Jeunesse - tv5monde</w:t>
      </w:r>
      <w:r>
        <w:rPr>
          <w:color w:val="787878"/>
          <w:sz w:val="15"/>
        </w:rPr>
        <w:t xml:space="preserve">  [politique]</w:t>
      </w:r>
      <w:r>
        <w:rPr>
          <w:color w:val="B47800"/>
          <w:sz w:val="16"/>
        </w:rPr>
        <w:t xml:space="preserve">  ★ 50/10</w:t>
      </w:r>
    </w:p>
    <w:p>
      <w:pPr>
        <w:spacing w:before="0" w:after="20"/>
        <w:ind w:left="600"/>
      </w:pPr>
      <w:r>
        <w:rPr>
          <w:color w:val="323232"/>
          <w:sz w:val="17"/>
        </w:rPr>
        <w:t>Le Sénégal a accueilli la flamme olympique des Jeux de la Jeunesse, un événement sportif international organisé par le Comité International Olympique. Cette manifestation met en lumière la capacité du pays à organiser des événements de grande envergure et renforce son image sur la scène internationale. Elle pourrait avoir des retombées positives en</w:t>
      </w:r>
    </w:p>
    <w:p>
      <w:pPr>
        <w:spacing w:before="0" w:after="40"/>
        <w:ind w:left="600"/>
      </w:pPr>
      <w:r>
        <w:rPr>
          <w:color w:val="00643C"/>
          <w:sz w:val="16"/>
        </w:rPr>
        <w:t>Points clés : Accueil de la flamme olympique des Jeux de la Jeunesse au Sénégal  •  Événement sportif international de premier plan  •  Renforcement de l'image et de la visibilité du Sénégal</w:t>
      </w:r>
    </w:p>
    <w:p>
      <w:pPr>
        <w:spacing w:before="0" w:after="60"/>
        <w:ind w:left="600"/>
      </w:pPr>
      <w:r>
        <w:rPr>
          <w:color w:val="0064B4"/>
          <w:sz w:val="15"/>
        </w:rPr>
        <w:t>Source : https://news.google.com/rss/articles/CBMiugFBVV95cUxNLTBmNHh1MVctM19nRkVPWDdiaEN</w:t>
      </w:r>
    </w:p>
    <w:p>
      <w:pPr>
        <w:spacing w:before="120" w:after="40"/>
      </w:pPr>
      <w:r>
        <w:rPr>
          <w:b/>
          <w:color w:val="00467F"/>
          <w:sz w:val="20"/>
        </w:rPr>
        <w:t>🔑 marche_financier  (1 alerte(s))</w:t>
      </w:r>
    </w:p>
    <w:p>
      <w:pPr>
        <w:spacing w:before="40" w:after="40"/>
        <w:ind w:left="360"/>
      </w:pPr>
      <w:r>
        <w:rPr>
          <w:color w:val="646464"/>
          <w:sz w:val="17"/>
        </w:rPr>
        <w:t xml:space="preserve">[14/09/2026] 🟢  </w:t>
      </w:r>
      <w:r>
        <w:rPr>
          <w:b/>
          <w:color w:val="008000"/>
          <w:sz w:val="18"/>
        </w:rPr>
        <w:t>BRVM : la BIIC dépasse 1 milliard $ de capitalisation, son action a presque doublé depuis l’IPO - agenceecofin.com</w:t>
      </w:r>
      <w:r>
        <w:rPr>
          <w:color w:val="787878"/>
          <w:sz w:val="15"/>
        </w:rPr>
        <w:t xml:space="preserve">  [marche_financier]</w:t>
      </w:r>
      <w:r>
        <w:rPr>
          <w:color w:val="B47800"/>
          <w:sz w:val="16"/>
        </w:rPr>
        <w:t xml:space="preserve">  ★ 50/10</w:t>
      </w:r>
    </w:p>
    <w:p>
      <w:pPr>
        <w:spacing w:before="0" w:after="20"/>
        <w:ind w:left="600"/>
      </w:pPr>
      <w:r>
        <w:rPr>
          <w:color w:val="323232"/>
          <w:sz w:val="17"/>
        </w:rPr>
        <w:t>La BIIC (Banque d'Investissement et de Commerce International) franchit le cap du milliard de dollars de capitalisation boursière à la BRVM. Depuis son introduction en bourse (IPO), le cours de son action a presque doublé, témoignant d'un fort engouement des investisseurs. Cette performance illustre la dynamique positive du marché financier régiona</w:t>
      </w:r>
    </w:p>
    <w:p>
      <w:pPr>
        <w:spacing w:before="0" w:after="40"/>
        <w:ind w:left="600"/>
      </w:pPr>
      <w:r>
        <w:rPr>
          <w:color w:val="00643C"/>
          <w:sz w:val="16"/>
        </w:rPr>
        <w:t>Points clés : La BIIC dépasse 1 milliard USD de capitalisation à la BRVM  •  L'action a presque doublé depuis son introduction en bourse  •  Performance remarquable dans le secteur bancaire de l'UEMOA</w:t>
      </w:r>
    </w:p>
    <w:p>
      <w:pPr>
        <w:spacing w:before="0" w:after="60"/>
        <w:ind w:left="600"/>
      </w:pPr>
      <w:r>
        <w:rPr>
          <w:color w:val="0064B4"/>
          <w:sz w:val="15"/>
        </w:rPr>
        <w:t>Source : https://news.google.com/rss/articles/CBMi5AFBVV95cUxOTVA1b0xRamw5dkdaT3lkM2RDSnd</w:t>
      </w:r>
    </w:p>
    <w:p>
      <w:pPr>
        <w:spacing w:before="120" w:after="40"/>
      </w:pPr>
      <w:r>
        <w:rPr>
          <w:b/>
          <w:color w:val="00467F"/>
          <w:sz w:val="20"/>
        </w:rPr>
        <w:t>🔑 politique_monetaire  (8 alerte(s))</w:t>
      </w:r>
    </w:p>
    <w:p>
      <w:pPr>
        <w:spacing w:before="40" w:after="40"/>
        <w:ind w:left="360"/>
      </w:pPr>
      <w:r>
        <w:rPr>
          <w:color w:val="646464"/>
          <w:sz w:val="17"/>
        </w:rPr>
        <w:t xml:space="preserve">[14/09/2026] 🔴  </w:t>
      </w:r>
      <w:r>
        <w:rPr>
          <w:b/>
          <w:color w:val="C00000"/>
          <w:sz w:val="18"/>
        </w:rPr>
        <w:t>POINT HEBDO-Face à l'inflation, l'heure de la fermeté pour les banques centrales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Les banques centrales mondiales adoptent une posture de fermeté face à la persistance de l'inflation, en maintenant des taux d'intérêt élevés ou en les augmentant. Cette orientation monétaire restrictive vise à ramener l'inflation vers les objectifs, quitte à ralentir la croissance économique. Les marchés financiers anticipent des conditions de fin</w:t>
      </w:r>
    </w:p>
    <w:p>
      <w:pPr>
        <w:spacing w:before="0" w:after="40"/>
        <w:ind w:left="600"/>
      </w:pPr>
      <w:r>
        <w:rPr>
          <w:color w:val="00643C"/>
          <w:sz w:val="16"/>
        </w:rPr>
        <w:t>Points clés : Les banques centrales maintiennent une politique monétaire restrictive pour lutter contre l'inflation.  •  Les taux d'intérêt restent élevés, ce qui renchérit le coût du crédit.  •  Les marchés s'attendent à un ralentissement économique potentiel.</w:t>
      </w:r>
    </w:p>
    <w:p>
      <w:pPr>
        <w:spacing w:before="0" w:after="60"/>
        <w:ind w:left="600"/>
      </w:pPr>
      <w:r>
        <w:rPr>
          <w:color w:val="0064B4"/>
          <w:sz w:val="15"/>
        </w:rPr>
        <w:t>Source : https://news.google.com/rss/articles/CBMihgJBVV95cUxQU09Md25IcWJCMUxmY1RyZDdJNkN</w:t>
      </w:r>
    </w:p>
    <w:p>
      <w:pPr>
        <w:spacing w:before="40" w:after="40"/>
        <w:ind w:left="360"/>
      </w:pPr>
      <w:r>
        <w:rPr>
          <w:color w:val="646464"/>
          <w:sz w:val="17"/>
        </w:rPr>
        <w:t xml:space="preserve">[12/09/2026] ⚪  </w:t>
      </w:r>
      <w:r>
        <w:rPr>
          <w:b/>
          <w:color w:val="505050"/>
          <w:sz w:val="18"/>
        </w:rPr>
        <w:t>Afrique : la BCEAO maintient son taux directeur à 3% - Africa24 TV</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des États de l'Afrique de l'Ouest (BCEAO) a décidé de maintenir son taux directeur à 3%. Cette décision intervient dans un contexte de suivi de l'inflation et de la croissance économique dans la zone UEMOA. Le statu quo monétaire vise à soutenir l'activité économique tout en maîtrisant les pressions inflationnistes. Cette stabili</w:t>
      </w:r>
    </w:p>
    <w:p>
      <w:pPr>
        <w:spacing w:before="0" w:after="40"/>
        <w:ind w:left="600"/>
      </w:pPr>
      <w:r>
        <w:rPr>
          <w:color w:val="00643C"/>
          <w:sz w:val="16"/>
        </w:rPr>
        <w:t>Points clés : Maintien du taux directeur de la BCEAO à 3%  •  Décision applicable à l'ensemble de la zone UEMOA  •  Objectif de soutien à la croissance et de maîtrise de l'inflation</w:t>
      </w:r>
    </w:p>
    <w:p>
      <w:pPr>
        <w:spacing w:before="0" w:after="60"/>
        <w:ind w:left="600"/>
      </w:pPr>
      <w:r>
        <w:rPr>
          <w:color w:val="0064B4"/>
          <w:sz w:val="15"/>
        </w:rPr>
        <w:t>Source : https://news.google.com/rss/articles/CBMigAFBVV95cUxOdVZ1M1FBVU9YeHNQblprb0pYUlF</w:t>
      </w:r>
    </w:p>
    <w:p>
      <w:pPr>
        <w:spacing w:before="40" w:after="40"/>
        <w:ind w:left="360"/>
      </w:pPr>
      <w:r>
        <w:rPr>
          <w:color w:val="646464"/>
          <w:sz w:val="17"/>
        </w:rPr>
        <w:t xml:space="preserve">[11/09/2026] ⚪  </w:t>
      </w:r>
      <w:r>
        <w:rPr>
          <w:b/>
          <w:color w:val="505050"/>
          <w:sz w:val="18"/>
        </w:rPr>
        <w:t>UEMOA : la BCEAO maintient son taux directeur à 3% malgré la remontée des prix - Togo First</w:t>
      </w:r>
      <w:r>
        <w:rPr>
          <w:color w:val="787878"/>
          <w:sz w:val="15"/>
        </w:rPr>
        <w:t xml:space="preserve">  [politique_monetaire]</w:t>
      </w:r>
      <w:r>
        <w:rPr>
          <w:color w:val="B47800"/>
          <w:sz w:val="16"/>
        </w:rPr>
        <w:t xml:space="preserve">  ★ 50/10</w:t>
      </w:r>
    </w:p>
    <w:p>
      <w:pPr>
        <w:spacing w:before="0" w:after="20"/>
        <w:ind w:left="600"/>
      </w:pPr>
      <w:r>
        <w:rPr>
          <w:color w:val="323232"/>
          <w:sz w:val="17"/>
        </w:rPr>
        <w:t>La BCEAO a décidé de maintenir son taux directeur à 3% lors de sa dernière réunion de politique monétaire, malgré une remontée des prix dans la zone UEMOA. Cette décision vise à soutenir la croissance économique tout en surveillant l'inflation. Le maintien du taux directeur à un niveau bas devrait continuer à favoriser l'accès au crédit et l'invest</w:t>
      </w:r>
    </w:p>
    <w:p>
      <w:pPr>
        <w:spacing w:before="0" w:after="40"/>
        <w:ind w:left="600"/>
      </w:pPr>
      <w:r>
        <w:rPr>
          <w:color w:val="00643C"/>
          <w:sz w:val="16"/>
        </w:rPr>
        <w:t>Points clés : Maintien du taux directeur à 3%  •  Remontée des prix dans l'UEMOA  •  Soutien à la croissance économique</w:t>
      </w:r>
    </w:p>
    <w:p>
      <w:pPr>
        <w:spacing w:before="0" w:after="60"/>
        <w:ind w:left="600"/>
      </w:pPr>
      <w:r>
        <w:rPr>
          <w:color w:val="0064B4"/>
          <w:sz w:val="15"/>
        </w:rPr>
        <w:t>Source : https://news.google.com/rss/articles/CBMi1AFBVV95cUxQWWNqZUhCVkJMRVUtZ1A1bkRXbUJ</w:t>
      </w:r>
    </w:p>
    <w:p>
      <w:pPr>
        <w:spacing w:before="40" w:after="40"/>
        <w:ind w:left="360"/>
      </w:pPr>
      <w:r>
        <w:rPr>
          <w:color w:val="646464"/>
          <w:sz w:val="17"/>
        </w:rPr>
        <w:t xml:space="preserve">[11/09/2026] 🟢  </w:t>
      </w:r>
      <w:r>
        <w:rPr>
          <w:b/>
          <w:color w:val="008000"/>
          <w:sz w:val="18"/>
        </w:rPr>
        <w:t>L'Europe vue en hausse au lendemain de la BCE, le pétrole sous pression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Les marchés européens sont attendus en hausse au lendemain de la réunion de la Banque centrale européenne (BCE), qui a probablement maintenu ou ajusté sa politique monétaire. Le pétrole reste sous pression, pénalisé par des facteurs tels que la demande incertaine ou une offre abondante. Cette dynamique pourrait influencer les marchés mondiaux, y co</w:t>
      </w:r>
    </w:p>
    <w:p>
      <w:pPr>
        <w:spacing w:before="0" w:after="40"/>
        <w:ind w:left="600"/>
      </w:pPr>
      <w:r>
        <w:rPr>
          <w:color w:val="00643C"/>
          <w:sz w:val="16"/>
        </w:rPr>
        <w:t>Points clés : L'Europe vue en hausse après la BCE  •  Le pétrole sous pression</w:t>
      </w:r>
    </w:p>
    <w:p>
      <w:pPr>
        <w:spacing w:before="0" w:after="60"/>
        <w:ind w:left="600"/>
      </w:pPr>
      <w:r>
        <w:rPr>
          <w:color w:val="0064B4"/>
          <w:sz w:val="15"/>
        </w:rPr>
        <w:t>Source : https://news.google.com/rss/articles/CBMi5wFBVV95cUxNSmVDTTdQMEhqcENWV0NCSWdxbUt</w:t>
      </w:r>
    </w:p>
    <w:p>
      <w:pPr>
        <w:spacing w:before="40" w:after="40"/>
        <w:ind w:left="360"/>
      </w:pPr>
      <w:r>
        <w:rPr>
          <w:color w:val="646464"/>
          <w:sz w:val="17"/>
        </w:rPr>
        <w:t xml:space="preserve">[11/09/2026] ⚪  </w:t>
      </w:r>
      <w:r>
        <w:rPr>
          <w:b/>
          <w:color w:val="505050"/>
          <w:sz w:val="18"/>
        </w:rPr>
        <w:t>La hausse des taux de la BCE peut-elle freiner le choc inflationniste lié à l'énergie ? - Yahoo Finance France</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Banque centrale européenne a relevé ses taux directeurs pour lutter contre l'inflation, mais son efficacité face au choc inflationniste lié à l'énergie est incertaine. Les prix de l'énergie étant déterminés par des facteurs mondiaux, une hausse des taux n'agit que lentement sur cette composante. De plus, un resserrement monétaire pourrait peser </w:t>
      </w:r>
    </w:p>
    <w:p>
      <w:pPr>
        <w:spacing w:before="0" w:after="40"/>
        <w:ind w:left="600"/>
      </w:pPr>
      <w:r>
        <w:rPr>
          <w:color w:val="00643C"/>
          <w:sz w:val="16"/>
        </w:rPr>
        <w:t>Points clés : La BCE a augmenté ses taux pour contrer l'inflation.  •  Le choc énergétique est largement exogène et peu sensible aux taux.  •  Risque de freiner la croissance sans maîtriser les prix de l'énergie.</w:t>
      </w:r>
    </w:p>
    <w:p>
      <w:pPr>
        <w:spacing w:before="0" w:after="60"/>
        <w:ind w:left="600"/>
      </w:pPr>
      <w:r>
        <w:rPr>
          <w:color w:val="0064B4"/>
          <w:sz w:val="15"/>
        </w:rPr>
        <w:t>Source : https://news.google.com/rss/articles/CBMiiwFBVV95cUxNeXA4VlNJUzdsSWJYMm40V2U0VDR</w:t>
      </w:r>
    </w:p>
    <w:p>
      <w:pPr>
        <w:spacing w:before="120" w:after="40"/>
      </w:pPr>
      <w:r>
        <w:rPr>
          <w:b/>
          <w:color w:val="00467F"/>
          <w:sz w:val="20"/>
        </w:rPr>
        <w:t>🔑 économique  (4 alerte(s))</w:t>
      </w:r>
    </w:p>
    <w:p>
      <w:pPr>
        <w:spacing w:before="40" w:after="40"/>
        <w:ind w:left="360"/>
      </w:pPr>
      <w:r>
        <w:rPr>
          <w:color w:val="646464"/>
          <w:sz w:val="17"/>
        </w:rPr>
        <w:t xml:space="preserve">[13/09/2026] ⚪  </w:t>
      </w:r>
      <w:r>
        <w:rPr>
          <w:b/>
          <w:color w:val="505050"/>
          <w:sz w:val="18"/>
        </w:rPr>
        <w:t>Pour promouvoir l’agroécologie en Afrique de l’Ouest - mafrique</w:t>
      </w:r>
      <w:r>
        <w:rPr>
          <w:color w:val="787878"/>
          <w:sz w:val="15"/>
        </w:rPr>
        <w:t xml:space="preserve">  [économique]</w:t>
      </w:r>
      <w:r>
        <w:rPr>
          <w:color w:val="B47800"/>
          <w:sz w:val="16"/>
        </w:rPr>
        <w:t xml:space="preserve">  ★ 50/10</w:t>
      </w:r>
    </w:p>
    <w:p>
      <w:pPr>
        <w:spacing w:before="0" w:after="20"/>
        <w:ind w:left="600"/>
      </w:pPr>
      <w:r>
        <w:rPr>
          <w:color w:val="323232"/>
          <w:sz w:val="17"/>
        </w:rPr>
        <w:t>L'article évoque la promotion de l'agroécologie en Afrique de l'Ouest, une approche agricole durable qui vise à concilier production alimentaire et préservation des écosystèmes. Cette initiative s'inscrit dans un contexte de transition agricole régionale, portée par des organisations de développement et des politiques publiques. Elle pourrait favor</w:t>
      </w:r>
    </w:p>
    <w:p>
      <w:pPr>
        <w:spacing w:before="0" w:after="40"/>
        <w:ind w:left="600"/>
      </w:pPr>
      <w:r>
        <w:rPr>
          <w:color w:val="00643C"/>
          <w:sz w:val="16"/>
        </w:rPr>
        <w:t>Points clés : Promotion de l'agroécologie en Afrique de l'Ouest  •  Approche durable pour l'agriculture régionale  •  Manque de détails sur les acteurs et les financements</w:t>
      </w:r>
    </w:p>
    <w:p>
      <w:pPr>
        <w:spacing w:before="0" w:after="60"/>
        <w:ind w:left="600"/>
      </w:pPr>
      <w:r>
        <w:rPr>
          <w:color w:val="0064B4"/>
          <w:sz w:val="15"/>
        </w:rPr>
        <w:t>Source : https://news.google.com/rss/articles/CBMiigFBVV95cUxNSVhxUXdqR2NFVEgwSFZYM1RtU1I</w:t>
      </w:r>
    </w:p>
    <w:p>
      <w:pPr>
        <w:spacing w:before="40" w:after="40"/>
        <w:ind w:left="360"/>
      </w:pPr>
      <w:r>
        <w:rPr>
          <w:color w:val="646464"/>
          <w:sz w:val="17"/>
        </w:rPr>
        <w:t xml:space="preserve">[11/09/2026] ⚪  </w:t>
      </w:r>
      <w:r>
        <w:rPr>
          <w:b/>
          <w:color w:val="505050"/>
          <w:sz w:val="18"/>
        </w:rPr>
        <w:t>Les entreprises algériennes en force - L'Expression</w:t>
      </w:r>
      <w:r>
        <w:rPr>
          <w:color w:val="787878"/>
          <w:sz w:val="15"/>
        </w:rPr>
        <w:t xml:space="preserve">  [économique]</w:t>
      </w:r>
      <w:r>
        <w:rPr>
          <w:color w:val="B47800"/>
          <w:sz w:val="16"/>
        </w:rPr>
        <w:t xml:space="preserve">  ★ 50/10</w:t>
      </w:r>
    </w:p>
    <w:p>
      <w:pPr>
        <w:spacing w:before="0" w:after="20"/>
        <w:ind w:left="600"/>
      </w:pPr>
      <w:r>
        <w:rPr>
          <w:color w:val="323232"/>
          <w:sz w:val="17"/>
        </w:rPr>
        <w:t>L'article intitulé « Les entreprises algériennes en force » publié par L'Expression met en avant la dynamique des entreprises algériennes. Cependant, le contenu fourni est extrêmement limité et ne détaille ni les secteurs concernés, ni les chiffres, ni les marchés visés. Il est donc difficile d'évaluer précisément la portée de cette information pou</w:t>
      </w:r>
    </w:p>
    <w:p>
      <w:pPr>
        <w:spacing w:before="0" w:after="40"/>
        <w:ind w:left="600"/>
      </w:pPr>
      <w:r>
        <w:rPr>
          <w:color w:val="00643C"/>
          <w:sz w:val="16"/>
        </w:rPr>
        <w:t>Points clés : Titre évoquant une montée en puissance des entreprises algériennes  •  Contenu quasi inexistant, sans données chiffrées ni secteurs précis  •  Aucune mention de la BRVM ou des marchés financiers ouest-africains</w:t>
      </w:r>
    </w:p>
    <w:p>
      <w:pPr>
        <w:spacing w:before="0" w:after="60"/>
        <w:ind w:left="600"/>
      </w:pPr>
      <w:r>
        <w:rPr>
          <w:color w:val="0064B4"/>
          <w:sz w:val="15"/>
        </w:rPr>
        <w:t>Source : https://news.google.com/rss/articles/CBMiiwFBVV95cUxQQm5ScklzZzloX1ZzZUdYOUhWeGF</w:t>
      </w:r>
    </w:p>
    <w:p>
      <w:pPr>
        <w:spacing w:before="40" w:after="40"/>
        <w:ind w:left="360"/>
      </w:pPr>
      <w:r>
        <w:rPr>
          <w:color w:val="646464"/>
          <w:sz w:val="17"/>
        </w:rPr>
        <w:t xml:space="preserve">[11/09/2026] 🟢  </w:t>
      </w:r>
      <w:r>
        <w:rPr>
          <w:b/>
          <w:color w:val="008000"/>
          <w:sz w:val="18"/>
        </w:rPr>
        <w:t>COUNTRY REPORT – CEDEAO REPORT : Croissance du PIB de 6,1% réalisée en 2025 - Africa24 TV</w:t>
      </w:r>
      <w:r>
        <w:rPr>
          <w:color w:val="787878"/>
          <w:sz w:val="15"/>
        </w:rPr>
        <w:t xml:space="preserve">  [économique]</w:t>
      </w:r>
      <w:r>
        <w:rPr>
          <w:color w:val="B47800"/>
          <w:sz w:val="16"/>
        </w:rPr>
        <w:t xml:space="preserve">  ★ 50/10</w:t>
      </w:r>
    </w:p>
    <w:p>
      <w:pPr>
        <w:spacing w:before="0" w:after="20"/>
        <w:ind w:left="600"/>
      </w:pPr>
      <w:r>
        <w:rPr>
          <w:color w:val="323232"/>
          <w:sz w:val="17"/>
        </w:rPr>
        <w:t>Selon le rapport de la CEDEAO relayé par Africa24 TV, la croissance du PIB de la zone a atteint 6,1% en 2025. Cette performance témoigne d'une dynamique économique soutenue dans l'espace communautaire. Elle pourrait favoriser l'amélioration des perspectives pour les entreprises cotées à la BRVM.</w:t>
      </w:r>
    </w:p>
    <w:p>
      <w:pPr>
        <w:spacing w:before="0" w:after="40"/>
        <w:ind w:left="600"/>
      </w:pPr>
      <w:r>
        <w:rPr>
          <w:color w:val="00643C"/>
          <w:sz w:val="16"/>
        </w:rPr>
        <w:t>Points clés : Croissance du PIB de la CEDEAO de 6,1% en 2025  •  Performance économique régionale soutenue  •  Impact potentiellement favorable sur les marchés financiers de la zone</w:t>
      </w:r>
    </w:p>
    <w:p>
      <w:pPr>
        <w:spacing w:before="0" w:after="60"/>
        <w:ind w:left="600"/>
      </w:pPr>
      <w:r>
        <w:rPr>
          <w:color w:val="0064B4"/>
          <w:sz w:val="15"/>
        </w:rPr>
        <w:t>Source : https://news.google.com/rss/articles/CBMimAFBVV95cUxOVXJWdXNCamlXbWJjb192dG5tZER</w:t>
      </w:r>
    </w:p>
    <w:p>
      <w:pPr>
        <w:spacing w:before="40" w:after="40"/>
        <w:ind w:left="360"/>
      </w:pPr>
      <w:r>
        <w:rPr>
          <w:color w:val="646464"/>
          <w:sz w:val="17"/>
        </w:rPr>
        <w:t xml:space="preserve">[11/09/2026] ⚪  </w:t>
      </w:r>
      <w:r>
        <w:rPr>
          <w:b/>
          <w:color w:val="505050"/>
          <w:sz w:val="18"/>
        </w:rPr>
        <w:t>OOAS : Le Prof. Vincent Palokinam Pitché prend les rênes de l’institution régionale - FratMat</w:t>
      </w:r>
      <w:r>
        <w:rPr>
          <w:color w:val="787878"/>
          <w:sz w:val="15"/>
        </w:rPr>
        <w:t xml:space="preserve">  [économique]</w:t>
      </w:r>
      <w:r>
        <w:rPr>
          <w:color w:val="B47800"/>
          <w:sz w:val="16"/>
        </w:rPr>
        <w:t xml:space="preserve">  ★ 50/10</w:t>
      </w:r>
    </w:p>
    <w:p>
      <w:pPr>
        <w:spacing w:before="0" w:after="20"/>
        <w:ind w:left="600"/>
      </w:pPr>
      <w:r>
        <w:rPr>
          <w:color w:val="323232"/>
          <w:sz w:val="17"/>
        </w:rPr>
        <w:t>Le Professeur Vincent Palokinam Pitché a été nommé à la tête de l'Organisation Ouest-Africaine de la Santé (OOAS), une institution régionale spécialisée de la CEDEAO. Cette nomination intervient dans un contexte de défis sanitaires persistants en Afrique de l'Ouest. L'OOAS joue un rôle clé dans la coordination des politiques de santé publique et la</w:t>
      </w:r>
    </w:p>
    <w:p>
      <w:pPr>
        <w:spacing w:before="0" w:after="40"/>
        <w:ind w:left="600"/>
      </w:pPr>
      <w:r>
        <w:rPr>
          <w:color w:val="00643C"/>
          <w:sz w:val="16"/>
        </w:rPr>
        <w:t>Points clés : Nomination du Prof. Vincent Palokinam Pitché à la direction de l'OOAS  •  L'OOAS est l'institution sanitaire spécialisée de la CEDEAO  •  Enjeux de coordination régionale en matière de santé publique</w:t>
      </w:r>
    </w:p>
    <w:p>
      <w:pPr>
        <w:spacing w:before="0" w:after="60"/>
        <w:ind w:left="600"/>
      </w:pPr>
      <w:r>
        <w:rPr>
          <w:color w:val="0064B4"/>
          <w:sz w:val="15"/>
        </w:rPr>
        <w:t>Source : https://news.google.com/rss/articles/CBMiyAFBVV95cUxPS2lxelo4bXBjWWpEY3c0Y29CbU5</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12,400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3,500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8,300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10,450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17,285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3,030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4,095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7,150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70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22,450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13,400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2,550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18,300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8,300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37,905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19</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39,275</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34,300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7,100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24,400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2,400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2,870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3,290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33,010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2,120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3,205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1,560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2,135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10,100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1,705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2,400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2,575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3,280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8,990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5,595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2,750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5,400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8,100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4,385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8,495</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54,000</w:t>
            </w:r>
          </w:p>
        </w:tc>
        <w:tc>
          <w:tcPr>
            <w:tcW w:type="dxa" w:w="1080"/>
            <w:shd w:fill="FEFEFE" w:val="clear"/>
          </w:tcPr>
          <w:p>
            <w:r>
              <w:rPr>
                <w:b/>
                <w:sz w:val="16"/>
              </w:rPr>
              <w:t>54/100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STBC</w:t>
            </w:r>
          </w:p>
        </w:tc>
        <w:tc>
          <w:tcPr>
            <w:tcW w:type="dxa" w:w="1080"/>
            <w:shd w:fill="FEFEFE" w:val="clear"/>
          </w:tcPr>
          <w:p>
            <w:r>
              <w:rPr>
                <w:sz w:val="16"/>
              </w:rPr>
              <w:t>CONSOMMATION DE BA</w:t>
            </w:r>
          </w:p>
        </w:tc>
        <w:tc>
          <w:tcPr>
            <w:tcW w:type="dxa" w:w="1080"/>
            <w:shd w:fill="FEFEFE" w:val="clear"/>
          </w:tcPr>
          <w:p>
            <w:r>
              <w:rPr>
                <w:sz w:val="16"/>
              </w:rPr>
              <w:t>22,200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3,500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17,285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38,500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7,150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13,400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2,550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12,400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CABC</w:t>
            </w:r>
          </w:p>
        </w:tc>
        <w:tc>
          <w:tcPr>
            <w:tcW w:type="dxa" w:w="1728"/>
            <w:shd w:fill="E2EFDA" w:val="clear"/>
          </w:tcPr>
          <w:p>
            <w:r>
              <w:rPr>
                <w:sz w:val="17"/>
              </w:rPr>
              <w:t>CABC - SICABLE COTE D'IVOIRE</w:t>
            </w:r>
          </w:p>
        </w:tc>
        <w:tc>
          <w:tcPr>
            <w:tcW w:type="dxa" w:w="1728"/>
            <w:shd w:fill="E2EFDA" w:val="clear"/>
          </w:tcPr>
          <w:p>
            <w:r>
              <w:rPr>
                <w:sz w:val="17"/>
              </w:rPr>
              <w:t>3,500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8,300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9,300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10,450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17,285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3,030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12,400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CABC</w:t>
            </w:r>
          </w:p>
        </w:tc>
        <w:tc>
          <w:tcPr>
            <w:tcW w:type="dxa" w:w="1728"/>
            <w:shd w:fill="FCE4D6" w:val="clear"/>
          </w:tcPr>
          <w:p>
            <w:r>
              <w:rPr>
                <w:sz w:val="17"/>
              </w:rPr>
              <w:t>CABC - SICABLE COTE D'IVOIRE</w:t>
            </w:r>
          </w:p>
        </w:tc>
        <w:tc>
          <w:tcPr>
            <w:tcW w:type="dxa" w:w="1728"/>
            <w:shd w:fill="FCE4D6" w:val="clear"/>
          </w:tcPr>
          <w:p>
            <w:r>
              <w:rPr>
                <w:sz w:val="17"/>
              </w:rPr>
              <w:t>3,500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8,300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9,300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10,450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17,285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3,030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BOABF — BANK OF AFRICA BURKINA FASO</w:t>
      </w:r>
    </w:p>
    <w:p>
      <w:pPr>
        <w:pStyle w:val="ListBullet"/>
        <w:spacing w:before="20"/>
        <w:ind w:left="400"/>
      </w:pPr>
      <w:r>
        <w:rPr>
          <w:sz w:val="18"/>
        </w:rPr>
        <w:t>🔴 RSI surachat (81.3 &gt; 70) — risque de correction</w:t>
      </w:r>
    </w:p>
    <w:p>
      <w:pPr>
        <w:pStyle w:val="ListBullet"/>
        <w:spacing w:before="20"/>
        <w:ind w:left="400"/>
      </w:pPr>
      <w:r>
        <w:rPr>
          <w:sz w:val="18"/>
        </w:rPr>
        <w:t>⚠️ Cours à 1.1% du plus haut 100j (9,090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(89.0 &gt; 70) — risque de correction</w:t>
      </w:r>
    </w:p>
    <w:p>
      <w:pPr>
        <w:pStyle w:val="ListBullet"/>
        <w:spacing w:before="20"/>
        <w:ind w:left="400"/>
      </w:pPr>
      <w:r>
        <w:rPr>
          <w:sz w:val="18"/>
        </w:rPr>
        <w:t>⚠️ Cours à 0.0% du plus haut 100j (4,095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(75.2 &gt; 70) — risque de correction</w:t>
      </w:r>
    </w:p>
    <w:p>
      <w:pPr>
        <w:pStyle w:val="ListBullet"/>
        <w:spacing w:before="20"/>
        <w:ind w:left="400"/>
      </w:pPr>
      <w:r>
        <w:rPr>
          <w:sz w:val="18"/>
        </w:rPr>
        <w:t>⚠️ Cours à 2.9% du plus haut 100j (34,000 FCFA)</w:t>
      </w:r>
    </w:p>
    <w:p>
      <w:pPr>
        <w:spacing w:before="120"/>
      </w:pPr>
      <w:r>
        <w:rPr>
          <w:b/>
          <w:color w:val="0050A0"/>
          <w:sz w:val="20"/>
        </w:rPr>
        <w:t>BOAM — BANK OF AFRICA MALI</w:t>
      </w:r>
    </w:p>
    <w:p>
      <w:pPr>
        <w:pStyle w:val="ListBullet"/>
        <w:spacing w:before="20"/>
        <w:ind w:left="400"/>
      </w:pPr>
      <w:r>
        <w:rPr>
          <w:sz w:val="18"/>
        </w:rPr>
        <w:t>🔴 RSI surachat (74.1 &gt; 70) — risque de correction</w:t>
      </w:r>
    </w:p>
    <w:p>
      <w:pPr>
        <w:pStyle w:val="ListBullet"/>
        <w:spacing w:before="20"/>
        <w:ind w:left="400"/>
      </w:pPr>
      <w:r>
        <w:rPr>
          <w:sz w:val="18"/>
        </w:rPr>
        <w:t>⚠️ Cours à 0.6% du plus haut 100j (7,195 FCFA)</w:t>
      </w:r>
    </w:p>
    <w:p>
      <w:pPr>
        <w:spacing w:before="120"/>
      </w:pPr>
      <w:r>
        <w:rPr>
          <w:b/>
          <w:color w:val="0050A0"/>
          <w:sz w:val="20"/>
        </w:rPr>
        <w:t>BOAN — BANK OF AFRICA NIGER</w:t>
      </w:r>
    </w:p>
    <w:p>
      <w:pPr>
        <w:pStyle w:val="ListBullet"/>
        <w:spacing w:before="20"/>
        <w:ind w:left="400"/>
      </w:pPr>
      <w:r>
        <w:rPr>
          <w:sz w:val="18"/>
        </w:rPr>
        <w:t>⚠️ Cours à 0.9% du plus haut 100j (5,645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(79.9 &gt; 70) — risque de correction</w:t>
      </w:r>
    </w:p>
    <w:p>
      <w:pPr>
        <w:pStyle w:val="ListBullet"/>
        <w:spacing w:before="20"/>
        <w:ind w:left="400"/>
      </w:pPr>
      <w:r>
        <w:rPr>
          <w:sz w:val="18"/>
        </w:rPr>
        <w:t>⚠️ Cours à 0.0% du plus haut 100j (34,300 FCFA)</w:t>
      </w:r>
    </w:p>
    <w:p>
      <w:pPr>
        <w:spacing w:before="120"/>
      </w:pPr>
      <w:r>
        <w:rPr>
          <w:b/>
          <w:color w:val="0050A0"/>
          <w:sz w:val="20"/>
        </w:rPr>
        <w:t>SDCC — SDCC - Société de Distribution d'Eau de Côte d'Ivoire</w:t>
      </w:r>
    </w:p>
    <w:p>
      <w:pPr>
        <w:pStyle w:val="ListBullet"/>
        <w:spacing w:before="20"/>
        <w:ind w:left="400"/>
      </w:pPr>
      <w:r>
        <w:rPr>
          <w:sz w:val="18"/>
        </w:rPr>
        <w:t>🔴 RSI surachat (70.9 &gt; 70) — risque de correction</w:t>
      </w:r>
    </w:p>
    <w:p>
      <w:pPr>
        <w:pStyle w:val="ListBullet"/>
        <w:spacing w:before="20"/>
        <w:ind w:left="400"/>
      </w:pPr>
      <w:r>
        <w:rPr>
          <w:sz w:val="18"/>
        </w:rPr>
        <w:t>⚠️ Cours à 2.3% du plus haut 100j (13,710 FCFA)</w:t>
      </w:r>
    </w:p>
    <w:p>
      <w:pPr>
        <w:spacing w:before="120"/>
      </w:pPr>
      <w:r>
        <w:rPr>
          <w:b/>
          <w:color w:val="0050A0"/>
          <w:sz w:val="20"/>
        </w:rPr>
        <w:t>SMBC — SMBC - Société Multinationale de Bitumes COTE D'IVOIRE</w:t>
      </w:r>
    </w:p>
    <w:p>
      <w:pPr>
        <w:pStyle w:val="ListBullet"/>
        <w:spacing w:before="20"/>
        <w:ind w:left="400"/>
      </w:pPr>
      <w:r>
        <w:rPr>
          <w:sz w:val="18"/>
        </w:rPr>
        <w:t>🔴 RSI surachat (81.8 &gt; 70) — risque de correction</w:t>
      </w:r>
    </w:p>
    <w:p>
      <w:pPr>
        <w:pStyle w:val="ListBullet"/>
        <w:spacing w:before="20"/>
        <w:ind w:left="400"/>
      </w:pPr>
      <w:r>
        <w:rPr>
          <w:sz w:val="18"/>
        </w:rPr>
        <w:t>⚠️ Cours à 1.1% du plus haut 100j (18,500 FCFA)</w:t>
      </w:r>
    </w:p>
    <w:p>
      <w:pPr>
        <w:spacing w:before="120"/>
      </w:pPr>
      <w:r>
        <w:rPr>
          <w:b/>
          <w:color w:val="0050A0"/>
          <w:sz w:val="20"/>
        </w:rPr>
        <w:t>BICB — BIIC BN - Banque internationale pour le commerce du benin</w:t>
      </w:r>
    </w:p>
    <w:p>
      <w:pPr>
        <w:pStyle w:val="ListBullet"/>
        <w:spacing w:before="20"/>
        <w:ind w:left="400"/>
      </w:pPr>
      <w:r>
        <w:rPr>
          <w:sz w:val="18"/>
        </w:rPr>
        <w:t>🔴 RSI surachat (81.0 &gt; 70) — risque de correction</w:t>
      </w:r>
    </w:p>
    <w:p>
      <w:pPr>
        <w:spacing w:before="120"/>
      </w:pPr>
      <w:r>
        <w:rPr>
          <w:b/>
          <w:color w:val="0050A0"/>
          <w:sz w:val="20"/>
        </w:rPr>
        <w:t>BOAB — BANK OF AFRICA BENIN</w:t>
      </w:r>
    </w:p>
    <w:p>
      <w:pPr>
        <w:pStyle w:val="ListBullet"/>
        <w:spacing w:before="20"/>
        <w:ind w:left="400"/>
      </w:pPr>
      <w:r>
        <w:rPr>
          <w:sz w:val="18"/>
        </w:rPr>
        <w:t>⚠️ Cours à 2.4% du plus haut 100j (10,350 FCFA)</w:t>
      </w:r>
    </w:p>
    <w:p>
      <w:pPr>
        <w:spacing w:before="120"/>
      </w:pPr>
      <w:r>
        <w:rPr>
          <w:b/>
          <w:color w:val="0050A0"/>
          <w:sz w:val="20"/>
        </w:rPr>
        <w:t>BOAC — BANK OF AFRICA COTE D'IVOIRE</w:t>
      </w:r>
    </w:p>
    <w:p>
      <w:pPr>
        <w:pStyle w:val="ListBullet"/>
        <w:spacing w:before="20"/>
        <w:ind w:left="400"/>
      </w:pPr>
      <w:r>
        <w:rPr>
          <w:sz w:val="18"/>
        </w:rPr>
        <w:t>🟢 RSI survente (20.9 &lt; 30) — opportunité potentielle</w:t>
      </w:r>
    </w:p>
    <w:p>
      <w:pPr>
        <w:spacing w:before="120"/>
      </w:pPr>
      <w:r>
        <w:rPr>
          <w:b/>
          <w:color w:val="0050A0"/>
          <w:sz w:val="20"/>
        </w:rPr>
        <w:t>CABC — CABC - SICABLE COTE D'IVOIRE</w:t>
      </w:r>
    </w:p>
    <w:p>
      <w:pPr>
        <w:pStyle w:val="ListBullet"/>
        <w:spacing w:before="20"/>
        <w:ind w:left="400"/>
      </w:pPr>
      <w:r>
        <w:rPr>
          <w:sz w:val="18"/>
        </w:rPr>
        <w:t>🟢 RSI survente (25.9 &lt; 30) — opportunité potentielle</w:t>
      </w:r>
    </w:p>
    <w:p>
      <w:pPr>
        <w:spacing w:before="120"/>
      </w:pPr>
      <w:r>
        <w:rPr>
          <w:b/>
          <w:color w:val="0050A0"/>
          <w:sz w:val="20"/>
        </w:rPr>
        <w:t>ECOC — ECOC - ECOBANK COTE D'IVOIRE</w:t>
      </w:r>
    </w:p>
    <w:p>
      <w:pPr>
        <w:pStyle w:val="ListBullet"/>
        <w:spacing w:before="20"/>
        <w:ind w:left="400"/>
      </w:pPr>
      <w:r>
        <w:rPr>
          <w:sz w:val="18"/>
        </w:rPr>
        <w:t>⚠️ Cours à 2.5% du plus haut 100j (17,725 FCFA)</w:t>
      </w:r>
    </w:p>
    <w:p>
      <w:pPr>
        <w:spacing w:before="120"/>
      </w:pPr>
      <w:r>
        <w:rPr>
          <w:b/>
          <w:color w:val="0050A0"/>
          <w:sz w:val="20"/>
        </w:rPr>
        <w:t>NSBC — NSBC - NSIA BANQUE COTE D'IVOIRE</w:t>
      </w:r>
    </w:p>
    <w:p>
      <w:pPr>
        <w:pStyle w:val="ListBullet"/>
        <w:spacing w:before="20"/>
        <w:ind w:left="400"/>
      </w:pPr>
      <w:r>
        <w:rPr>
          <w:sz w:val="18"/>
        </w:rPr>
        <w:t>⚠️ Cours à 1.9% du plus haut 100j (24,885 FCFA)</w:t>
      </w:r>
    </w:p>
    <w:p>
      <w:pPr>
        <w:spacing w:before="120"/>
      </w:pPr>
      <w:r>
        <w:rPr>
          <w:b/>
          <w:color w:val="0050A0"/>
          <w:sz w:val="20"/>
        </w:rPr>
        <w:t>ORAC — ORAC - ORANGE COTE D'IVOIRE</w:t>
      </w:r>
    </w:p>
    <w:p>
      <w:pPr>
        <w:pStyle w:val="ListBullet"/>
        <w:spacing w:before="20"/>
        <w:ind w:left="400"/>
      </w:pPr>
      <w:r>
        <w:rPr>
          <w:sz w:val="18"/>
        </w:rPr>
        <w:t>⚠️ Cours à 0.0% du plus haut 100j (22,450 FCFA)</w:t>
      </w:r>
    </w:p>
    <w:p>
      <w:pPr>
        <w:spacing w:before="120"/>
      </w:pPr>
      <w:r>
        <w:rPr>
          <w:b/>
          <w:color w:val="0050A0"/>
          <w:sz w:val="20"/>
        </w:rPr>
        <w:t>PALC — PALC - PALM COTE D'IVOIRE</w:t>
      </w:r>
    </w:p>
    <w:p>
      <w:pPr>
        <w:pStyle w:val="ListBullet"/>
        <w:spacing w:before="20"/>
        <w:ind w:left="400"/>
      </w:pPr>
      <w:r>
        <w:rPr>
          <w:sz w:val="18"/>
        </w:rPr>
        <w:t>🟢 RSI survente (21.1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2.0% du plus haut 100j (39,300 FCFA)</w:t>
      </w:r>
    </w:p>
    <w:p>
      <w:pPr>
        <w:spacing w:before="120"/>
      </w:pPr>
      <w:r>
        <w:rPr>
          <w:b/>
          <w:color w:val="0050A0"/>
          <w:sz w:val="20"/>
        </w:rPr>
        <w:t>SHEC — SHEC - VIVO ENERGY COTE D'IVOIRE</w:t>
      </w:r>
    </w:p>
    <w:p>
      <w:pPr>
        <w:pStyle w:val="ListBullet"/>
        <w:spacing w:before="20"/>
        <w:ind w:left="400"/>
      </w:pPr>
      <w:r>
        <w:rPr>
          <w:sz w:val="18"/>
        </w:rPr>
        <w:t>⚠️ Cours à 0.0% du plus haut 100j (2,550 FCFA)</w:t>
      </w:r>
    </w:p>
    <w:p>
      <w:pPr>
        <w:spacing w:before="120"/>
      </w:pPr>
      <w:r>
        <w:rPr>
          <w:b/>
          <w:color w:val="0050A0"/>
          <w:sz w:val="20"/>
        </w:rPr>
        <w:t>SIBC — SIBC - SOCIETE IVOIRIENNE DE BANQUE</w:t>
      </w:r>
    </w:p>
    <w:p>
      <w:pPr>
        <w:pStyle w:val="ListBullet"/>
        <w:spacing w:before="20"/>
        <w:ind w:left="400"/>
      </w:pPr>
      <w:r>
        <w:rPr>
          <w:sz w:val="18"/>
        </w:rPr>
        <w:t>⚠️ Cours à 2.1% du plus haut 100j (9,500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 FORT</w:t>
      </w:r>
    </w:p>
    <w:p>
      <w:pPr>
        <w:spacing w:before="120"/>
      </w:pPr>
      <w:r>
        <w:rPr>
          <w:b/>
          <w:color w:val="0050A0"/>
          <w:sz w:val="20"/>
        </w:rPr>
        <w:t>SNTS — SNTS - SONATEL SN</w:t>
      </w:r>
    </w:p>
    <w:p>
      <w:pPr>
        <w:pStyle w:val="ListBullet"/>
        <w:spacing w:before="20"/>
        <w:ind w:left="400"/>
      </w:pPr>
      <w:r>
        <w:rPr>
          <w:sz w:val="18"/>
        </w:rPr>
        <w:t>⚠️ Cours à 0.0% du plus haut 100j (39,275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 FORT</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22 société(s) (47%)</w:t>
            </w:r>
          </w:p>
        </w:tc>
        <w:tc>
          <w:tcPr>
            <w:tcW w:type="dxa" w:w="1644"/>
            <w:shd w:fill="FFEB9C" w:val="clear"/>
          </w:tcPr>
          <w:p>
            <w:r>
              <w:rPr>
                <w:b/>
                <w:color w:val="825A00"/>
                <w:sz w:val="19"/>
              </w:rPr>
              <w:t>25 société(s) (53%)</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21.2/100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#4 CBIBF (30.1/100 — Moyen) : </w:t>
      </w:r>
      <w:r>
        <w:rPr>
          <w:sz w:val="17"/>
        </w:rPr>
        <w:t>Volatilité=Élevée | Bêta=Neutre  | Liquidité=Bonne | Divergence signaux=taux divergence=40% (Très divergent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29.5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28.0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27.3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25.3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24.0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17.8</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-3.79%  |  Médiane : -3.26%</w:t>
            </w:r>
          </w:p>
        </w:tc>
      </w:tr>
      <w:tr>
        <w:tc>
          <w:tcPr>
            <w:tcW w:type="dxa" w:w="2835"/>
            <w:shd w:fill="DEEAF1" w:val="clear"/>
          </w:tcPr>
          <w:p>
            <w:r>
              <w:rPr>
                <w:b/>
                <w:sz w:val="18"/>
              </w:rPr>
              <w:t>Répartition</w:t>
            </w:r>
          </w:p>
        </w:tc>
        <w:tc>
          <w:tcPr>
            <w:tcW w:type="dxa" w:w="7370"/>
          </w:tcPr>
          <w:p>
            <w:r>
              <w:rPr>
                <w:b/>
                <w:sz w:val="18"/>
              </w:rPr>
              <w:t>📈 8 sociétés en hausse (&gt;+1%)   📉 35 en baisse (&lt;-1%)   ➡️ 4 neutres</w:t>
            </w:r>
          </w:p>
        </w:tc>
      </w:tr>
      <w:tr>
        <w:tc>
          <w:tcPr>
            <w:tcW w:type="dxa" w:w="2835"/>
            <w:shd w:fill="DEEAF1" w:val="clear"/>
          </w:tcPr>
          <w:p>
            <w:r>
              <w:rPr>
                <w:b/>
                <w:sz w:val="18"/>
              </w:rPr>
              <w:t>Confiance globale</w:t>
            </w:r>
          </w:p>
        </w:tc>
        <w:tc>
          <w:tcPr>
            <w:tcW w:type="dxa" w:w="7370"/>
          </w:tcPr>
          <w:p>
            <w:r>
              <w:rPr>
                <w:b/>
                <w:sz w:val="18"/>
              </w:rPr>
              <w:t>Élevée : 0 sociétés (0%)   Moyenne : 16   Faible : 31 (66%)   → Confiance dominante : Faible</w:t>
            </w:r>
          </w:p>
        </w:tc>
      </w:tr>
    </w:tbl>
    <w:p/>
    <w:p>
      <w:r>
        <w:rPr>
          <w:i/>
          <w:color w:val="282828"/>
          <w:sz w:val="18"/>
        </w:rPr>
        <w:t>📝 Analyse : Les modèles anticipent une correction généralisée. 35 sociétés sur 47 sont orientées à la baisse avec une variation moyenne de -3.79%.</w:t>
      </w:r>
    </w:p>
    <w:p>
      <w:r>
        <w:rPr>
          <w:i/>
          <w:color w:val="282828"/>
          <w:sz w:val="18"/>
        </w:rPr>
        <w:t>🎯 Fiabilité : ⚠️ La confiance est globalement FAIBLE (66%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37,905 FCFA</w:t>
            </w:r>
          </w:p>
        </w:tc>
        <w:tc>
          <w:tcPr>
            <w:tcW w:type="dxa" w:w="1417"/>
            <w:shd w:fill="FFFFFF" w:val="clear"/>
          </w:tcPr>
          <w:p>
            <w:r>
              <w:rPr>
                <w:sz w:val="16"/>
              </w:rPr>
              <w:t>41,377 FCFA</w:t>
            </w:r>
          </w:p>
        </w:tc>
        <w:tc>
          <w:tcPr>
            <w:tcW w:type="dxa" w:w="1134"/>
            <w:shd w:fill="C6EFCE" w:val="clear"/>
          </w:tcPr>
          <w:p>
            <w:r>
              <w:rPr>
                <w:b/>
                <w:color w:val="007800"/>
                <w:sz w:val="16"/>
              </w:rPr>
              <w:t>+9.16%</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22,200 FCFA</w:t>
            </w:r>
          </w:p>
        </w:tc>
        <w:tc>
          <w:tcPr>
            <w:tcW w:type="dxa" w:w="1417"/>
            <w:shd w:fill="FFFFFF" w:val="clear"/>
          </w:tcPr>
          <w:p>
            <w:r>
              <w:rPr>
                <w:sz w:val="16"/>
              </w:rPr>
              <w:t>24,093 FCFA</w:t>
            </w:r>
          </w:p>
        </w:tc>
        <w:tc>
          <w:tcPr>
            <w:tcW w:type="dxa" w:w="1134"/>
            <w:shd w:fill="C6EFCE" w:val="clear"/>
          </w:tcPr>
          <w:p>
            <w:r>
              <w:rPr>
                <w:b/>
                <w:color w:val="007800"/>
                <w:sz w:val="16"/>
              </w:rPr>
              <w:t>+8.53%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3,290 FCFA</w:t>
            </w:r>
          </w:p>
        </w:tc>
        <w:tc>
          <w:tcPr>
            <w:tcW w:type="dxa" w:w="1417"/>
            <w:shd w:fill="FFFFFF" w:val="clear"/>
          </w:tcPr>
          <w:p>
            <w:r>
              <w:rPr>
                <w:sz w:val="16"/>
              </w:rPr>
              <w:t>3,446 FCFA</w:t>
            </w:r>
          </w:p>
        </w:tc>
        <w:tc>
          <w:tcPr>
            <w:tcW w:type="dxa" w:w="1134"/>
            <w:shd w:fill="C6EFCE" w:val="clear"/>
          </w:tcPr>
          <w:p>
            <w:r>
              <w:rPr>
                <w:b/>
                <w:color w:val="007800"/>
                <w:sz w:val="16"/>
              </w:rPr>
              <w:t>+4.74%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LNBB — LNBB - LOTERIE NATIONALE DU BENIN</w:t>
            </w:r>
          </w:p>
        </w:tc>
        <w:tc>
          <w:tcPr>
            <w:tcW w:type="dxa" w:w="1701"/>
            <w:shd w:fill="FFFFFF" w:val="clear"/>
          </w:tcPr>
          <w:p>
            <w:r>
              <w:rPr>
                <w:sz w:val="16"/>
              </w:rPr>
              <w:t>CONSOMMATION DISCRET</w:t>
            </w:r>
          </w:p>
        </w:tc>
        <w:tc>
          <w:tcPr>
            <w:tcW w:type="dxa" w:w="1417"/>
            <w:shd w:fill="FFFFFF" w:val="clear"/>
          </w:tcPr>
          <w:p>
            <w:r>
              <w:rPr>
                <w:sz w:val="16"/>
              </w:rPr>
              <w:t>4,000 FCFA</w:t>
            </w:r>
          </w:p>
        </w:tc>
        <w:tc>
          <w:tcPr>
            <w:tcW w:type="dxa" w:w="1417"/>
            <w:shd w:fill="FFFFFF" w:val="clear"/>
          </w:tcPr>
          <w:p>
            <w:r>
              <w:rPr>
                <w:sz w:val="16"/>
              </w:rPr>
              <w:t>4,174 FCFA</w:t>
            </w:r>
          </w:p>
        </w:tc>
        <w:tc>
          <w:tcPr>
            <w:tcW w:type="dxa" w:w="1134"/>
            <w:shd w:fill="C6EFCE" w:val="clear"/>
          </w:tcPr>
          <w:p>
            <w:r>
              <w:rPr>
                <w:b/>
                <w:color w:val="007800"/>
                <w:sz w:val="16"/>
              </w:rPr>
              <w:t>+4.36%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13,400 FCFA</w:t>
            </w:r>
          </w:p>
        </w:tc>
        <w:tc>
          <w:tcPr>
            <w:tcW w:type="dxa" w:w="1417"/>
            <w:shd w:fill="FFFFFF" w:val="clear"/>
          </w:tcPr>
          <w:p>
            <w:r>
              <w:rPr>
                <w:sz w:val="16"/>
              </w:rPr>
              <w:t>13,976 FCFA</w:t>
            </w:r>
          </w:p>
        </w:tc>
        <w:tc>
          <w:tcPr>
            <w:tcW w:type="dxa" w:w="1134"/>
            <w:shd w:fill="C6EFCE" w:val="clear"/>
          </w:tcPr>
          <w:p>
            <w:r>
              <w:rPr>
                <w:b/>
                <w:color w:val="007800"/>
                <w:sz w:val="16"/>
              </w:rPr>
              <w:t>+4.30%</w:t>
            </w:r>
          </w:p>
        </w:tc>
        <w:tc>
          <w:tcPr>
            <w:tcW w:type="dxa" w:w="1020"/>
            <w:shd w:fill="FFC7CE" w:val="clear"/>
          </w:tcPr>
          <w:p>
            <w:r>
              <w:rPr>
                <w:sz w:val="16"/>
              </w:rPr>
              <w:t>Faible</w:t>
            </w:r>
          </w:p>
        </w:tc>
      </w:tr>
    </w:tbl>
    <w:p/>
    <w:p>
      <w:pPr>
        <w:pStyle w:val="ListBullet"/>
      </w:pPr>
      <w:r>
        <w:rPr>
          <w:b/>
          <w:color w:val="006400"/>
          <w:sz w:val="18"/>
        </w:rPr>
        <w:t xml:space="preserve">#1 SLBC </w:t>
      </w:r>
      <w:r>
        <w:rPr>
          <w:sz w:val="17"/>
        </w:rPr>
        <w:t>(SLBC - SOLIBRA COTE D'IVOIRE) — hausse modérée (+9.2%) — signal raisonnable et crédible. Trajectoire : 📈 Hausse continue. Cours actuel : 37,905 FCFA → prédit J+10 : 41,377 FCFA. Confiance partielle — les premiers jours sont fiables, les jours lointains moins précis.</w:t>
      </w:r>
    </w:p>
    <w:p>
      <w:pPr>
        <w:pStyle w:val="ListBullet"/>
      </w:pPr>
      <w:r>
        <w:rPr>
          <w:b/>
          <w:color w:val="006400"/>
          <w:sz w:val="18"/>
        </w:rPr>
        <w:t xml:space="preserve">#2 STBC </w:t>
      </w:r>
      <w:r>
        <w:rPr>
          <w:sz w:val="17"/>
        </w:rPr>
        <w:t>(STBC - SITAB COTE D'IVOIRE) — hausse modérée (+8.5%) — signal raisonnable et crédible. Trajectoire : 📈 Hausse continue. Cours actuel : 22,200 FCFA → prédit J+10 : 24,093 FCFA. ⚠️ Confiance limitée — volatilité élevée ou données insuffisantes. Résultat indicatif uniquement.</w:t>
      </w:r>
    </w:p>
    <w:p>
      <w:pPr>
        <w:pStyle w:val="ListBullet"/>
      </w:pPr>
      <w:r>
        <w:rPr>
          <w:b/>
          <w:color w:val="006400"/>
          <w:sz w:val="18"/>
        </w:rPr>
        <w:t xml:space="preserve">#3 SCRC </w:t>
      </w:r>
      <w:r>
        <w:rPr>
          <w:sz w:val="17"/>
        </w:rPr>
        <w:t>(SCRC - SUCRIVOIRE) — légère hausse (+4.7%) — progression graduelle attendue. Trajectoire : 📈 Hausse continue. Cours actuel : 3,290 FCFA → prédit J+10 : 3,446 FCFA. ⚠️ Confiance limitée — volatilité élevée ou données insuffisantes. Résultat indicatif uniquement.</w:t>
      </w:r>
    </w:p>
    <w:p>
      <w:pPr>
        <w:pStyle w:val="ListBullet"/>
      </w:pPr>
      <w:r>
        <w:rPr>
          <w:b/>
          <w:color w:val="006400"/>
          <w:sz w:val="18"/>
        </w:rPr>
        <w:t xml:space="preserve">#4 LNBB </w:t>
      </w:r>
      <w:r>
        <w:rPr>
          <w:sz w:val="17"/>
        </w:rPr>
        <w:t>(LNBB - LOTERIE NATIONALE DU BENIN) — légère hausse (+4.4%) — progression graduelle attendue. Trajectoire : 📈 Hausse continue. Cours actuel : 4,000 FCFA → prédit J+10 : 4,174 FCFA. ⚠️ Confiance limitée — volatilité élevée ou données insuffisantes. Résultat indicatif uniquement.</w:t>
      </w:r>
    </w:p>
    <w:p>
      <w:pPr>
        <w:pStyle w:val="ListBullet"/>
      </w:pPr>
      <w:r>
        <w:rPr>
          <w:b/>
          <w:color w:val="006400"/>
          <w:sz w:val="18"/>
        </w:rPr>
        <w:t xml:space="preserve">#5 SDCC </w:t>
      </w:r>
      <w:r>
        <w:rPr>
          <w:sz w:val="17"/>
        </w:rPr>
        <w:t>(SDCC - Société de Distribution d'Eau de ) — légère hausse (+4.3%) — progression graduelle attendue. Trajectoire : 📈 Hausse continue. Cours actuel : 13,400 FCFA → prédit J+10 : 13,976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34,300 FCFA</w:t>
            </w:r>
          </w:p>
        </w:tc>
        <w:tc>
          <w:tcPr>
            <w:tcW w:type="dxa" w:w="1417"/>
            <w:shd w:fill="FFFFFF" w:val="clear"/>
          </w:tcPr>
          <w:p>
            <w:r>
              <w:rPr>
                <w:sz w:val="16"/>
              </w:rPr>
              <w:t>28,507 FCFA</w:t>
            </w:r>
          </w:p>
        </w:tc>
        <w:tc>
          <w:tcPr>
            <w:tcW w:type="dxa" w:w="1134"/>
            <w:shd w:fill="FFC7CE" w:val="clear"/>
          </w:tcPr>
          <w:p>
            <w:r>
              <w:rPr>
                <w:b/>
                <w:color w:val="B40000"/>
                <w:sz w:val="16"/>
              </w:rPr>
              <w:t>-16.89%</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7,100 FCFA</w:t>
            </w:r>
          </w:p>
        </w:tc>
        <w:tc>
          <w:tcPr>
            <w:tcW w:type="dxa" w:w="1417"/>
            <w:shd w:fill="FFFFFF" w:val="clear"/>
          </w:tcPr>
          <w:p>
            <w:r>
              <w:rPr>
                <w:sz w:val="16"/>
              </w:rPr>
              <w:t>5,987 FCFA</w:t>
            </w:r>
          </w:p>
        </w:tc>
        <w:tc>
          <w:tcPr>
            <w:tcW w:type="dxa" w:w="1134"/>
            <w:shd w:fill="FFC7CE" w:val="clear"/>
          </w:tcPr>
          <w:p>
            <w:r>
              <w:rPr>
                <w:b/>
                <w:color w:val="B40000"/>
                <w:sz w:val="16"/>
              </w:rPr>
              <w:t>-15.67%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8,495 FCFA</w:t>
            </w:r>
          </w:p>
        </w:tc>
        <w:tc>
          <w:tcPr>
            <w:tcW w:type="dxa" w:w="1417"/>
            <w:shd w:fill="FFFFFF" w:val="clear"/>
          </w:tcPr>
          <w:p>
            <w:r>
              <w:rPr>
                <w:sz w:val="16"/>
              </w:rPr>
              <w:t>7,294 FCFA</w:t>
            </w:r>
          </w:p>
        </w:tc>
        <w:tc>
          <w:tcPr>
            <w:tcW w:type="dxa" w:w="1134"/>
            <w:shd w:fill="FFC7CE" w:val="clear"/>
          </w:tcPr>
          <w:p>
            <w:r>
              <w:rPr>
                <w:b/>
                <w:color w:val="B40000"/>
                <w:sz w:val="16"/>
              </w:rPr>
              <w:t>-14.14%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2,550 FCFA</w:t>
            </w:r>
          </w:p>
        </w:tc>
        <w:tc>
          <w:tcPr>
            <w:tcW w:type="dxa" w:w="1417"/>
            <w:shd w:fill="FFFFFF" w:val="clear"/>
          </w:tcPr>
          <w:p>
            <w:r>
              <w:rPr>
                <w:sz w:val="16"/>
              </w:rPr>
              <w:t>2,203 FCFA</w:t>
            </w:r>
          </w:p>
        </w:tc>
        <w:tc>
          <w:tcPr>
            <w:tcW w:type="dxa" w:w="1134"/>
            <w:shd w:fill="FFC7CE" w:val="clear"/>
          </w:tcPr>
          <w:p>
            <w:r>
              <w:rPr>
                <w:b/>
                <w:color w:val="B40000"/>
                <w:sz w:val="16"/>
              </w:rPr>
              <w:t>-13.60%</w:t>
            </w:r>
          </w:p>
        </w:tc>
        <w:tc>
          <w:tcPr>
            <w:tcW w:type="dxa" w:w="1020"/>
            <w:shd w:fill="FFEB9C" w:val="clear"/>
          </w:tcPr>
          <w:p>
            <w:r>
              <w:rPr>
                <w:sz w:val="16"/>
              </w:rPr>
              <w:t>Moyenne</w:t>
            </w:r>
          </w:p>
        </w:tc>
      </w:tr>
      <w:tr>
        <w:tc>
          <w:tcPr>
            <w:tcW w:type="dxa" w:w="680"/>
            <w:shd w:fill="FFFFFF" w:val="clear"/>
          </w:tcPr>
          <w:p>
            <w:r>
              <w:rPr>
                <w:b/>
                <w:sz w:val="16"/>
              </w:rPr>
              <w:t>#5</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4,095 FCFA</w:t>
            </w:r>
          </w:p>
        </w:tc>
        <w:tc>
          <w:tcPr>
            <w:tcW w:type="dxa" w:w="1417"/>
            <w:shd w:fill="FFFFFF" w:val="clear"/>
          </w:tcPr>
          <w:p>
            <w:r>
              <w:rPr>
                <w:sz w:val="16"/>
              </w:rPr>
              <w:t>3,594 FCFA</w:t>
            </w:r>
          </w:p>
        </w:tc>
        <w:tc>
          <w:tcPr>
            <w:tcW w:type="dxa" w:w="1134"/>
            <w:shd w:fill="FFC7CE" w:val="clear"/>
          </w:tcPr>
          <w:p>
            <w:r>
              <w:rPr>
                <w:b/>
                <w:color w:val="B40000"/>
                <w:sz w:val="16"/>
              </w:rPr>
              <w:t>-12.24%</w:t>
            </w:r>
          </w:p>
        </w:tc>
        <w:tc>
          <w:tcPr>
            <w:tcW w:type="dxa" w:w="1020"/>
            <w:shd w:fill="FFC7CE" w:val="clear"/>
          </w:tcPr>
          <w:p>
            <w:r>
              <w:rPr>
                <w:sz w:val="16"/>
              </w:rPr>
              <w:t>Faible</w:t>
            </w:r>
          </w:p>
        </w:tc>
      </w:tr>
    </w:tbl>
    <w:p/>
    <w:p>
      <w:pPr>
        <w:pStyle w:val="ListBullet"/>
      </w:pPr>
      <w:r>
        <w:rPr>
          <w:b/>
          <w:color w:val="B40000"/>
          <w:sz w:val="18"/>
        </w:rPr>
        <w:t xml:space="preserve">#1 CBIBF </w:t>
      </w:r>
      <w:r>
        <w:rPr>
          <w:sz w:val="17"/>
        </w:rPr>
        <w:t>(CBIBF - CORIS BANK INTERNATIONAL BURKINA) — correction importante (-16.9%) — signal de dégradation significative. Trajectoire : 📉 Baisse continue. Cours actuel : 34,300 FCFA → prédit J+10 : 28,507 FCFA. Confiance partielle — surveiller l'évolution réelle des premiers jours.</w:t>
      </w:r>
    </w:p>
    <w:p>
      <w:pPr>
        <w:pStyle w:val="ListBullet"/>
      </w:pPr>
      <w:r>
        <w:rPr>
          <w:b/>
          <w:color w:val="B40000"/>
          <w:sz w:val="18"/>
        </w:rPr>
        <w:t xml:space="preserve">#2 CIEC </w:t>
      </w:r>
      <w:r>
        <w:rPr>
          <w:sz w:val="17"/>
        </w:rPr>
        <w:t>(CIEC - Compagnie Ivoirienne d'Electricit) — correction importante (-15.7%) — signal de dégradation significative. Trajectoire : 📉 Baisse continue. Cours actuel : 7,100 FCFA → prédit J+10 : 5,987 FCFA. ⚠️ Confiance limitée — volatilité élevée. Ne pas agir sur ce seul signal.</w:t>
      </w:r>
    </w:p>
    <w:p>
      <w:pPr>
        <w:pStyle w:val="ListBullet"/>
      </w:pPr>
      <w:r>
        <w:rPr>
          <w:b/>
          <w:color w:val="B40000"/>
          <w:sz w:val="18"/>
        </w:rPr>
        <w:t xml:space="preserve">#3 SICC </w:t>
      </w:r>
      <w:r>
        <w:rPr>
          <w:sz w:val="17"/>
        </w:rPr>
        <w:t>(SICC - SICOR COTE D'IVOIRE) — baisse modérée (-14.1%) — repli technique attendu. Trajectoire : 📉 Baisse continue. Cours actuel : 8,495 FCFA → prédit J+10 : 7,294 FCFA. ⚠️ Confiance limitée — volatilité élevée. Ne pas agir sur ce seul signal.</w:t>
      </w:r>
    </w:p>
    <w:p>
      <w:pPr>
        <w:pStyle w:val="ListBullet"/>
      </w:pPr>
      <w:r>
        <w:rPr>
          <w:b/>
          <w:color w:val="B40000"/>
          <w:sz w:val="18"/>
        </w:rPr>
        <w:t xml:space="preserve">#4 SHEC </w:t>
      </w:r>
      <w:r>
        <w:rPr>
          <w:sz w:val="17"/>
        </w:rPr>
        <w:t>(SHEC - VIVO ENERGY COTE D'IVOIRE) — baisse modérée (-13.6%) — repli technique attendu. Trajectoire : 📉 Baisse continue. Cours actuel : 2,550 FCFA → prédit J+10 : 2,203 FCFA. Confiance partielle — surveiller l'évolution réelle des premiers jours.</w:t>
      </w:r>
    </w:p>
    <w:p>
      <w:pPr>
        <w:pStyle w:val="ListBullet"/>
      </w:pPr>
      <w:r>
        <w:rPr>
          <w:b/>
          <w:color w:val="B40000"/>
          <w:sz w:val="18"/>
        </w:rPr>
        <w:t xml:space="preserve">#5 ABJC </w:t>
      </w:r>
      <w:r>
        <w:rPr>
          <w:sz w:val="17"/>
        </w:rPr>
        <w:t>(ABJC - SERVAIR ABIDJAN CI) — baisse modérée (-12.2%) — repli technique attendu. Trajectoire : 📉 Baisse continue. Cours actuel : 4,095 FCFA → prédit J+10 : 3,594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37,905</w:t>
            </w:r>
          </w:p>
        </w:tc>
        <w:tc>
          <w:tcPr>
            <w:tcW w:type="dxa" w:w="1417"/>
            <w:shd w:fill="FFFFFF" w:val="clear"/>
          </w:tcPr>
          <w:p>
            <w:r>
              <w:rPr>
                <w:sz w:val="16"/>
              </w:rPr>
              <w:t>41,377</w:t>
            </w:r>
          </w:p>
        </w:tc>
        <w:tc>
          <w:tcPr>
            <w:tcW w:type="dxa" w:w="1134"/>
            <w:shd w:fill="C6EFCE" w:val="clear"/>
          </w:tcPr>
          <w:p>
            <w:r>
              <w:rPr>
                <w:b/>
                <w:color w:val="007800"/>
                <w:sz w:val="16"/>
              </w:rPr>
              <w:t>+9.16%</w:t>
            </w:r>
          </w:p>
        </w:tc>
        <w:tc>
          <w:tcPr>
            <w:tcW w:type="dxa" w:w="1134"/>
            <w:shd w:fill="FFEB9C" w:val="clear"/>
          </w:tcPr>
          <w:p>
            <w:r>
              <w:rPr>
                <w:sz w:val="16"/>
              </w:rPr>
              <w:t>Moyenne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22,200</w:t>
            </w:r>
          </w:p>
        </w:tc>
        <w:tc>
          <w:tcPr>
            <w:tcW w:type="dxa" w:w="1417"/>
            <w:shd w:fill="FFFFFF" w:val="clear"/>
          </w:tcPr>
          <w:p>
            <w:r>
              <w:rPr>
                <w:sz w:val="16"/>
              </w:rPr>
              <w:t>24,093</w:t>
            </w:r>
          </w:p>
        </w:tc>
        <w:tc>
          <w:tcPr>
            <w:tcW w:type="dxa" w:w="1134"/>
            <w:shd w:fill="C6EFCE" w:val="clear"/>
          </w:tcPr>
          <w:p>
            <w:r>
              <w:rPr>
                <w:b/>
                <w:color w:val="007800"/>
                <w:sz w:val="16"/>
              </w:rPr>
              <w:t>+8.53%</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3,290</w:t>
            </w:r>
          </w:p>
        </w:tc>
        <w:tc>
          <w:tcPr>
            <w:tcW w:type="dxa" w:w="1417"/>
            <w:shd w:fill="FFFFFF" w:val="clear"/>
          </w:tcPr>
          <w:p>
            <w:r>
              <w:rPr>
                <w:sz w:val="16"/>
              </w:rPr>
              <w:t>3,446</w:t>
            </w:r>
          </w:p>
        </w:tc>
        <w:tc>
          <w:tcPr>
            <w:tcW w:type="dxa" w:w="1134"/>
            <w:shd w:fill="C6EFCE" w:val="clear"/>
          </w:tcPr>
          <w:p>
            <w:r>
              <w:rPr>
                <w:b/>
                <w:color w:val="007800"/>
                <w:sz w:val="16"/>
              </w:rPr>
              <w:t>+4.74%</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4,174</w:t>
            </w:r>
          </w:p>
        </w:tc>
        <w:tc>
          <w:tcPr>
            <w:tcW w:type="dxa" w:w="1134"/>
            <w:shd w:fill="C6EFCE" w:val="clear"/>
          </w:tcPr>
          <w:p>
            <w:r>
              <w:rPr>
                <w:b/>
                <w:color w:val="007800"/>
                <w:sz w:val="16"/>
              </w:rPr>
              <w:t>+4.36%</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13,400</w:t>
            </w:r>
          </w:p>
        </w:tc>
        <w:tc>
          <w:tcPr>
            <w:tcW w:type="dxa" w:w="1417"/>
            <w:shd w:fill="FFFFFF" w:val="clear"/>
          </w:tcPr>
          <w:p>
            <w:r>
              <w:rPr>
                <w:sz w:val="16"/>
              </w:rPr>
              <w:t>13,976</w:t>
            </w:r>
          </w:p>
        </w:tc>
        <w:tc>
          <w:tcPr>
            <w:tcW w:type="dxa" w:w="1134"/>
            <w:shd w:fill="C6EFCE" w:val="clear"/>
          </w:tcPr>
          <w:p>
            <w:r>
              <w:rPr>
                <w:b/>
                <w:color w:val="007800"/>
                <w:sz w:val="16"/>
              </w:rPr>
              <w:t>+4.30%</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3,205</w:t>
            </w:r>
          </w:p>
        </w:tc>
        <w:tc>
          <w:tcPr>
            <w:tcW w:type="dxa" w:w="1417"/>
            <w:shd w:fill="FFFFFF" w:val="clear"/>
          </w:tcPr>
          <w:p>
            <w:r>
              <w:rPr>
                <w:sz w:val="16"/>
              </w:rPr>
              <w:t>3,282</w:t>
            </w:r>
          </w:p>
        </w:tc>
        <w:tc>
          <w:tcPr>
            <w:tcW w:type="dxa" w:w="1134"/>
            <w:shd w:fill="C6EFCE" w:val="clear"/>
          </w:tcPr>
          <w:p>
            <w:r>
              <w:rPr>
                <w:b/>
                <w:color w:val="007800"/>
                <w:sz w:val="16"/>
              </w:rPr>
              <w:t>+2.41%</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1,705</w:t>
            </w:r>
          </w:p>
        </w:tc>
        <w:tc>
          <w:tcPr>
            <w:tcW w:type="dxa" w:w="1417"/>
            <w:shd w:fill="FFFFFF" w:val="clear"/>
          </w:tcPr>
          <w:p>
            <w:r>
              <w:rPr>
                <w:sz w:val="16"/>
              </w:rPr>
              <w:t>1,731</w:t>
            </w:r>
          </w:p>
        </w:tc>
        <w:tc>
          <w:tcPr>
            <w:tcW w:type="dxa" w:w="1134"/>
            <w:shd w:fill="C6EFCE" w:val="clear"/>
          </w:tcPr>
          <w:p>
            <w:r>
              <w:rPr>
                <w:b/>
                <w:color w:val="007800"/>
                <w:sz w:val="16"/>
              </w:rPr>
              <w:t>+1.51%</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7,150</w:t>
            </w:r>
          </w:p>
        </w:tc>
        <w:tc>
          <w:tcPr>
            <w:tcW w:type="dxa" w:w="1417"/>
            <w:shd w:fill="FFFFFF" w:val="clear"/>
          </w:tcPr>
          <w:p>
            <w:r>
              <w:rPr>
                <w:sz w:val="16"/>
              </w:rPr>
              <w:t>7,238</w:t>
            </w:r>
          </w:p>
        </w:tc>
        <w:tc>
          <w:tcPr>
            <w:tcW w:type="dxa" w:w="1134"/>
            <w:shd w:fill="C6EFCE" w:val="clear"/>
          </w:tcPr>
          <w:p>
            <w:r>
              <w:rPr>
                <w:b/>
                <w:color w:val="007800"/>
                <w:sz w:val="16"/>
              </w:rPr>
              <w:t>+1.23%</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17,285</w:t>
            </w:r>
          </w:p>
        </w:tc>
        <w:tc>
          <w:tcPr>
            <w:tcW w:type="dxa" w:w="1417"/>
            <w:shd w:fill="FFFFFF" w:val="clear"/>
          </w:tcPr>
          <w:p>
            <w:r>
              <w:rPr>
                <w:sz w:val="16"/>
              </w:rPr>
              <w:t>17,446</w:t>
            </w:r>
          </w:p>
        </w:tc>
        <w:tc>
          <w:tcPr>
            <w:tcW w:type="dxa" w:w="1134"/>
            <w:shd w:fill="FFEB9C" w:val="clear"/>
          </w:tcPr>
          <w:p>
            <w:r>
              <w:rPr>
                <w:b/>
                <w:color w:val="646400"/>
                <w:sz w:val="16"/>
              </w:rPr>
              <w:t>+0.93%</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3,030</w:t>
            </w:r>
          </w:p>
        </w:tc>
        <w:tc>
          <w:tcPr>
            <w:tcW w:type="dxa" w:w="1417"/>
            <w:shd w:fill="FFFFFF" w:val="clear"/>
          </w:tcPr>
          <w:p>
            <w:r>
              <w:rPr>
                <w:sz w:val="16"/>
              </w:rPr>
              <w:t>3,032</w:t>
            </w:r>
          </w:p>
        </w:tc>
        <w:tc>
          <w:tcPr>
            <w:tcW w:type="dxa" w:w="1134"/>
            <w:shd w:fill="FFEB9C" w:val="clear"/>
          </w:tcPr>
          <w:p>
            <w:r>
              <w:rPr>
                <w:b/>
                <w:color w:val="646400"/>
                <w:sz w:val="16"/>
              </w:rPr>
              <w:t>+0.08%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16,828</w:t>
            </w:r>
          </w:p>
        </w:tc>
        <w:tc>
          <w:tcPr>
            <w:tcW w:type="dxa" w:w="1134"/>
            <w:shd w:fill="FFEB9C" w:val="clear"/>
          </w:tcPr>
          <w:p>
            <w:r>
              <w:rPr>
                <w:b/>
                <w:color w:val="646400"/>
                <w:sz w:val="16"/>
              </w:rPr>
              <w:t>-0.43%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24,400</w:t>
            </w:r>
          </w:p>
        </w:tc>
        <w:tc>
          <w:tcPr>
            <w:tcW w:type="dxa" w:w="1417"/>
            <w:shd w:fill="FFFFFF" w:val="clear"/>
          </w:tcPr>
          <w:p>
            <w:r>
              <w:rPr>
                <w:sz w:val="16"/>
              </w:rPr>
              <w:t>24,195</w:t>
            </w:r>
          </w:p>
        </w:tc>
        <w:tc>
          <w:tcPr>
            <w:tcW w:type="dxa" w:w="1134"/>
            <w:shd w:fill="FFEB9C" w:val="clear"/>
          </w:tcPr>
          <w:p>
            <w:r>
              <w:rPr>
                <w:b/>
                <w:color w:val="646400"/>
                <w:sz w:val="16"/>
              </w:rPr>
              <w:t>-0.84%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3,890</w:t>
            </w:r>
          </w:p>
        </w:tc>
        <w:tc>
          <w:tcPr>
            <w:tcW w:type="dxa" w:w="1417"/>
            <w:shd w:fill="FFFFFF" w:val="clear"/>
          </w:tcPr>
          <w:p>
            <w:r>
              <w:rPr>
                <w:sz w:val="16"/>
              </w:rPr>
              <w:t>3,846</w:t>
            </w:r>
          </w:p>
        </w:tc>
        <w:tc>
          <w:tcPr>
            <w:tcW w:type="dxa" w:w="1134"/>
            <w:shd w:fill="FFC7CE" w:val="clear"/>
          </w:tcPr>
          <w:p>
            <w:r>
              <w:rPr>
                <w:b/>
                <w:color w:val="B40000"/>
                <w:sz w:val="16"/>
              </w:rPr>
              <w:t>-1.14%</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8,300</w:t>
            </w:r>
          </w:p>
        </w:tc>
        <w:tc>
          <w:tcPr>
            <w:tcW w:type="dxa" w:w="1417"/>
            <w:shd w:fill="FFFFFF" w:val="clear"/>
          </w:tcPr>
          <w:p>
            <w:r>
              <w:rPr>
                <w:sz w:val="16"/>
              </w:rPr>
              <w:t>8,198</w:t>
            </w:r>
          </w:p>
        </w:tc>
        <w:tc>
          <w:tcPr>
            <w:tcW w:type="dxa" w:w="1134"/>
            <w:shd w:fill="FFC7CE" w:val="clear"/>
          </w:tcPr>
          <w:p>
            <w:r>
              <w:rPr>
                <w:b/>
                <w:color w:val="B40000"/>
                <w:sz w:val="16"/>
              </w:rPr>
              <w:t>-1.23%</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54,000</w:t>
            </w:r>
          </w:p>
        </w:tc>
        <w:tc>
          <w:tcPr>
            <w:tcW w:type="dxa" w:w="1417"/>
            <w:shd w:fill="FFFFFF" w:val="clear"/>
          </w:tcPr>
          <w:p>
            <w:r>
              <w:rPr>
                <w:sz w:val="16"/>
              </w:rPr>
              <w:t>53,245</w:t>
            </w:r>
          </w:p>
        </w:tc>
        <w:tc>
          <w:tcPr>
            <w:tcW w:type="dxa" w:w="1134"/>
            <w:shd w:fill="FFC7CE" w:val="clear"/>
          </w:tcPr>
          <w:p>
            <w:r>
              <w:rPr>
                <w:b/>
                <w:color w:val="B40000"/>
                <w:sz w:val="16"/>
              </w:rPr>
              <w:t>-1.40%</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22,450</w:t>
            </w:r>
          </w:p>
        </w:tc>
        <w:tc>
          <w:tcPr>
            <w:tcW w:type="dxa" w:w="1417"/>
            <w:shd w:fill="FFFFFF" w:val="clear"/>
          </w:tcPr>
          <w:p>
            <w:r>
              <w:rPr>
                <w:sz w:val="16"/>
              </w:rPr>
              <w:t>22,042</w:t>
            </w:r>
          </w:p>
        </w:tc>
        <w:tc>
          <w:tcPr>
            <w:tcW w:type="dxa" w:w="1134"/>
            <w:shd w:fill="FFC7CE" w:val="clear"/>
          </w:tcPr>
          <w:p>
            <w:r>
              <w:rPr>
                <w:b/>
                <w:color w:val="B40000"/>
                <w:sz w:val="16"/>
              </w:rPr>
              <w:t>-1.82%</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5,595</w:t>
            </w:r>
          </w:p>
        </w:tc>
        <w:tc>
          <w:tcPr>
            <w:tcW w:type="dxa" w:w="1417"/>
            <w:shd w:fill="FFFFFF" w:val="clear"/>
          </w:tcPr>
          <w:p>
            <w:r>
              <w:rPr>
                <w:sz w:val="16"/>
              </w:rPr>
              <w:t>5,487</w:t>
            </w:r>
          </w:p>
        </w:tc>
        <w:tc>
          <w:tcPr>
            <w:tcW w:type="dxa" w:w="1134"/>
            <w:shd w:fill="FFC7CE" w:val="clear"/>
          </w:tcPr>
          <w:p>
            <w:r>
              <w:rPr>
                <w:b/>
                <w:color w:val="B40000"/>
                <w:sz w:val="16"/>
              </w:rPr>
              <w:t>-1.92%</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8,100</w:t>
            </w:r>
          </w:p>
        </w:tc>
        <w:tc>
          <w:tcPr>
            <w:tcW w:type="dxa" w:w="1417"/>
            <w:shd w:fill="FFFFFF" w:val="clear"/>
          </w:tcPr>
          <w:p>
            <w:r>
              <w:rPr>
                <w:sz w:val="16"/>
              </w:rPr>
              <w:t>7,939</w:t>
            </w:r>
          </w:p>
        </w:tc>
        <w:tc>
          <w:tcPr>
            <w:tcW w:type="dxa" w:w="1134"/>
            <w:shd w:fill="FFC7CE" w:val="clear"/>
          </w:tcPr>
          <w:p>
            <w:r>
              <w:rPr>
                <w:b/>
                <w:color w:val="B40000"/>
                <w:sz w:val="16"/>
              </w:rPr>
              <w:t>-1.99%</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18,300</w:t>
            </w:r>
          </w:p>
        </w:tc>
        <w:tc>
          <w:tcPr>
            <w:tcW w:type="dxa" w:w="1417"/>
            <w:shd w:fill="FFFFFF" w:val="clear"/>
          </w:tcPr>
          <w:p>
            <w:r>
              <w:rPr>
                <w:sz w:val="16"/>
              </w:rPr>
              <w:t>17,905</w:t>
            </w:r>
          </w:p>
        </w:tc>
        <w:tc>
          <w:tcPr>
            <w:tcW w:type="dxa" w:w="1134"/>
            <w:shd w:fill="FFC7CE" w:val="clear"/>
          </w:tcPr>
          <w:p>
            <w:r>
              <w:rPr>
                <w:b/>
                <w:color w:val="B40000"/>
                <w:sz w:val="16"/>
              </w:rPr>
              <w:t>-2.16%</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2,870</w:t>
            </w:r>
          </w:p>
        </w:tc>
        <w:tc>
          <w:tcPr>
            <w:tcW w:type="dxa" w:w="1417"/>
            <w:shd w:fill="FFFFFF" w:val="clear"/>
          </w:tcPr>
          <w:p>
            <w:r>
              <w:rPr>
                <w:sz w:val="16"/>
              </w:rPr>
              <w:t>2,805</w:t>
            </w:r>
          </w:p>
        </w:tc>
        <w:tc>
          <w:tcPr>
            <w:tcW w:type="dxa" w:w="1134"/>
            <w:shd w:fill="FFC7CE" w:val="clear"/>
          </w:tcPr>
          <w:p>
            <w:r>
              <w:rPr>
                <w:b/>
                <w:color w:val="B40000"/>
                <w:sz w:val="16"/>
              </w:rPr>
              <w:t>-2.25%</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39,275</w:t>
            </w:r>
          </w:p>
        </w:tc>
        <w:tc>
          <w:tcPr>
            <w:tcW w:type="dxa" w:w="1417"/>
            <w:shd w:fill="FFFFFF" w:val="clear"/>
          </w:tcPr>
          <w:p>
            <w:r>
              <w:rPr>
                <w:sz w:val="16"/>
              </w:rPr>
              <w:t>38,379</w:t>
            </w:r>
          </w:p>
        </w:tc>
        <w:tc>
          <w:tcPr>
            <w:tcW w:type="dxa" w:w="1134"/>
            <w:shd w:fill="FFC7CE" w:val="clear"/>
          </w:tcPr>
          <w:p>
            <w:r>
              <w:rPr>
                <w:b/>
                <w:color w:val="B40000"/>
                <w:sz w:val="16"/>
              </w:rPr>
              <w:t>-2.28%</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4,385</w:t>
            </w:r>
          </w:p>
        </w:tc>
        <w:tc>
          <w:tcPr>
            <w:tcW w:type="dxa" w:w="1417"/>
            <w:shd w:fill="FFFFFF" w:val="clear"/>
          </w:tcPr>
          <w:p>
            <w:r>
              <w:rPr>
                <w:sz w:val="16"/>
              </w:rPr>
              <w:t>4,259</w:t>
            </w:r>
          </w:p>
        </w:tc>
        <w:tc>
          <w:tcPr>
            <w:tcW w:type="dxa" w:w="1134"/>
            <w:shd w:fill="FFC7CE" w:val="clear"/>
          </w:tcPr>
          <w:p>
            <w:r>
              <w:rPr>
                <w:b/>
                <w:color w:val="B40000"/>
                <w:sz w:val="16"/>
              </w:rPr>
              <w:t>-2.87%</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8,990</w:t>
            </w:r>
          </w:p>
        </w:tc>
        <w:tc>
          <w:tcPr>
            <w:tcW w:type="dxa" w:w="1417"/>
            <w:shd w:fill="FFFFFF" w:val="clear"/>
          </w:tcPr>
          <w:p>
            <w:r>
              <w:rPr>
                <w:sz w:val="16"/>
              </w:rPr>
              <w:t>8,701</w:t>
            </w:r>
          </w:p>
        </w:tc>
        <w:tc>
          <w:tcPr>
            <w:tcW w:type="dxa" w:w="1134"/>
            <w:shd w:fill="FFC7CE" w:val="clear"/>
          </w:tcPr>
          <w:p>
            <w:r>
              <w:rPr>
                <w:b/>
                <w:color w:val="B40000"/>
                <w:sz w:val="16"/>
              </w:rPr>
              <w:t>-3.21%</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38,500</w:t>
            </w:r>
          </w:p>
        </w:tc>
        <w:tc>
          <w:tcPr>
            <w:tcW w:type="dxa" w:w="1417"/>
            <w:shd w:fill="FFFFFF" w:val="clear"/>
          </w:tcPr>
          <w:p>
            <w:r>
              <w:rPr>
                <w:sz w:val="16"/>
              </w:rPr>
              <w:t>37,243</w:t>
            </w:r>
          </w:p>
        </w:tc>
        <w:tc>
          <w:tcPr>
            <w:tcW w:type="dxa" w:w="1134"/>
            <w:shd w:fill="FFC7CE" w:val="clear"/>
          </w:tcPr>
          <w:p>
            <w:r>
              <w:rPr>
                <w:b/>
                <w:color w:val="B40000"/>
                <w:sz w:val="16"/>
              </w:rPr>
              <w:t>-3.26%</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8,300</w:t>
            </w:r>
          </w:p>
        </w:tc>
        <w:tc>
          <w:tcPr>
            <w:tcW w:type="dxa" w:w="1417"/>
            <w:shd w:fill="FFFFFF" w:val="clear"/>
          </w:tcPr>
          <w:p>
            <w:r>
              <w:rPr>
                <w:sz w:val="16"/>
              </w:rPr>
              <w:t>8,010</w:t>
            </w:r>
          </w:p>
        </w:tc>
        <w:tc>
          <w:tcPr>
            <w:tcW w:type="dxa" w:w="1134"/>
            <w:shd w:fill="FFC7CE" w:val="clear"/>
          </w:tcPr>
          <w:p>
            <w:r>
              <w:rPr>
                <w:b/>
                <w:color w:val="B40000"/>
                <w:sz w:val="16"/>
              </w:rPr>
              <w:t>-3.50%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33,010</w:t>
            </w:r>
          </w:p>
        </w:tc>
        <w:tc>
          <w:tcPr>
            <w:tcW w:type="dxa" w:w="1417"/>
            <w:shd w:fill="FFFFFF" w:val="clear"/>
          </w:tcPr>
          <w:p>
            <w:r>
              <w:rPr>
                <w:sz w:val="16"/>
              </w:rPr>
              <w:t>31,803</w:t>
            </w:r>
          </w:p>
        </w:tc>
        <w:tc>
          <w:tcPr>
            <w:tcW w:type="dxa" w:w="1134"/>
            <w:shd w:fill="FFC7CE" w:val="clear"/>
          </w:tcPr>
          <w:p>
            <w:r>
              <w:rPr>
                <w:b/>
                <w:color w:val="B40000"/>
                <w:sz w:val="16"/>
              </w:rPr>
              <w:t>-3.66%</w:t>
            </w:r>
          </w:p>
        </w:tc>
        <w:tc>
          <w:tcPr>
            <w:tcW w:type="dxa" w:w="1134"/>
            <w:shd w:fill="FFEB9C" w:val="clear"/>
          </w:tcPr>
          <w:p>
            <w:r>
              <w:rPr>
                <w:sz w:val="16"/>
              </w:rPr>
              <w:t>Moyenne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67</w:t>
            </w:r>
          </w:p>
        </w:tc>
        <w:tc>
          <w:tcPr>
            <w:tcW w:type="dxa" w:w="1134"/>
            <w:shd w:fill="FFC7CE" w:val="clear"/>
          </w:tcPr>
          <w:p>
            <w:r>
              <w:rPr>
                <w:b/>
                <w:color w:val="B40000"/>
                <w:sz w:val="16"/>
              </w:rPr>
              <w:t>-3.71%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8,200</w:t>
            </w:r>
          </w:p>
        </w:tc>
        <w:tc>
          <w:tcPr>
            <w:tcW w:type="dxa" w:w="1417"/>
            <w:shd w:fill="FFFFFF" w:val="clear"/>
          </w:tcPr>
          <w:p>
            <w:r>
              <w:rPr>
                <w:sz w:val="16"/>
              </w:rPr>
              <w:t>7,883</w:t>
            </w:r>
          </w:p>
        </w:tc>
        <w:tc>
          <w:tcPr>
            <w:tcW w:type="dxa" w:w="1134"/>
            <w:shd w:fill="FFC7CE" w:val="clear"/>
          </w:tcPr>
          <w:p>
            <w:r>
              <w:rPr>
                <w:b/>
                <w:color w:val="B40000"/>
                <w:sz w:val="16"/>
              </w:rPr>
              <w:t>-3.87%</w:t>
            </w:r>
          </w:p>
        </w:tc>
        <w:tc>
          <w:tcPr>
            <w:tcW w:type="dxa" w:w="1134"/>
            <w:shd w:fill="FFEB9C" w:val="clear"/>
          </w:tcPr>
          <w:p>
            <w:r>
              <w:rPr>
                <w:sz w:val="16"/>
              </w:rPr>
              <w:t>Moyenne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5,400</w:t>
            </w:r>
          </w:p>
        </w:tc>
        <w:tc>
          <w:tcPr>
            <w:tcW w:type="dxa" w:w="1417"/>
            <w:shd w:fill="FFFFFF" w:val="clear"/>
          </w:tcPr>
          <w:p>
            <w:r>
              <w:rPr>
                <w:sz w:val="16"/>
              </w:rPr>
              <w:t>5,184</w:t>
            </w:r>
          </w:p>
        </w:tc>
        <w:tc>
          <w:tcPr>
            <w:tcW w:type="dxa" w:w="1134"/>
            <w:shd w:fill="FFC7CE" w:val="clear"/>
          </w:tcPr>
          <w:p>
            <w:r>
              <w:rPr>
                <w:b/>
                <w:color w:val="B40000"/>
                <w:sz w:val="16"/>
              </w:rPr>
              <w:t>-4.00%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10,100</w:t>
            </w:r>
          </w:p>
        </w:tc>
        <w:tc>
          <w:tcPr>
            <w:tcW w:type="dxa" w:w="1417"/>
            <w:shd w:fill="FFFFFF" w:val="clear"/>
          </w:tcPr>
          <w:p>
            <w:r>
              <w:rPr>
                <w:sz w:val="16"/>
              </w:rPr>
              <w:t>9,672</w:t>
            </w:r>
          </w:p>
        </w:tc>
        <w:tc>
          <w:tcPr>
            <w:tcW w:type="dxa" w:w="1134"/>
            <w:shd w:fill="FFC7CE" w:val="clear"/>
          </w:tcPr>
          <w:p>
            <w:r>
              <w:rPr>
                <w:b/>
                <w:color w:val="B40000"/>
                <w:sz w:val="16"/>
              </w:rPr>
              <w:t>-4.24%</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2,400</w:t>
            </w:r>
          </w:p>
        </w:tc>
        <w:tc>
          <w:tcPr>
            <w:tcW w:type="dxa" w:w="1417"/>
            <w:shd w:fill="FFFFFF" w:val="clear"/>
          </w:tcPr>
          <w:p>
            <w:r>
              <w:rPr>
                <w:sz w:val="16"/>
              </w:rPr>
              <w:t>2,286</w:t>
            </w:r>
          </w:p>
        </w:tc>
        <w:tc>
          <w:tcPr>
            <w:tcW w:type="dxa" w:w="1134"/>
            <w:shd w:fill="FFC7CE" w:val="clear"/>
          </w:tcPr>
          <w:p>
            <w:r>
              <w:rPr>
                <w:b/>
                <w:color w:val="B40000"/>
                <w:sz w:val="16"/>
              </w:rPr>
              <w:t>-4.76%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1,560</w:t>
            </w:r>
          </w:p>
        </w:tc>
        <w:tc>
          <w:tcPr>
            <w:tcW w:type="dxa" w:w="1417"/>
            <w:shd w:fill="FFFFFF" w:val="clear"/>
          </w:tcPr>
          <w:p>
            <w:r>
              <w:rPr>
                <w:sz w:val="16"/>
              </w:rPr>
              <w:t>1,469</w:t>
            </w:r>
          </w:p>
        </w:tc>
        <w:tc>
          <w:tcPr>
            <w:tcW w:type="dxa" w:w="1134"/>
            <w:shd w:fill="FFC7CE" w:val="clear"/>
          </w:tcPr>
          <w:p>
            <w:r>
              <w:rPr>
                <w:b/>
                <w:color w:val="B40000"/>
                <w:sz w:val="16"/>
              </w:rPr>
              <w:t>-5.83%</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3,289</w:t>
            </w:r>
          </w:p>
        </w:tc>
        <w:tc>
          <w:tcPr>
            <w:tcW w:type="dxa" w:w="1134"/>
            <w:shd w:fill="FFC7CE" w:val="clear"/>
          </w:tcPr>
          <w:p>
            <w:r>
              <w:rPr>
                <w:b/>
                <w:color w:val="B40000"/>
                <w:sz w:val="16"/>
              </w:rPr>
              <w:t>-6.02%</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2,135</w:t>
            </w:r>
          </w:p>
        </w:tc>
        <w:tc>
          <w:tcPr>
            <w:tcW w:type="dxa" w:w="1417"/>
            <w:shd w:fill="FFFFFF" w:val="clear"/>
          </w:tcPr>
          <w:p>
            <w:r>
              <w:rPr>
                <w:sz w:val="16"/>
              </w:rPr>
              <w:t>1,999</w:t>
            </w:r>
          </w:p>
        </w:tc>
        <w:tc>
          <w:tcPr>
            <w:tcW w:type="dxa" w:w="1134"/>
            <w:shd w:fill="FFC7CE" w:val="clear"/>
          </w:tcPr>
          <w:p>
            <w:r>
              <w:rPr>
                <w:b/>
                <w:color w:val="B40000"/>
                <w:sz w:val="16"/>
              </w:rPr>
              <w:t>-6.35%</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2,120</w:t>
            </w:r>
          </w:p>
        </w:tc>
        <w:tc>
          <w:tcPr>
            <w:tcW w:type="dxa" w:w="1417"/>
            <w:shd w:fill="FFFFFF" w:val="clear"/>
          </w:tcPr>
          <w:p>
            <w:r>
              <w:rPr>
                <w:sz w:val="16"/>
              </w:rPr>
              <w:t>1,963</w:t>
            </w:r>
          </w:p>
        </w:tc>
        <w:tc>
          <w:tcPr>
            <w:tcW w:type="dxa" w:w="1134"/>
            <w:shd w:fill="FFC7CE" w:val="clear"/>
          </w:tcPr>
          <w:p>
            <w:r>
              <w:rPr>
                <w:b/>
                <w:color w:val="B40000"/>
                <w:sz w:val="16"/>
              </w:rPr>
              <w:t>-7.40%</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8,606</w:t>
            </w:r>
          </w:p>
        </w:tc>
        <w:tc>
          <w:tcPr>
            <w:tcW w:type="dxa" w:w="1134"/>
            <w:shd w:fill="FFC7CE" w:val="clear"/>
          </w:tcPr>
          <w:p>
            <w:r>
              <w:rPr>
                <w:b/>
                <w:color w:val="B40000"/>
                <w:sz w:val="16"/>
              </w:rPr>
              <w:t>-7.47%</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12,400</w:t>
            </w:r>
          </w:p>
        </w:tc>
        <w:tc>
          <w:tcPr>
            <w:tcW w:type="dxa" w:w="1417"/>
            <w:shd w:fill="FFFFFF" w:val="clear"/>
          </w:tcPr>
          <w:p>
            <w:r>
              <w:rPr>
                <w:sz w:val="16"/>
              </w:rPr>
              <w:t>11,461</w:t>
            </w:r>
          </w:p>
        </w:tc>
        <w:tc>
          <w:tcPr>
            <w:tcW w:type="dxa" w:w="1134"/>
            <w:shd w:fill="FFC7CE" w:val="clear"/>
          </w:tcPr>
          <w:p>
            <w:r>
              <w:rPr>
                <w:b/>
                <w:color w:val="B40000"/>
                <w:sz w:val="16"/>
              </w:rPr>
              <w:t>-7.57%</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2,400</w:t>
            </w:r>
          </w:p>
        </w:tc>
        <w:tc>
          <w:tcPr>
            <w:tcW w:type="dxa" w:w="1417"/>
            <w:shd w:fill="FFFFFF" w:val="clear"/>
          </w:tcPr>
          <w:p>
            <w:r>
              <w:rPr>
                <w:sz w:val="16"/>
              </w:rPr>
              <w:t>2,188</w:t>
            </w:r>
          </w:p>
        </w:tc>
        <w:tc>
          <w:tcPr>
            <w:tcW w:type="dxa" w:w="1134"/>
            <w:shd w:fill="FFC7CE" w:val="clear"/>
          </w:tcPr>
          <w:p>
            <w:r>
              <w:rPr>
                <w:b/>
                <w:color w:val="B40000"/>
                <w:sz w:val="16"/>
              </w:rPr>
              <w:t>-8.85%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2,575</w:t>
            </w:r>
          </w:p>
        </w:tc>
        <w:tc>
          <w:tcPr>
            <w:tcW w:type="dxa" w:w="1417"/>
            <w:shd w:fill="FFFFFF" w:val="clear"/>
          </w:tcPr>
          <w:p>
            <w:r>
              <w:rPr>
                <w:sz w:val="16"/>
              </w:rPr>
              <w:t>2,346</w:t>
            </w:r>
          </w:p>
        </w:tc>
        <w:tc>
          <w:tcPr>
            <w:tcW w:type="dxa" w:w="1134"/>
            <w:shd w:fill="FFC7CE" w:val="clear"/>
          </w:tcPr>
          <w:p>
            <w:r>
              <w:rPr>
                <w:b/>
                <w:color w:val="B40000"/>
                <w:sz w:val="16"/>
              </w:rPr>
              <w:t>-8.90%</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3,280</w:t>
            </w:r>
          </w:p>
        </w:tc>
        <w:tc>
          <w:tcPr>
            <w:tcW w:type="dxa" w:w="1417"/>
            <w:shd w:fill="FFFFFF" w:val="clear"/>
          </w:tcPr>
          <w:p>
            <w:r>
              <w:rPr>
                <w:sz w:val="16"/>
              </w:rPr>
              <w:t>2,978</w:t>
            </w:r>
          </w:p>
        </w:tc>
        <w:tc>
          <w:tcPr>
            <w:tcW w:type="dxa" w:w="1134"/>
            <w:shd w:fill="FFC7CE" w:val="clear"/>
          </w:tcPr>
          <w:p>
            <w:r>
              <w:rPr>
                <w:b/>
                <w:color w:val="B40000"/>
                <w:sz w:val="16"/>
              </w:rPr>
              <w:t>-9.19%</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2,750</w:t>
            </w:r>
          </w:p>
        </w:tc>
        <w:tc>
          <w:tcPr>
            <w:tcW w:type="dxa" w:w="1417"/>
            <w:shd w:fill="FFFFFF" w:val="clear"/>
          </w:tcPr>
          <w:p>
            <w:r>
              <w:rPr>
                <w:sz w:val="16"/>
              </w:rPr>
              <w:t>2,468</w:t>
            </w:r>
          </w:p>
        </w:tc>
        <w:tc>
          <w:tcPr>
            <w:tcW w:type="dxa" w:w="1134"/>
            <w:shd w:fill="FFC7CE" w:val="clear"/>
          </w:tcPr>
          <w:p>
            <w:r>
              <w:rPr>
                <w:b/>
                <w:color w:val="B40000"/>
                <w:sz w:val="16"/>
              </w:rPr>
              <w:t>-10.26%</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10,450</w:t>
            </w:r>
          </w:p>
        </w:tc>
        <w:tc>
          <w:tcPr>
            <w:tcW w:type="dxa" w:w="1417"/>
            <w:shd w:fill="FFFFFF" w:val="clear"/>
          </w:tcPr>
          <w:p>
            <w:r>
              <w:rPr>
                <w:sz w:val="16"/>
              </w:rPr>
              <w:t>9,349</w:t>
            </w:r>
          </w:p>
        </w:tc>
        <w:tc>
          <w:tcPr>
            <w:tcW w:type="dxa" w:w="1134"/>
            <w:shd w:fill="FFC7CE" w:val="clear"/>
          </w:tcPr>
          <w:p>
            <w:r>
              <w:rPr>
                <w:b/>
                <w:color w:val="B40000"/>
                <w:sz w:val="16"/>
              </w:rPr>
              <w:t>-10.54%</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4,095</w:t>
            </w:r>
          </w:p>
        </w:tc>
        <w:tc>
          <w:tcPr>
            <w:tcW w:type="dxa" w:w="1417"/>
            <w:shd w:fill="FFFFFF" w:val="clear"/>
          </w:tcPr>
          <w:p>
            <w:r>
              <w:rPr>
                <w:sz w:val="16"/>
              </w:rPr>
              <w:t>3,594</w:t>
            </w:r>
          </w:p>
        </w:tc>
        <w:tc>
          <w:tcPr>
            <w:tcW w:type="dxa" w:w="1134"/>
            <w:shd w:fill="FFC7CE" w:val="clear"/>
          </w:tcPr>
          <w:p>
            <w:r>
              <w:rPr>
                <w:b/>
                <w:color w:val="B40000"/>
                <w:sz w:val="16"/>
              </w:rPr>
              <w:t>-12.24%</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2,550</w:t>
            </w:r>
          </w:p>
        </w:tc>
        <w:tc>
          <w:tcPr>
            <w:tcW w:type="dxa" w:w="1417"/>
            <w:shd w:fill="FFFFFF" w:val="clear"/>
          </w:tcPr>
          <w:p>
            <w:r>
              <w:rPr>
                <w:sz w:val="16"/>
              </w:rPr>
              <w:t>2,203</w:t>
            </w:r>
          </w:p>
        </w:tc>
        <w:tc>
          <w:tcPr>
            <w:tcW w:type="dxa" w:w="1134"/>
            <w:shd w:fill="FFC7CE" w:val="clear"/>
          </w:tcPr>
          <w:p>
            <w:r>
              <w:rPr>
                <w:b/>
                <w:color w:val="B40000"/>
                <w:sz w:val="16"/>
              </w:rPr>
              <w:t>-13.60%</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8,495</w:t>
            </w:r>
          </w:p>
        </w:tc>
        <w:tc>
          <w:tcPr>
            <w:tcW w:type="dxa" w:w="1417"/>
            <w:shd w:fill="FFFFFF" w:val="clear"/>
          </w:tcPr>
          <w:p>
            <w:r>
              <w:rPr>
                <w:sz w:val="16"/>
              </w:rPr>
              <w:t>7,294</w:t>
            </w:r>
          </w:p>
        </w:tc>
        <w:tc>
          <w:tcPr>
            <w:tcW w:type="dxa" w:w="1134"/>
            <w:shd w:fill="FFC7CE" w:val="clear"/>
          </w:tcPr>
          <w:p>
            <w:r>
              <w:rPr>
                <w:b/>
                <w:color w:val="B40000"/>
                <w:sz w:val="16"/>
              </w:rPr>
              <w:t>-14.14%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7,100</w:t>
            </w:r>
          </w:p>
        </w:tc>
        <w:tc>
          <w:tcPr>
            <w:tcW w:type="dxa" w:w="1417"/>
            <w:shd w:fill="FFFFFF" w:val="clear"/>
          </w:tcPr>
          <w:p>
            <w:r>
              <w:rPr>
                <w:sz w:val="16"/>
              </w:rPr>
              <w:t>5,987</w:t>
            </w:r>
          </w:p>
        </w:tc>
        <w:tc>
          <w:tcPr>
            <w:tcW w:type="dxa" w:w="1134"/>
            <w:shd w:fill="FFC7CE" w:val="clear"/>
          </w:tcPr>
          <w:p>
            <w:r>
              <w:rPr>
                <w:b/>
                <w:color w:val="B40000"/>
                <w:sz w:val="16"/>
              </w:rPr>
              <w:t>-15.67%</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34,300</w:t>
            </w:r>
          </w:p>
        </w:tc>
        <w:tc>
          <w:tcPr>
            <w:tcW w:type="dxa" w:w="1417"/>
            <w:shd w:fill="FFFFFF" w:val="clear"/>
          </w:tcPr>
          <w:p>
            <w:r>
              <w:rPr>
                <w:sz w:val="16"/>
              </w:rPr>
              <w:t>28,507</w:t>
            </w:r>
          </w:p>
        </w:tc>
        <w:tc>
          <w:tcPr>
            <w:tcW w:type="dxa" w:w="1134"/>
            <w:shd w:fill="FFC7CE" w:val="clear"/>
          </w:tcPr>
          <w:p>
            <w:r>
              <w:rPr>
                <w:b/>
                <w:color w:val="B40000"/>
                <w:sz w:val="16"/>
              </w:rPr>
              <w:t>-16.89%</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3,550 titres</w:t>
            </w:r>
          </w:p>
        </w:tc>
        <w:tc>
          <w:tcPr>
            <w:tcW w:type="dxa" w:w="2268"/>
            <w:shd w:fill="FFF2CC" w:val="clear"/>
          </w:tcPr>
          <w:p>
            <w:r>
              <w:rPr>
                <w:b/>
                <w:color w:val="503200"/>
                <w:sz w:val="16"/>
              </w:rPr>
              <w:t xml:space="preserve">Cours actuel : </w:t>
            </w:r>
            <w:r>
              <w:rPr>
                <w:color w:val="000000"/>
                <w:sz w:val="17"/>
              </w:rPr>
              <w:t>4,095 FCFA</w:t>
            </w:r>
          </w:p>
          <w:p>
            <w:r>
              <w:rPr>
                <w:b/>
                <w:color w:val="503200"/>
                <w:sz w:val="16"/>
              </w:rPr>
              <w:t xml:space="preserve">Var. 100 jours : </w:t>
            </w:r>
            <w:r>
              <w:rPr>
                <w:b/>
                <w:color w:val="007800"/>
                <w:sz w:val="17"/>
              </w:rPr>
              <w:t>+23.90%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9.59% (Moyenne) — μ=3,255 FCFA, σ=312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β=0.3894 (Défensif) — Cov=0.000013, Var(idx)=0.000034, ρ=0.074,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2026-09-14</w:t>
            </w:r>
          </w:p>
        </w:tc>
        <w:tc>
          <w:tcPr>
            <w:tcW w:type="dxa" w:w="1440"/>
            <w:shd w:fill="FFDCE0" w:val="clear"/>
          </w:tcPr>
          <w:p>
            <w:r>
              <w:rPr>
                <w:sz w:val="17"/>
              </w:rPr>
              <w:t>3,820</w:t>
            </w:r>
          </w:p>
        </w:tc>
        <w:tc>
          <w:tcPr>
            <w:tcW w:type="dxa" w:w="1440"/>
            <w:shd w:fill="FFDCE0" w:val="clear"/>
          </w:tcPr>
          <w:p>
            <w:r>
              <w:rPr>
                <w:b/>
                <w:sz w:val="17"/>
              </w:rPr>
              <w:t>3,996</w:t>
            </w:r>
          </w:p>
        </w:tc>
        <w:tc>
          <w:tcPr>
            <w:tcW w:type="dxa" w:w="1440"/>
            <w:shd w:fill="FFDCE0" w:val="clear"/>
          </w:tcPr>
          <w:p>
            <w:r>
              <w:rPr>
                <w:sz w:val="17"/>
              </w:rPr>
              <w:t>4,172</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2026-09-15</w:t>
            </w:r>
          </w:p>
        </w:tc>
        <w:tc>
          <w:tcPr>
            <w:tcW w:type="dxa" w:w="1440"/>
            <w:shd w:fill="FFDCE0" w:val="clear"/>
          </w:tcPr>
          <w:p>
            <w:r>
              <w:rPr>
                <w:sz w:val="17"/>
              </w:rPr>
              <w:t>3,695</w:t>
            </w:r>
          </w:p>
        </w:tc>
        <w:tc>
          <w:tcPr>
            <w:tcW w:type="dxa" w:w="1440"/>
            <w:shd w:fill="FFDCE0" w:val="clear"/>
          </w:tcPr>
          <w:p>
            <w:r>
              <w:rPr>
                <w:b/>
                <w:sz w:val="17"/>
              </w:rPr>
              <w:t>3,941</w:t>
            </w:r>
          </w:p>
        </w:tc>
        <w:tc>
          <w:tcPr>
            <w:tcW w:type="dxa" w:w="1440"/>
            <w:shd w:fill="FFDCE0" w:val="clear"/>
          </w:tcPr>
          <w:p>
            <w:r>
              <w:rPr>
                <w:sz w:val="17"/>
              </w:rPr>
              <w:t>4,187</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3,579</w:t>
            </w:r>
          </w:p>
        </w:tc>
        <w:tc>
          <w:tcPr>
            <w:tcW w:type="dxa" w:w="1440"/>
            <w:shd w:fill="FFDCE0" w:val="clear"/>
          </w:tcPr>
          <w:p>
            <w:r>
              <w:rPr>
                <w:b/>
                <w:sz w:val="17"/>
              </w:rPr>
              <w:t>3,875</w:t>
            </w:r>
          </w:p>
        </w:tc>
        <w:tc>
          <w:tcPr>
            <w:tcW w:type="dxa" w:w="1440"/>
            <w:shd w:fill="FFDCE0" w:val="clear"/>
          </w:tcPr>
          <w:p>
            <w:r>
              <w:rPr>
                <w:sz w:val="17"/>
              </w:rPr>
              <w:t>4,171</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3,484</w:t>
            </w:r>
          </w:p>
        </w:tc>
        <w:tc>
          <w:tcPr>
            <w:tcW w:type="dxa" w:w="1440"/>
            <w:shd w:fill="FFDCE0" w:val="clear"/>
          </w:tcPr>
          <w:p>
            <w:r>
              <w:rPr>
                <w:b/>
                <w:sz w:val="17"/>
              </w:rPr>
              <w:t>3,821</w:t>
            </w:r>
          </w:p>
        </w:tc>
        <w:tc>
          <w:tcPr>
            <w:tcW w:type="dxa" w:w="1440"/>
            <w:shd w:fill="FFDCE0" w:val="clear"/>
          </w:tcPr>
          <w:p>
            <w:r>
              <w:rPr>
                <w:sz w:val="17"/>
              </w:rPr>
              <w:t>4,158</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3,403</w:t>
            </w:r>
          </w:p>
        </w:tc>
        <w:tc>
          <w:tcPr>
            <w:tcW w:type="dxa" w:w="1440"/>
            <w:shd w:fill="FFDCE0" w:val="clear"/>
          </w:tcPr>
          <w:p>
            <w:r>
              <w:rPr>
                <w:b/>
                <w:sz w:val="17"/>
              </w:rPr>
              <w:t>3,775</w:t>
            </w:r>
          </w:p>
        </w:tc>
        <w:tc>
          <w:tcPr>
            <w:tcW w:type="dxa" w:w="1440"/>
            <w:shd w:fill="FFDCE0" w:val="clear"/>
          </w:tcPr>
          <w:p>
            <w:r>
              <w:rPr>
                <w:sz w:val="17"/>
              </w:rPr>
              <w:t>4,147</w:t>
            </w:r>
          </w:p>
        </w:tc>
        <w:tc>
          <w:tcPr>
            <w:tcW w:type="dxa" w:w="1440"/>
            <w:shd w:fill="FFDCE0" w:val="clear"/>
          </w:tcPr>
          <w:p>
            <w:r>
              <w:rPr>
                <w:b/>
                <w:color w:val="C00000"/>
                <w:sz w:val="17"/>
              </w:rPr>
              <w:t>-7.8%</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3,330</w:t>
            </w:r>
          </w:p>
        </w:tc>
        <w:tc>
          <w:tcPr>
            <w:tcW w:type="dxa" w:w="1440"/>
            <w:shd w:fill="FFDCE0" w:val="clear"/>
          </w:tcPr>
          <w:p>
            <w:r>
              <w:rPr>
                <w:b/>
                <w:sz w:val="17"/>
              </w:rPr>
              <w:t>3,734</w:t>
            </w:r>
          </w:p>
        </w:tc>
        <w:tc>
          <w:tcPr>
            <w:tcW w:type="dxa" w:w="1440"/>
            <w:shd w:fill="FFDCE0" w:val="clear"/>
          </w:tcPr>
          <w:p>
            <w:r>
              <w:rPr>
                <w:sz w:val="17"/>
              </w:rPr>
              <w:t>4,137</w:t>
            </w:r>
          </w:p>
        </w:tc>
        <w:tc>
          <w:tcPr>
            <w:tcW w:type="dxa" w:w="1440"/>
            <w:shd w:fill="FFDCE0" w:val="clear"/>
          </w:tcPr>
          <w:p>
            <w:r>
              <w:rPr>
                <w:b/>
                <w:color w:val="C00000"/>
                <w:sz w:val="17"/>
              </w:rPr>
              <w:t>-8.8%</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3,264</w:t>
            </w:r>
          </w:p>
        </w:tc>
        <w:tc>
          <w:tcPr>
            <w:tcW w:type="dxa" w:w="1440"/>
            <w:shd w:fill="FFDCE0" w:val="clear"/>
          </w:tcPr>
          <w:p>
            <w:r>
              <w:rPr>
                <w:b/>
                <w:sz w:val="17"/>
              </w:rPr>
              <w:t>3,695</w:t>
            </w:r>
          </w:p>
        </w:tc>
        <w:tc>
          <w:tcPr>
            <w:tcW w:type="dxa" w:w="1440"/>
            <w:shd w:fill="FFDCE0" w:val="clear"/>
          </w:tcPr>
          <w:p>
            <w:r>
              <w:rPr>
                <w:sz w:val="17"/>
              </w:rPr>
              <w:t>4,126</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3,203</w:t>
            </w:r>
          </w:p>
        </w:tc>
        <w:tc>
          <w:tcPr>
            <w:tcW w:type="dxa" w:w="1440"/>
            <w:shd w:fill="FFDCE0" w:val="clear"/>
          </w:tcPr>
          <w:p>
            <w:r>
              <w:rPr>
                <w:b/>
                <w:sz w:val="17"/>
              </w:rPr>
              <w:t>3,659</w:t>
            </w:r>
          </w:p>
        </w:tc>
        <w:tc>
          <w:tcPr>
            <w:tcW w:type="dxa" w:w="1440"/>
            <w:shd w:fill="FFDCE0" w:val="clear"/>
          </w:tcPr>
          <w:p>
            <w:r>
              <w:rPr>
                <w:sz w:val="17"/>
              </w:rPr>
              <w:t>4,116</w:t>
            </w:r>
          </w:p>
        </w:tc>
        <w:tc>
          <w:tcPr>
            <w:tcW w:type="dxa" w:w="1440"/>
            <w:shd w:fill="FFDCE0" w:val="clear"/>
          </w:tcPr>
          <w:p>
            <w:r>
              <w:rPr>
                <w:b/>
                <w:color w:val="C00000"/>
                <w:sz w:val="17"/>
              </w:rPr>
              <w:t>-10.6%</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3,146</w:t>
            </w:r>
          </w:p>
        </w:tc>
        <w:tc>
          <w:tcPr>
            <w:tcW w:type="dxa" w:w="1440"/>
            <w:shd w:fill="FFDCE0" w:val="clear"/>
          </w:tcPr>
          <w:p>
            <w:r>
              <w:rPr>
                <w:b/>
                <w:sz w:val="17"/>
              </w:rPr>
              <w:t>3,626</w:t>
            </w:r>
          </w:p>
        </w:tc>
        <w:tc>
          <w:tcPr>
            <w:tcW w:type="dxa" w:w="1440"/>
            <w:shd w:fill="FFDCE0" w:val="clear"/>
          </w:tcPr>
          <w:p>
            <w:r>
              <w:rPr>
                <w:sz w:val="17"/>
              </w:rPr>
              <w:t>4,105</w:t>
            </w:r>
          </w:p>
        </w:tc>
        <w:tc>
          <w:tcPr>
            <w:tcW w:type="dxa" w:w="1440"/>
            <w:shd w:fill="FFDCE0" w:val="clear"/>
          </w:tcPr>
          <w:p>
            <w:r>
              <w:rPr>
                <w:b/>
                <w:color w:val="C00000"/>
                <w:sz w:val="17"/>
              </w:rPr>
              <w:t>-11.5%</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3,093</w:t>
            </w:r>
          </w:p>
        </w:tc>
        <w:tc>
          <w:tcPr>
            <w:tcW w:type="dxa" w:w="1440"/>
            <w:shd w:fill="FFDCE0" w:val="clear"/>
          </w:tcPr>
          <w:p>
            <w:r>
              <w:rPr>
                <w:b/>
                <w:sz w:val="17"/>
              </w:rPr>
              <w:t>3,594</w:t>
            </w:r>
          </w:p>
        </w:tc>
        <w:tc>
          <w:tcPr>
            <w:tcW w:type="dxa" w:w="1440"/>
            <w:shd w:fill="FFDCE0" w:val="clear"/>
          </w:tcPr>
          <w:p>
            <w:r>
              <w:rPr>
                <w:sz w:val="17"/>
              </w:rPr>
              <w:t>4,095</w:t>
            </w:r>
          </w:p>
        </w:tc>
        <w:tc>
          <w:tcPr>
            <w:tcW w:type="dxa" w:w="1440"/>
            <w:shd w:fill="FFDCE0" w:val="clear"/>
          </w:tcPr>
          <w:p>
            <w:r>
              <w:rPr>
                <w:b/>
                <w:color w:val="C00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44,68 Mds FCFA, ABJC se situe dans la catégorie des valeurs moyennes de la BRVM, ce qui traduit une liquidité limitée mais une certaine stabilité institutionnelle. Le BPA de 124 FCFA/action indique que chaque titre génère un bénéfice net de 124 FCFA, un niveau correct mais en retrait par rapport aux 139 FCFA de 2024. Le PER de 33,1x est nettement supérieur à la moyenne du marché BRVM (8-12x), signalant soit une anticipation de croissance forte, soit une surévaluation manifeste au regard des résultats actuels. Le P/B de 8,66x (très supérieur au seuil de 4x) et l'EV/EBITDA de 17,1x (au-delà de 15x) confirment une valorisation exigeante : le marché paie une prime très élevée pour les actifs et la capacité opérationnelle de Servair,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ABJC affiche une progression remarquable de +23,90%, avec une dernière séance en hausse de +2,25%, portant le cours à 4 095 FCFA — soit précisément son plus haut de la période, contre un plus bas à 2 800 FCFA, matérialisant un range de trading de 1 295 FCFA (46% d'amplitude). La tendance générale est donc clairement haussière, soutenue par un volume moyen quotidien de 3 550 titres. Les statistiques descriptives révèlent une moyenne de 3 255 FCFA supérieure à la médiane de 3 182 FCFA, avec un mode à 3 150 FCFA : cet écart confirme une distribution asymétrique tirée vers le haut par les récentes poussées. L'écart-type de 314 FCFA et le coefficient de variation de 9,6% indiquent une dispersion modérée du cours autour de sa moyenne, tandis que le kurtosis de 0,161 (mésokurtique) suggère une distribution proche de la normale, sans risque excessif de pics extrêmes. Le skewness de 0,915, positif et marqué, signale toutefois davantage de journées sous la moyenne que de journées exceptionnellement hautes — un signal de prudence. Enfin, la volatilité annualisée de 48,8% classe le titre dans la catégorie des valeurs à volatilité élevée (&gt;30%), ce qui implique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(3 698,5 FCFA) et la MM50 (3 330,3 FCFA) sont toutes deux nettement inférieures au cours actuel (4 095 FCFA), et la MM20 surplombe la MM50 — configuration haussière classique en « golden cross ». Le titre évolue donc bien au-dessus de ses supports dynamiques, justifiant la décision d'**Achat**.</w:t>
      </w:r>
    </w:p>
    <w:p>
      <w:pPr>
        <w:spacing w:after="120" w:line="276" w:lineRule="auto"/>
      </w:pPr>
      <w:r>
        <w:t>**Bandes de Bollinger** : Le cours (4 095 FCFA) se situe dans la moitié supérieure de la bande, entre la borne inférieure (3 135,64 FCFA) et la borne supérieure (4 261,36 FCFA), sans la franchir. Cette position, couplée à un écartement modéré des bandes, traduit une volatilité contenue mais une proximité du seuil de surachat, d'où la décision **Neutre**.</w:t>
      </w:r>
    </w:p>
    <w:p>
      <w:pPr>
        <w:spacing w:after="120" w:line="276" w:lineRule="auto"/>
      </w:pPr>
      <w:r>
        <w:t>**MACD** : La ligne MACD (222,565) surpasse son signal (197,579), avec un histogramme positif — le momentum haussier est confirmé et l'écart entre les deux courbes reste favorable. La décision technique est donc à l'**Achat**.</w:t>
      </w:r>
    </w:p>
    <w:p>
      <w:pPr>
        <w:spacing w:after="120" w:line="276" w:lineRule="auto"/>
      </w:pPr>
      <w:r>
        <w:t>**RSI** : À 89,005, le RSI est très largement au-dessus du seuil de surachat de 70, signalant un épuisement probable de la dynamique acheteuse à court terme. La décision est donc à la **Vente**, avec un risque de correction imminent.</w:t>
      </w:r>
    </w:p>
    <w:p>
      <w:pPr>
        <w:spacing w:after="120" w:line="276" w:lineRule="auto"/>
      </w:pPr>
      <w:r>
        <w:t>**Stochastique** : Le %K et le %D sont tous deux bloqués à 100,0, en zone de surachat extrême, sans croisement baissier pour l'instant. Cette configuration confirme la décision de **Vente** à court terme.</w:t>
      </w:r>
    </w:p>
    <w:p>
      <w:pPr>
        <w:spacing w:after="120" w:line="276" w:lineRule="auto"/>
      </w:pPr>
      <w:r>
        <w:t>**Conclusion technique** : Les indicateurs de tendance (MM, MACD) restent haussiers, mais les oscillateurs (RSI à 89, Stochastique à 100) clignotent en surachat extrême, créant une divergence classique entre tendance de fond et momentum court terme. Le titre est techniquement en zone de correction potentielle, et la prudence s'impose malgré la configuration haussière des moyennes mobiles.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Servair Abidjan affiche un chiffre d'affaires de 13,298 Mds FCFA, en croissance de +6,67% sur un an, avec un résultat net de 1,351 Md FCFA (marge nette de 10,16%) et un BPA de 124 FCFA. La rentabilité des fonds propres (ROE) atteint un niveau excellent de 26,18%, et le ROA de 14,64% confirme une bonne efficacité dans l'utilisation des actifs. La structure financière est très saine : autonomie financière de 55,92%, ratio d'endettement de 44,08%, et une trésorerie nette de 4,035 Mds FCFA pour des dettes financières quasi nulles (65,89 M FCFA). En tant qu'entreprise de services, les délais d'exploitation méritent attention : le délai clients de 70,10 jours constitue un risque de trésorerie modéré, mais il est compensé par un délai fournisseurs de 92,11 jours (favorable) et une durée de stockage de 29,40 jours. Le BFR ressort à 257,45 M FCFA, ce qui reste maîtrisé. Les rapports trimestriels récents nuancent toutefois ce tableau : le T1 2026 (rapport du 30/04/2026) montre un CA de 3,237 Mds FCFA (+1,9%) mais un résultat net en chute de -35,6% à 222,6 M FCFA, pénalisé par les ajustements de redevances aéroportuaires depuis avril 2025 et les tensions géopolitiques au Moyen-Orient. Le rapport T3 2025 (30/09/2025) affichait pourtant un résultat net trimestriel de 1 325 M FCFA (+17,1%), illustrant une forte volatilité des performances. Sur la base du T1 2026, on peut estimer que l'exercice 2026 devrait enregistrer une pression sur les marges, avec un résultat net annuel potentiellement en retrait de 15 à 25% par rapport à 2025. La recommandation fondamentale est donc **CONSERVER** : solidité bilancielle indéniable, mais dégradation récente de la rentabilité opérationnelle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 PER de 33,1x, P/B de 8,66x et EV/EBITDA de 17,1x traduisent une surévaluation manifeste au regard des bénéfices actuels, laissant peu de marge de sécurité. Le comportement du cours (Partie 1) est haussier (+23,90%) mais la volatilité élevée (48,8%) et le skewness positif (0,915) signalent un risque de correction, d'autant que le titre évolue à son plus haut. Les signaux techniques (Partie 2) sont divergents : les moyennes mobiles et le MACD restent haussiers, mais le RSI (89) et le Stochastique (100) sont en surachat extrême, annonçant une correction probable à court terme. Les fondamentaux (Partie 3) demeurent solides (ROE 26,18%, trésorerie nette 4,035 Mds FCFA), mais la dégradation du T1 2026 (-35,6% de résultat net) constitue un signal d'alerte sérieux. Les prédictions IA (J+1 à J+10) anticipent une baisse progressive de 3 996 FCFA à 3 775 FCFA, confirmant la thèse d'une correction imminente et contredisant la dynamique haussière actuelle. **Recommandation finale : CONSERVER** — la convergence entre valorisation tendue, signaux techniques de surachat, dégradation fondamentale récente et prédictions baissières plaide pour la prudence, sans toutefois céder à la panique vu la solidité bilancielle. Le niveau de confiance est **Moyen** (divergence entre tendance de fond et momentum court terme), le risque global est **Élevé** (volatilité 48,8% + surévaluation), et l'horizon d'investissement optimal est **moyen terme (3-12 mois)**, le temps que la correction technique s'achève et que la visibilité sur l'exercice 2026 s'améliore.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603.59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12,725 titres</w:t>
            </w:r>
          </w:p>
        </w:tc>
        <w:tc>
          <w:tcPr>
            <w:tcW w:type="dxa" w:w="2268"/>
            <w:shd w:fill="FFF2CC" w:val="clear"/>
          </w:tcPr>
          <w:p>
            <w:r>
              <w:rPr>
                <w:b/>
                <w:color w:val="503200"/>
                <w:sz w:val="16"/>
              </w:rPr>
              <w:t xml:space="preserve">Cours actuel : </w:t>
            </w:r>
            <w:r>
              <w:rPr>
                <w:color w:val="000000"/>
                <w:sz w:val="17"/>
              </w:rPr>
              <w:t>10,450 FCFA</w:t>
            </w:r>
          </w:p>
          <w:p>
            <w:r>
              <w:rPr>
                <w:b/>
                <w:color w:val="503200"/>
                <w:sz w:val="16"/>
              </w:rPr>
              <w:t xml:space="preserve">Var. 100 jours : </w:t>
            </w:r>
            <w:r>
              <w:rPr>
                <w:b/>
                <w:color w:val="007800"/>
                <w:sz w:val="17"/>
              </w:rPr>
              <w:t>+104.50%</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23.67% (Élevée) — μ=6,665 FCFA, σ=1,578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β=0.5299 (Défensif) — Cov=0.000018, Var(idx)=0.000034, ρ=0.143,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9,334</w:t>
            </w:r>
          </w:p>
        </w:tc>
        <w:tc>
          <w:tcPr>
            <w:tcW w:type="dxa" w:w="1440"/>
            <w:shd w:fill="FFDCE0" w:val="clear"/>
          </w:tcPr>
          <w:p>
            <w:r>
              <w:rPr>
                <w:b/>
                <w:sz w:val="17"/>
              </w:rPr>
              <w:t>9,717</w:t>
            </w:r>
          </w:p>
        </w:tc>
        <w:tc>
          <w:tcPr>
            <w:tcW w:type="dxa" w:w="1440"/>
            <w:shd w:fill="FFDCE0" w:val="clear"/>
          </w:tcPr>
          <w:p>
            <w:r>
              <w:rPr>
                <w:sz w:val="17"/>
              </w:rPr>
              <w:t>10,100</w:t>
            </w:r>
          </w:p>
        </w:tc>
        <w:tc>
          <w:tcPr>
            <w:tcW w:type="dxa" w:w="1440"/>
            <w:shd w:fill="FFDCE0" w:val="clear"/>
          </w:tcPr>
          <w:p>
            <w:r>
              <w:rPr>
                <w:b/>
                <w:color w:val="C00000"/>
                <w:sz w:val="17"/>
              </w:rPr>
              <w:t>-7.0%</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9,130</w:t>
            </w:r>
          </w:p>
        </w:tc>
        <w:tc>
          <w:tcPr>
            <w:tcW w:type="dxa" w:w="1440"/>
            <w:shd w:fill="FFDCE0" w:val="clear"/>
          </w:tcPr>
          <w:p>
            <w:r>
              <w:rPr>
                <w:b/>
                <w:sz w:val="17"/>
              </w:rPr>
              <w:t>9,669</w:t>
            </w:r>
          </w:p>
        </w:tc>
        <w:tc>
          <w:tcPr>
            <w:tcW w:type="dxa" w:w="1440"/>
            <w:shd w:fill="FFDCE0" w:val="clear"/>
          </w:tcPr>
          <w:p>
            <w:r>
              <w:rPr>
                <w:sz w:val="17"/>
              </w:rPr>
              <w:t>10,209</w:t>
            </w:r>
          </w:p>
        </w:tc>
        <w:tc>
          <w:tcPr>
            <w:tcW w:type="dxa" w:w="1440"/>
            <w:shd w:fill="FFDCE0" w:val="clear"/>
          </w:tcPr>
          <w:p>
            <w:r>
              <w:rPr>
                <w:b/>
                <w:color w:val="C00000"/>
                <w:sz w:val="17"/>
              </w:rPr>
              <w:t>-7.5%</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8,953</w:t>
            </w:r>
          </w:p>
        </w:tc>
        <w:tc>
          <w:tcPr>
            <w:tcW w:type="dxa" w:w="1440"/>
            <w:shd w:fill="FFDCE0" w:val="clear"/>
          </w:tcPr>
          <w:p>
            <w:r>
              <w:rPr>
                <w:b/>
                <w:sz w:val="17"/>
              </w:rPr>
              <w:t>9,609</w:t>
            </w:r>
          </w:p>
        </w:tc>
        <w:tc>
          <w:tcPr>
            <w:tcW w:type="dxa" w:w="1440"/>
            <w:shd w:fill="FFDCE0" w:val="clear"/>
          </w:tcPr>
          <w:p>
            <w:r>
              <w:rPr>
                <w:sz w:val="17"/>
              </w:rPr>
              <w:t>10,266</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8,799</w:t>
            </w:r>
          </w:p>
        </w:tc>
        <w:tc>
          <w:tcPr>
            <w:tcW w:type="dxa" w:w="1440"/>
            <w:shd w:fill="FFDCE0" w:val="clear"/>
          </w:tcPr>
          <w:p>
            <w:r>
              <w:rPr>
                <w:b/>
                <w:sz w:val="17"/>
              </w:rPr>
              <w:t>9,553</w:t>
            </w:r>
          </w:p>
        </w:tc>
        <w:tc>
          <w:tcPr>
            <w:tcW w:type="dxa" w:w="1440"/>
            <w:shd w:fill="FFDCE0" w:val="clear"/>
          </w:tcPr>
          <w:p>
            <w:r>
              <w:rPr>
                <w:sz w:val="17"/>
              </w:rPr>
              <w:t>10,307</w:t>
            </w:r>
          </w:p>
        </w:tc>
        <w:tc>
          <w:tcPr>
            <w:tcW w:type="dxa" w:w="1440"/>
            <w:shd w:fill="FFDCE0" w:val="clear"/>
          </w:tcPr>
          <w:p>
            <w:r>
              <w:rPr>
                <w:b/>
                <w:color w:val="C00000"/>
                <w:sz w:val="17"/>
              </w:rPr>
              <w:t>-8.6%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8,666</w:t>
            </w:r>
          </w:p>
        </w:tc>
        <w:tc>
          <w:tcPr>
            <w:tcW w:type="dxa" w:w="1440"/>
            <w:shd w:fill="FFDCE0" w:val="clear"/>
          </w:tcPr>
          <w:p>
            <w:r>
              <w:rPr>
                <w:b/>
                <w:sz w:val="17"/>
              </w:rPr>
              <w:t>9,504</w:t>
            </w:r>
          </w:p>
        </w:tc>
        <w:tc>
          <w:tcPr>
            <w:tcW w:type="dxa" w:w="1440"/>
            <w:shd w:fill="FFDCE0" w:val="clear"/>
          </w:tcPr>
          <w:p>
            <w:r>
              <w:rPr>
                <w:sz w:val="17"/>
              </w:rPr>
              <w:t>10,343</w:t>
            </w:r>
          </w:p>
        </w:tc>
        <w:tc>
          <w:tcPr>
            <w:tcW w:type="dxa" w:w="1440"/>
            <w:shd w:fill="FFDCE0" w:val="clear"/>
          </w:tcPr>
          <w:p>
            <w:r>
              <w:rPr>
                <w:b/>
                <w:color w:val="C00000"/>
                <w:sz w:val="17"/>
              </w:rPr>
              <w:t>-9.1%</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8,548</w:t>
            </w:r>
          </w:p>
        </w:tc>
        <w:tc>
          <w:tcPr>
            <w:tcW w:type="dxa" w:w="1440"/>
            <w:shd w:fill="FFDCE0" w:val="clear"/>
          </w:tcPr>
          <w:p>
            <w:r>
              <w:rPr>
                <w:b/>
                <w:sz w:val="17"/>
              </w:rPr>
              <w:t>9,462</w:t>
            </w:r>
          </w:p>
        </w:tc>
        <w:tc>
          <w:tcPr>
            <w:tcW w:type="dxa" w:w="1440"/>
            <w:shd w:fill="FFDCE0" w:val="clear"/>
          </w:tcPr>
          <w:p>
            <w:r>
              <w:rPr>
                <w:sz w:val="17"/>
              </w:rPr>
              <w:t>10,377</w:t>
            </w:r>
          </w:p>
        </w:tc>
        <w:tc>
          <w:tcPr>
            <w:tcW w:type="dxa" w:w="1440"/>
            <w:shd w:fill="FFDCE0" w:val="clear"/>
          </w:tcPr>
          <w:p>
            <w:r>
              <w:rPr>
                <w:b/>
                <w:color w:val="C00000"/>
                <w:sz w:val="17"/>
              </w:rPr>
              <w:t>-9.5%</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8,442</w:t>
            </w:r>
          </w:p>
        </w:tc>
        <w:tc>
          <w:tcPr>
            <w:tcW w:type="dxa" w:w="1440"/>
            <w:shd w:fill="FFDCE0" w:val="clear"/>
          </w:tcPr>
          <w:p>
            <w:r>
              <w:rPr>
                <w:b/>
                <w:sz w:val="17"/>
              </w:rPr>
              <w:t>9,426</w:t>
            </w:r>
          </w:p>
        </w:tc>
        <w:tc>
          <w:tcPr>
            <w:tcW w:type="dxa" w:w="1440"/>
            <w:shd w:fill="FFDCE0" w:val="clear"/>
          </w:tcPr>
          <w:p>
            <w:r>
              <w:rPr>
                <w:sz w:val="17"/>
              </w:rPr>
              <w:t>10,410</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8,348</w:t>
            </w:r>
          </w:p>
        </w:tc>
        <w:tc>
          <w:tcPr>
            <w:tcW w:type="dxa" w:w="1440"/>
            <w:shd w:fill="FFDCE0" w:val="clear"/>
          </w:tcPr>
          <w:p>
            <w:r>
              <w:rPr>
                <w:b/>
                <w:sz w:val="17"/>
              </w:rPr>
              <w:t>9,396</w:t>
            </w:r>
          </w:p>
        </w:tc>
        <w:tc>
          <w:tcPr>
            <w:tcW w:type="dxa" w:w="1440"/>
            <w:shd w:fill="FFDCE0" w:val="clear"/>
          </w:tcPr>
          <w:p>
            <w:r>
              <w:rPr>
                <w:sz w:val="17"/>
              </w:rPr>
              <w:t>10,445</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8,261</w:t>
            </w:r>
          </w:p>
        </w:tc>
        <w:tc>
          <w:tcPr>
            <w:tcW w:type="dxa" w:w="1440"/>
            <w:shd w:fill="FFDCE0" w:val="clear"/>
          </w:tcPr>
          <w:p>
            <w:r>
              <w:rPr>
                <w:b/>
                <w:sz w:val="17"/>
              </w:rPr>
              <w:t>9,371</w:t>
            </w:r>
          </w:p>
        </w:tc>
        <w:tc>
          <w:tcPr>
            <w:tcW w:type="dxa" w:w="1440"/>
            <w:shd w:fill="FFDCE0" w:val="clear"/>
          </w:tcPr>
          <w:p>
            <w:r>
              <w:rPr>
                <w:sz w:val="17"/>
              </w:rPr>
              <w:t>10,480</w:t>
            </w:r>
          </w:p>
        </w:tc>
        <w:tc>
          <w:tcPr>
            <w:tcW w:type="dxa" w:w="1440"/>
            <w:shd w:fill="FFDCE0" w:val="clear"/>
          </w:tcPr>
          <w:p>
            <w:r>
              <w:rPr>
                <w:b/>
                <w:color w:val="C00000"/>
                <w:sz w:val="17"/>
              </w:rPr>
              <w:t>-10.3%</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8,183</w:t>
            </w:r>
          </w:p>
        </w:tc>
        <w:tc>
          <w:tcPr>
            <w:tcW w:type="dxa" w:w="1440"/>
            <w:shd w:fill="FFDCE0" w:val="clear"/>
          </w:tcPr>
          <w:p>
            <w:r>
              <w:rPr>
                <w:b/>
                <w:sz w:val="17"/>
              </w:rPr>
              <w:t>9,349</w:t>
            </w:r>
          </w:p>
        </w:tc>
        <w:tc>
          <w:tcPr>
            <w:tcW w:type="dxa" w:w="1440"/>
            <w:shd w:fill="FFDCE0" w:val="clear"/>
          </w:tcPr>
          <w:p>
            <w:r>
              <w:rPr>
                <w:sz w:val="17"/>
              </w:rPr>
              <w:t>10,516</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BICB (BIIC Bénin)</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603,59 milliards FCFA, la BICB s'impose comme l'une des valeurs bancaires les plus capitalisées de la cote BRVM, ce qui témoigne de sa position de leader au Bénin et de son poids systémique dans la zone UEMOA. Le BPA de 627 FCFA/action signifie que chaque titre génère près de 627 FCFA de bénéfice net, un niveau de rentabilité unitaire élevé qui soutient la qualité fondamentale du titre. Le PER de 16,7x traduit une valorisation modérée mais supérieure à la moyenne du marché BRVM (généralement comprise entre 8x et 12x), indiquant que les investisseurs acceptent de payer une prime pour la qualité de la franchise. Le P/B de 4,47x — largement supérieur au seuil de 4x — signale une forte prime par rapport à la valeur comptable, justifiée par un ROE exceptionnel de 26,8% qui dépasse largement le coût des fonds propres. Enfin, l'EV/EBITDA de 27,0x apparaît très exigeant (seuil d'alerte &gt;15x), reflétant une valorisation qui intègre déjà une bonne partie des perspectives de croissance et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+104,50%, avec une dernière séance en hausse de +2,45%, portant le cours à 10 450 FCFA. Le range de trading est particulièrement large, oscillant entre un plus bas de 5 100 FCFA et un plus haut de 10 790 FCFA — soit un doublement du cours en moins de quatre mois — ce qui confirme une tendance haussière puissante et soutenue par un fort momentum acheteur. Les statistiques descriptives révèlent une distribution asymétrique : la moyenne (6 665 FCFA) est nettement supérieure à la médiane (5 928 FCFA), et le mode se situe à 5 200 FCFA, ce qui indique que le cours a passé davantage de temps dans des zones basses avant de s'envoler en fin de période. L'écart-type de 1 586 FCFA (CV = 23,8%) traduit une dispersion modérée du cours, cohérente avec un titre en tendance directionnelle forte. Le kurtosis de -0,151 (mésokurtique) suggère une distribution proche de la normale, sans risque excessif de pics extrêmes, tandis que le skewness positif de 0,960 confirme une asymétrie à droite — davantage de journées sous la moyenne, mais avec des gains exceptionnels qui tirent la performance globale vers le haut. La volatilité annualisée de 34,5% classe le titre dans la catégorie des valeurs à volatilité élevée (&gt;30%), ce qui est cohérent avec un mouvement de +104% sur 100 jours et appelle à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(9 233 FCFA) et la MM50 (7 918,5 FCFA) se situent toutes deux bien en dessous du cours actuel (10 450 FCFA), avec un écart de plus de 1 200 FCFA entre le prix et la MM20. Cette configuration en « golden cross » (MM20 &gt; MM50) confirme une tendance haussière robuste et justifie la décision d'ACHAT, bien que l'éloignement du cours par rapport à ses moyennes suggère une possible consolidation à court terme.</w:t>
      </w:r>
    </w:p>
    <w:p>
      <w:pPr>
        <w:spacing w:after="120" w:line="276" w:lineRule="auto"/>
      </w:pPr>
      <w:r>
        <w:t>**Bandes de Bollinger** : Le cours (10 450 FCFA) évolue dans la partie haute du canal, entre la borne inférieure (7 395,88 FCFA) et la borne supérieure (11 070,12 FCFA), sans la franchir. Cette position proche de la borne haute, combinée à un écart-type élevé, indique une volatilité soutenue mais sans signal de retournement imminent. La décision NEUTRE reflète cet équilibre précaire entre dynamique haussière et risque de correction.</w:t>
      </w:r>
    </w:p>
    <w:p>
      <w:pPr>
        <w:spacing w:after="120" w:line="276" w:lineRule="auto"/>
      </w:pPr>
      <w:r>
        <w:t>**MACD** : La ligne MACD (752,67) se maintient au-dessus de sa ligne de signal (681,66), avec un histogramme positif qui confirme la persistance du momentum haussier. Cette configuration justifie la décision d'ACHAT, bien que l'écart relativement modeste entre les deux lignes suggère un essoufflement possible de la dynamique.</w:t>
      </w:r>
    </w:p>
    <w:p>
      <w:pPr>
        <w:spacing w:after="120" w:line="276" w:lineRule="auto"/>
      </w:pPr>
      <w:r>
        <w:t>**RSI** : À 80,99, le RSI se situe largement au-dessus du seuil de surachat (70), signalant que le titre est techniquement surévalué à court terme et qu'une correction ou consolidation est probable. La décision de VENTE émise par cet indicateur contraste avec la tendance haussière, ce qui constitue un signal de prudence important.</w:t>
      </w:r>
    </w:p>
    <w:p>
      <w:pPr>
        <w:spacing w:after="120" w:line="276" w:lineRule="auto"/>
      </w:pPr>
      <w:r>
        <w:t>**Stochastique** : Le %K (85,19) et le %D (78,72) évoluent tous deux en zone de surachat (&gt;80), avec un %K au-dessus du %D qui confirme la pression acheteuse actuelle. Cependant, la proximité des deux lignes et leur position extrême suggèrent un risque de croisement baissier imminent, justifiant la décision de VENTE.</w:t>
      </w:r>
    </w:p>
    <w:p>
      <w:pPr>
        <w:spacing w:after="120" w:line="276" w:lineRule="auto"/>
      </w:pPr>
      <w:r>
        <w:t>**Conclusion technique** : Les indicateurs de tendance (Moyennes Mobiles, MACD) restent haussiers et confirment la solidité du mouvement, mais les oscillateurs (RSI à 81, Stochastique en surachat) émettent des signaux de vente convergents qui plaident pour une prise de bénéfices à court terme. Cette divergence classique entre tendance et momentum suggère que le titre pourrait connaître une consolidation avant de reprendre sa progression, et appelle à la prudence pour les investisseurs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(PNB) de 52,805 milliards FCFA, en croissance de +16,49% par rapport à 2024, porté par une marge d'intérêt de 40,1 milliards FCFA (+17,1%) et des commissions nettes de 11,3 milliards FCFA (+18,1%). Le résultat net s'établit à 36,237 milliards FCFA, en progression de +24,7%, générant un ROE exceptionnel de 26,82% (largement supérieur au seuil de 15% considéré comme excellent) et un ROA de 1,96%. Le coefficient d'exploitation de 31,12% — très inférieur au seuil de 60% — témoigne d'une efficacité opérationnelle remarquable, tandis que le coût du risque de 9,61% reste modéré mais à surveiller. Le ratio crédits nets/dépôts atteint 97,5%, signalant une transformation tendue, et la solvabilité de 19,64% (vs 11,5% réglementaire) offre une marge de manœuvre confortable.</w:t>
      </w:r>
    </w:p>
    <w:p>
      <w:pPr>
        <w:spacing w:after="120" w:line="276" w:lineRule="auto"/>
      </w:pPr>
      <w:r>
        <w:t>**Estimations basées sur les rapports trimestriels** : Le rapport du T1 2026 (publié en 2026) révèle une accélération spectaculaire avec un PNB de 14,6 milliards FCFA (+35%) et un résultat net de 8,0 milliards FCFA (+48%), confirmant que la dynamique de 2025 se poursuit et s'amplifie. Le rapport T3 2025 (daté du 30/09/2025) indiquait déjà un PNB de 35,945 milliards FCFA (+26%) et un résultat net de 13,128 milliards FCFA (-9%), pénalisé par un coût du risque en forte hausse (+641% au S1 2025). Le rapport S1 2025 (daté du 30/06/2025) soulignait une dégradation de la qualité du crédit avec des dotations nettes de 6,892 milliards FCFA contre 1,836 milliards un an plus tôt. Sur la base de ces éléments, on estime que l'exercice 2026 devrait afficher un PNB supérieur à 60 milliards FCFA et un résultat net en nette reprise, porté par la normalisation progressive du coût du risque et la poursuite de la croissance commerciale.</w:t>
      </w:r>
    </w:p>
    <w:p>
      <w:pPr>
        <w:spacing w:after="120" w:line="276" w:lineRule="auto"/>
      </w:pPr>
      <w:r>
        <w:t>**Recommandation fondamentale** : La BICB présente des fondamentaux solides (ROE de 26,8%, coefficient d'exploitation de 31,1%, solvabilité de 19,6%) et une position de leader incontestée au Bénin. Les risques identifiés — tension sur la liquidité (ratio de 11,03%), croissance rapide des crédits (+37,3%) et coût du risque en hausse — sont réels mais semblent gérables au vu de la rentabilité et de la solidité du bilan. La publication des comptes IFRS 2025 et la convocation de l'AGO du 30 juin 2026 pour approuver la distribution de dividendes constituent des catalyseurs positifs à surveiller.</w:t>
      </w:r>
    </w:p>
    <w:p>
      <w:pPr>
        <w:spacing w:after="120" w:line="276" w:lineRule="auto"/>
      </w:pPr>
      <w:r>
        <w:t>---</w:t>
      </w:r>
    </w:p>
    <w:p>
      <w:pPr>
        <w:spacing w:after="120" w:line="276" w:lineRule="auto"/>
      </w:pPr>
      <w:r>
        <w:t>## PARTIE 4 : CONCLUSION D'INVESTISSEMENT</w:t>
      </w:r>
    </w:p>
    <w:p>
      <w:pPr>
        <w:spacing w:after="120" w:line="276" w:lineRule="auto"/>
      </w:pPr>
      <w:r>
        <w:t>La valorisation de la BICB (PER de 16,7x, P/B de 4,47x, EV/EBITDA de 27,0x) indique une surévaluation relative par rapport aux standards du marché BRVM, mais cette prime se justifie par un ROE exceptionnel de 26,8% et une position de leader sectoriel. Le comportement du cours sur 100 jours (+104,5%) révèle une tendance haussière puissante, avec une volatilité élevée (34,5%) et une asymétrie positive (skewness de 0,96) qui traduit un potentiel de gains exceptionnels mais aussi un risque de correction. Les signaux techniques sont divergents : les indicateurs de tendance (MM, MACD) restent haussiers, mais les oscillateurs (RSI à 81, Stochastique en surachat) émettent des signaux de vente convergents, plaidant pour une consolidation à court terme. Les fondamentaux sont solides, avec un PNB de 52,8 milliards FCFA en 2025 (+16,5%), un résultat net de 36,2 milliards FCFA (+24,7%) et des perspectives 2026 très favorables (T1 2026 : résultat net +48%). Les prédictions IA pour les 10 prochains jours (9 717 FCFA à 9 504 FCFA) anticipent une correction baissière d'environ 7% à 9% par rapport au cours actuel, ce qui confirme les signaux de surachat des oscillateurs et suggère une prise de bénéfices à court terme.</w:t>
      </w:r>
    </w:p>
    <w:p>
      <w:pPr>
        <w:spacing w:after="120" w:line="276" w:lineRule="auto"/>
      </w:pPr>
      <w:r>
        <w:t>**Recommandation finale : CONSERVER** — avec un niveau de confiance **Moyen** et un risque global **Élevé**. La convergence entre la surévaluation technique à court terme (RSI, Stochastique, prédictions IA baissières) et la solidité fondamentale à moyen terme (ROE, croissance du PNB, perspectives 2026) plaide pour une position d'attente. Les investisseurs déjà en portefeuille sont invités à conserver leurs titres en surveillant les niveaux de support (MM20 à 9 233 FCFA) et à envisager des prises de bénéfices partielles si le cours venait à casser ce support. Les nouveaux entrants devraient attendre une consolidation vers 9 000-9 500 FCFA pour se positionner, avec un horizon d'investissement **moyen terme (3-12 mois)** privilégié pour capturer la poursuite de la croissance fondamentale tout en laissant passer la correction technique en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550.17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657 titres</w:t>
            </w:r>
          </w:p>
        </w:tc>
        <w:tc>
          <w:tcPr>
            <w:tcW w:type="dxa" w:w="2268"/>
            <w:shd w:fill="FFF2CC" w:val="clear"/>
          </w:tcPr>
          <w:p>
            <w:r>
              <w:rPr>
                <w:b/>
                <w:color w:val="503200"/>
                <w:sz w:val="16"/>
              </w:rPr>
              <w:t xml:space="preserve">Cours actuel : </w:t>
            </w:r>
            <w:r>
              <w:rPr>
                <w:color w:val="000000"/>
                <w:sz w:val="17"/>
              </w:rPr>
              <w:t>33,010 FCFA</w:t>
            </w:r>
          </w:p>
          <w:p>
            <w:r>
              <w:rPr>
                <w:b/>
                <w:color w:val="503200"/>
                <w:sz w:val="16"/>
              </w:rPr>
              <w:t xml:space="preserve">Var. 100 jours : </w:t>
            </w:r>
            <w:r>
              <w:rPr>
                <w:b/>
                <w:color w:val="007800"/>
                <w:sz w:val="17"/>
              </w:rPr>
              <w:t>+39.25%</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23,705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7.48% (Moyenne) — μ=28,217 FCFA, σ=2,110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β=0.5660 (Défensif) — Cov=0.000019, Var(idx)=0.000034, ρ=0.182,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657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31,672</w:t>
            </w:r>
          </w:p>
        </w:tc>
        <w:tc>
          <w:tcPr>
            <w:tcW w:type="dxa" w:w="1440"/>
            <w:shd w:fill="FAFAFA" w:val="clear"/>
          </w:tcPr>
          <w:p>
            <w:r>
              <w:rPr>
                <w:b/>
                <w:sz w:val="17"/>
              </w:rPr>
              <w:t>32,675</w:t>
            </w:r>
          </w:p>
        </w:tc>
        <w:tc>
          <w:tcPr>
            <w:tcW w:type="dxa" w:w="1440"/>
            <w:shd w:fill="FAFAFA" w:val="clear"/>
          </w:tcPr>
          <w:p>
            <w:r>
              <w:rPr>
                <w:sz w:val="17"/>
              </w:rPr>
              <w:t>33,678</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31,150</w:t>
            </w:r>
          </w:p>
        </w:tc>
        <w:tc>
          <w:tcPr>
            <w:tcW w:type="dxa" w:w="1440"/>
            <w:shd w:fill="FAFAFA" w:val="clear"/>
          </w:tcPr>
          <w:p>
            <w:r>
              <w:rPr>
                <w:b/>
                <w:sz w:val="17"/>
              </w:rPr>
              <w:t>32,564</w:t>
            </w:r>
          </w:p>
        </w:tc>
        <w:tc>
          <w:tcPr>
            <w:tcW w:type="dxa" w:w="1440"/>
            <w:shd w:fill="FAFAFA" w:val="clear"/>
          </w:tcPr>
          <w:p>
            <w:r>
              <w:rPr>
                <w:sz w:val="17"/>
              </w:rPr>
              <w:t>33,978</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30,732</w:t>
            </w:r>
          </w:p>
        </w:tc>
        <w:tc>
          <w:tcPr>
            <w:tcW w:type="dxa" w:w="1440"/>
            <w:shd w:fill="FAFAFA" w:val="clear"/>
          </w:tcPr>
          <w:p>
            <w:r>
              <w:rPr>
                <w:b/>
                <w:sz w:val="17"/>
              </w:rPr>
              <w:t>32,457</w:t>
            </w:r>
          </w:p>
        </w:tc>
        <w:tc>
          <w:tcPr>
            <w:tcW w:type="dxa" w:w="1440"/>
            <w:shd w:fill="FAFAFA" w:val="clear"/>
          </w:tcPr>
          <w:p>
            <w:r>
              <w:rPr>
                <w:sz w:val="17"/>
              </w:rPr>
              <w:t>34,183</w:t>
            </w:r>
          </w:p>
        </w:tc>
        <w:tc>
          <w:tcPr>
            <w:tcW w:type="dxa" w:w="1440"/>
            <w:shd w:fill="FAFAFA" w:val="clear"/>
          </w:tcPr>
          <w:p>
            <w:r>
              <w:rPr>
                <w:b/>
                <w:color w:val="C00000"/>
                <w:sz w:val="17"/>
              </w:rPr>
              <w:t>-1.7%</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30,367</w:t>
            </w:r>
          </w:p>
        </w:tc>
        <w:tc>
          <w:tcPr>
            <w:tcW w:type="dxa" w:w="1440"/>
            <w:shd w:fill="FAFAFA" w:val="clear"/>
          </w:tcPr>
          <w:p>
            <w:r>
              <w:rPr>
                <w:b/>
                <w:sz w:val="17"/>
              </w:rPr>
              <w:t>32,353</w:t>
            </w:r>
          </w:p>
        </w:tc>
        <w:tc>
          <w:tcPr>
            <w:tcW w:type="dxa" w:w="1440"/>
            <w:shd w:fill="FAFAFA" w:val="clear"/>
          </w:tcPr>
          <w:p>
            <w:r>
              <w:rPr>
                <w:sz w:val="17"/>
              </w:rPr>
              <w:t>34,339</w:t>
            </w:r>
          </w:p>
        </w:tc>
        <w:tc>
          <w:tcPr>
            <w:tcW w:type="dxa" w:w="1440"/>
            <w:shd w:fill="FAFAFA"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30,040</w:t>
            </w:r>
          </w:p>
        </w:tc>
        <w:tc>
          <w:tcPr>
            <w:tcW w:type="dxa" w:w="1440"/>
            <w:shd w:fill="FFDCE0" w:val="clear"/>
          </w:tcPr>
          <w:p>
            <w:r>
              <w:rPr>
                <w:b/>
                <w:sz w:val="17"/>
              </w:rPr>
              <w:t>32,253</w:t>
            </w:r>
          </w:p>
        </w:tc>
        <w:tc>
          <w:tcPr>
            <w:tcW w:type="dxa" w:w="1440"/>
            <w:shd w:fill="FFDCE0" w:val="clear"/>
          </w:tcPr>
          <w:p>
            <w:r>
              <w:rPr>
                <w:sz w:val="17"/>
              </w:rPr>
              <w:t>34,467</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29,739</w:t>
            </w:r>
          </w:p>
        </w:tc>
        <w:tc>
          <w:tcPr>
            <w:tcW w:type="dxa" w:w="1440"/>
            <w:shd w:fill="FFDCE0" w:val="clear"/>
          </w:tcPr>
          <w:p>
            <w:r>
              <w:rPr>
                <w:b/>
                <w:sz w:val="17"/>
              </w:rPr>
              <w:t>32,157</w:t>
            </w:r>
          </w:p>
        </w:tc>
        <w:tc>
          <w:tcPr>
            <w:tcW w:type="dxa" w:w="1440"/>
            <w:shd w:fill="FFDCE0" w:val="clear"/>
          </w:tcPr>
          <w:p>
            <w:r>
              <w:rPr>
                <w:sz w:val="17"/>
              </w:rPr>
              <w:t>34,575</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29,460</w:t>
            </w:r>
          </w:p>
        </w:tc>
        <w:tc>
          <w:tcPr>
            <w:tcW w:type="dxa" w:w="1440"/>
            <w:shd w:fill="FFDCE0" w:val="clear"/>
          </w:tcPr>
          <w:p>
            <w:r>
              <w:rPr>
                <w:b/>
                <w:sz w:val="17"/>
              </w:rPr>
              <w:t>32,064</w:t>
            </w:r>
          </w:p>
        </w:tc>
        <w:tc>
          <w:tcPr>
            <w:tcW w:type="dxa" w:w="1440"/>
            <w:shd w:fill="FFDCE0" w:val="clear"/>
          </w:tcPr>
          <w:p>
            <w:r>
              <w:rPr>
                <w:sz w:val="17"/>
              </w:rPr>
              <w:t>34,668</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29,198</w:t>
            </w:r>
          </w:p>
        </w:tc>
        <w:tc>
          <w:tcPr>
            <w:tcW w:type="dxa" w:w="1440"/>
            <w:shd w:fill="FFDCE0" w:val="clear"/>
          </w:tcPr>
          <w:p>
            <w:r>
              <w:rPr>
                <w:b/>
                <w:sz w:val="17"/>
              </w:rPr>
              <w:t>31,974</w:t>
            </w:r>
          </w:p>
        </w:tc>
        <w:tc>
          <w:tcPr>
            <w:tcW w:type="dxa" w:w="1440"/>
            <w:shd w:fill="FFDCE0" w:val="clear"/>
          </w:tcPr>
          <w:p>
            <w:r>
              <w:rPr>
                <w:sz w:val="17"/>
              </w:rPr>
              <w:t>34,750</w:t>
            </w:r>
          </w:p>
        </w:tc>
        <w:tc>
          <w:tcPr>
            <w:tcW w:type="dxa" w:w="1440"/>
            <w:shd w:fill="FFDCE0" w:val="clear"/>
          </w:tcPr>
          <w:p>
            <w:r>
              <w:rPr>
                <w:b/>
                <w:color w:val="C00000"/>
                <w:sz w:val="17"/>
              </w:rPr>
              <w:t>-3.1%</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28,951</w:t>
            </w:r>
          </w:p>
        </w:tc>
        <w:tc>
          <w:tcPr>
            <w:tcW w:type="dxa" w:w="1440"/>
            <w:shd w:fill="FFDCE0" w:val="clear"/>
          </w:tcPr>
          <w:p>
            <w:r>
              <w:rPr>
                <w:b/>
                <w:sz w:val="17"/>
              </w:rPr>
              <w:t>31,887</w:t>
            </w:r>
          </w:p>
        </w:tc>
        <w:tc>
          <w:tcPr>
            <w:tcW w:type="dxa" w:w="1440"/>
            <w:shd w:fill="FFDCE0" w:val="clear"/>
          </w:tcPr>
          <w:p>
            <w:r>
              <w:rPr>
                <w:sz w:val="17"/>
              </w:rPr>
              <w:t>34,823</w:t>
            </w:r>
          </w:p>
        </w:tc>
        <w:tc>
          <w:tcPr>
            <w:tcW w:type="dxa" w:w="1440"/>
            <w:shd w:fill="FFDCE0" w:val="clear"/>
          </w:tcPr>
          <w:p>
            <w:r>
              <w:rPr>
                <w:b/>
                <w:color w:val="C00000"/>
                <w:sz w:val="17"/>
              </w:rPr>
              <w:t>-3.4%</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28,716</w:t>
            </w:r>
          </w:p>
        </w:tc>
        <w:tc>
          <w:tcPr>
            <w:tcW w:type="dxa" w:w="1440"/>
            <w:shd w:fill="FFDCE0" w:val="clear"/>
          </w:tcPr>
          <w:p>
            <w:r>
              <w:rPr>
                <w:b/>
                <w:sz w:val="17"/>
              </w:rPr>
              <w:t>31,803</w:t>
            </w:r>
          </w:p>
        </w:tc>
        <w:tc>
          <w:tcPr>
            <w:tcW w:type="dxa" w:w="1440"/>
            <w:shd w:fill="FFDCE0" w:val="clear"/>
          </w:tcPr>
          <w:p>
            <w:r>
              <w:rPr>
                <w:sz w:val="17"/>
              </w:rPr>
              <w:t>34,890</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550,17 Mds FCFA, la BICICI s'impose comme l'une des valeurs bancaires les plus capitalisées de la cote BRVM, ce qui témoigne de son statut de poids lourd du compartiment financier régional. Le BPA de 2 191 FCFA/action signifie que chaque titre génère près de 2 200 FCFA de bénéfice net, un niveau de rentabilité par action remarquable pour le marché ouest-africain. Le PER de 15,1x se situe au-dessus de la moyenne BRVM (généralement 8-12x), signalant que les investisseurs acceptent de payer une prime pour la qualité de la croissance, mais cette valorisation reste modérée au regard des standards internationaux bancaires. Le P/B de 4,56x traduit une forte prime par rapport à la valeur comptable (capitaux propres de 120,57 Mds FCFA), reflétant la confiance du marché dans la capacité bénéficiaire future de la banque. Enfin, l'EV/EBITDA de 11,0x, dans la fourchette 10-15x, confirme une valorisation exigeante mais cohérente avec les performances opérationnelles affichées.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spectaculaire de +39,25%, avec une dernière séance en hausse de +1,26%, portant le cours actuel à 33 010 FCFA. Le range de trading s'établit entre un plus bas de 23 705 FCFA et un plus haut de 34 000 FCFA, soit une amplitude de plus de 43%, illustrant une tendance nettement haussière soutenue par un volume moyen quotidien de 657 titres. La moyenne du cours (28 217 FCFA) est légèrement inférieure à la médiane (28 498 FCFA), ce qui suggère une distribution quasi-symétrique avec une légère prédominance des valeurs basses, tandis que le mode à 29 000 FCFA confirme cette zone de consolidation fréquente. L'écart-type de 2 121 FCFA associé à un coefficient de variation de 7,5% indique une dispersion modérée du cours autour de sa moyenne, traduisant une certaine stabilité relative malgré la forte tendance. Le kurtosis excédentaire de 1,043 (distribution leptokurtique) signale des queues épaisses, donc un risque de pics de volatilité brutaux qu'il convient de surveiller, tandis que le skewness de 0,184 confirme une distribution quasi-symétrique sans biais directionnel marqué. Avec une volatilité annualisée de 28,9%, le titre se positionne dans la catégorie modérée (15-30%), ce qui reste raisonnable pour une valeur bancaire de premier plan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(30 709 FCFA) et la MM50 (29 414 FCFA) se situent toutes deux sous le cours actuel (33 010 FCFA), avec la MM20 au-dessus de la MM50, configuration typique d'une tendance haussière bien établie. Cet alignement haussier justifie pleinement la décision d'achat, le cours évoluant au-dessus de ses deux références mobiles.</w:t>
      </w:r>
    </w:p>
    <w:p>
      <w:pPr>
        <w:spacing w:after="120" w:line="276" w:lineRule="auto"/>
      </w:pPr>
      <w:r>
        <w:t>**Bandes de Bollinger** : Le cours (33 010 FCFA) évolue dans la partie haute du canal, entre la borne inférieure (26 696 FCFA) et la borne supérieure (34 722 FCFA), sans toutefois les toucher. Cette position médiane-haute, couplée à un écartement modéré des bandes, traduit une volatilité contenue et justifie la décision neutre — le titre n'est ni en surachat extrême ni en zone d'achat opportuniste.</w:t>
      </w:r>
    </w:p>
    <w:p>
      <w:pPr>
        <w:spacing w:after="120" w:line="276" w:lineRule="auto"/>
      </w:pPr>
      <w:r>
        <w:t>**MACD** : La valeur du MACD (1 208,74) dépasse nettement son signal (912,97), générant un histogramme positif de près de 296 points. Cette divergence haussière confirme un momentum positif solide et soutient la décision d'achat, bien que l'ampleur de l'écart invite à la prudence quant à un éventuel essoufflement.</w:t>
      </w:r>
    </w:p>
    <w:p>
      <w:pPr>
        <w:spacing w:after="120" w:line="276" w:lineRule="auto"/>
      </w:pPr>
      <w:r>
        <w:t>**RSI** : À 75,21, le RSI se situe au-dessus du seuil de surachat (70), signalant que le titre a été acheté de manière excessive à court terme. Cette configuration justifie la décision de vente technique, un repli correctif étant statistiquement probable après une telle ascension.</w:t>
      </w:r>
    </w:p>
    <w:p>
      <w:pPr>
        <w:spacing w:after="120" w:line="276" w:lineRule="auto"/>
      </w:pPr>
      <w:r>
        <w:t>**Stochastique** : Le %K (81,67) et le %D (85,25) évoluent tous deux en zone de surachat (&gt;80), avec le %K sous le %D, ce qui pourrait annoncer un croisement baissier imminent. Cette configuration confirme la décision de vente, le momentum court terme montrant des signes d'épuisement.</w:t>
      </w:r>
    </w:p>
    <w:p>
      <w:pPr>
        <w:spacing w:after="120" w:line="276" w:lineRule="auto"/>
      </w:pPr>
      <w:r>
        <w:t>**Conclusion technique** : Les indicateurs de tendance (MM, MACD) restent haussiers et soutiennent le mouvement de fond, mais les oscillateurs (RSI, Stochastique) affichent des signaux de surachat convergents qui plaident pour une consolidation à court terme. Cette divergence classique entre tendance et momentum suggère un titre en fin de phase d'accélération, nécessitant une pause avant toute nouvelle jambe haussière. La prudence est de mise pour les entrées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BICICI affiche un Produit Net Bancaire (équivalent du chiffre d'affaires pour une banque) de 79,563 Mds FCFA et un résultat net de 36,520 Mds FCFA, soit une marge nette exceptionnelle de 45,90%. Le ROE atteint 30,29% — largement supérieur au seuil d'excellence de 15% — et le ROA s'établit à 3,24%, confirmant une rentabilité des actifs solide. Le coefficient d'exploitation de 50,83% place la banque sous le seuil de 60% synonyme d'efficacité, et même proche du niveau d'excellence (&lt;50%). Le coût du risque, mesuré à -12,15% (provisions/charges financières), reste contenu, témoignant d'un portefeuille de crédits de qualité. La structure bilancielle révèle des dépôts clientèle de 952,872 Mds FCFA pour des créances clientèle de 524,439 Mds FCFA, soit un ratio de transformation (crédits/dépôts) de seulement 55%, indiquant une surliquidité abondante — un luxe qui pèse toutefois sur la marge d'intermédiation. Le taux de croissance du PNB de 16,90% confirme une dynamique commerciale vigoureuse.</w:t>
      </w:r>
    </w:p>
    <w:p>
      <w:pPr>
        <w:spacing w:after="120" w:line="276" w:lineRule="auto"/>
      </w:pPr>
      <w:r>
        <w:t>**Estimations basées sur les rapports trimestriels** : Le rapport du T1 2026 (publié le 31 mars 2026, analysé le 1er mai 2026) révèle un PNB de 21 214 MFCFA (+17,01% sur un an) et un résultat net de 10 387 MFCFA (+29,66%), avec une marge nette en progression à 49,0% contre 44,2% un an plus tôt. Les dépôts clients bondissent de +14,46% à 996 392 MFCFA, tandis que les crédits nets reculent de -4,47% à 523 300 MFCFA en raison de remboursements anticipés. Sur la base de ce premier trimestre, on peut estimer que l'exercice 2026 devrait enregistrer un PNB annuel supérieur à 85 Mds FCFA et un résultat net dépassant 40 Mds FCFA, confirmant la trajectoire ascendante. Le rapport du T3 2025 (30 septembre 2025) montrait déjà un PNB cumulé de 58 119 MFCFA (+16,4%) et un résultat net de 27 402 MFCFA (+50,8%), avec une marge nette de 47,1%. Le rapport S1 2025 (30 juin 2025) affichait un PNB de 37 146 MFCFA (+16,6%) et un résultat net de 16 253 MFCFA (+42,5%). Cette progression trimestrielle constante valide la solidité du modèle.</w:t>
      </w:r>
    </w:p>
    <w:p>
      <w:pPr>
        <w:spacing w:after="120" w:line="276" w:lineRule="auto"/>
      </w:pPr>
      <w:r>
        <w:t>**Recommandation fondamentale** : La BICICI présente des fondamentaux exceptionnels — croissance à deux chiffres du PNB et du résultat net, rentabilité parmi les meilleures de la BRVM (ROE &gt;30%), efficacité opérationnelle remarquable et bilan surliquidé. Les principaux risques identifiés sont la contraction des encours de crédits (remboursements anticipés), la dépendance aux taux d'intérêt et la concentration potentielle du portefeuille. La solidité financière et les perspectives de croissance justifient une recommandation d'achat fondamental.</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 le PER de 15,1x et le P/B de 4,56x indiquent une valorisation exigeante mais justifiée par la qualité des fondamentaux, sans être en zone de surévaluation extrême. **Le comportement du cours (Partie 1)** est nettement haussier (+39,25% sur 100 jours) avec une volatilité modérée (28,9%) et une distribution quasi-symétrique, bien que le kurtosis leptokurtique (1,043) appelle à la vigilance face aux pics de volatilité. **Les signaux techniques (Partie 2)** sont divergents : les indicateurs de tendance (MM, MACD) restent haussiers, mais les oscillateurs (RSI à 75,21, Stochastique en surachat) convergent vers un signal de vente à court terme, suggérant une consolidation imminente. **Les fondamentaux (Partie 3)** sont excellents : ROE de 30,29%, marge nette de 45,90%, coefficient d'exploitation de 50,83% et croissance du PNB de 16,90% en 2025, avec des estimations 2026 encore plus favorables (marge nette T1 à 49,0%). **Les prédictions IA (J+1 à J+10)** anticipent une légère correction baissière (32 675 FCFA le 14/09/2026 à 32 253 FCFA le 18/09/2026), confirmant la thèse d'une pause technique après la forte hausse.</w:t>
      </w:r>
    </w:p>
    <w:p>
      <w:pPr>
        <w:spacing w:after="120" w:line="276" w:lineRule="auto"/>
      </w:pPr>
      <w:r>
        <w:t>**Recommandation finale : ACHAT (avec prudence à court terme)** — La convergence entre des fondamentaux exceptionnels, une tendance de fond haussière et une valorisation raisonnable justifie une position acheteuse. Toutefois, la divergence des oscillateurs techniques et les prédictions IA de correction à court terme suggèrent d'échelonner les entrées plutôt que d'acheter massivement au cours actuel. **Niveau de confiance : Moyen à Élevé** (fondamentaux solides mais timing technique défavorable). **Niveau de risque global : Moyen** (volatilité modérée, risque de correction court terme). **Horizon d'investissement optimal : Moyen à long terme (6 à 18 mois)** , le temps que la consolidation technique s'achève et que la croissance bénéficiaire se matérialise pleinement dans le cours.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2,863 titres</w:t>
            </w:r>
          </w:p>
        </w:tc>
        <w:tc>
          <w:tcPr>
            <w:tcW w:type="dxa" w:w="2268"/>
            <w:shd w:fill="FFF2CC" w:val="clear"/>
          </w:tcPr>
          <w:p>
            <w:r>
              <w:rPr>
                <w:b/>
                <w:color w:val="503200"/>
                <w:sz w:val="16"/>
              </w:rPr>
              <w:t xml:space="preserve">Cours actuel : </w:t>
            </w:r>
            <w:r>
              <w:rPr>
                <w:color w:val="000000"/>
                <w:sz w:val="17"/>
              </w:rPr>
              <w:t>2,135 FCFA</w:t>
            </w:r>
          </w:p>
          <w:p>
            <w:r>
              <w:rPr>
                <w:b/>
                <w:color w:val="503200"/>
                <w:sz w:val="16"/>
              </w:rPr>
              <w:t xml:space="preserve">Var. 100 jours : </w:t>
            </w:r>
            <w:r>
              <w:rPr>
                <w:b/>
                <w:color w:val="007800"/>
                <w:sz w:val="17"/>
              </w:rPr>
              <w:t>+41.86%</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13.21% (Moyenne) — μ=1,838 FCFA, σ=243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β=0.0081 (Défensif) — Cov=0.000000, Var(idx)=0.000034, ρ=0.001,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2,023</w:t>
            </w:r>
          </w:p>
        </w:tc>
        <w:tc>
          <w:tcPr>
            <w:tcW w:type="dxa" w:w="1440"/>
            <w:shd w:fill="FAFAFA" w:val="clear"/>
          </w:tcPr>
          <w:p>
            <w:r>
              <w:rPr>
                <w:b/>
                <w:sz w:val="17"/>
              </w:rPr>
              <w:t>2,123</w:t>
            </w:r>
          </w:p>
        </w:tc>
        <w:tc>
          <w:tcPr>
            <w:tcW w:type="dxa" w:w="1440"/>
            <w:shd w:fill="FAFAFA" w:val="clear"/>
          </w:tcPr>
          <w:p>
            <w:r>
              <w:rPr>
                <w:sz w:val="17"/>
              </w:rPr>
              <w:t>2,224</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1,964</w:t>
            </w:r>
          </w:p>
        </w:tc>
        <w:tc>
          <w:tcPr>
            <w:tcW w:type="dxa" w:w="1440"/>
            <w:shd w:fill="FAFAFA" w:val="clear"/>
          </w:tcPr>
          <w:p>
            <w:r>
              <w:rPr>
                <w:b/>
                <w:sz w:val="17"/>
              </w:rPr>
              <w:t>2,104</w:t>
            </w:r>
          </w:p>
        </w:tc>
        <w:tc>
          <w:tcPr>
            <w:tcW w:type="dxa" w:w="1440"/>
            <w:shd w:fill="FAFAFA" w:val="clear"/>
          </w:tcPr>
          <w:p>
            <w:r>
              <w:rPr>
                <w:sz w:val="17"/>
              </w:rPr>
              <w:t>2,245</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1,917</w:t>
            </w:r>
          </w:p>
        </w:tc>
        <w:tc>
          <w:tcPr>
            <w:tcW w:type="dxa" w:w="1440"/>
            <w:shd w:fill="FFDCE0" w:val="clear"/>
          </w:tcPr>
          <w:p>
            <w:r>
              <w:rPr>
                <w:b/>
                <w:sz w:val="17"/>
              </w:rPr>
              <w:t>2,087</w:t>
            </w:r>
          </w:p>
        </w:tc>
        <w:tc>
          <w:tcPr>
            <w:tcW w:type="dxa" w:w="1440"/>
            <w:shd w:fill="FFDCE0" w:val="clear"/>
          </w:tcPr>
          <w:p>
            <w:r>
              <w:rPr>
                <w:sz w:val="17"/>
              </w:rPr>
              <w:t>2,258</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1,877</w:t>
            </w:r>
          </w:p>
        </w:tc>
        <w:tc>
          <w:tcPr>
            <w:tcW w:type="dxa" w:w="1440"/>
            <w:shd w:fill="FFDCE0" w:val="clear"/>
          </w:tcPr>
          <w:p>
            <w:r>
              <w:rPr>
                <w:b/>
                <w:sz w:val="17"/>
              </w:rPr>
              <w:t>2,072</w:t>
            </w:r>
          </w:p>
        </w:tc>
        <w:tc>
          <w:tcPr>
            <w:tcW w:type="dxa" w:w="1440"/>
            <w:shd w:fill="FFDCE0" w:val="clear"/>
          </w:tcPr>
          <w:p>
            <w:r>
              <w:rPr>
                <w:sz w:val="17"/>
              </w:rPr>
              <w:t>2,268</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1,841</w:t>
            </w:r>
          </w:p>
        </w:tc>
        <w:tc>
          <w:tcPr>
            <w:tcW w:type="dxa" w:w="1440"/>
            <w:shd w:fill="FFDCE0" w:val="clear"/>
          </w:tcPr>
          <w:p>
            <w:r>
              <w:rPr>
                <w:b/>
                <w:sz w:val="17"/>
              </w:rPr>
              <w:t>2,058</w:t>
            </w:r>
          </w:p>
        </w:tc>
        <w:tc>
          <w:tcPr>
            <w:tcW w:type="dxa" w:w="1440"/>
            <w:shd w:fill="FFDCE0" w:val="clear"/>
          </w:tcPr>
          <w:p>
            <w:r>
              <w:rPr>
                <w:sz w:val="17"/>
              </w:rPr>
              <w:t>2,275</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1,809</w:t>
            </w:r>
          </w:p>
        </w:tc>
        <w:tc>
          <w:tcPr>
            <w:tcW w:type="dxa" w:w="1440"/>
            <w:shd w:fill="FFDCE0" w:val="clear"/>
          </w:tcPr>
          <w:p>
            <w:r>
              <w:rPr>
                <w:b/>
                <w:sz w:val="17"/>
              </w:rPr>
              <w:t>2,045</w:t>
            </w:r>
          </w:p>
        </w:tc>
        <w:tc>
          <w:tcPr>
            <w:tcW w:type="dxa" w:w="1440"/>
            <w:shd w:fill="FFDCE0" w:val="clear"/>
          </w:tcPr>
          <w:p>
            <w:r>
              <w:rPr>
                <w:sz w:val="17"/>
              </w:rPr>
              <w:t>2,282</w:t>
            </w:r>
          </w:p>
        </w:tc>
        <w:tc>
          <w:tcPr>
            <w:tcW w:type="dxa" w:w="1440"/>
            <w:shd w:fill="FFDCE0" w:val="clear"/>
          </w:tcPr>
          <w:p>
            <w:r>
              <w:rPr>
                <w:b/>
                <w:color w:val="C00000"/>
                <w:sz w:val="17"/>
              </w:rPr>
              <w:t>-4.2%</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1,779</w:t>
            </w:r>
          </w:p>
        </w:tc>
        <w:tc>
          <w:tcPr>
            <w:tcW w:type="dxa" w:w="1440"/>
            <w:shd w:fill="FFDCE0" w:val="clear"/>
          </w:tcPr>
          <w:p>
            <w:r>
              <w:rPr>
                <w:b/>
                <w:sz w:val="17"/>
              </w:rPr>
              <w:t>2,033</w:t>
            </w:r>
          </w:p>
        </w:tc>
        <w:tc>
          <w:tcPr>
            <w:tcW w:type="dxa" w:w="1440"/>
            <w:shd w:fill="FFDCE0" w:val="clear"/>
          </w:tcPr>
          <w:p>
            <w:r>
              <w:rPr>
                <w:sz w:val="17"/>
              </w:rPr>
              <w:t>2,287</w:t>
            </w:r>
          </w:p>
        </w:tc>
        <w:tc>
          <w:tcPr>
            <w:tcW w:type="dxa" w:w="1440"/>
            <w:shd w:fill="FFDCE0" w:val="clear"/>
          </w:tcPr>
          <w:p>
            <w:r>
              <w:rPr>
                <w:b/>
                <w:color w:val="C00000"/>
                <w:sz w:val="17"/>
              </w:rPr>
              <w:t>-4.8%</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1,752</w:t>
            </w:r>
          </w:p>
        </w:tc>
        <w:tc>
          <w:tcPr>
            <w:tcW w:type="dxa" w:w="1440"/>
            <w:shd w:fill="FFDCE0" w:val="clear"/>
          </w:tcPr>
          <w:p>
            <w:r>
              <w:rPr>
                <w:b/>
                <w:sz w:val="17"/>
              </w:rPr>
              <w:t>2,021</w:t>
            </w:r>
          </w:p>
        </w:tc>
        <w:tc>
          <w:tcPr>
            <w:tcW w:type="dxa" w:w="1440"/>
            <w:shd w:fill="FFDCE0" w:val="clear"/>
          </w:tcPr>
          <w:p>
            <w:r>
              <w:rPr>
                <w:sz w:val="17"/>
              </w:rPr>
              <w:t>2,291</w:t>
            </w:r>
          </w:p>
        </w:tc>
        <w:tc>
          <w:tcPr>
            <w:tcW w:type="dxa" w:w="1440"/>
            <w:shd w:fill="FFDCE0" w:val="clear"/>
          </w:tcPr>
          <w:p>
            <w:r>
              <w:rPr>
                <w:b/>
                <w:color w:val="C00000"/>
                <w:sz w:val="17"/>
              </w:rPr>
              <w:t>-5.3%</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1,726</w:t>
            </w:r>
          </w:p>
        </w:tc>
        <w:tc>
          <w:tcPr>
            <w:tcW w:type="dxa" w:w="1440"/>
            <w:shd w:fill="FFDCE0" w:val="clear"/>
          </w:tcPr>
          <w:p>
            <w:r>
              <w:rPr>
                <w:b/>
                <w:sz w:val="17"/>
              </w:rPr>
              <w:t>2,010</w:t>
            </w:r>
          </w:p>
        </w:tc>
        <w:tc>
          <w:tcPr>
            <w:tcW w:type="dxa" w:w="1440"/>
            <w:shd w:fill="FFDCE0" w:val="clear"/>
          </w:tcPr>
          <w:p>
            <w:r>
              <w:rPr>
                <w:sz w:val="17"/>
              </w:rPr>
              <w:t>2,295</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1,701</w:t>
            </w:r>
          </w:p>
        </w:tc>
        <w:tc>
          <w:tcPr>
            <w:tcW w:type="dxa" w:w="1440"/>
            <w:shd w:fill="FFDCE0" w:val="clear"/>
          </w:tcPr>
          <w:p>
            <w:r>
              <w:rPr>
                <w:b/>
                <w:sz w:val="17"/>
              </w:rPr>
              <w:t>1,999</w:t>
            </w:r>
          </w:p>
        </w:tc>
        <w:tc>
          <w:tcPr>
            <w:tcW w:type="dxa" w:w="1440"/>
            <w:shd w:fill="FFDCE0" w:val="clear"/>
          </w:tcPr>
          <w:p>
            <w:r>
              <w:rPr>
                <w:sz w:val="17"/>
              </w:rPr>
              <w:t>2,298</w:t>
            </w:r>
          </w:p>
        </w:tc>
        <w:tc>
          <w:tcPr>
            <w:tcW w:type="dxa" w:w="1440"/>
            <w:shd w:fill="FFDCE0" w:val="clear"/>
          </w:tcPr>
          <w:p>
            <w:r>
              <w:rPr>
                <w:b/>
                <w:color w:val="C00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(BERNABE Côte d'Ivoire)</w:t>
        <w:br/>
        <w:t>**Marché : BRVM | Secteur : Entreprise (Distribution de matériaux, métallurgie, équipements)**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14,14 Mds FCFA, BNBC se situe dans la catégorie des petites capitalisations de la BRVM, ce qui implique une liquidité limitée et une sensibilité accrue aux mouvements de faible volume. Le BPA ressort à seulement 3 FCFA/action, reflétant une rentabilité nette quasi-nulle, ce qui propulse le PER à 633,7x — un niveau aberrant comparé à la moyenne BRVM (~8-12x) et qui traduit une décorrélation totale entre le prix de marché et les bénéfices générés. En revanche, le P/B de 0,80x indique que le marché valorise l'action à 20% en-dessous de sa valeur comptable (capitaux propres de 17,77 Mds FCFA), ce qui constitue théoriquement une opportunité d'actif net, mais qui s'explique par la faible qualité de ces fonds propres (rentabilité anémique). Enfin, l'EV/EBITDA de 24,7x apparaît très exigeant (&gt;15x), signifiant que la valeur d'entreprise intègre une prime spéculative que la capacité opérationnelle actuelle (EBE de 2,009 Mds FCFA) ne justifie pas pleinement.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affiche une performance remarquable de **+41,86%**, portant le cours actuel à **2 135 FCFA**, malgré un repli de **-1,39%** lors de la dernière séance (J-1). Le range de trading est particulièrement large, avec un plus haut à **2 400 FCFA** et un plus bas à **1 300 FCFA**, soit une amplitude de 84,6% qui témoigne d'une forte volatilité directionnelle. La tendance générale est nettement haussière, mais le repli récent et la position du cours sous le plus haut suggèrent un essoufflement possible. Les statistiques descriptives révèlent une **moyenne de 1 838 FCFA** inférieure à la **médiane de 1 900 FCFA** et au **mode de 1 990 FCFA**, ce qui indique une distribution légèrement asymétrique à gauche (skewness de -0,234, confirmant une symétrie quasi-parfaite avec une queue gauche légèrement plus épaisse) — le cours a donc passé plus de temps dans les niveaux élevés récemment. L'**écart-type de 244 FCFA** avec un **CV de 13,3%** traduit une dispersion modérée autour de la moyenne, tandis que le **kurtosis de -0,628** (mésokurtique) suggère une distribution proche de la normale, sans risque majeur de pics extrêmes. La **volatilité annualisée de 51,5%** classe ce titre dans la catégorie **très volatile** (&gt;30%), ce qui est cohérent avec sa faible capitalisation et sa liquidité limitée (volume moyen de 2 863 titres/jour).</w:t>
      </w:r>
    </w:p>
    <w:p>
      <w:pPr>
        <w:spacing w:after="120" w:line="276" w:lineRule="auto"/>
      </w:pPr>
      <w:r>
        <w:t>---</w:t>
      </w:r>
    </w:p>
    <w:p>
      <w:pPr>
        <w:spacing w:after="120" w:line="276" w:lineRule="auto"/>
      </w:pPr>
      <w:r>
        <w:t>## PARTIE 2 : ANALYSE TECHNIQUE DÉTAILLÉE</w:t>
      </w:r>
    </w:p>
    <w:p>
      <w:pPr>
        <w:spacing w:after="120" w:line="276" w:lineRule="auto"/>
      </w:pPr>
      <w:r>
        <w:t>**Moyennes Mobiles :** La MM20 (2 126,5 FCFA) et la MM50 (2 000,6 FCFA) sont toutes deux inférieures au cours actuel (2 135 FCFA), et la MM20 surpasse la MM50, configurant un croisement haussier classique. Cette configuration justifie la décision **Achat** : le titre évolue au-dessus de ses supports dynamiques, et la pente ascendante des moyennes confirme la dynamique positive de moyen terme.</w:t>
      </w:r>
    </w:p>
    <w:p>
      <w:pPr>
        <w:spacing w:after="120" w:line="276" w:lineRule="auto"/>
      </w:pPr>
      <w:r>
        <w:t>**Bandes de Bollinger :** Le cours (2 135 FCFA) se situe dans la moitié supérieure de la bande, entre la borne inférieure (1 869,06 FCFA) et la borne supérieure (2 383,94 FCFA), sans en approcher les extrêmes. Cette position médiane, couplée à une largeur de bande élevée (514,88 FCFA), traduit une volatilité significative mais sans signal de surachat ou de survente, justifiant la décision **Neutre**.</w:t>
      </w:r>
    </w:p>
    <w:p>
      <w:pPr>
        <w:spacing w:after="120" w:line="276" w:lineRule="auto"/>
      </w:pPr>
      <w:r>
        <w:t>**MACD :** La valeur du MACD (45,862) est inférieure à son signal (60,375), générant un croisement baissier et un histogramme négatif. Ce divergence indique un essoufflement du momentum haussier malgré la tendance de fond positive, justifiant la décision **Vente** à court terme — un signal de prudence face à un possible retournement.</w:t>
      </w:r>
    </w:p>
    <w:p>
      <w:pPr>
        <w:spacing w:after="120" w:line="276" w:lineRule="auto"/>
      </w:pPr>
      <w:r>
        <w:t>**RSI :** À 57,838, le RSI se situe en zone neutre (30-70), sans atteindre la zone de surachat (&gt;70) ni de survente (&lt;30). Cette valeur médiane indique un équilibre entre acheteurs et vendeurs, sans pression directionnelle claire, justifiant la décision **Neutre**.</w:t>
      </w:r>
    </w:p>
    <w:p>
      <w:pPr>
        <w:spacing w:after="120" w:line="276" w:lineRule="auto"/>
      </w:pPr>
      <w:r>
        <w:t>**Stochastique :** Le %K (35,366) et le %D (36,585) évoluent en zone basse-médiane, avec un %K légèrement inférieur au %D, suggérant l'absence de croisement haussier confirmé. Cette configuration neutre, proche de la zone de survente sans y pénétrer, justifie la décision **Neutre** et appelle à la patience avant tout signal d'achat.</w:t>
      </w:r>
    </w:p>
    <w:p>
      <w:pPr>
        <w:spacing w:after="120" w:line="276" w:lineRule="auto"/>
      </w:pPr>
      <w:r>
        <w:t>**Conclusion technique :** Les indicateurs présentent une **divergence préoccupante** : les moyennes mobiles restent haussières (Achat), mais le MACD signale une vente et les autres oscillateurs (RSI, Stochastique, Bollinger) sont neutres. Cette configuration suggère que la tendance haussière de fond s'essouffle à court terme, avec un risque de consolidation voire de correction. La prudence est de mise avant tout nouvel engagement à l'achat.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BNBC a réalisé un chiffre d'affaires de **42,454 Mds FCFA**, en **recul de 6,31%** par rapport à 2024 (45,312 Mds FCFA), signalant une perte de dynamique commerciale. Le résultat net s'établit à **22,318 M FCFA** (contre 7,313 M en 2024), une amélioration en valeur absolue mais qui reste **anecdotique** avec une marge nette de **0,0526%** et un **ROE de 0,1256%** — des niveaux extrêmement faibles, très éloignés du seuil de 15% considéré comme excellent. Le **ROA de 0,0454%** confirme cette rentabilité quasi-nulle des actifs. En tant qu'entreprise non bancaire, les délais d'exploitation sont critiques : le **délai clients de 104,40 jours** (créances de 12,312 Mds FCFA) et la **durée de stockage de 339,23 jours** (stocks de 28,949 Mds FCFA) immobilisent massivement du capital, tandis que le **BFR de 29,373 Mds FCFA** et la **trésorerie nette de -16,689 Mds FCFA** révèlent une situation de liquidité très tendue. La structure financière reste toutefois solvable (autonomie financière de 36,16%, solvabilité générale de 156,64%), mais le **ratio d'endettement de 105,48%** et la **capacité de remboursement de 19,17 années** (dettes financières/CAF) sont préoccupants.</w:t>
      </w:r>
    </w:p>
    <w:p>
      <w:pPr>
        <w:spacing w:after="120" w:line="276" w:lineRule="auto"/>
      </w:pPr>
      <w:r>
        <w:t>**Estimations basées sur les rapports trimestriels :** Le rapport du **T1 2026 (publié en 2026)** indique un chiffre d'affaires stable à **11,194 Mds FCFA** (-0,12%) mais un **résultat net positif de 65,566 M FCFA** contre une perte de 16,147 M au T1 2025 — une amélioration spectaculaire de +81,7 M FCFA, bien que la direction attribue cette performance à l'intégration de la division Équipement (encore en phase de démarrage). Le rapport du **T3 2025 (30/09/2025)** faisait état d'une perte nette cumulée de -157,03 M FCFA sur 9 mois, avec un CA en recul de 3% et un T3 en chute de -13%. Le rapport du **S1 2025 (30/06/2025)** montrait une perte de -139,57 M FCFA malgré une croissance de +3% du CA. **On estime donc que l'exercice 2026 devrait bénéficier d'un effet de base favorable** (retour à la profitabilité au T1) et de la montée en puissance des divisions Équipement et Power, mais la prudence reste de mise compte tenu de la volatilité trimestrielle et de la dépendance aux affaires exceptionnelles. La **recommandation fondamentale** est **CONSERVER avec surveillance** : la société dispose de capitaux propres solides (17,77 Mds FCFA) et d'une amélioration récente, mais les risques de liquidité (trésorerie négative), de rentabilité (marge nette &lt;0,1%) et de dépendance aux investissements stratégiques restent élevés.</w:t>
      </w:r>
    </w:p>
    <w:p>
      <w:pPr>
        <w:spacing w:after="120" w:line="276" w:lineRule="auto"/>
      </w:pPr>
      <w:r>
        <w:t>---</w:t>
      </w:r>
    </w:p>
    <w:p>
      <w:pPr>
        <w:spacing w:after="120" w:line="276" w:lineRule="auto"/>
      </w:pPr>
      <w:r>
        <w:t>## PARTIE 4 : CONCLUSION D'INVESTISSEMENT</w:t>
      </w:r>
    </w:p>
    <w:p>
      <w:pPr>
        <w:spacing w:after="120" w:line="276" w:lineRule="auto"/>
      </w:pPr>
      <w:r>
        <w:t>La synthèse globale de ce rapport met en évidence une **divergence majeure** entre les différents signaux. La **valorisation (Partie 0)** est paradoxale : le P/B de 0,80x suggère une sous-évaluation par rapport à l'actif net, mais le PER de 633,7x et l'EV/EBITDA de 24,7x traduisent une surévaluation manifeste par rapport aux bénéfices et à la capacité opérationnelle — le marché price une spéculation sur un retournement futur. Le **comportement du cours (Partie 1)** est haussier (+41,86%) mais avec une volatilité très élevée (51,5%) et des statistiques (kurtosis -0,628, skewness -0,234) qui indiquent une distribution normale sans risque extrême, bien qu'un essoufflement soit perceptible. Les **signaux techniques (Partie 2)** sont mitigés : les moyennes mobiles restent haussières, mais le MACD génère un signal de vente et les oscillateurs sont neutres, suggérant une consolidation imminente. Les **fondamentaux (Partie 3)** révèlent une situation fragile : rentabilité quasi-nulle (ROE 0,13%), trésorerie négative (-16,69 Mds FCFA), mais une amélioration récente au T1 2026 (résultat net de +65,6 M FCFA) et des perspectives de croissance liées aux nouvelles divisions. Les **prédictions IA (J+1 à J+10)** anticipent une **baisse progressive** de 2 123 FCFA à 2 058 FCFA, confirmant l'essoufflement technique et contredisant la tendance haussière récente. **Recommandation finale : CONSERVER** — la convergence entre la surévaluation (PER/EV-EBITDA), l'essoufflement technique (MACD vendeur) et la baisse prédite par l'IA plaide contre un achat, tandis que la sous-évaluation comptable (P/B &lt;1), l'amélioration du T1 2026 et les perspectives de croissance justifient de ne pas vendre. Le **niveau de confiance est Moyen** (divergence des signaux), le **risque global est Élevé** (volatilité 51,5%, liquidité tendue, rentabilité fragile), et l'**horizon optimal est moyen terme (3-12 mois)** pour laisser le temps aux nouvelles divisions de monter en puissance et de confirmer le retournement opérationnel.</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409.67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5,721 titres</w:t>
            </w:r>
          </w:p>
        </w:tc>
        <w:tc>
          <w:tcPr>
            <w:tcW w:type="dxa" w:w="2268"/>
            <w:shd w:fill="FFF2CC" w:val="clear"/>
          </w:tcPr>
          <w:p>
            <w:r>
              <w:rPr>
                <w:b/>
                <w:color w:val="503200"/>
                <w:sz w:val="16"/>
              </w:rPr>
              <w:t xml:space="preserve">Cours actuel : </w:t>
            </w:r>
            <w:r>
              <w:rPr>
                <w:color w:val="000000"/>
                <w:sz w:val="17"/>
              </w:rPr>
              <w:t>10,100 FCFA</w:t>
            </w:r>
          </w:p>
          <w:p>
            <w:r>
              <w:rPr>
                <w:b/>
                <w:color w:val="503200"/>
                <w:sz w:val="16"/>
              </w:rPr>
              <w:t xml:space="preserve">Var. 100 jours : </w:t>
            </w:r>
            <w:r>
              <w:rPr>
                <w:b/>
                <w:color w:val="007800"/>
                <w:sz w:val="17"/>
              </w:rPr>
              <w:t>+26.49%</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7,985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μ=9,044 FCFA, σ=569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β=-0.1696 (Contre-cyclique) — Cov=-0.000006, Var(idx)=0.000034, ρ=-0.061,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5,721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9,661</w:t>
            </w:r>
          </w:p>
        </w:tc>
        <w:tc>
          <w:tcPr>
            <w:tcW w:type="dxa" w:w="1440"/>
            <w:shd w:fill="FAFAFA" w:val="clear"/>
          </w:tcPr>
          <w:p>
            <w:r>
              <w:rPr>
                <w:b/>
                <w:sz w:val="17"/>
              </w:rPr>
              <w:t>10,006</w:t>
            </w:r>
          </w:p>
        </w:tc>
        <w:tc>
          <w:tcPr>
            <w:tcW w:type="dxa" w:w="1440"/>
            <w:shd w:fill="FAFAFA" w:val="clear"/>
          </w:tcPr>
          <w:p>
            <w:r>
              <w:rPr>
                <w:sz w:val="17"/>
              </w:rPr>
              <w:t>10,352</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9,474</w:t>
            </w:r>
          </w:p>
        </w:tc>
        <w:tc>
          <w:tcPr>
            <w:tcW w:type="dxa" w:w="1440"/>
            <w:shd w:fill="FAFAFA" w:val="clear"/>
          </w:tcPr>
          <w:p>
            <w:r>
              <w:rPr>
                <w:b/>
                <w:sz w:val="17"/>
              </w:rPr>
              <w:t>9,961</w:t>
            </w:r>
          </w:p>
        </w:tc>
        <w:tc>
          <w:tcPr>
            <w:tcW w:type="dxa" w:w="1440"/>
            <w:shd w:fill="FAFAFA" w:val="clear"/>
          </w:tcPr>
          <w:p>
            <w:r>
              <w:rPr>
                <w:sz w:val="17"/>
              </w:rPr>
              <w:t>10,448</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9,320</w:t>
            </w:r>
          </w:p>
        </w:tc>
        <w:tc>
          <w:tcPr>
            <w:tcW w:type="dxa" w:w="1440"/>
            <w:shd w:fill="FAFAFA" w:val="clear"/>
          </w:tcPr>
          <w:p>
            <w:r>
              <w:rPr>
                <w:b/>
                <w:sz w:val="17"/>
              </w:rPr>
              <w:t>9,914</w:t>
            </w:r>
          </w:p>
        </w:tc>
        <w:tc>
          <w:tcPr>
            <w:tcW w:type="dxa" w:w="1440"/>
            <w:shd w:fill="FAFAFA" w:val="clear"/>
          </w:tcPr>
          <w:p>
            <w:r>
              <w:rPr>
                <w:sz w:val="17"/>
              </w:rPr>
              <w:t>10,507</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9,190</w:t>
            </w:r>
          </w:p>
        </w:tc>
        <w:tc>
          <w:tcPr>
            <w:tcW w:type="dxa" w:w="1440"/>
            <w:shd w:fill="FFDCE0" w:val="clear"/>
          </w:tcPr>
          <w:p>
            <w:r>
              <w:rPr>
                <w:b/>
                <w:sz w:val="17"/>
              </w:rPr>
              <w:t>9,872</w:t>
            </w:r>
          </w:p>
        </w:tc>
        <w:tc>
          <w:tcPr>
            <w:tcW w:type="dxa" w:w="1440"/>
            <w:shd w:fill="FFDCE0" w:val="clear"/>
          </w:tcPr>
          <w:p>
            <w:r>
              <w:rPr>
                <w:sz w:val="17"/>
              </w:rPr>
              <w:t>10,554</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9,074</w:t>
            </w:r>
          </w:p>
        </w:tc>
        <w:tc>
          <w:tcPr>
            <w:tcW w:type="dxa" w:w="1440"/>
            <w:shd w:fill="FFDCE0" w:val="clear"/>
          </w:tcPr>
          <w:p>
            <w:r>
              <w:rPr>
                <w:b/>
                <w:sz w:val="17"/>
              </w:rPr>
              <w:t>9,834</w:t>
            </w:r>
          </w:p>
        </w:tc>
        <w:tc>
          <w:tcPr>
            <w:tcW w:type="dxa" w:w="1440"/>
            <w:shd w:fill="FFDCE0" w:val="clear"/>
          </w:tcPr>
          <w:p>
            <w:r>
              <w:rPr>
                <w:sz w:val="17"/>
              </w:rPr>
              <w:t>10,594</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8,969</w:t>
            </w:r>
          </w:p>
        </w:tc>
        <w:tc>
          <w:tcPr>
            <w:tcW w:type="dxa" w:w="1440"/>
            <w:shd w:fill="FFDCE0" w:val="clear"/>
          </w:tcPr>
          <w:p>
            <w:r>
              <w:rPr>
                <w:b/>
                <w:sz w:val="17"/>
              </w:rPr>
              <w:t>9,798</w:t>
            </w:r>
          </w:p>
        </w:tc>
        <w:tc>
          <w:tcPr>
            <w:tcW w:type="dxa" w:w="1440"/>
            <w:shd w:fill="FFDCE0" w:val="clear"/>
          </w:tcPr>
          <w:p>
            <w:r>
              <w:rPr>
                <w:sz w:val="17"/>
              </w:rPr>
              <w:t>10,628</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8,871</w:t>
            </w:r>
          </w:p>
        </w:tc>
        <w:tc>
          <w:tcPr>
            <w:tcW w:type="dxa" w:w="1440"/>
            <w:shd w:fill="FFDCE0" w:val="clear"/>
          </w:tcPr>
          <w:p>
            <w:r>
              <w:rPr>
                <w:b/>
                <w:sz w:val="17"/>
              </w:rPr>
              <w:t>9,764</w:t>
            </w:r>
          </w:p>
        </w:tc>
        <w:tc>
          <w:tcPr>
            <w:tcW w:type="dxa" w:w="1440"/>
            <w:shd w:fill="FFDCE0" w:val="clear"/>
          </w:tcPr>
          <w:p>
            <w:r>
              <w:rPr>
                <w:sz w:val="17"/>
              </w:rPr>
              <w:t>10,657</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8,781</w:t>
            </w:r>
          </w:p>
        </w:tc>
        <w:tc>
          <w:tcPr>
            <w:tcW w:type="dxa" w:w="1440"/>
            <w:shd w:fill="FFDCE0" w:val="clear"/>
          </w:tcPr>
          <w:p>
            <w:r>
              <w:rPr>
                <w:b/>
                <w:sz w:val="17"/>
              </w:rPr>
              <w:t>9,732</w:t>
            </w:r>
          </w:p>
        </w:tc>
        <w:tc>
          <w:tcPr>
            <w:tcW w:type="dxa" w:w="1440"/>
            <w:shd w:fill="FFDCE0" w:val="clear"/>
          </w:tcPr>
          <w:p>
            <w:r>
              <w:rPr>
                <w:sz w:val="17"/>
              </w:rPr>
              <w:t>10,683</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8,695</w:t>
            </w:r>
          </w:p>
        </w:tc>
        <w:tc>
          <w:tcPr>
            <w:tcW w:type="dxa" w:w="1440"/>
            <w:shd w:fill="FFDCE0" w:val="clear"/>
          </w:tcPr>
          <w:p>
            <w:r>
              <w:rPr>
                <w:b/>
                <w:sz w:val="17"/>
              </w:rPr>
              <w:t>9,701</w:t>
            </w:r>
          </w:p>
        </w:tc>
        <w:tc>
          <w:tcPr>
            <w:tcW w:type="dxa" w:w="1440"/>
            <w:shd w:fill="FFDCE0" w:val="clear"/>
          </w:tcPr>
          <w:p>
            <w:r>
              <w:rPr>
                <w:sz w:val="17"/>
              </w:rPr>
              <w:t>10,707</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8,615</w:t>
            </w:r>
          </w:p>
        </w:tc>
        <w:tc>
          <w:tcPr>
            <w:tcW w:type="dxa" w:w="1440"/>
            <w:shd w:fill="FFDCE0" w:val="clear"/>
          </w:tcPr>
          <w:p>
            <w:r>
              <w:rPr>
                <w:b/>
                <w:sz w:val="17"/>
              </w:rPr>
              <w:t>9,672</w:t>
            </w:r>
          </w:p>
        </w:tc>
        <w:tc>
          <w:tcPr>
            <w:tcW w:type="dxa" w:w="1440"/>
            <w:shd w:fill="FFDCE0" w:val="clear"/>
          </w:tcPr>
          <w:p>
            <w:r>
              <w:rPr>
                <w:sz w:val="17"/>
              </w:rPr>
              <w:t>10,729</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BOAB (Bank of Africa Bénin)</w:t>
        <w:br/>
        <w:t>### BRVM | Secteur : Banque | Cours de référence : 10 100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**409,67 Mds FCFA**, BOAB se positionne parmi les valeurs bancaires de premier plan de la cote BRVM, ce qui traduit une forte attractivité institutionnelle. Le **BPA de 496 FCFA/action** signifie que chaque titre génère près de 500 FCFA de bénéfice net, un niveau confortable rapporté au cours actuel de 10 100 FCFA. Le **PER de 20,4x** est nettement supérieur à la moyenne du marché BRVM (généralement 8-12x), ce qui indique que les investisseurs paient une prime significative pour les bénéfices de la banque — soit en anticipant une croissance future soutenue, soit en raison d'une surévaluation relative. Le **P/B de 3,49x** confirme cette prime : le marché valorise BOAB à près de 3,5 fois sa valeur comptable, ce qui est cohérent avec une banque affichant un ROE supérieur à 17 %, mais laisse peu de marge de sécurité en cas de déception. Enfin, l'**EV/EBITDA de 20,6x** (au-delà du seuil exigeant de 15x) signale que la valeur d'entreprise intègre déjà une forte capacité bénéficiaire, ce qui rend le titre vulnérable à toute dégradation des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 affiche une performance remarquable de **+26,49 %**, avec une dernière séance en hausse de **+0,70 %**, confirmant un momentum haussier toujours actif. Le titre a évolué dans un range de **7 985 FCFA (plus bas) à 10 350 FCFA (plus haut)**, soit une amplitude de près de 30 %, et cote actuellement à 10 100 FCFA, à seulement 2,4 % de son sommet — signe de force relative. La tendance générale est donc clairement **haussière**, portée par des fondamentaux bancaires solides et un intérêt croissant pour les valeurs financières de la zone UEMOA. Les statistiques descriptives révèlent une **moyenne de 9 044 FCFA** supérieure à la **médiane de 8 860 FCFA**, avec un mode à 8 700 FCFA : cet écart confirme une distribution asymétrique où les récentes poussées haussières tirent la moyenne vers le haut. L'**écart-type de 572 FCFA (CV = 6,3 %)** indique une dispersion modérée du cours, tandis que le **kurtosis de 0,213 (mésokurtique)** suggère une distribution proche de la normale, sans risque excessif de pics extrêmes. Le **skewness de +0,887** révèle une asymétrie positive : le titre a connu davantage de journées sous la moyenne, mais les hausses ont été plus amples — un profil typique d'accumulation haussière. Enfin, la **volatilité annualisée de 26,1 %** place BOAB dans la catégorie des titres à volatilité **modérée** (15-30 %), offrant un compromis intéressant entre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(9 914,25 FCFA) et la MM50 (9 217,0 FCFA) sont toutes deux inférieures au cours actuel (10 100 FCFA), et la MM20 surplombe la MM50 — configuration haussière classique (golden cross). Le cours évolue au-dessus de ses deux moyennes, ce qui valide la **décision d'Achat** et confirme la solidité de la tendance de fond.</w:t>
      </w:r>
    </w:p>
    <w:p>
      <w:pPr>
        <w:spacing w:after="120" w:line="276" w:lineRule="auto"/>
      </w:pPr>
      <w:r>
        <w:t>**Bandes de Bollinger** : Le cours (10 100 FCFA) se situe dans la partie haute du canal, entre la borne inférieure (8 872,42 FCFA) et la borne supérieure (10 956,08 FCFA), sans la franchir. Cette position médiane-haute traduit une volatilité maîtrisée et une absence de signal extrême, justifiant la **décision Neutre** — le titre n'est ni en surchauffe, ni en zone d'achat agressive.</w:t>
      </w:r>
    </w:p>
    <w:p>
      <w:pPr>
        <w:spacing w:after="120" w:line="276" w:lineRule="auto"/>
      </w:pPr>
      <w:r>
        <w:t>**MACD** : La valeur du MACD (317,60) est légèrement inférieure à son signal (351,62), générant un croisement baissier de court terme. Ce divergence négative indique un **essoufflement du momentum haussier**, ce qui justifie la **décision de Vente** à court terme, bien que l'amplitude reste faible et puisse se résorber rapidement.</w:t>
      </w:r>
    </w:p>
    <w:p>
      <w:pPr>
        <w:spacing w:after="120" w:line="276" w:lineRule="auto"/>
      </w:pPr>
      <w:r>
        <w:t>**RSI** : À **53,75**, le RSI se situe parfaitement en zone neutre (30-70), sans signal de surachat (&gt;70) ni de survente (&lt;30). Cette configuration indique un **équilibre entre acheteurs et vendeurs**, justifiant la **décision Neutre** — le titre dispose d'un potentiel de hausse sans être techniquement épuisé.</w:t>
      </w:r>
    </w:p>
    <w:p>
      <w:pPr>
        <w:spacing w:after="120" w:line="276" w:lineRule="auto"/>
      </w:pPr>
      <w:r>
        <w:t>**Stochastique** : Le %K (30,56) est inférieur au %D (41,75), avec un croisement en zone basse proche de la survente. Cette configuration suggère une **pression vendeuse de court terme** mais aussi un possible rebond imminent si le %K franchit le %D à la hausse — d'où la **décision Neutre** prudente.</w:t>
      </w:r>
    </w:p>
    <w:p>
      <w:pPr>
        <w:spacing w:after="120" w:line="276" w:lineRule="auto"/>
      </w:pPr>
      <w:r>
        <w:t>**Conclusion technique** : Les indicateurs sont **partagés** — les moyennes mobiles confirment la tendance haussière de fond, tandis que le MACD signale un essoufflement de court terme et que le RSI/Stochastique restent neutres. Le titre se trouve dans une phase de consolidation saine après une forte progression, sans signal de retournement majeur. La configuration globale reste **constructive** mais appelle à la patience pour un point d'entrée optimal.</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 affiche un **Produit Net Bancaire (PNB) de 51,274 Mds FCFA**, en croissance de **+10,20 %**, et un **résultat net de 20,107 Mds FCFA**, soit une **marge nette de 39,22 %** — un niveau exceptionnel pour le secteur bancaire. Le **ROE s'établit à 17,11 %** (&gt;15 % = excellent) et le **ROA à 2,08 %**, confirmant une rentabilité solide. Le **coefficient d'exploitation de 49,53 %** (&lt;50 % = excellente efficacité) témoigne d'une maîtrise remarquable des charges. Le **coût du risque/charges financières de 22,50 %** reste élevé et constitue le principal point de vigilance, tout comme le **ratio d'endettement de 98,77 %** et l'**autonomie financière de 12,18 %** (faible, mais structurel pour une banque). La **capacité de remboursement de 5,09 années** et la **couverture des intérêts de 101,77 %** demeurent acceptables.</w:t>
      </w:r>
    </w:p>
    <w:p>
      <w:pPr>
        <w:spacing w:after="120" w:line="276" w:lineRule="auto"/>
      </w:pPr>
      <w:r>
        <w:t>**Estimations basées sur les rapports trimestriels** : Le **rapport T1 2026 (publié le 12/09/2026)** fait état d'un **PNB de 12,329 Mds FCFA (+11 %)** et d'un **résultat net de 4,502 Mds FCFA (+1 %)**, avec des dépôts clientèle en hausse de **+3,5 % à 753,7 Mds FCFA** — signal positif après la contraction observée en 2025. Le **rapport T3 2025 (30/09/2025)** confirmait déjà cette dynamique avec un **PNB de 37,065 Mds FCFA (+9 %)** et un **résultat net de 15,880 Mds FCFA (+13 %)**. Sur cette base, on estime que l'exercice 2026 devrait enregistrer un **PNB annuel proche de 55-57 Mds FCFA** et un **résultat net autour de 20,5-21,5 Mds FCFA**, soit une croissance modérée de 2-7 %. Le **rapport S1 2025 (30/06/2025)** mentionnait un ROE de 20,3 % et un coefficient d'exploitation de 46,1 %, confirmant la trajectoire d'efficacité.</w:t>
      </w:r>
    </w:p>
    <w:p>
      <w:pPr>
        <w:spacing w:after="120" w:line="276" w:lineRule="auto"/>
      </w:pPr>
      <w:r>
        <w:t>**Recommandation fondamentale** : BOAB présente des **fondamentaux bancaires solides** (ROE &gt;17 %, coefficient d'exploitation &lt;50 %, marge nette ~39 %), mais fait face à des **risques de ralentissement** (croissance du résultat net limitée à +1 % au T1 2026, coût du risque élevé, contraction du bilan en 2025). La **solidité financière est avérée**, mais la **valorisation exigeante** (PER 20,4x) laisse peu de marge d'erreur. Recommandation fondamentale : **CONSERVER** avec surveillance rapprochée des prochains trimestres.</w:t>
      </w:r>
    </w:p>
    <w:p>
      <w:pPr>
        <w:spacing w:after="120" w:line="276" w:lineRule="auto"/>
      </w:pPr>
      <w:r>
        <w:t>---</w:t>
      </w:r>
    </w:p>
    <w:p>
      <w:pPr>
        <w:spacing w:after="120" w:line="276" w:lineRule="auto"/>
      </w:pPr>
      <w:r>
        <w:t>## PARTIE 4 : CONCLUSION D'INVESTISSEMENT</w:t>
      </w:r>
    </w:p>
    <w:p>
      <w:pPr>
        <w:spacing w:after="120" w:line="276" w:lineRule="auto"/>
      </w:pPr>
      <w:r>
        <w:t>La **valorisation (Partie 0)** affiche un PER de 20,4x et un P/B de 3,49x, nettement supérieurs aux moyennes du marché BRVM, ce qui suggère une **surévaluation relative** intégrant déjà une forte prime de croissance. Le **comportement du cours (Partie 1)** est très favorable (+26,49 % sur 100 jours, volatilité modérée de 26,1 %, skewness positif de +0,887), avec un titre proche de ses sommets et une distribution mésokurtique sans risque extrême. Les **signaux techniques (Partie 2)** sont **mitigés** : les moyennes mobiles valident la tendance haussière, mais le MACD génère un signal de vente et le RSI/Stochastique restent neutres, plaidant pour une consolidation. Les **fondamentaux (Partie 3)** demeurent solides (ROE 17,11 %, coefficient d'exploitation 49,53 %, PNB +10,2 % en 2025), mais le ralentissement du résultat net au T1 2026 (+1 %) et le coût du risque élevé (22,50 %) tempèrent l'optimisme. Les **prédictions IA (J+1 à J+10)** anticipent une **légère correction baissière** de 10 006 FCFA à 9 834 FCFA (-2,6 % sur 5 séances), ce qui **contredit partiellement** le momentum haussier récent mais **confirme** le signal de vente du MACD.</w:t>
      </w:r>
    </w:p>
    <w:p>
      <w:pPr>
        <w:spacing w:after="120" w:line="276" w:lineRule="auto"/>
      </w:pPr>
      <w:r>
        <w:t>**Recommandation finale : CONSERVER**</w:t>
      </w:r>
    </w:p>
    <w:p>
      <w:pPr>
        <w:spacing w:after="120" w:line="276" w:lineRule="auto"/>
      </w:pPr>
      <w:r>
        <w:t>Cette recommandation résulte d'une **divergence modérée** entre les signaux : la valorisation exigeante et les prédictions baissières de court terme plaident pour la prudence, tandis que les fondamentaux solides et la tendance haussière de fond soutiennent le titre. Le niveau de confiance est **Moyen**, car les indicateurs techniques sont partagés et les prédictions IA restent incertaines. Le **risque global est Moyen** (volatilité modérée, valorisation tendue, mais bilan solide). L'**horizon d'investissement optimal** est le **moyen terme (3-12 mois)**, en attendant une consolidation permettant un point d'entrée plus favorable, ou la confirmation d'une accélération du résultat net au T2 2026 pour justifier la prime de valorisation actuelle.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395.56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6,787 titres</w:t>
            </w:r>
          </w:p>
        </w:tc>
        <w:tc>
          <w:tcPr>
            <w:tcW w:type="dxa" w:w="2268"/>
            <w:shd w:fill="FFF2CC" w:val="clear"/>
          </w:tcPr>
          <w:p>
            <w:r>
              <w:rPr>
                <w:b/>
                <w:color w:val="503200"/>
                <w:sz w:val="16"/>
              </w:rPr>
              <w:t xml:space="preserve">Cours actuel : </w:t>
            </w:r>
            <w:r>
              <w:rPr>
                <w:color w:val="000000"/>
                <w:sz w:val="17"/>
              </w:rPr>
              <w:t>8,990 FCFA</w:t>
            </w:r>
          </w:p>
          <w:p>
            <w:r>
              <w:rPr>
                <w:b/>
                <w:color w:val="503200"/>
                <w:sz w:val="16"/>
              </w:rPr>
              <w:t xml:space="preserve">Var. 100 jours : </w:t>
            </w:r>
            <w:r>
              <w:rPr>
                <w:b/>
                <w:color w:val="007800"/>
                <w:sz w:val="17"/>
              </w:rPr>
              <w:t>+59.68%</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18.54% (Élevée) — μ=6,480 FCFA, σ=1,201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β=0.1015 (Défensif) — Cov=0.000003, Var(idx)=0.000034, ρ=0.028,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8,594</w:t>
            </w:r>
          </w:p>
        </w:tc>
        <w:tc>
          <w:tcPr>
            <w:tcW w:type="dxa" w:w="1440"/>
            <w:shd w:fill="FAFAFA" w:val="clear"/>
          </w:tcPr>
          <w:p>
            <w:r>
              <w:rPr>
                <w:b/>
                <w:sz w:val="17"/>
              </w:rPr>
              <w:t>8,914</w:t>
            </w:r>
          </w:p>
        </w:tc>
        <w:tc>
          <w:tcPr>
            <w:tcW w:type="dxa" w:w="1440"/>
            <w:shd w:fill="FAFAFA" w:val="clear"/>
          </w:tcPr>
          <w:p>
            <w:r>
              <w:rPr>
                <w:sz w:val="17"/>
              </w:rPr>
              <w:t>9,235</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8,411</w:t>
            </w:r>
          </w:p>
        </w:tc>
        <w:tc>
          <w:tcPr>
            <w:tcW w:type="dxa" w:w="1440"/>
            <w:shd w:fill="FAFAFA" w:val="clear"/>
          </w:tcPr>
          <w:p>
            <w:r>
              <w:rPr>
                <w:b/>
                <w:sz w:val="17"/>
              </w:rPr>
              <w:t>8,861</w:t>
            </w:r>
          </w:p>
        </w:tc>
        <w:tc>
          <w:tcPr>
            <w:tcW w:type="dxa" w:w="1440"/>
            <w:shd w:fill="FAFAFA" w:val="clear"/>
          </w:tcPr>
          <w:p>
            <w:r>
              <w:rPr>
                <w:sz w:val="17"/>
              </w:rPr>
              <w:t>9,312</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8,274</w:t>
            </w:r>
          </w:p>
        </w:tc>
        <w:tc>
          <w:tcPr>
            <w:tcW w:type="dxa" w:w="1440"/>
            <w:shd w:fill="FAFAFA" w:val="clear"/>
          </w:tcPr>
          <w:p>
            <w:r>
              <w:rPr>
                <w:b/>
                <w:sz w:val="17"/>
              </w:rPr>
              <w:t>8,824</w:t>
            </w:r>
          </w:p>
        </w:tc>
        <w:tc>
          <w:tcPr>
            <w:tcW w:type="dxa" w:w="1440"/>
            <w:shd w:fill="FAFAFA" w:val="clear"/>
          </w:tcPr>
          <w:p>
            <w:r>
              <w:rPr>
                <w:sz w:val="17"/>
              </w:rPr>
              <w:t>9,374</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8,166</w:t>
            </w:r>
          </w:p>
        </w:tc>
        <w:tc>
          <w:tcPr>
            <w:tcW w:type="dxa" w:w="1440"/>
            <w:shd w:fill="FFDCE0" w:val="clear"/>
          </w:tcPr>
          <w:p>
            <w:r>
              <w:rPr>
                <w:b/>
                <w:sz w:val="17"/>
              </w:rPr>
              <w:t>8,799</w:t>
            </w:r>
          </w:p>
        </w:tc>
        <w:tc>
          <w:tcPr>
            <w:tcW w:type="dxa" w:w="1440"/>
            <w:shd w:fill="FFDCE0" w:val="clear"/>
          </w:tcPr>
          <w:p>
            <w:r>
              <w:rPr>
                <w:sz w:val="17"/>
              </w:rPr>
              <w:t>9,431</w:t>
            </w:r>
          </w:p>
        </w:tc>
        <w:tc>
          <w:tcPr>
            <w:tcW w:type="dxa" w:w="1440"/>
            <w:shd w:fill="FFDCE0" w:val="clear"/>
          </w:tcPr>
          <w:p>
            <w:r>
              <w:rPr>
                <w:b/>
                <w:color w:val="C00000"/>
                <w:sz w:val="17"/>
              </w:rPr>
              <w:t>-2.1%</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8,073</w:t>
            </w:r>
          </w:p>
        </w:tc>
        <w:tc>
          <w:tcPr>
            <w:tcW w:type="dxa" w:w="1440"/>
            <w:shd w:fill="FFDCE0" w:val="clear"/>
          </w:tcPr>
          <w:p>
            <w:r>
              <w:rPr>
                <w:b/>
                <w:sz w:val="17"/>
              </w:rPr>
              <w:t>8,779</w:t>
            </w:r>
          </w:p>
        </w:tc>
        <w:tc>
          <w:tcPr>
            <w:tcW w:type="dxa" w:w="1440"/>
            <w:shd w:fill="FFDCE0" w:val="clear"/>
          </w:tcPr>
          <w:p>
            <w:r>
              <w:rPr>
                <w:sz w:val="17"/>
              </w:rPr>
              <w:t>9,485</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7,990</w:t>
            </w:r>
          </w:p>
        </w:tc>
        <w:tc>
          <w:tcPr>
            <w:tcW w:type="dxa" w:w="1440"/>
            <w:shd w:fill="FFDCE0" w:val="clear"/>
          </w:tcPr>
          <w:p>
            <w:r>
              <w:rPr>
                <w:b/>
                <w:sz w:val="17"/>
              </w:rPr>
              <w:t>8,762</w:t>
            </w:r>
          </w:p>
        </w:tc>
        <w:tc>
          <w:tcPr>
            <w:tcW w:type="dxa" w:w="1440"/>
            <w:shd w:fill="FFDCE0" w:val="clear"/>
          </w:tcPr>
          <w:p>
            <w:r>
              <w:rPr>
                <w:sz w:val="17"/>
              </w:rPr>
              <w:t>9,534</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7,914</w:t>
            </w:r>
          </w:p>
        </w:tc>
        <w:tc>
          <w:tcPr>
            <w:tcW w:type="dxa" w:w="1440"/>
            <w:shd w:fill="FFDCE0" w:val="clear"/>
          </w:tcPr>
          <w:p>
            <w:r>
              <w:rPr>
                <w:b/>
                <w:sz w:val="17"/>
              </w:rPr>
              <w:t>8,746</w:t>
            </w:r>
          </w:p>
        </w:tc>
        <w:tc>
          <w:tcPr>
            <w:tcW w:type="dxa" w:w="1440"/>
            <w:shd w:fill="FFDCE0" w:val="clear"/>
          </w:tcPr>
          <w:p>
            <w:r>
              <w:rPr>
                <w:sz w:val="17"/>
              </w:rPr>
              <w:t>9,578</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7,843</w:t>
            </w:r>
          </w:p>
        </w:tc>
        <w:tc>
          <w:tcPr>
            <w:tcW w:type="dxa" w:w="1440"/>
            <w:shd w:fill="FFDCE0" w:val="clear"/>
          </w:tcPr>
          <w:p>
            <w:r>
              <w:rPr>
                <w:b/>
                <w:sz w:val="17"/>
              </w:rPr>
              <w:t>8,731</w:t>
            </w:r>
          </w:p>
        </w:tc>
        <w:tc>
          <w:tcPr>
            <w:tcW w:type="dxa" w:w="1440"/>
            <w:shd w:fill="FFDCE0" w:val="clear"/>
          </w:tcPr>
          <w:p>
            <w:r>
              <w:rPr>
                <w:sz w:val="17"/>
              </w:rPr>
              <w:t>9,619</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7,776</w:t>
            </w:r>
          </w:p>
        </w:tc>
        <w:tc>
          <w:tcPr>
            <w:tcW w:type="dxa" w:w="1440"/>
            <w:shd w:fill="FFDCE0" w:val="clear"/>
          </w:tcPr>
          <w:p>
            <w:r>
              <w:rPr>
                <w:b/>
                <w:sz w:val="17"/>
              </w:rPr>
              <w:t>8,716</w:t>
            </w:r>
          </w:p>
        </w:tc>
        <w:tc>
          <w:tcPr>
            <w:tcW w:type="dxa" w:w="1440"/>
            <w:shd w:fill="FFDCE0" w:val="clear"/>
          </w:tcPr>
          <w:p>
            <w:r>
              <w:rPr>
                <w:sz w:val="17"/>
              </w:rPr>
              <w:t>9,656</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7,712</w:t>
            </w:r>
          </w:p>
        </w:tc>
        <w:tc>
          <w:tcPr>
            <w:tcW w:type="dxa" w:w="1440"/>
            <w:shd w:fill="FFDCE0" w:val="clear"/>
          </w:tcPr>
          <w:p>
            <w:r>
              <w:rPr>
                <w:b/>
                <w:sz w:val="17"/>
              </w:rPr>
              <w:t>8,701</w:t>
            </w:r>
          </w:p>
        </w:tc>
        <w:tc>
          <w:tcPr>
            <w:tcW w:type="dxa" w:w="1440"/>
            <w:shd w:fill="FFDCE0" w:val="clear"/>
          </w:tcPr>
          <w:p>
            <w:r>
              <w:rPr>
                <w:sz w:val="17"/>
              </w:rPr>
              <w:t>9,690</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BOABF (Bank of Africa Burkina Faso)</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395,56 milliards FCFA, BOABF s'impose comme l'une des valeurs les plus importantes de la cote BRVM, ce qui témoigne de la confiance des investisseurs dans ce pilier du secteur bancaire burkinabè. Le BPA de 438 FCFA par action signifie que chaque titre génère près de 438 FCFA de bénéfice net, un niveau de rentabilité par action appréciable. Le PER de 20,5x se situe nettement au-dessus de la moyenne BRVM (8-12x), signalant soit une prime de croissance anticipée, soit une surévaluation relative — d'autant que la croissance du PNB 2025 n'est que de +0,57%. Le P/B de 3,13x indique que le marché valorise la banque à plus de trois fois sa valeur comptable, une prime de croissance accordée mais qui laisse peu de marge de sécurité. Enfin, l'EV/EBITDA de 9,5x reste dans une fourchette raisonnable (5-10x), suggérant que la valeur d'entreprise reste cohérente avec la capacité opérationnelle, ce qui nuance le diagnostic de surévaluation suggéré par le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BOABF a enregistré une progression spectaculaire de +59,68%, passant d'un plus bas de 5 235 FCFA à un plus haut de 9 090 FCFA, pour un cours actuel de 8 990 FCFA — la variation J-1 étant quasi nulle (-0,06%), signe d'une stabilisation en fin de période. Cette tendance nettement haussière traduit un fort engouement du marché, le titre ayant plus que doublé depuis ses points bas. Les statistiques descriptives révèlent une distribution asymétrique : la moyenne (6 480 FCFA) dépasse la médiane (5 920 FCFA), elle-même supérieure au mode (5 400 FCFA), confirmant que le cours a passé davantage de séances sous sa moyenne avant de s'envoler en fin de période. L'écart-type de 1 207 FCFA avec un coefficient de variation de 18,6% indique une dispersion modérée du cours. Le kurtosis de -0,432 (mésokurtique) suggère une distribution proche de la normale, sans risque majeur de pics extrêmes, tandis que le skewness positif de 0,908 confirme cette asymétrie avec davantage de journées sous la moyenne. La volatilité annualisée de 33,6% classe le titre dans la catégorie des valeurs à volatilité élevée (&gt;30%), ce qui implique un risque de correction significatif après une telle hausse.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(8 990 FCFA) évolue nettement au-dessus de la MM20 (8 409,25 FCFA) et de la MM50 (7 448,70 FCFA), confirmant une configuration haussière solide où les moyennes courtes soutiennent le prix. L'écart croissant entre MM20 et MM50 traduit un momentum positif soutenu, justifiant la décision d'achat technique.</w:t>
      </w:r>
    </w:p>
    <w:p>
      <w:pPr>
        <w:spacing w:after="120" w:line="276" w:lineRule="auto"/>
      </w:pPr>
      <w:r>
        <w:t>**Bandes de Bollinger** : Le cours (8 990 FCFA) se situe dans la partie haute du canal, entre la borne inférieure (6 916,07 FCFA) et la borne supérieure (9 902,44 FCFA), sans franchir cette dernière. Cette position élevée mais non extrême, combinée à un écart-type modéré, justifie la décision neutre : le titre n'est ni en surchauffe extrême, ni en zone d'achat évidente.</w:t>
      </w:r>
    </w:p>
    <w:p>
      <w:pPr>
        <w:spacing w:after="120" w:line="276" w:lineRule="auto"/>
      </w:pPr>
      <w:r>
        <w:t>**MACD** : La valeur du MACD (497,47) est légèrement inférieure à son signal (510,62), générant un croisement baissier marginal qui justifie la décision de vente. Ce signal suggère un essoufflement du momentum haussier, bien que l'écart reste faible et puisse se résorber rapidement.</w:t>
      </w:r>
    </w:p>
    <w:p>
      <w:pPr>
        <w:spacing w:after="120" w:line="276" w:lineRule="auto"/>
      </w:pPr>
      <w:r>
        <w:t>**RSI** : À 81,31, le RSI se situe largement au-dessus du seuil de surachat de 70, signalant une décision de vente. Le titre est techniquement en zone de surchauffe après sa forte progression, ce qui expose à un risque de correction à court terme.</w:t>
      </w:r>
    </w:p>
    <w:p>
      <w:pPr>
        <w:spacing w:after="120" w:line="276" w:lineRule="auto"/>
      </w:pPr>
      <w:r>
        <w:t>**Stochastique** : Le %K (90,83) et le %D (92,72) évoluent tous deux en zone de surachat extrême, avec un %K légèrement sous le %D, suggérant un possible croisement baissier imminent. Cette configuration confirme la décision de vente et renforce l'alerte sur un essoufflement proche.</w:t>
      </w:r>
    </w:p>
    <w:p>
      <w:pPr>
        <w:spacing w:after="120" w:line="276" w:lineRule="auto"/>
      </w:pPr>
      <w:r>
        <w:t>**Conclusion technique** : Les indicateurs présentent une divergence notable : les moyennes mobiles restent haussières (achat), tandis que le MACD, le RSI et le stochastique signalent tous une surchauffe (vente), et les Bollinger une position neutre. Cette configuration typique d'un titre en fin de rallye suggère une consolidation voire une correction à court terme, malgré une tendance de fond encore positive. La prudence est de mise pour les acheteurs tardifs.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BOABF affiche un Produit Net Bancaire (PNB, équivalent du chiffre d'affaires pour une banque) de 57,820 milliards FCFA, quasi stable (+0,57%) par rapport à 2024, et un résultat net de 19,252 milliards FCFA, en recul de -14,1% (contre 22,419 milliards en 2024). Le ROE s'établit à 15,22% (&gt;15% = excellent) et le ROA à 1,68%, confirmant la solidité structurelle de la banque. Le coefficient d'exploitation de 47,19% (&lt;50% = excellente efficacité) témoigne d'une gestion rigoureuse des charges. Le coût du risque rapporté aux charges financières atteint 33,92%, un niveau élevé qui explique la dégradation du résultat net 2025, le coût du risque ayant quasiment doublé (de -4,303 à -8,355 milliards FCFA). Le ratio dépôts/crédits est très favorable : 877,822 milliards de dépôts clientèle contre 474,064 milliards de créances clientèle, soit une transformation prudente (les dépôts couvrent près de 1,85x les crédits), mais les créances interbancaires ont bondi (213,132 vs 53,994 milliards), signalant un repositionnement vers des actifs moins risqués.</w:t>
      </w:r>
    </w:p>
    <w:p>
      <w:pPr>
        <w:spacing w:after="120" w:line="276" w:lineRule="auto"/>
      </w:pPr>
      <w:r>
        <w:t>**Estimations basées sur les rapports trimestriels** : Le rapport du T1 2026 (publié le 31/03/2026) révèle un PNB de 12,694 milliards FCFA, en repli de -10,75%, et un résultat net de 4,520 milliards (-12,99%). Toutefois, le rapport du S1 2026 (30/06/2026) montre un redressement spectaculaire du résultat net à 10,770 milliards FCFA (+31,0%), porté par une amélioration de 65,2% du coût du risque (-2,396 vs -6,876 milliards). On estime donc que l'exercice 2026 pourrait afficher un résultat net en hausse si cette normalisation du risque se confirme, malgré un PNB toujours sous pression (-5,2% au S1). Le rapport du T3 2025 (30/09/2025) confirmait déjà cette dynamique : PNB de 43,28 milliards (+0,85%) et résultat net de 13,45 milliards (-27,69%), avec une collecte de dépôts dynamique (+8%) mais une contraction des crédits (-11%).</w:t>
      </w:r>
    </w:p>
    <w:p>
      <w:pPr>
        <w:spacing w:after="120" w:line="276" w:lineRule="auto"/>
      </w:pPr>
      <w:r>
        <w:t>**Recommandation fondamentale** : La solidité financière de BOABF reste avérée (ROE &gt;15%, coefficient d'exploitation &lt;50%, solvabilité générale de 112,38%), mais la dynamique commerciale est atone (PNB quasi stable) et la rentabilité 2025 a été pénalisée par un choc de provisions. Les rapports récents (T1 et S1 2026) suggèrent une normalisation du coût du risque, mais la baisse structurelle du PNB demeure un risque majeur. Recommandation : **CONSERVER**, avec un suivi attentif de la reprise du PNB et de la qualité du portefeuille de crédits.</w:t>
      </w:r>
    </w:p>
    <w:p>
      <w:pPr>
        <w:spacing w:after="120" w:line="276" w:lineRule="auto"/>
      </w:pPr>
      <w:r>
        <w:t>---</w:t>
      </w:r>
    </w:p>
    <w:p>
      <w:pPr>
        <w:spacing w:after="120" w:line="276" w:lineRule="auto"/>
      </w:pPr>
      <w:r>
        <w:t>## PARTIE 4 : CONCLUSION D'INVESTISSEMENT</w:t>
      </w:r>
    </w:p>
    <w:p>
      <w:pPr>
        <w:spacing w:after="120" w:line="276" w:lineRule="auto"/>
      </w:pPr>
      <w:r>
        <w:t>La valorisation de BOABF apparaît tendue : le PER de 20,5x (bien supérieur à la moyenne BRVM de 8-12x) et le P/B de 3,13x suggèrent une surévaluation relative, même si l'EV/EBITDA de 9,5x reste raisonnable. Le comportement du cours est préoccupant à court terme : après une hausse de +59,68% en 100 jours, le titre affiche une volatilité élevée (33,6%) et une asymétrie positive (skewness 0,908) qui, combinée à un RSI en surachat (81,31) et un stochastique extrême (90,83), expose à une correction. Les signaux techniques sont divergents : les moyennes mobiles restent haussières, mais le MACD, le RSI et le stochastique convergent vers une vente, tandis que les Bollinger sont neutres. Les fondamentaux sont mitigés : solidité structurelle (ROE 15,22%, coefficient d'exploitation 47,19%) mais rentabilité 2025 en recul (-14,1%) et PNB atone (+0,57%), avec une lueur d'espoir issue du S1 2026 (résultat net +31,0% grâce à la normalisation du risque). Les prédictions IA (J+1 à J+10) anticipent une légère correction de 8 914 à 8 779 FCFA (-2,3% sur 5 séances), confirmant la thèse d'un essoufflement technique à court terme. **Recommandation finale : CONSERVER** — la convergence entre valorisation tendue, signaux techniques de surachat et prédictions baissières plaide contre un achat immédiat, tandis que la solidité fondamentale et l'amélioration du coût du risque au S1 2026 justifient de ne pas vendre. Le niveau de confiance est **Moyen** (divergence entre technique et fondamental) et le risque global est **Élevé** (volatilité 33,6%, PER 20,5x, contexte sécuritaire burkinabè). L'horizon optimal est le **moyen terme (3-12 mois)**, le temps que la correction technique s'achève et que la normalisation du coût du risque se confirme dans les prochains rapports trimestriels.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11,407 titres</w:t>
            </w:r>
          </w:p>
        </w:tc>
        <w:tc>
          <w:tcPr>
            <w:tcW w:type="dxa" w:w="2268"/>
            <w:shd w:fill="FFF2CC" w:val="clear"/>
          </w:tcPr>
          <w:p>
            <w:r>
              <w:rPr>
                <w:b/>
                <w:color w:val="503200"/>
                <w:sz w:val="16"/>
              </w:rPr>
              <w:t xml:space="preserve">Cours actuel : </w:t>
            </w:r>
            <w:r>
              <w:rPr>
                <w:color w:val="000000"/>
                <w:sz w:val="17"/>
              </w:rPr>
              <w:t>12,400 FCFA</w:t>
            </w:r>
          </w:p>
          <w:p>
            <w:r>
              <w:rPr>
                <w:b/>
                <w:color w:val="503200"/>
                <w:sz w:val="16"/>
              </w:rPr>
              <w:t xml:space="preserve">Var. 100 jours : </w:t>
            </w:r>
            <w:r>
              <w:rPr>
                <w:b/>
                <w:color w:val="007800"/>
                <w:sz w:val="17"/>
              </w:rPr>
              <w:t>+44.19%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8,495 FCFA</w:t>
            </w:r>
          </w:p>
          <w:p>
            <w:r>
              <w:rPr>
                <w:b/>
                <w:color w:val="503200"/>
                <w:sz w:val="16"/>
              </w:rPr>
              <w:t xml:space="preserve">Volatilité ann. : </w:t>
            </w:r>
            <w:r>
              <w:rPr>
                <w:color w:val="000000"/>
                <w:sz w:val="17"/>
              </w:rPr>
              <w:t>25.6%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27.3/100 → Moyen</w:t>
      </w:r>
    </w:p>
    <w:p>
      <w:pPr>
        <w:spacing w:before="40" w:after="80"/>
      </w:pPr>
      <w:r>
        <w:rPr>
          <w:rFonts w:ascii="Courier New" w:hAnsi="Courier New"/>
          <w:color w:val="825A00"/>
          <w:sz w:val="18"/>
        </w:rPr>
        <w:t>█████░░░░░░░░░░░░░░░  27.3/100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15.69% (Élevée) — μ=10,121 FCFA, σ=1,588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β=-0.0398 (Contre-cyclique) — Cov=-0.000001, Var(idx)=0.000034, ρ=-0.015,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11,407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11,864</w:t>
            </w:r>
          </w:p>
        </w:tc>
        <w:tc>
          <w:tcPr>
            <w:tcW w:type="dxa" w:w="1440"/>
            <w:shd w:fill="FAFAFA" w:val="clear"/>
          </w:tcPr>
          <w:p>
            <w:r>
              <w:rPr>
                <w:b/>
                <w:sz w:val="17"/>
              </w:rPr>
              <w:t>12,256</w:t>
            </w:r>
          </w:p>
        </w:tc>
        <w:tc>
          <w:tcPr>
            <w:tcW w:type="dxa" w:w="1440"/>
            <w:shd w:fill="FAFAFA" w:val="clear"/>
          </w:tcPr>
          <w:p>
            <w:r>
              <w:rPr>
                <w:sz w:val="17"/>
              </w:rPr>
              <w:t>12,647</w:t>
            </w:r>
          </w:p>
        </w:tc>
        <w:tc>
          <w:tcPr>
            <w:tcW w:type="dxa" w:w="1440"/>
            <w:shd w:fill="FAFAFA" w:val="clear"/>
          </w:tcPr>
          <w:p>
            <w:r>
              <w:rPr>
                <w:b/>
                <w:color w:val="C00000"/>
                <w:sz w:val="17"/>
              </w:rPr>
              <w:t>-1.2%</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11,602</w:t>
            </w:r>
          </w:p>
        </w:tc>
        <w:tc>
          <w:tcPr>
            <w:tcW w:type="dxa" w:w="1440"/>
            <w:shd w:fill="FFDCE0" w:val="clear"/>
          </w:tcPr>
          <w:p>
            <w:r>
              <w:rPr>
                <w:b/>
                <w:sz w:val="17"/>
              </w:rPr>
              <w:t>12,151</w:t>
            </w:r>
          </w:p>
        </w:tc>
        <w:tc>
          <w:tcPr>
            <w:tcW w:type="dxa" w:w="1440"/>
            <w:shd w:fill="FFDCE0" w:val="clear"/>
          </w:tcPr>
          <w:p>
            <w:r>
              <w:rPr>
                <w:sz w:val="17"/>
              </w:rPr>
              <w:t>12,699</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11,375</w:t>
            </w:r>
          </w:p>
        </w:tc>
        <w:tc>
          <w:tcPr>
            <w:tcW w:type="dxa" w:w="1440"/>
            <w:shd w:fill="FFDCE0" w:val="clear"/>
          </w:tcPr>
          <w:p>
            <w:r>
              <w:rPr>
                <w:b/>
                <w:sz w:val="17"/>
              </w:rPr>
              <w:t>12,041</w:t>
            </w:r>
          </w:p>
        </w:tc>
        <w:tc>
          <w:tcPr>
            <w:tcW w:type="dxa" w:w="1440"/>
            <w:shd w:fill="FFDCE0" w:val="clear"/>
          </w:tcPr>
          <w:p>
            <w:r>
              <w:rPr>
                <w:sz w:val="17"/>
              </w:rPr>
              <w:t>12,708</w:t>
            </w:r>
          </w:p>
        </w:tc>
        <w:tc>
          <w:tcPr>
            <w:tcW w:type="dxa" w:w="1440"/>
            <w:shd w:fill="FFDCE0" w:val="clear"/>
          </w:tcPr>
          <w:p>
            <w:r>
              <w:rPr>
                <w:b/>
                <w:color w:val="C00000"/>
                <w:sz w:val="17"/>
              </w:rPr>
              <w:t>-2.9%</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11,176</w:t>
            </w:r>
          </w:p>
        </w:tc>
        <w:tc>
          <w:tcPr>
            <w:tcW w:type="dxa" w:w="1440"/>
            <w:shd w:fill="FFDCE0" w:val="clear"/>
          </w:tcPr>
          <w:p>
            <w:r>
              <w:rPr>
                <w:b/>
                <w:sz w:val="17"/>
              </w:rPr>
              <w:t>11,939</w:t>
            </w:r>
          </w:p>
        </w:tc>
        <w:tc>
          <w:tcPr>
            <w:tcW w:type="dxa" w:w="1440"/>
            <w:shd w:fill="FFDCE0" w:val="clear"/>
          </w:tcPr>
          <w:p>
            <w:r>
              <w:rPr>
                <w:sz w:val="17"/>
              </w:rPr>
              <w:t>12,701</w:t>
            </w:r>
          </w:p>
        </w:tc>
        <w:tc>
          <w:tcPr>
            <w:tcW w:type="dxa" w:w="1440"/>
            <w:shd w:fill="FFDCE0" w:val="clear"/>
          </w:tcPr>
          <w:p>
            <w:r>
              <w:rPr>
                <w:b/>
                <w:color w:val="C00000"/>
                <w:sz w:val="17"/>
              </w:rPr>
              <w:t>-3.7%</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10,998</w:t>
            </w:r>
          </w:p>
        </w:tc>
        <w:tc>
          <w:tcPr>
            <w:tcW w:type="dxa" w:w="1440"/>
            <w:shd w:fill="FFDCE0" w:val="clear"/>
          </w:tcPr>
          <w:p>
            <w:r>
              <w:rPr>
                <w:b/>
                <w:sz w:val="17"/>
              </w:rPr>
              <w:t>11,843</w:t>
            </w:r>
          </w:p>
        </w:tc>
        <w:tc>
          <w:tcPr>
            <w:tcW w:type="dxa" w:w="1440"/>
            <w:shd w:fill="FFDCE0" w:val="clear"/>
          </w:tcPr>
          <w:p>
            <w:r>
              <w:rPr>
                <w:sz w:val="17"/>
              </w:rPr>
              <w:t>12,689</w:t>
            </w:r>
          </w:p>
        </w:tc>
        <w:tc>
          <w:tcPr>
            <w:tcW w:type="dxa" w:w="1440"/>
            <w:shd w:fill="FFDCE0" w:val="clear"/>
          </w:tcPr>
          <w:p>
            <w:r>
              <w:rPr>
                <w:b/>
                <w:color w:val="C00000"/>
                <w:sz w:val="17"/>
              </w:rPr>
              <w:t>-4.5%</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10,835</w:t>
            </w:r>
          </w:p>
        </w:tc>
        <w:tc>
          <w:tcPr>
            <w:tcW w:type="dxa" w:w="1440"/>
            <w:shd w:fill="FFDCE0" w:val="clear"/>
          </w:tcPr>
          <w:p>
            <w:r>
              <w:rPr>
                <w:b/>
                <w:sz w:val="17"/>
              </w:rPr>
              <w:t>11,755</w:t>
            </w:r>
          </w:p>
        </w:tc>
        <w:tc>
          <w:tcPr>
            <w:tcW w:type="dxa" w:w="1440"/>
            <w:shd w:fill="FFDCE0" w:val="clear"/>
          </w:tcPr>
          <w:p>
            <w:r>
              <w:rPr>
                <w:sz w:val="17"/>
              </w:rPr>
              <w:t>12,675</w:t>
            </w:r>
          </w:p>
        </w:tc>
        <w:tc>
          <w:tcPr>
            <w:tcW w:type="dxa" w:w="1440"/>
            <w:shd w:fill="FFDCE0" w:val="clear"/>
          </w:tcPr>
          <w:p>
            <w:r>
              <w:rPr>
                <w:b/>
                <w:color w:val="C00000"/>
                <w:sz w:val="17"/>
              </w:rPr>
              <w:t>-5.2%</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10,687</w:t>
            </w:r>
          </w:p>
        </w:tc>
        <w:tc>
          <w:tcPr>
            <w:tcW w:type="dxa" w:w="1440"/>
            <w:shd w:fill="FFDCE0" w:val="clear"/>
          </w:tcPr>
          <w:p>
            <w:r>
              <w:rPr>
                <w:b/>
                <w:sz w:val="17"/>
              </w:rPr>
              <w:t>11,673</w:t>
            </w:r>
          </w:p>
        </w:tc>
        <w:tc>
          <w:tcPr>
            <w:tcW w:type="dxa" w:w="1440"/>
            <w:shd w:fill="FFDCE0" w:val="clear"/>
          </w:tcPr>
          <w:p>
            <w:r>
              <w:rPr>
                <w:sz w:val="17"/>
              </w:rPr>
              <w:t>12,660</w:t>
            </w:r>
          </w:p>
        </w:tc>
        <w:tc>
          <w:tcPr>
            <w:tcW w:type="dxa" w:w="1440"/>
            <w:shd w:fill="FFDCE0" w:val="clear"/>
          </w:tcPr>
          <w:p>
            <w:r>
              <w:rPr>
                <w:b/>
                <w:color w:val="C00000"/>
                <w:sz w:val="17"/>
              </w:rPr>
              <w:t>-5.9%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10,549</w:t>
            </w:r>
          </w:p>
        </w:tc>
        <w:tc>
          <w:tcPr>
            <w:tcW w:type="dxa" w:w="1440"/>
            <w:shd w:fill="FFDCE0" w:val="clear"/>
          </w:tcPr>
          <w:p>
            <w:r>
              <w:rPr>
                <w:b/>
                <w:sz w:val="17"/>
              </w:rPr>
              <w:t>11,597</w:t>
            </w:r>
          </w:p>
        </w:tc>
        <w:tc>
          <w:tcPr>
            <w:tcW w:type="dxa" w:w="1440"/>
            <w:shd w:fill="FFDCE0" w:val="clear"/>
          </w:tcPr>
          <w:p>
            <w:r>
              <w:rPr>
                <w:sz w:val="17"/>
              </w:rPr>
              <w:t>12,645</w:t>
            </w:r>
          </w:p>
        </w:tc>
        <w:tc>
          <w:tcPr>
            <w:tcW w:type="dxa" w:w="1440"/>
            <w:shd w:fill="FFDCE0" w:val="clear"/>
          </w:tcPr>
          <w:p>
            <w:r>
              <w:rPr>
                <w:b/>
                <w:color w:val="C00000"/>
                <w:sz w:val="17"/>
              </w:rPr>
              <w:t>-6.5%</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10,422</w:t>
            </w:r>
          </w:p>
        </w:tc>
        <w:tc>
          <w:tcPr>
            <w:tcW w:type="dxa" w:w="1440"/>
            <w:shd w:fill="FFDCE0" w:val="clear"/>
          </w:tcPr>
          <w:p>
            <w:r>
              <w:rPr>
                <w:b/>
                <w:sz w:val="17"/>
              </w:rPr>
              <w:t>11,527</w:t>
            </w:r>
          </w:p>
        </w:tc>
        <w:tc>
          <w:tcPr>
            <w:tcW w:type="dxa" w:w="1440"/>
            <w:shd w:fill="FFDCE0" w:val="clear"/>
          </w:tcPr>
          <w:p>
            <w:r>
              <w:rPr>
                <w:sz w:val="17"/>
              </w:rPr>
              <w:t>12,631</w:t>
            </w:r>
          </w:p>
        </w:tc>
        <w:tc>
          <w:tcPr>
            <w:tcW w:type="dxa" w:w="1440"/>
            <w:shd w:fill="FFDCE0" w:val="clear"/>
          </w:tcPr>
          <w:p>
            <w:r>
              <w:rPr>
                <w:b/>
                <w:color w:val="C00000"/>
                <w:sz w:val="17"/>
              </w:rPr>
              <w:t>-7.0%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10,303</w:t>
            </w:r>
          </w:p>
        </w:tc>
        <w:tc>
          <w:tcPr>
            <w:tcW w:type="dxa" w:w="1440"/>
            <w:shd w:fill="FFDCE0" w:val="clear"/>
          </w:tcPr>
          <w:p>
            <w:r>
              <w:rPr>
                <w:b/>
                <w:sz w:val="17"/>
              </w:rPr>
              <w:t>11,461</w:t>
            </w:r>
          </w:p>
        </w:tc>
        <w:tc>
          <w:tcPr>
            <w:tcW w:type="dxa" w:w="1440"/>
            <w:shd w:fill="FFDCE0" w:val="clear"/>
          </w:tcPr>
          <w:p>
            <w:r>
              <w:rPr>
                <w:sz w:val="17"/>
              </w:rPr>
              <w:t>12,619</w:t>
            </w:r>
          </w:p>
        </w:tc>
        <w:tc>
          <w:tcPr>
            <w:tcW w:type="dxa" w:w="1440"/>
            <w:shd w:fill="FFDCE0" w:val="clear"/>
          </w:tcPr>
          <w:p>
            <w:r>
              <w:rPr>
                <w:b/>
                <w:color w:val="C00000"/>
                <w:sz w:val="17"/>
              </w:rPr>
              <w:t>-7.6%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(Bank of Africa Côte d'Ivoire)**</w:t>
        <w:br/>
        <w:t>**BRVM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496,00 Mds FCFA, BOAC s'impose comme l'une des valeurs bancaires les plus capitalisées de la BRVM, ce qui témoigne de sa liquidité et de son poids dans l'indice. Le BPA de 888 FCFA/action signifie que chaque titre génère près de 888 FCFA de bénéfice net, un niveau élevé qui reflète la forte rentabilité de la banque. Le PER de 14,0x se situe au-dessus de la moyenne BRVM (~8-12x), indiquant que les investisseurs paient une prime pour la qualité et la régularité des bénéfices, sans que cela constitue une surévaluation excessive. Le P/B de 3,90x montre que le marché valorise la banque à près de quatre fois sa valeur comptable, une prime de croissance justifiée par un ROE de 27,9%. En revanche, l'EV/EBITDA de 27,3x apparaît très exigeant (&gt;15x), suggérant que la valeur d'entreprise intègre déjà une grande partie des anticipations de croissance, ce qui limite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BOAC a enregistré une variation totale de +44,19%, avec une dernière séance stable à +0,00%, le cours s'établissant à 12 400 FCFA. Le range de trading est particulièrement large, avec un plus haut à 13 450 FCFA et un plus bas à 8 495 FCFA, soit une amplitude de près de 58%, ce qui traduit une forte dynamique haussière entrecoupée de corrections. La tendance générale est clairement haussière, portée par la progression des dépôts (+21,44% au T1 2026) et la solidité des résultats. Les statistiques descriptives révèlent une moyenne de 10 121 FCFA supérieure à la médiane de 9 325 FCFA, confirmant une asymétrie positive (skewness de 0,810) avec davantage de journées sous la moyenne mais des pics haussiers marqués. L'écart-type de 1 596 FCFA (CV=15,8%) indique une dispersion modérée du cours, tandis que le kurtosis de -0,950 (mésokurtique) suggère une distribution proche de la normale, sans risque extrême de pics. La volatilité annualisée de 25,6% positionne le titre dans la catégorie modérée (15-30%), ce qui est cohérent avec une valeur bancaire de qualité mais sensible aux annonces de résultats.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(12 742,75 FCFA) et la MM50 (11 351,80 FCFA) sont toutes deux inférieures au cours actuel de 12 400 FCFA, avec une MM20 au-dessus de la MM50, configurant un croisement haussier classique. Cette configuration justifie la décision d'ACHAT, le cours évoluant au-dessus de ses deux moyennes dans un momentum positif.</w:t>
      </w:r>
    </w:p>
    <w:p>
      <w:pPr>
        <w:spacing w:after="120" w:line="276" w:lineRule="auto"/>
      </w:pPr>
      <w:r>
        <w:t>**Bandes de Bollinger** : Le cours (12 400 FCFA) se situe entre la borne supérieure (13 494,75 FCFA) et la borne inférieure (11 990,75 FCFA), plus proche de la borne basse, ce qui traduit une volatilité modérée et une absence de signal directionnel fort. La décision NEUTRE reflète cette position médiane, le marché attendant un catalyseur pour choisir une direction.</w:t>
      </w:r>
    </w:p>
    <w:p>
      <w:pPr>
        <w:spacing w:after="120" w:line="276" w:lineRule="auto"/>
      </w:pPr>
      <w:r>
        <w:t>**MACD** : La valeur du MACD (248,36) est inférieure à son signal (383,62), générant une divergence baissière qui justifie la décision de VENTE à court terme. Ce croisement négatif indique un essoufflement du momentum haussier, bien que la valeur reste positive, suggérant une correction plutôt qu'un retournement majeur.</w:t>
      </w:r>
    </w:p>
    <w:p>
      <w:pPr>
        <w:spacing w:after="120" w:line="276" w:lineRule="auto"/>
      </w:pPr>
      <w:r>
        <w:t>**RSI** : À 20,90, le RSI est nettement en zone de survente (&lt;30), ce qui justifie la décision d'ACHAT. Cette lecture indique que le titre a été excessivement vendu à court terme et qu'un rebond technique est probable, surtout après la forte hausse des 100 derniers jours.</w:t>
      </w:r>
    </w:p>
    <w:p>
      <w:pPr>
        <w:spacing w:after="120" w:line="276" w:lineRule="auto"/>
      </w:pPr>
      <w:r>
        <w:t>**Stochastique** : Le %K (15,22) et le %D (16,78) sont tous deux en zone de survente, avec un %K légèrement inférieur au %D, ce qui justifie la décision d'ACHAT. Un croisement haussier du %K au-dessus du %D pourrait confirmer un retournement positif à court terme.</w:t>
      </w:r>
    </w:p>
    <w:p>
      <w:pPr>
        <w:spacing w:after="120" w:line="276" w:lineRule="auto"/>
      </w:pPr>
      <w:r>
        <w:t>**Conclusion technique** : Les indicateurs sont partagés entre signaux d'achat (MM, RSI, Stochastique) et signaux de prudence (MACD, Bollinger). La prédominance des signaux de survente (RSI et Stochastique) suggère un potentiel de rebond à court terme, mais la divergence baissière du MACD appelle à la prudence. Une convergence haussière nécessiterait un franchissement de la MM20 (12 742 FCFA) avec confirmation du MACD.</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BOAC affiche un Produit Net Bancaire (PNB) de 73 545 millions FCFA, en hausse de +1,1% par rapport à 2024 (72 724 millions), avec un résultat net de 35 540 millions FCFA (+10,9% vs 32 045 millions en 2024). Le ROE s'établit à 27,91% (excellent, &gt;15%) et le ROA à 3,22%, confirmant une rentabilité exceptionnelle. Le coefficient d'exploitation de 36,70% est bien inférieur au seuil de 60%, témoignant d'une grande efficacité opérationnelle. Le coût du risque, à 6,67% des charges financières, reste modéré mais en amélioration (provisions de -4 902 millions vs -6 791 millions en 2024). La structure bilancielle est solide avec des dépôts clientèle de 850 548 millions FCFA (principale ressource) et des créances clientèle de 430 433 millions, soit un ratio de transformation de 50,6%, indiquant une marge de progression dans l'octroi de crédits. Les capitaux propres progressent à 127 340 millions FCFA, renforçant l'autonomie financière (11,54% du bilan). Sur la base du rapport T1 2026 (daté du 31/03/2026), le PNB trimestriel s'élève à 18 960 millions FCFA (+3,09% en glissement annuel), avec un résultat net de 10 801 millions (+0,91%) et un coefficient d'exploitation de 35,68%. Cependant, le coût net du risque bondit de +314,75% (-652 vs -157 millions), un point de vigilance majeur. On estime que l'exercice 2026 devrait maintenir une croissance modérée du PNB (+3-4%) et un résultat net stable autour de 36-37 milliards FCFA, sous réserve que la dégradation du coût du risque ne s'accentue pas. Le rapport annuel 2025 (daté du 31/12/2025) recommande l'ACHAT, saluant la croissance rentable et l'amélioration du coût du risque, tandis que le rapport T1 2026 recommande de CONSERVER en raison de la hausse brutale des provisions. La solidité fondamentale reste intacte, mais la vigilance est de mise sur la qualité du portefeuille de crédits.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(PER 14,0x, P/B 3,90x, EV/EBITDA 27,3x) indique une prime de qualité justifiée par un ROE de 27,9%, mais l'EV/EBITDA très élevé limite le potentiel de revalorisation à court terme. Le comportement du cours sur 100 jours (+44,19%) est haussier, avec une volatilité modérée (25,6%) et une asymétrie positive (skewness 0,810) qui suggère des pics haussiers plus fréquents que les creux, bien que le kurtosis proche de la normale n'annonce pas de risque extrême. Les signaux techniques sont mitigés : les moyennes mobiles et le RSI (20,90, survente) plaident pour un rebond, mais la divergence baissière du MACD et la position neutre des Bollinger appellent à la prudence. Les fondamentaux restent solides (PNB 73 545 millions en 2025, résultat net 35 540 millions, ROE 27,9%), mais le T1 2026 révèle une dégradation du coût du risque (+314,75%) qui pourrait peser sur les trimestres suivants. Les prédictions IA anticipent une baisse progressive du cours de 12 256 FCFA (J+1) à 11 843 FCFA (J+5), contredisant les signaux d'achat techniques à court terme. Compte tenu de cette divergence entre valorisation exigeante, technique incertaine, fondamentaux solides mais risque de crédit en hausse, et prédictions baissières, la recommandation finale est **CONSERVER**. Le niveau de confiance est **Moyen**, le risque global est **Modéré**, et l'horizon d'investissement optimal est le **moyen terme (3-12 mois)**, en attendant une clarification sur la trajectoire du coût du risque et une confirmation du rebond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196.27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6,312 titres</w:t>
            </w:r>
          </w:p>
        </w:tc>
        <w:tc>
          <w:tcPr>
            <w:tcW w:type="dxa" w:w="2268"/>
            <w:shd w:fill="FFF2CC" w:val="clear"/>
          </w:tcPr>
          <w:p>
            <w:r>
              <w:rPr>
                <w:b/>
                <w:color w:val="503200"/>
                <w:sz w:val="16"/>
              </w:rPr>
              <w:t xml:space="preserve">Cours actuel : </w:t>
            </w:r>
            <w:r>
              <w:rPr>
                <w:color w:val="000000"/>
                <w:sz w:val="17"/>
              </w:rPr>
              <w:t>7,150 FCFA</w:t>
            </w:r>
          </w:p>
          <w:p>
            <w:r>
              <w:rPr>
                <w:b/>
                <w:color w:val="503200"/>
                <w:sz w:val="16"/>
              </w:rPr>
              <w:t xml:space="preserve">Var. 100 jours : </w:t>
            </w:r>
            <w:r>
              <w:rPr>
                <w:b/>
                <w:color w:val="007800"/>
                <w:sz w:val="17"/>
              </w:rPr>
              <w:t>+52.13%</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13.90% (Moyenne) — μ=5,355 FCFA, σ=744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β=0.3763 (Défensif) — Cov=0.000013, Var(idx)=0.000034, ρ=0.103,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6,887</w:t>
            </w:r>
          </w:p>
        </w:tc>
        <w:tc>
          <w:tcPr>
            <w:tcW w:type="dxa" w:w="1440"/>
            <w:shd w:fill="FAFAFA" w:val="clear"/>
          </w:tcPr>
          <w:p>
            <w:r>
              <w:rPr>
                <w:b/>
                <w:sz w:val="17"/>
              </w:rPr>
              <w:t>7,107</w:t>
            </w:r>
          </w:p>
        </w:tc>
        <w:tc>
          <w:tcPr>
            <w:tcW w:type="dxa" w:w="1440"/>
            <w:shd w:fill="FAFAFA" w:val="clear"/>
          </w:tcPr>
          <w:p>
            <w:r>
              <w:rPr>
                <w:sz w:val="17"/>
              </w:rPr>
              <w:t>7,327</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6,793</w:t>
            </w:r>
          </w:p>
        </w:tc>
        <w:tc>
          <w:tcPr>
            <w:tcW w:type="dxa" w:w="1440"/>
            <w:shd w:fill="FAFAFA" w:val="clear"/>
          </w:tcPr>
          <w:p>
            <w:r>
              <w:rPr>
                <w:b/>
                <w:sz w:val="17"/>
              </w:rPr>
              <w:t>7,104</w:t>
            </w:r>
          </w:p>
        </w:tc>
        <w:tc>
          <w:tcPr>
            <w:tcW w:type="dxa" w:w="1440"/>
            <w:shd w:fill="FAFAFA" w:val="clear"/>
          </w:tcPr>
          <w:p>
            <w:r>
              <w:rPr>
                <w:sz w:val="17"/>
              </w:rPr>
              <w:t>7,415</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6,741</w:t>
            </w:r>
          </w:p>
        </w:tc>
        <w:tc>
          <w:tcPr>
            <w:tcW w:type="dxa" w:w="1440"/>
            <w:shd w:fill="FAFAFA" w:val="clear"/>
          </w:tcPr>
          <w:p>
            <w:r>
              <w:rPr>
                <w:b/>
                <w:sz w:val="17"/>
              </w:rPr>
              <w:t>7,123</w:t>
            </w:r>
          </w:p>
        </w:tc>
        <w:tc>
          <w:tcPr>
            <w:tcW w:type="dxa" w:w="1440"/>
            <w:shd w:fill="FAFAFA" w:val="clear"/>
          </w:tcPr>
          <w:p>
            <w:r>
              <w:rPr>
                <w:sz w:val="17"/>
              </w:rPr>
              <w:t>7,504</w:t>
            </w:r>
          </w:p>
        </w:tc>
        <w:tc>
          <w:tcPr>
            <w:tcW w:type="dxa" w:w="1440"/>
            <w:shd w:fill="FAFAFA" w:val="clear"/>
          </w:tcPr>
          <w:p>
            <w:r>
              <w:rPr>
                <w:b/>
                <w:color w:val="C00000"/>
                <w:sz w:val="17"/>
              </w:rPr>
              <w:t>-0.4%</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6,703</w:t>
            </w:r>
          </w:p>
        </w:tc>
        <w:tc>
          <w:tcPr>
            <w:tcW w:type="dxa" w:w="1440"/>
            <w:shd w:fill="FAFAFA" w:val="clear"/>
          </w:tcPr>
          <w:p>
            <w:r>
              <w:rPr>
                <w:b/>
                <w:sz w:val="17"/>
              </w:rPr>
              <w:t>7,145</w:t>
            </w:r>
          </w:p>
        </w:tc>
        <w:tc>
          <w:tcPr>
            <w:tcW w:type="dxa" w:w="1440"/>
            <w:shd w:fill="FAFAFA" w:val="clear"/>
          </w:tcPr>
          <w:p>
            <w:r>
              <w:rPr>
                <w:sz w:val="17"/>
              </w:rPr>
              <w:t>7,588</w:t>
            </w:r>
          </w:p>
        </w:tc>
        <w:tc>
          <w:tcPr>
            <w:tcW w:type="dxa" w:w="1440"/>
            <w:shd w:fill="FAFAFA" w:val="clear"/>
          </w:tcPr>
          <w:p>
            <w:r>
              <w:rPr>
                <w:b/>
                <w:color w:val="C00000"/>
                <w:sz w:val="17"/>
              </w:rPr>
              <w:t>-0.1%</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6,670</w:t>
            </w:r>
          </w:p>
        </w:tc>
        <w:tc>
          <w:tcPr>
            <w:tcW w:type="dxa" w:w="1440"/>
            <w:shd w:fill="FAFAFA" w:val="clear"/>
          </w:tcPr>
          <w:p>
            <w:r>
              <w:rPr>
                <w:b/>
                <w:sz w:val="17"/>
              </w:rPr>
              <w:t>7,166</w:t>
            </w:r>
          </w:p>
        </w:tc>
        <w:tc>
          <w:tcPr>
            <w:tcW w:type="dxa" w:w="1440"/>
            <w:shd w:fill="FAFAFA" w:val="clear"/>
          </w:tcPr>
          <w:p>
            <w:r>
              <w:rPr>
                <w:sz w:val="17"/>
              </w:rPr>
              <w:t>7,662</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6,639</w:t>
            </w:r>
          </w:p>
        </w:tc>
        <w:tc>
          <w:tcPr>
            <w:tcW w:type="dxa" w:w="1440"/>
            <w:shd w:fill="FAFAFA" w:val="clear"/>
          </w:tcPr>
          <w:p>
            <w:r>
              <w:rPr>
                <w:b/>
                <w:sz w:val="17"/>
              </w:rPr>
              <w:t>7,183</w:t>
            </w:r>
          </w:p>
        </w:tc>
        <w:tc>
          <w:tcPr>
            <w:tcW w:type="dxa" w:w="1440"/>
            <w:shd w:fill="FAFAFA" w:val="clear"/>
          </w:tcPr>
          <w:p>
            <w:r>
              <w:rPr>
                <w:sz w:val="17"/>
              </w:rPr>
              <w:t>7,728</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6,609</w:t>
            </w:r>
          </w:p>
        </w:tc>
        <w:tc>
          <w:tcPr>
            <w:tcW w:type="dxa" w:w="1440"/>
            <w:shd w:fill="FAFAFA" w:val="clear"/>
          </w:tcPr>
          <w:p>
            <w:r>
              <w:rPr>
                <w:b/>
                <w:sz w:val="17"/>
              </w:rPr>
              <w:t>7,199</w:t>
            </w:r>
          </w:p>
        </w:tc>
        <w:tc>
          <w:tcPr>
            <w:tcW w:type="dxa" w:w="1440"/>
            <w:shd w:fill="FAFAFA" w:val="clear"/>
          </w:tcPr>
          <w:p>
            <w:r>
              <w:rPr>
                <w:sz w:val="17"/>
              </w:rPr>
              <w:t>7,788</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6,581</w:t>
            </w:r>
          </w:p>
        </w:tc>
        <w:tc>
          <w:tcPr>
            <w:tcW w:type="dxa" w:w="1440"/>
            <w:shd w:fill="FAFAFA" w:val="clear"/>
          </w:tcPr>
          <w:p>
            <w:r>
              <w:rPr>
                <w:b/>
                <w:sz w:val="17"/>
              </w:rPr>
              <w:t>7,213</w:t>
            </w:r>
          </w:p>
        </w:tc>
        <w:tc>
          <w:tcPr>
            <w:tcW w:type="dxa" w:w="1440"/>
            <w:shd w:fill="FAFAFA" w:val="clear"/>
          </w:tcPr>
          <w:p>
            <w:r>
              <w:rPr>
                <w:sz w:val="17"/>
              </w:rPr>
              <w:t>7,844</w:t>
            </w:r>
          </w:p>
        </w:tc>
        <w:tc>
          <w:tcPr>
            <w:tcW w:type="dxa" w:w="1440"/>
            <w:shd w:fill="FAFAFA" w:val="clear"/>
          </w:tcPr>
          <w:p>
            <w:r>
              <w:rPr>
                <w:b/>
                <w:color w:val="008000"/>
                <w:sz w:val="17"/>
              </w:rPr>
              <w:t>+0.9%</w:t>
            </w:r>
          </w:p>
        </w:tc>
      </w:tr>
      <w:tr>
        <w:tc>
          <w:tcPr>
            <w:tcW w:type="dxa" w:w="1440"/>
            <w:shd w:fill="FAFAFA" w:val="clear"/>
          </w:tcPr>
          <w:p>
            <w:r>
              <w:rPr>
                <w:sz w:val="17"/>
              </w:rPr>
              <w:t>J+9  Moyenne</w:t>
            </w:r>
          </w:p>
        </w:tc>
        <w:tc>
          <w:tcPr>
            <w:tcW w:type="dxa" w:w="1440"/>
            <w:shd w:fill="FAFAFA" w:val="clear"/>
          </w:tcPr>
          <w:p>
            <w:r>
              <w:rPr>
                <w:sz w:val="17"/>
              </w:rPr>
              <w:t>2026-09-24</w:t>
            </w:r>
          </w:p>
        </w:tc>
        <w:tc>
          <w:tcPr>
            <w:tcW w:type="dxa" w:w="1440"/>
            <w:shd w:fill="FAFAFA" w:val="clear"/>
          </w:tcPr>
          <w:p>
            <w:r>
              <w:rPr>
                <w:sz w:val="17"/>
              </w:rPr>
              <w:t>6,555</w:t>
            </w:r>
          </w:p>
        </w:tc>
        <w:tc>
          <w:tcPr>
            <w:tcW w:type="dxa" w:w="1440"/>
            <w:shd w:fill="FAFAFA" w:val="clear"/>
          </w:tcPr>
          <w:p>
            <w:r>
              <w:rPr>
                <w:b/>
                <w:sz w:val="17"/>
              </w:rPr>
              <w:t>7,226</w:t>
            </w:r>
          </w:p>
        </w:tc>
        <w:tc>
          <w:tcPr>
            <w:tcW w:type="dxa" w:w="1440"/>
            <w:shd w:fill="FAFAFA" w:val="clear"/>
          </w:tcPr>
          <w:p>
            <w:r>
              <w:rPr>
                <w:sz w:val="17"/>
              </w:rPr>
              <w:t>7,897</w:t>
            </w:r>
          </w:p>
        </w:tc>
        <w:tc>
          <w:tcPr>
            <w:tcW w:type="dxa" w:w="1440"/>
            <w:shd w:fill="FAFAFA" w:val="clear"/>
          </w:tcPr>
          <w:p>
            <w:r>
              <w:rPr>
                <w:b/>
                <w:color w:val="008000"/>
                <w:sz w:val="17"/>
              </w:rPr>
              <w:t>+1.1%</w:t>
            </w:r>
          </w:p>
        </w:tc>
      </w:tr>
      <w:tr>
        <w:tc>
          <w:tcPr>
            <w:tcW w:type="dxa" w:w="1440"/>
            <w:shd w:fill="FAFAFA" w:val="clear"/>
          </w:tcPr>
          <w:p>
            <w:r>
              <w:rPr>
                <w:sz w:val="17"/>
              </w:rPr>
              <w:t>J+10  Moyenne</w:t>
            </w:r>
          </w:p>
        </w:tc>
        <w:tc>
          <w:tcPr>
            <w:tcW w:type="dxa" w:w="1440"/>
            <w:shd w:fill="FAFAFA" w:val="clear"/>
          </w:tcPr>
          <w:p>
            <w:r>
              <w:rPr>
                <w:sz w:val="17"/>
              </w:rPr>
              <w:t>2026-09-25</w:t>
            </w:r>
          </w:p>
        </w:tc>
        <w:tc>
          <w:tcPr>
            <w:tcW w:type="dxa" w:w="1440"/>
            <w:shd w:fill="FAFAFA" w:val="clear"/>
          </w:tcPr>
          <w:p>
            <w:r>
              <w:rPr>
                <w:sz w:val="17"/>
              </w:rPr>
              <w:t>6,529</w:t>
            </w:r>
          </w:p>
        </w:tc>
        <w:tc>
          <w:tcPr>
            <w:tcW w:type="dxa" w:w="1440"/>
            <w:shd w:fill="FAFAFA" w:val="clear"/>
          </w:tcPr>
          <w:p>
            <w:r>
              <w:rPr>
                <w:b/>
                <w:sz w:val="17"/>
              </w:rPr>
              <w:t>7,238</w:t>
            </w:r>
          </w:p>
        </w:tc>
        <w:tc>
          <w:tcPr>
            <w:tcW w:type="dxa" w:w="1440"/>
            <w:shd w:fill="FAFAFA" w:val="clear"/>
          </w:tcPr>
          <w:p>
            <w:r>
              <w:rPr>
                <w:sz w:val="17"/>
              </w:rPr>
              <w:t>7,946</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BANK OF AFRICA MALI (BOAM)</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**196,27 milliards FCFA**, BOAM se positionne parmi les valeurs bancaires de premier plan de la BRVM, ce qui témoigne d'une liquidité et d'une visibilité institutionnelle solides sur le marché régional. Le BPA de **404 FCFA/action** signifie que chaque titre génère près de 404 FCFA de bénéfice net, un niveau de rentabilité unitaire appréciable. Le PER de **17,7x** se situe nettement au-dessus de la moyenne BRVM (~8-12x), ce qui indique que les investisseurs paient une prime significative pour les bénéfices de BOAM — cette prime se justifie par la trajectoire de croissance exceptionnelle du résultat net (+57,9% en 2024, +26,2% sur 9 mois en 2025). Le P/B de **3,94x** confirme cette prime de croissance : le marché valorise la banque à près de 4 fois sa valeur comptable, reflétant la confiance dans la qualité de ses fonds propres et sa capacité à générer des rendements supérieurs (ROE de 22,2%). Enfin, l'EV/EBITDA de **9,8x** demeure dans la fourchette raisonnable (5-10x), suggérant que la valeur totale de l'entreprise reste cohérente avec sa capacité opérationnelle, malgré la prime sur les bénéfices nets.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BOAM affiche une performance remarquable de **+52,13%**, portant le cours à **7 150 FCFA**, malgré un léger repli de **-0,63%** lors de la dernière séance (J-1). Le range de trading est particulièrement large, avec un plus haut à **7 195 FCFA** et un plus bas à **4 425 FCFA**, soit une amplitude de plus de 62% — signe d'une tendance haussière puissante et d'un intérêt croissant des investisseurs. La moyenne du cours sur la période s'établit à **5 355 FCFA**, tandis que la médiane est plus basse à **5 045 FCFA**, ce qui confirme une distribution asymétrique : le cours a passé plus de temps dans la partie basse de sa fourchette avant de s'envoler en fin de période. L'écart-type de **748 FCFA** (CV de **14,0%**) indique une dispersion modérée du cours autour de sa moyenne, ce qui est rassurant pour un titre ayant connu une telle progression. Le kurtosis de **-0,614** (mésokurtique) suggère une distribution proche de la normale, sans risque excessif de pics extrêmes, tandis que le skewness positif de **0,721** confirme une asymétrie à droite — davantage de journées sous la moyenne, mais des gains importants lors des phases haussières. La volatilité annualisée de **34,2%** classe BOAM dans la catégorie des titres à volatilité élevée (&gt;30%), ce qui est cohérent avec son statut de valeur bancaire en forte croissance dans un environnement macroéconomique instable.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**6 568,25 FCFA** et la MM50 à **5 968,10 FCFA**, toutes deux nettement inférieures au cours actuel de 7 150 FCFA. Cette configuration haussière (cours &gt; MM20 &gt; MM50) confirme une dynamique positive de court et moyen terme, avec un signal d'**Achat** clairement justifié par l'alignement des moyennes.</w:t>
      </w:r>
    </w:p>
    <w:p>
      <w:pPr>
        <w:spacing w:after="120" w:line="276" w:lineRule="auto"/>
      </w:pPr>
      <w:r>
        <w:t>**Bandes de Bollinger :** La borne supérieure est à **7 192,54 FCFA** et la borne inférieure à **5 943,96 FCFA**, avec un cours actuel de 7 150 FCFA qui évolue très près de la borne haute. Cette position suggère une pression acheteuse soutenue, mais la décision est **Neutre** car le cours n'a pas encore franchi la borne supérieure — un franchissement confirmerait une accélération haussière, tandis qu'un rejet pourrait amorcer une correction.</w:t>
      </w:r>
    </w:p>
    <w:p>
      <w:pPr>
        <w:spacing w:after="120" w:line="276" w:lineRule="auto"/>
      </w:pPr>
      <w:r>
        <w:t>**MACD :** La valeur du MACD est de **320,395** contre un signal à **281,581**, avec un histogramme positif. Cette divergence haussière indique un momentum acheteur toujours actif, bien que l'écart entre les deux lignes se réduise légèrement — la décision reste **Achat**, mais une surveillance s'impose pour détecter un éventuel croisement baissier.</w:t>
      </w:r>
    </w:p>
    <w:p>
      <w:pPr>
        <w:spacing w:after="120" w:line="276" w:lineRule="auto"/>
      </w:pPr>
      <w:r>
        <w:t>**RSI :** À **74,088**, le RSI se situe en zone de surachat (&gt;70), ce qui déclenche une décision de **Vente**. Ce niveau élevé signale que le titre a peut-être surperformé à court terme et qu'une consolidation ou un repli technique est probable avant une nouvelle progression.</w:t>
      </w:r>
    </w:p>
    <w:p>
      <w:pPr>
        <w:spacing w:after="120" w:line="276" w:lineRule="auto"/>
      </w:pPr>
      <w:r>
        <w:t>**Stochastique :** Le %K est à **94,34** et le %D à **98,113**, tous deux en zone extrême de surachat. La décision de **Vente** est justifiée par le risque imminent de retournement, d'autant que le %K commence à se rapprocher du %D, ce qui pourrait annoncer un croisement baissier.</w:t>
      </w:r>
    </w:p>
    <w:p>
      <w:pPr>
        <w:spacing w:after="120" w:line="276" w:lineRule="auto"/>
      </w:pPr>
      <w:r>
        <w:t>**Conclusion technique :** Les indicateurs de tendance (MM, MACD) restent haussiers et confirment la solidité du mouvement, mais les oscillateurs (RSI, Stochastique) sont en zone de surachat extrême et signalent un risque de correction à court terme. Cette divergence entre tendance et momentum suggère une phase de consolidation imminente, sans remettre en cause la tendance de fond. Les investisseurs déjà positionnés peuvent conserver, mais les nouveaux entrants devraient attendre un repli vers la MM20 (6 568 FCFA) pour optimiser leur point d'entrée.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BOAM affiche un **Produit Net Bancaire (PNB) de 37,996 milliards FCFA**, en croissance de **+5,08%**, et un **résultat net de 11,081 milliards FCFA**, en progression spectaculaire. Le **ROE de 22,24%** (excellent, &gt;15%) et le **ROA de 1,87%** confirment une rentabilité robuste des fonds propres et des actifs. Le **coefficient d'exploitation de 63,14%** reste légèrement au-dessus du seuil de 60% (banque efficace), mais s'améliore par rapport aux exercices précédents (59,3% en 2022, puis dégradation liée à l'inflation). Le **coût du risque de 43,39%** (provisions/charges financières) demeure élevé, signalant un portefeuille de crédits encore vulnérable, bien qu'en amélioration. La structure financière montre une **autonomie financière de 8,40%** (faible, typique des banques) et un **ratio d'endettement de 55,33%**, avec une **capacité de remboursement de 1,79 an** (saine). Les **dépôts clientèle de 502,89 milliards FCFA** couvrent largement les **créances clientèle de 253,65 milliards FCFA**, soit un ratio de transformation de 50,4% — la banque dispose d'une liquidité abondante.</w:t>
      </w:r>
    </w:p>
    <w:p>
      <w:pPr>
        <w:spacing w:after="120" w:line="276" w:lineRule="auto"/>
      </w:pPr>
      <w:r>
        <w:t>**Estimations basées sur les rapports trimestriels :** Le rapport du **T1 2026 (publié le 31/03/2026)** indique un **PNB de 10,322 milliards FCFA**, en hausse de **+22,97%** sur un an — une accélération spectaculaire par rapport à la croissance de 5,08% en 2025. Sur cette base, on estime que l'exercice 2026 pourrait afficher un PNB annuel de l'ordre de **41-42 milliards FCFA** (+8-10%), avec un résultat net potentiellement supérieur à **13 milliards FCFA** si la maîtrise des coûts se poursuit. Le rapport du **T3 2025 (30/09/2025)** confirme cette dynamique : PNB de 28,52 milliards FCFA (+5,8%) et résultat net de 9,16 milliards FCFA (+26,2%), avec un coût du risque contenu (+2,7%). Le rapport du **S1 2025 (30/06/2025)** souligne une baisse spectaculaire du coût du risque (-32,7%) et une collecte de dépôts en hausse (+11,4%), bien que le portefeuille de crédits se contracte (-7,3%) — un signe de prudence dans un contexte sécuritaire difficile.</w:t>
      </w:r>
    </w:p>
    <w:p>
      <w:pPr>
        <w:spacing w:after="120" w:line="276" w:lineRule="auto"/>
      </w:pPr>
      <w:r>
        <w:t>**Évolution pluriannuelle :** Les états financiers certifiés **2024 (publiés le 31/12/2024)** montrent un résultat net de **9,12 milliards FCFA** (+57,9%) et un ROE de ~21,1%, confirmant la trajectoire ascendante. Le **T1 2025 (31/03/2025)** avait déjà enregistré un résultat net de 3,021 milliards FCFA (+91,18%), porté par la baisse des provisions. Cette amélioration continue de la rentabilité, malgré un contexte macroéconomique et sécuritaire difficile au Mali, témoigne de la résilience et de la qualité de la gestion de BOAM.</w:t>
      </w:r>
    </w:p>
    <w:p>
      <w:pPr>
        <w:spacing w:after="120" w:line="276" w:lineRule="auto"/>
      </w:pPr>
      <w:r>
        <w:t>**Recommandation fondamentale :** BOAM présente des fondamentaux solides avec une rentabilité élevée (ROE &gt;22%), une croissance du PNB accélérée (+22,97% au T1 2026) et une amélioration notable du coût du risque. Les principaux risques restent le contexte sécuritaire malien, la concentration géographique et la dépendance aux dépôts clientèle. La valorisation (PER 17,7x) intègre déjà une prime de croissance, mais les perspectives à moyen terme justifient une **position d'achat sur repli**.</w:t>
      </w:r>
    </w:p>
    <w:p>
      <w:pPr>
        <w:spacing w:after="120" w:line="276" w:lineRule="auto"/>
      </w:pPr>
      <w:r>
        <w:t>---</w:t>
      </w:r>
    </w:p>
    <w:p>
      <w:pPr>
        <w:spacing w:after="120" w:line="276" w:lineRule="auto"/>
      </w:pPr>
      <w:r>
        <w:t>## PARTIE 4 : CONCLUSION D'INVESTISSEMENT</w:t>
      </w:r>
    </w:p>
    <w:p>
      <w:pPr>
        <w:spacing w:after="120" w:line="276" w:lineRule="auto"/>
      </w:pPr>
      <w:r>
        <w:t>La valorisation de BOAM (PER 17,7x, P/B 3,94x, EV/EBITDA 9,8x) indique une **surévaluation relative** par rapport à la moyenne BRVM (~8-12x), mais cette prime se justifie par une croissance exceptionnelle du résultat net (+57,9% en 2024, +26,2% sur 9 mois en 2025) et un ROE de 22,24%. Le comportement du cours sur 100 jours (+52,13%) est impressionnant, avec une volatilité élevée (34,2%) et une asymétrie positive (skewness 0,721), ce qui suggère que les gains potentiels restent importants malgré le risque de correction. Les signaux techniques sont **mitigés** : les moyennes mobiles et le MACD confirment la tendance haussière, mais le RSI (74,09) et le stochastique (94,34) sont en zone de surachat extrême, annonçant une consolidation imminente. Les fondamentaux sont **solides** : PNB de 37,996 milliards FCFA en 2025, résultat net de 11,081 milliards FCFA, et une accélération du PNB au T1 2026 (+22,97%) qui pourrait porter le résultat net 2026 au-delà de 13 milliards FCFA. Les prédictions IA (J+1 à J+10) anticipent une légère consolidation autour de 7 100-7 166 FCFA, ce qui **contredit partiellement** les signaux techniques baissiers à court terme mais **confirme** la tendance haussière de fond.</w:t>
      </w:r>
    </w:p>
    <w:p>
      <w:pPr>
        <w:spacing w:after="120" w:line="276" w:lineRule="auto"/>
      </w:pPr>
      <w:r>
        <w:t>**Recommandation finale : CONSERVER (avec opportunité d'achat sur repli)**</w:t>
        <w:br/>
        <w:t>- **Justification :** La convergence entre fondamentaux solides, tendance haussière de fond et prédictions IA stables soutient une position de conservation. Cependant, le surachat technique (RSI, Stochastique) et la valorisation élevée (PER 17,7x) incitent à la prudence à court terme. Un repli vers 6 568 FCFA (MM20) offrirait un point d'entrée attractif.</w:t>
        <w:br/>
        <w:t>- **Niveau de confiance :** Moyen (les fondamentaux sont solides, mais le surachat technique limite le potentiel à court terme)</w:t>
        <w:br/>
        <w:t>- **Niveau de risque :** Élevé (volatilité de 34,2%, contexte sécuritaire malien, concentration géographique)</w:t>
        <w:br/>
        <w:t>- **Horizon d'investissement :** Moyen terme (3-12 mois), en privilégiant les achats sur repli technique</w:t>
      </w:r>
    </w:p>
    <w:p>
      <w:pPr>
        <w:spacing w:after="120" w:line="276" w:lineRule="auto"/>
      </w:pPr>
      <w:r>
        <w:t>**Actions à suivre :** Publication des résultats annuels 2025 (dividende), évolution du coût du risque au T2 2026, et contexte sécuritaire au Mali.</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116.38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9,656 titres</w:t>
            </w:r>
          </w:p>
        </w:tc>
        <w:tc>
          <w:tcPr>
            <w:tcW w:type="dxa" w:w="2268"/>
            <w:shd w:fill="FFF2CC" w:val="clear"/>
          </w:tcPr>
          <w:p>
            <w:r>
              <w:rPr>
                <w:b/>
                <w:color w:val="503200"/>
                <w:sz w:val="16"/>
              </w:rPr>
              <w:t xml:space="preserve">Cours actuel : </w:t>
            </w:r>
            <w:r>
              <w:rPr>
                <w:color w:val="000000"/>
                <w:sz w:val="17"/>
              </w:rPr>
              <w:t>5,595 FCFA</w:t>
            </w:r>
          </w:p>
          <w:p>
            <w:r>
              <w:rPr>
                <w:b/>
                <w:color w:val="503200"/>
                <w:sz w:val="16"/>
              </w:rPr>
              <w:t xml:space="preserve">Var. 100 jours : </w:t>
            </w:r>
            <w:r>
              <w:rPr>
                <w:b/>
                <w:color w:val="007800"/>
                <w:sz w:val="17"/>
              </w:rPr>
              <w:t>+74.84%</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18.06% (Élevée) — μ=4,415 FCFA, σ=797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β=0.4489 (Défensif) — Cov=0.000015, Var(idx)=0.000034, ρ=0.113,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9,656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5,400</w:t>
            </w:r>
          </w:p>
        </w:tc>
        <w:tc>
          <w:tcPr>
            <w:tcW w:type="dxa" w:w="1440"/>
            <w:shd w:fill="FAFAFA" w:val="clear"/>
          </w:tcPr>
          <w:p>
            <w:r>
              <w:rPr>
                <w:b/>
                <w:sz w:val="17"/>
              </w:rPr>
              <w:t>5,533</w:t>
            </w:r>
          </w:p>
        </w:tc>
        <w:tc>
          <w:tcPr>
            <w:tcW w:type="dxa" w:w="1440"/>
            <w:shd w:fill="FAFAFA" w:val="clear"/>
          </w:tcPr>
          <w:p>
            <w:r>
              <w:rPr>
                <w:sz w:val="17"/>
              </w:rPr>
              <w:t>5,666</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5,348</w:t>
            </w:r>
          </w:p>
        </w:tc>
        <w:tc>
          <w:tcPr>
            <w:tcW w:type="dxa" w:w="1440"/>
            <w:shd w:fill="FAFAFA" w:val="clear"/>
          </w:tcPr>
          <w:p>
            <w:r>
              <w:rPr>
                <w:b/>
                <w:sz w:val="17"/>
              </w:rPr>
              <w:t>5,537</w:t>
            </w:r>
          </w:p>
        </w:tc>
        <w:tc>
          <w:tcPr>
            <w:tcW w:type="dxa" w:w="1440"/>
            <w:shd w:fill="FAFAFA" w:val="clear"/>
          </w:tcPr>
          <w:p>
            <w:r>
              <w:rPr>
                <w:sz w:val="17"/>
              </w:rPr>
              <w:t>5,726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5,300</w:t>
            </w:r>
          </w:p>
        </w:tc>
        <w:tc>
          <w:tcPr>
            <w:tcW w:type="dxa" w:w="1440"/>
            <w:shd w:fill="FAFAFA" w:val="clear"/>
          </w:tcPr>
          <w:p>
            <w:r>
              <w:rPr>
                <w:b/>
                <w:sz w:val="17"/>
              </w:rPr>
              <w:t>5,531</w:t>
            </w:r>
          </w:p>
        </w:tc>
        <w:tc>
          <w:tcPr>
            <w:tcW w:type="dxa" w:w="1440"/>
            <w:shd w:fill="FAFAFA" w:val="clear"/>
          </w:tcPr>
          <w:p>
            <w:r>
              <w:rPr>
                <w:sz w:val="17"/>
              </w:rPr>
              <w:t>5,762</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5,258</w:t>
            </w:r>
          </w:p>
        </w:tc>
        <w:tc>
          <w:tcPr>
            <w:tcW w:type="dxa" w:w="1440"/>
            <w:shd w:fill="FAFAFA" w:val="clear"/>
          </w:tcPr>
          <w:p>
            <w:r>
              <w:rPr>
                <w:b/>
                <w:sz w:val="17"/>
              </w:rPr>
              <w:t>5,525</w:t>
            </w:r>
          </w:p>
        </w:tc>
        <w:tc>
          <w:tcPr>
            <w:tcW w:type="dxa" w:w="1440"/>
            <w:shd w:fill="FAFAFA" w:val="clear"/>
          </w:tcPr>
          <w:p>
            <w:r>
              <w:rPr>
                <w:sz w:val="17"/>
              </w:rPr>
              <w:t>5,791</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5,220</w:t>
            </w:r>
          </w:p>
        </w:tc>
        <w:tc>
          <w:tcPr>
            <w:tcW w:type="dxa" w:w="1440"/>
            <w:shd w:fill="FAFAFA" w:val="clear"/>
          </w:tcPr>
          <w:p>
            <w:r>
              <w:rPr>
                <w:b/>
                <w:sz w:val="17"/>
              </w:rPr>
              <w:t>5,518</w:t>
            </w:r>
          </w:p>
        </w:tc>
        <w:tc>
          <w:tcPr>
            <w:tcW w:type="dxa" w:w="1440"/>
            <w:shd w:fill="FAFAFA" w:val="clear"/>
          </w:tcPr>
          <w:p>
            <w:r>
              <w:rPr>
                <w:sz w:val="17"/>
              </w:rPr>
              <w:t>5,815</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5,186</w:t>
            </w:r>
          </w:p>
        </w:tc>
        <w:tc>
          <w:tcPr>
            <w:tcW w:type="dxa" w:w="1440"/>
            <w:shd w:fill="FAFAFA" w:val="clear"/>
          </w:tcPr>
          <w:p>
            <w:r>
              <w:rPr>
                <w:b/>
                <w:sz w:val="17"/>
              </w:rPr>
              <w:t>5,512</w:t>
            </w:r>
          </w:p>
        </w:tc>
        <w:tc>
          <w:tcPr>
            <w:tcW w:type="dxa" w:w="1440"/>
            <w:shd w:fill="FAFAFA" w:val="clear"/>
          </w:tcPr>
          <w:p>
            <w:r>
              <w:rPr>
                <w:sz w:val="17"/>
              </w:rPr>
              <w:t>5,837</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5,154</w:t>
            </w:r>
          </w:p>
        </w:tc>
        <w:tc>
          <w:tcPr>
            <w:tcW w:type="dxa" w:w="1440"/>
            <w:shd w:fill="FAFAFA" w:val="clear"/>
          </w:tcPr>
          <w:p>
            <w:r>
              <w:rPr>
                <w:b/>
                <w:sz w:val="17"/>
              </w:rPr>
              <w:t>5,505</w:t>
            </w:r>
          </w:p>
        </w:tc>
        <w:tc>
          <w:tcPr>
            <w:tcW w:type="dxa" w:w="1440"/>
            <w:shd w:fill="FAFAFA" w:val="clear"/>
          </w:tcPr>
          <w:p>
            <w:r>
              <w:rPr>
                <w:sz w:val="17"/>
              </w:rPr>
              <w:t>5,856</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5,124</w:t>
            </w:r>
          </w:p>
        </w:tc>
        <w:tc>
          <w:tcPr>
            <w:tcW w:type="dxa" w:w="1440"/>
            <w:shd w:fill="FAFAFA" w:val="clear"/>
          </w:tcPr>
          <w:p>
            <w:r>
              <w:rPr>
                <w:b/>
                <w:sz w:val="17"/>
              </w:rPr>
              <w:t>5,499</w:t>
            </w:r>
          </w:p>
        </w:tc>
        <w:tc>
          <w:tcPr>
            <w:tcW w:type="dxa" w:w="1440"/>
            <w:shd w:fill="FAFAFA" w:val="clear"/>
          </w:tcPr>
          <w:p>
            <w:r>
              <w:rPr>
                <w:sz w:val="17"/>
              </w:rPr>
              <w:t>5,874</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5,096</w:t>
            </w:r>
          </w:p>
        </w:tc>
        <w:tc>
          <w:tcPr>
            <w:tcW w:type="dxa" w:w="1440"/>
            <w:shd w:fill="FAFAFA" w:val="clear"/>
          </w:tcPr>
          <w:p>
            <w:r>
              <w:rPr>
                <w:b/>
                <w:sz w:val="17"/>
              </w:rPr>
              <w:t>5,493</w:t>
            </w:r>
          </w:p>
        </w:tc>
        <w:tc>
          <w:tcPr>
            <w:tcW w:type="dxa" w:w="1440"/>
            <w:shd w:fill="FAFAFA" w:val="clear"/>
          </w:tcPr>
          <w:p>
            <w:r>
              <w:rPr>
                <w:sz w:val="17"/>
              </w:rPr>
              <w:t>5,891</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5,069</w:t>
            </w:r>
          </w:p>
        </w:tc>
        <w:tc>
          <w:tcPr>
            <w:tcW w:type="dxa" w:w="1440"/>
            <w:shd w:fill="FAFAFA" w:val="clear"/>
          </w:tcPr>
          <w:p>
            <w:r>
              <w:rPr>
                <w:b/>
                <w:sz w:val="17"/>
              </w:rPr>
              <w:t>5,487</w:t>
            </w:r>
          </w:p>
        </w:tc>
        <w:tc>
          <w:tcPr>
            <w:tcW w:type="dxa" w:w="1440"/>
            <w:shd w:fill="FAFAFA" w:val="clear"/>
          </w:tcPr>
          <w:p>
            <w:r>
              <w:rPr>
                <w:sz w:val="17"/>
              </w:rPr>
              <w:t>5,906</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116,38 milliards FCFA, BOAN se positionne comme une valeur de taille intermédiaire sur la cote BRVM, reflétant sa stature de banque nigérienne de premier plan. Le BPA de 20 FCFA/action — calculé sur un résultat net 2025 effondré à 409 millions FCFA — conduit à un PER de 284,5x, un niveau stratosphérique qui traduit une décorrélation totale entre le prix de marché et la capacité bénéficiaire actuelle ; à titre de comparaison, le PER moyen de la BRVM oscille entre 8x et 12x, ce qui place BOAN dans une zone de surévaluation manifeste si l'on s'en tient aux bénéfices présents. Le P/B de 3,23x indique que le marché valorise la banque à plus de trois fois ses fonds propres comptables (36,06 Mds FCFA), une prime de croissance qui ne se justifie que si le redressement attendu se matérialise. Enfin, l'EV/EBITDA de 41,4x — très au-delà du seuil de 15x généralement considéré comme exigeant — confirme que les investisseurs paient aujourd'hui très cher la capacité opérationnelle de la banque, en anticipant une normalisation des résultats plutôt qu'en se basant sur la performance courante.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BOAN a enregistré une progression spectaculaire de +74,84%, avec une dernière séance en hausse de +1,82%, portant le cours à 5 595 FCFA. Le titre a évolué dans un range très large, entre un plus bas de 3 200 FCFA et un plus haut de 5 645 FCFA, soit une amplitude de plus de 76%, ce qui témoigne d'une tendance nettement haussière portée par les anticipations de redressement post-sanctions. Les statistiques descriptives révèlent une moyenne de 4 415 FCFA supérieure à la médiane de 4 192 FCFA, signe d'une légère asymétrie positive induite par les pics de fin de période, tandis que le mode à 3 500 FCFA rappelle que le cours a longtemps stagné avant son envolée. L'écart-type de 801 FCFA (CV = 18,2%) traduit une dispersion modérée du cours autour de sa moyenne, et le kurtosis négatif de -1,694 (distribution platykurtique) indique une distribution aplatie avec une faible concentration des rendements, donc un risque de pics extrêmes limité. Le skewness de 0,125, quasi nul, confirme une distribution symétrique, sans biais directionnel marqué. Avec une volatilité annualisée de 37,0%, le titre se classe dans la catégorie des valeurs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(5 382,75 FCFA) et la MM50 (5 148,70 FCFA) se situent toutes deux sous le cours actuel de 5 595 FCFA, avec la MM20 au-dessus de la MM50 — configuration haussière classique en "golden cross". Cette disposition confirme la dynamique positive et justifie la décision d'achat.</w:t>
      </w:r>
    </w:p>
    <w:p>
      <w:pPr>
        <w:spacing w:after="120" w:line="276" w:lineRule="auto"/>
      </w:pPr>
      <w:r>
        <w:t>**Bandes de Bollinger** : Le cours (5 595 FCFA) évolue dans la partie haute du canal, entre la borne inférieure (5 075,93 FCFA) et la borne supérieure (5 689,58 FCFA), sans la franchir. La décision est neutre, car le titre reste sous la borne haute, mais la proximité de celle-ci suggère une possible consolidation.</w:t>
      </w:r>
    </w:p>
    <w:p>
      <w:pPr>
        <w:spacing w:after="120" w:line="276" w:lineRule="auto"/>
      </w:pPr>
      <w:r>
        <w:t>**MACD** : La valeur du MACD (119,43) est légèrement inférieure à son signal (125,03), générant une décision de vente. Cette divergence négative indique un essoufflement du momentum haussier, bien que l'écart reste faible et puisse se résorber rapidement.</w:t>
      </w:r>
    </w:p>
    <w:p>
      <w:pPr>
        <w:spacing w:after="120" w:line="276" w:lineRule="auto"/>
      </w:pPr>
      <w:r>
        <w:t>**RSI** : À 68,21, le RSI se situe en zone neutre haute, proche du seuil de surachat (70) sans l'atteindre. La décision est neutre, mais la prudence est de mise car un franchissement à la hausse signalerait un risque de correction.</w:t>
      </w:r>
    </w:p>
    <w:p>
      <w:pPr>
        <w:spacing w:after="120" w:line="276" w:lineRule="auto"/>
      </w:pPr>
      <w:r>
        <w:t>**Stochastique** : Le %K (83,33) est nettement supérieur au %D (65,98), avec un croisement en zone haute (&gt;80), ce qui génère une décision de vente. Ce signal suggère que le titre pourrait être en phase de surachat à court terme, avec un risque de repli imminent.</w:t>
      </w:r>
    </w:p>
    <w:p>
      <w:pPr>
        <w:spacing w:after="120" w:line="276" w:lineRule="auto"/>
      </w:pPr>
      <w:r>
        <w:t>**Conclusion technique** : Les indicateurs présentent une configuration mitigée. Les moyennes mobiles confirment la tendance haussière de fond, mais le MACD et le stochastique émettent des signaux de vente, tandis que le RSI et les bandes de Bollinger restent neutres. Cette divergence suggère que le titre, après sa forte progression, pourrait entrer dans une phase de consolidation, voire de correction à court terme, avant de reprendre sa tendance haussière si les fondamentaux confirment le redressement.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BOAN a traversé une année extrêmement difficile : le Produit Net Bancaire (PNB) s'est établi à 21 125 millions FCFA, en léger repli de -1,2% sur un an, tandis que le résultat net s'est effondré de -91,8% à seulement 409 millions FCFA (contre 5 002 millions en 2024), sous l'effet d'un coût du risque plus que doublé (+121,5%, à -6 016 millions FCFA) incluant une provision exceptionnelle de 4,8 milliards FCFA. Les ratios de rentabilité se sont dégradés en conséquence : le ROE est tombé à 1,13% (contre 11,39% en 2024) et le ROA à 0,14%, des niveaux très éloignés des standards bancaires. Le coefficient d'exploitation, à 74,37%, reste supérieur au seuil de 60% qui distingue une banque efficace, et le coût du risque rapporté aux charges financières atteint 67,30%, signalant un portefeuille de crédits sous forte pression (taux de créances en souffrance de 24% au niveau sectoriel). La structure financière demeure toutefois solide : les dépôts clientèle (183,28 Mds FCFA) couvrent largement les créances sur la clientèle (128,45 Mds FCFA), et le ratio de solvabilité de 14,06% reste conforme aux exigences UEMOA (≥10%). Les rapports trimestriels les plus récents (T1 2026, publié le 31 mars 2026) confirment un début de redressement : le PNB progresse de +7,9% à 5 170 millions FCFA, le résultat net bondit de +28,9% à 1 467,3 millions FCFA, et le coefficient d'exploitation s'améliore à 56,2% (contre 66,8% un an plus tôt). Sur la base de ce T1 2026, on peut estimer que l'exercice 2026 devrait marquer une nette reprise, avec un PNB annualisé proche de 22 327 millions FCFA (objectif budgétaire +6,4%) et un résultat net potentiellement multiplié par 6 à 7 par rapport à 2025, sous réserve que le coût du risque se normalise. La recommandation fondamentale est donc de **CONSERVER** : la banque dispose d'atouts solides (soutien du groupe BOA, ratios prudentiels conformes, dépôts en croissance), mais les risques (qualité du portefeuille, instabilité politique au Niger) restent élevés et nécessitent une surveillance rapprochée sur plusieurs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marquée entre la valorisation, le comportement du cours, les signaux techniques et les fondamentaux. La valorisation (Partie 0) est extrêmement tendue : un PER de 284,5x et un EV/EBITDA de 41,4x traduisent une surévaluation manifeste au regard des bénéfices actuels, bien que le P/B de 3,23x puisse se justifier par les perspectives de redressement. Le comportement du cours (Partie 1) est nettement haussier (+74,84% sur 100 jours), avec une volatilité élevée (37%) et une distribution symétrique (skewness 0,125) mais plate (kurtosis -1,694), ce qui limite le risque de pics extrêmes. Les signaux techniques (Partie 2) sont mitigés : les moyennes mobiles confirment la tendance haussière, mais le MACD et le stochastique émettent des signaux de vente, suggérant une consolidation imminente. Les fondamentaux (Partie 3) montrent une année 2025 catastrophique (résultat net -91,8%) mais un redressement encourageant au T1 2026 (résultat net +28,9%, coefficient d'exploitation à 56,2%). Les prédictions IA (J+1 à J+10) anticipent une légère correction du cours, de 5 533 FCFA à 5 518 FCFA, ce qui contredit la tendance haussière récente et confirme les signaux de vente à court terme. Sur la base de cette synthèse, la recommandation finale est **CONSERVER** : la convergence entre la surévaluation, les signaux techniques de vente à court terme et les prédictions baissières invite à la prudence, mais le redressement fondamental en cours (T1 2026) et le soutien du groupe BOA justifient de ne pas vendre. Le niveau de confiance est **Moyen** (les données trimestrielles sont encourageantes mais un seul trimestre ne suffit pas à confirmer la tendance), et le niveau de risque global est **Élevé** (volatilité de 37%, instabilité politique au Niger, qualité du portefeuille de crédits). L'horizon d'investissement optimal est le **moyen terme (3-12 mois)**, le temps que les prochains trimestres confirment le redressement et que la valorisation se normalise.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10,324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+20.68%</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6,735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μ=7,572 FCFA, σ=414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β=0.2785 (Défensif) — Cov=0.000010, Var(idx)=0.000034, ρ=0.105,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7,954</w:t>
            </w:r>
          </w:p>
        </w:tc>
        <w:tc>
          <w:tcPr>
            <w:tcW w:type="dxa" w:w="1440"/>
            <w:shd w:fill="FAFAFA" w:val="clear"/>
          </w:tcPr>
          <w:p>
            <w:r>
              <w:rPr>
                <w:b/>
                <w:sz w:val="17"/>
              </w:rPr>
              <w:t>8,166</w:t>
            </w:r>
          </w:p>
        </w:tc>
        <w:tc>
          <w:tcPr>
            <w:tcW w:type="dxa" w:w="1440"/>
            <w:shd w:fill="FAFAFA" w:val="clear"/>
          </w:tcPr>
          <w:p>
            <w:r>
              <w:rPr>
                <w:sz w:val="17"/>
              </w:rPr>
              <w:t>8,379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7,828</w:t>
            </w:r>
          </w:p>
        </w:tc>
        <w:tc>
          <w:tcPr>
            <w:tcW w:type="dxa" w:w="1440"/>
            <w:shd w:fill="FAFAFA" w:val="clear"/>
          </w:tcPr>
          <w:p>
            <w:r>
              <w:rPr>
                <w:b/>
                <w:sz w:val="17"/>
              </w:rPr>
              <w:t>8,126</w:t>
            </w:r>
          </w:p>
        </w:tc>
        <w:tc>
          <w:tcPr>
            <w:tcW w:type="dxa" w:w="1440"/>
            <w:shd w:fill="FAFAFA" w:val="clear"/>
          </w:tcPr>
          <w:p>
            <w:r>
              <w:rPr>
                <w:sz w:val="17"/>
              </w:rPr>
              <w:t>8,425</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7,726</w:t>
            </w:r>
          </w:p>
        </w:tc>
        <w:tc>
          <w:tcPr>
            <w:tcW w:type="dxa" w:w="1440"/>
            <w:shd w:fill="FAFAFA" w:val="clear"/>
          </w:tcPr>
          <w:p>
            <w:r>
              <w:rPr>
                <w:b/>
                <w:sz w:val="17"/>
              </w:rPr>
              <w:t>8,090</w:t>
            </w:r>
          </w:p>
        </w:tc>
        <w:tc>
          <w:tcPr>
            <w:tcW w:type="dxa" w:w="1440"/>
            <w:shd w:fill="FAFAFA" w:val="clear"/>
          </w:tcPr>
          <w:p>
            <w:r>
              <w:rPr>
                <w:sz w:val="17"/>
              </w:rPr>
              <w:t>8,454</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7,638</w:t>
            </w:r>
          </w:p>
        </w:tc>
        <w:tc>
          <w:tcPr>
            <w:tcW w:type="dxa" w:w="1440"/>
            <w:shd w:fill="FAFAFA" w:val="clear"/>
          </w:tcPr>
          <w:p>
            <w:r>
              <w:rPr>
                <w:b/>
                <w:sz w:val="17"/>
              </w:rPr>
              <w:t>8,056</w:t>
            </w:r>
          </w:p>
        </w:tc>
        <w:tc>
          <w:tcPr>
            <w:tcW w:type="dxa" w:w="1440"/>
            <w:shd w:fill="FAFAFA" w:val="clear"/>
          </w:tcPr>
          <w:p>
            <w:r>
              <w:rPr>
                <w:sz w:val="17"/>
              </w:rPr>
              <w:t>8,475</w:t>
            </w:r>
          </w:p>
        </w:tc>
        <w:tc>
          <w:tcPr>
            <w:tcW w:type="dxa" w:w="1440"/>
            <w:shd w:fill="FAFAFA" w:val="clear"/>
          </w:tcPr>
          <w:p>
            <w:r>
              <w:rPr>
                <w:b/>
                <w:color w:val="C00000"/>
                <w:sz w:val="17"/>
              </w:rPr>
              <w:t>-1.8%</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7,558</w:t>
            </w:r>
          </w:p>
        </w:tc>
        <w:tc>
          <w:tcPr>
            <w:tcW w:type="dxa" w:w="1440"/>
            <w:shd w:fill="FFDCE0" w:val="clear"/>
          </w:tcPr>
          <w:p>
            <w:r>
              <w:rPr>
                <w:b/>
                <w:sz w:val="17"/>
              </w:rPr>
              <w:t>8,024</w:t>
            </w:r>
          </w:p>
        </w:tc>
        <w:tc>
          <w:tcPr>
            <w:tcW w:type="dxa" w:w="1440"/>
            <w:shd w:fill="FFDCE0" w:val="clear"/>
          </w:tcPr>
          <w:p>
            <w:r>
              <w:rPr>
                <w:sz w:val="17"/>
              </w:rPr>
              <w:t>8,490</w:t>
            </w:r>
          </w:p>
        </w:tc>
        <w:tc>
          <w:tcPr>
            <w:tcW w:type="dxa" w:w="1440"/>
            <w:shd w:fill="FFDCE0" w:val="clear"/>
          </w:tcPr>
          <w:p>
            <w:r>
              <w:rPr>
                <w:b/>
                <w:color w:val="C00000"/>
                <w:sz w:val="17"/>
              </w:rPr>
              <w:t>-2.1%</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7,485</w:t>
            </w:r>
          </w:p>
        </w:tc>
        <w:tc>
          <w:tcPr>
            <w:tcW w:type="dxa" w:w="1440"/>
            <w:shd w:fill="FFDCE0" w:val="clear"/>
          </w:tcPr>
          <w:p>
            <w:r>
              <w:rPr>
                <w:b/>
                <w:sz w:val="17"/>
              </w:rPr>
              <w:t>7,993</w:t>
            </w:r>
          </w:p>
        </w:tc>
        <w:tc>
          <w:tcPr>
            <w:tcW w:type="dxa" w:w="1440"/>
            <w:shd w:fill="FFDCE0" w:val="clear"/>
          </w:tcPr>
          <w:p>
            <w:r>
              <w:rPr>
                <w:sz w:val="17"/>
              </w:rPr>
              <w:t>8,502</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7,416</w:t>
            </w:r>
          </w:p>
        </w:tc>
        <w:tc>
          <w:tcPr>
            <w:tcW w:type="dxa" w:w="1440"/>
            <w:shd w:fill="FFDCE0" w:val="clear"/>
          </w:tcPr>
          <w:p>
            <w:r>
              <w:rPr>
                <w:b/>
                <w:sz w:val="17"/>
              </w:rPr>
              <w:t>7,964</w:t>
            </w:r>
          </w:p>
        </w:tc>
        <w:tc>
          <w:tcPr>
            <w:tcW w:type="dxa" w:w="1440"/>
            <w:shd w:fill="FFDCE0" w:val="clear"/>
          </w:tcPr>
          <w:p>
            <w:r>
              <w:rPr>
                <w:sz w:val="17"/>
              </w:rPr>
              <w:t>8,511</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7,353</w:t>
            </w:r>
          </w:p>
        </w:tc>
        <w:tc>
          <w:tcPr>
            <w:tcW w:type="dxa" w:w="1440"/>
            <w:shd w:fill="FFDCE0" w:val="clear"/>
          </w:tcPr>
          <w:p>
            <w:r>
              <w:rPr>
                <w:b/>
                <w:sz w:val="17"/>
              </w:rPr>
              <w:t>7,936</w:t>
            </w:r>
          </w:p>
        </w:tc>
        <w:tc>
          <w:tcPr>
            <w:tcW w:type="dxa" w:w="1440"/>
            <w:shd w:fill="FFDCE0" w:val="clear"/>
          </w:tcPr>
          <w:p>
            <w:r>
              <w:rPr>
                <w:sz w:val="17"/>
              </w:rPr>
              <w:t>8,519</w:t>
            </w:r>
          </w:p>
        </w:tc>
        <w:tc>
          <w:tcPr>
            <w:tcW w:type="dxa" w:w="1440"/>
            <w:shd w:fill="FFDCE0" w:val="clear"/>
          </w:tcPr>
          <w:p>
            <w:r>
              <w:rPr>
                <w:b/>
                <w:color w:val="C00000"/>
                <w:sz w:val="17"/>
              </w:rPr>
              <w:t>-3.2%</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7,292</w:t>
            </w:r>
          </w:p>
        </w:tc>
        <w:tc>
          <w:tcPr>
            <w:tcW w:type="dxa" w:w="1440"/>
            <w:shd w:fill="FFDCE0" w:val="clear"/>
          </w:tcPr>
          <w:p>
            <w:r>
              <w:rPr>
                <w:b/>
                <w:sz w:val="17"/>
              </w:rPr>
              <w:t>7,909</w:t>
            </w:r>
          </w:p>
        </w:tc>
        <w:tc>
          <w:tcPr>
            <w:tcW w:type="dxa" w:w="1440"/>
            <w:shd w:fill="FFDCE0" w:val="clear"/>
          </w:tcPr>
          <w:p>
            <w:r>
              <w:rPr>
                <w:sz w:val="17"/>
              </w:rPr>
              <w:t>8,525</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7,235</w:t>
            </w:r>
          </w:p>
        </w:tc>
        <w:tc>
          <w:tcPr>
            <w:tcW w:type="dxa" w:w="1440"/>
            <w:shd w:fill="FFDCE0" w:val="clear"/>
          </w:tcPr>
          <w:p>
            <w:r>
              <w:rPr>
                <w:b/>
                <w:sz w:val="17"/>
              </w:rPr>
              <w:t>7,883</w:t>
            </w:r>
          </w:p>
        </w:tc>
        <w:tc>
          <w:tcPr>
            <w:tcW w:type="dxa" w:w="1440"/>
            <w:shd w:fill="FFDCE0" w:val="clear"/>
          </w:tcPr>
          <w:p>
            <w:r>
              <w:rPr>
                <w:sz w:val="17"/>
              </w:rPr>
              <w:t>8,530</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ACTION BOAS (BANK OF AFRICA SÉNÉGAL)**</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295,20 milliards FCFA, BOAS s'impose comme l'une des valeurs bancaires de référence de la cote BRVM, offrant une liquidité et une visibilité appréciables aux investisseurs institutionnels régionaux. Le BPA de 608 FCFA/action signifie que chaque titre génère près de 608 FCFA de bénéfice net, un niveau de rentabilité unitaire solide qui traduit la qualité des marges de la banque. Le PER de 13,5x situe le titre légèrement au-dessus de la moyenne du marché BRVM (généralement 8-12x), ce qui indique que les investisseurs acceptent de payer une prime modérée pour la qualité de la croissance et la régularité des résultats, sans pour autant tomber dans une surévaluation manifeste. Le P/B de 3,06x, dans la fourchette 2-4x, confirme cette prime de croissance : le marché valorise BOAS à trois fois ses fonds propres comptables, ce qui se justifie par un ROE supérieur à 20%. Enfin, l'EV/EBITDA de 8,8x, dans la zone raisonnable de 5-10x, suggère que la valeur d'entreprise reste cohérente avec la capacité opérationnelle de génération de cash-flows, sans excès spéculatif.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totale de +20,68%, portée par un cours actuel de 8 200 FCFA, malgré un repli marginal de -1,20% lors de la dernière séance (J-1). Le titre a évolué dans un range de trading de 1 765 FCFA, entre un plus bas de 6 735 FCFA et un plus haut de 8 500 FCFA, ce qui témoigne d'une tendance nettement haussière avec une consolidation récente proche des sommets. Les statistiques descriptives révèlent une moyenne de 7 572 FCFA légèrement supérieure à la médiane de 7 490 FCFA, un écart modeste qui traduit une distribution quasi-symétrique, confirmée par un skewness de 0,307 (asymétrie positive légère). L'écart-type de 416 FCFA, associé à un coefficient de variation de seulement 5,5%, indique une dispersion du cours très contenue, signe d'une certaine stabilité de la valorisation. Le kurtosis de -0,356 (mésokurtique) suggère une distribution proche de la normale, sans risque marqué de pics extrêmes, ce qui est rassurant pour la gestion du risque. Avec une volatilité annualisée de 24,7%, le titre se situe dans la catégorie des valeurs à volatilité modérée (15-30%), offrant un bon compromis entre potentiel de rendement et maîtrise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(8 170,5 FCFA) et la MM50 (7 806,6 FCFA) se situent toutes deux sous le cours actuel de 8 200 FCFA, avec une MM20 supérieure à la MM50, configuration classique de tendance haussière (golden cross). Le signal d'achat est confirmé par cette structure ascendante des moyennes, bien que le cours soit très proche de la MM20, suggérant une possible consolidation avant une nouvelle impulsion.</w:t>
      </w:r>
    </w:p>
    <w:p>
      <w:pPr>
        <w:spacing w:after="120" w:line="276" w:lineRule="auto"/>
      </w:pPr>
      <w:r>
        <w:t>**Bandes de Bollinger** : Le cours (8 200 FCFA) évolue dans la partie supérieure de la bande, entre la borne inférieure (7 692 FCFA) et la borne supérieure (8 648,9 FCFA), sans franchir cette dernière. La décision "Neutre" reflète l'absence de signal de surachat ou de survente, avec une volatilité qui reste contenue dans les bandes, indiquant un marché équilibré.</w:t>
      </w:r>
    </w:p>
    <w:p>
      <w:pPr>
        <w:spacing w:after="120" w:line="276" w:lineRule="auto"/>
      </w:pPr>
      <w:r>
        <w:t>**MACD** : La valeur du MACD (131,44) est inférieure à son signal (155,65), générant une décision de "Vente". Cette divergence négative indique un essoufflement du momentum haussier à court terme, bien que les deux lignes restent en territoire positif, ce qui suggère une correction technique plutôt qu'un retournement de tendance.</w:t>
      </w:r>
    </w:p>
    <w:p>
      <w:pPr>
        <w:spacing w:after="120" w:line="276" w:lineRule="auto"/>
      </w:pPr>
      <w:r>
        <w:t>**RSI** : À 58,40, le RSI se situe en zone neutre (30-70), sans signal de surachat (&gt;70) ni de survente (&lt;30). Cette position médiane indique que le titre dispose encore d'un potentiel de hausse sans être dans une zone d'euphorie, justifiant la décision "Neutre".</w:t>
      </w:r>
    </w:p>
    <w:p>
      <w:pPr>
        <w:spacing w:after="120" w:line="276" w:lineRule="auto"/>
      </w:pPr>
      <w:r>
        <w:t>**Stochastique** : Le %K (0,0) est nettement inférieur au %D (33,33), avec un croisement en zone de survente qui génère une décision d' "Achat". Ce signal suggère que le titre pourrait rebondir à court terme après la consolidation récente, le %K à zéro indiquant une pression vendeuse qui s'épuise.</w:t>
      </w:r>
    </w:p>
    <w:p>
      <w:pPr>
        <w:spacing w:after="120" w:line="276" w:lineRule="auto"/>
      </w:pPr>
      <w:r>
        <w:t>**Conclusion technique** : Les indicateurs présentent une configuration mitigée mais globalement constructive. La tendance de fond reste haussière (MM20 &gt; MM50, cours au-dessus des moyennes), tandis que les signaux de court terme (MACD vendeur, Stochastique acheteur) suggèrent une phase de consolidation avant une reprise. Le RSI neutre et les Bandes de Bollinger sans excès confirment un marché équilibré, propice à une accumulation progressive plutôt qu'à une spéculation agressive.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annuels 2025 de BOAS (secteur BANQUE) révèlent une solidité remarquable : le Produit Net Bancaire (PNB, équivalent du chiffre d'affaires) s'établit à 51,926 milliards FCFA, pour un résultat net de 21,905 milliards FCFA, soit une marge nette exceptionnelle de 42,19%. Le ROE atteint 22,69% (largement supérieur au seuil d'excellence de 15%), et le ROA de 2,62% confirme une rentabilité des actifs solide. Le coefficient d'exploitation de 44,02% (inférieur à 50%) témoigne d'une efficacité opérationnelle excellente, tandis que le coût du risque de 23,31% (provisions/charges financières) reste un point de vigilance, bien qu'il soit compensé par une couverture des intérêts de 132,58%. La structure financière affiche une autonomie financière de 11,54% (faible mais typique du modèle bancaire) et une capacité de remboursement de 1,54 an, très confortable. Les rapports trimestriels confirment cette dynamique : le rapport du T3 2025 (30 septembre 2025) indique un PNB cumulé de 37,44 milliards FCFA (+6,71% sur un an) et un résultat net de 16,37 milliards FCFA (+10,01%), avec un coefficient d'exploitation en baisse à 44,4%. Le rapport du T1 2026 (31 mars 2026) montre un PNB de 12,58 milliards FCFA (+6,82%) et un résultat net de 5,741 milliards FCFA (+9,78%), avec des dépôts clients en forte hausse (+16,68% à 648,038 milliards FCFA) et un coefficient d'exploitation amélioré à 42,1%. Sur la base de ces tendances, on estime que l'exercice 2026 devrait enregistrer une croissance du PNB de l'ordre de 6-7% (soit environ 55 milliards FCFA) et un résultat net proche de 23-24 milliards FCFA, confirmant la trajectoire de croissance rentable. La recommandation fondamentale est donc positive : solidité financière, croissance régulière, efficacité opérationnelle et perspectives favorables, avec un risque principal lié à la concentration sur le marché sénégalais et à l'évolution du coût du risque.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converge vers une recommandation d'**ACHAT**, avec un niveau de confiance **Moyen** et un risque global **Moyen**. La valorisation (Partie 0) est raisonnable sans être bon marché : le PER de 13,5x et le P/B de 3,06x intègrent une prime de qualité justifiée par un ROE de 22,69%, mais limitent le potentiel de revalorisation à court terme. Le comportement du cours (Partie 1) est favorable, avec une tendance haussière de +20,68% sur 100 jours, une volatilité modérée (24,7%) et des statistiques rassurantes (kurtosis proche de la normale, skewness légèrement positif). Les signaux techniques (Partie 2) sont mitigés : la tendance de fond reste haussière (MM20 &gt; MM50), mais le MACD vendeur et le RSI neutre suggèrent une consolidation avant une nouvelle impulsion, tandis que le Stochastique en zone de survente offre un point d'entrée intéressant. Les fondamentaux (Partie 3) sont solides : croissance du PNB (+6,8% au T1 2026), résultat net en hausse (+9,78%), coefficient d'exploitation maîtrisé (42,1%) et dépôts clients en forte progression (+16,68%). Les prédictions IA (J+1 à J+10) anticipent une légère correction vers 8 024 FCFA d'ici le 18 septembre 2026, ce qui contredit partiellement les signaux haussiers à court terme mais reste cohérent avec une phase de consolidation. Compte tenu de cette convergence partielle, la recommandation est **ACHAT** pour un horizon **moyen terme (3-12 mois)**, en profitant des replis vers 8 000-8 100 FCFA pour accumuler, avec un objectif de cours à 8 800-9 000 FCFA. Le niveau de confiance est **Moyen** en raison de la divergence entre les signaux techniques de court terme et les fondamentaux solides, et le risque est **Moyen** (concentration géographique, coût du risque, sensibilité aux conditions macroéconomiques).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2,140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B40000"/>
                <w:sz w:val="17"/>
              </w:rPr>
              <w:t>-8.02%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7.20% (Moyenne) — μ=3,714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β=0.1660 (Défensif) — Cov=0.000006, Var(idx)=0.000034, ρ=0.032,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3,379</w:t>
            </w:r>
          </w:p>
        </w:tc>
        <w:tc>
          <w:tcPr>
            <w:tcW w:type="dxa" w:w="1440"/>
            <w:shd w:fill="FAFAFA" w:val="clear"/>
          </w:tcPr>
          <w:p>
            <w:r>
              <w:rPr>
                <w:b/>
                <w:sz w:val="17"/>
              </w:rPr>
              <w:t>3,475</w:t>
            </w:r>
          </w:p>
        </w:tc>
        <w:tc>
          <w:tcPr>
            <w:tcW w:type="dxa" w:w="1440"/>
            <w:shd w:fill="FAFAFA" w:val="clear"/>
          </w:tcPr>
          <w:p>
            <w:r>
              <w:rPr>
                <w:sz w:val="17"/>
              </w:rPr>
              <w:t>3,571</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3,322</w:t>
            </w:r>
          </w:p>
        </w:tc>
        <w:tc>
          <w:tcPr>
            <w:tcW w:type="dxa" w:w="1440"/>
            <w:shd w:fill="FAFAFA" w:val="clear"/>
          </w:tcPr>
          <w:p>
            <w:r>
              <w:rPr>
                <w:b/>
                <w:sz w:val="17"/>
              </w:rPr>
              <w:t>3,457</w:t>
            </w:r>
          </w:p>
        </w:tc>
        <w:tc>
          <w:tcPr>
            <w:tcW w:type="dxa" w:w="1440"/>
            <w:shd w:fill="FAFAFA" w:val="clear"/>
          </w:tcPr>
          <w:p>
            <w:r>
              <w:rPr>
                <w:sz w:val="17"/>
              </w:rPr>
              <w:t>3,592</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3,271</w:t>
            </w:r>
          </w:p>
        </w:tc>
        <w:tc>
          <w:tcPr>
            <w:tcW w:type="dxa" w:w="1440"/>
            <w:shd w:fill="FAFAFA" w:val="clear"/>
          </w:tcPr>
          <w:p>
            <w:r>
              <w:rPr>
                <w:b/>
                <w:sz w:val="17"/>
              </w:rPr>
              <w:t>3,435</w:t>
            </w:r>
          </w:p>
        </w:tc>
        <w:tc>
          <w:tcPr>
            <w:tcW w:type="dxa" w:w="1440"/>
            <w:shd w:fill="FAFAFA" w:val="clear"/>
          </w:tcPr>
          <w:p>
            <w:r>
              <w:rPr>
                <w:sz w:val="17"/>
              </w:rPr>
              <w:t>3,600</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3,225</w:t>
            </w:r>
          </w:p>
        </w:tc>
        <w:tc>
          <w:tcPr>
            <w:tcW w:type="dxa" w:w="1440"/>
            <w:shd w:fill="FFDCE0" w:val="clear"/>
          </w:tcPr>
          <w:p>
            <w:r>
              <w:rPr>
                <w:b/>
                <w:sz w:val="17"/>
              </w:rPr>
              <w:t>3,413</w:t>
            </w:r>
          </w:p>
        </w:tc>
        <w:tc>
          <w:tcPr>
            <w:tcW w:type="dxa" w:w="1440"/>
            <w:shd w:fill="FFDCE0" w:val="clear"/>
          </w:tcPr>
          <w:p>
            <w:r>
              <w:rPr>
                <w:sz w:val="17"/>
              </w:rPr>
              <w:t>3,602</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3,182</w:t>
            </w:r>
          </w:p>
        </w:tc>
        <w:tc>
          <w:tcPr>
            <w:tcW w:type="dxa" w:w="1440"/>
            <w:shd w:fill="FFDCE0" w:val="clear"/>
          </w:tcPr>
          <w:p>
            <w:r>
              <w:rPr>
                <w:b/>
                <w:sz w:val="17"/>
              </w:rPr>
              <w:t>3,391</w:t>
            </w:r>
          </w:p>
        </w:tc>
        <w:tc>
          <w:tcPr>
            <w:tcW w:type="dxa" w:w="1440"/>
            <w:shd w:fill="FFDCE0" w:val="clear"/>
          </w:tcPr>
          <w:p>
            <w:r>
              <w:rPr>
                <w:sz w:val="17"/>
              </w:rPr>
              <w:t>3,600</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3,142</w:t>
            </w:r>
          </w:p>
        </w:tc>
        <w:tc>
          <w:tcPr>
            <w:tcW w:type="dxa" w:w="1440"/>
            <w:shd w:fill="FFDCE0" w:val="clear"/>
          </w:tcPr>
          <w:p>
            <w:r>
              <w:rPr>
                <w:b/>
                <w:sz w:val="17"/>
              </w:rPr>
              <w:t>3,370</w:t>
            </w:r>
          </w:p>
        </w:tc>
        <w:tc>
          <w:tcPr>
            <w:tcW w:type="dxa" w:w="1440"/>
            <w:shd w:fill="FFDCE0" w:val="clear"/>
          </w:tcPr>
          <w:p>
            <w:r>
              <w:rPr>
                <w:sz w:val="17"/>
              </w:rPr>
              <w:t>3,597</w:t>
            </w:r>
          </w:p>
        </w:tc>
        <w:tc>
          <w:tcPr>
            <w:tcW w:type="dxa" w:w="1440"/>
            <w:shd w:fill="FFDCE0" w:val="clear"/>
          </w:tcPr>
          <w:p>
            <w:r>
              <w:rPr>
                <w:b/>
                <w:color w:val="C00000"/>
                <w:sz w:val="17"/>
              </w:rPr>
              <w:t>-3.7%</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3,105</w:t>
            </w:r>
          </w:p>
        </w:tc>
        <w:tc>
          <w:tcPr>
            <w:tcW w:type="dxa" w:w="1440"/>
            <w:shd w:fill="FFDCE0" w:val="clear"/>
          </w:tcPr>
          <w:p>
            <w:r>
              <w:rPr>
                <w:b/>
                <w:sz w:val="17"/>
              </w:rPr>
              <w:t>3,349</w:t>
            </w:r>
          </w:p>
        </w:tc>
        <w:tc>
          <w:tcPr>
            <w:tcW w:type="dxa" w:w="1440"/>
            <w:shd w:fill="FFDCE0" w:val="clear"/>
          </w:tcPr>
          <w:p>
            <w:r>
              <w:rPr>
                <w:sz w:val="17"/>
              </w:rPr>
              <w:t>3,593</w:t>
            </w:r>
          </w:p>
        </w:tc>
        <w:tc>
          <w:tcPr>
            <w:tcW w:type="dxa" w:w="1440"/>
            <w:shd w:fill="FFDCE0" w:val="clear"/>
          </w:tcPr>
          <w:p>
            <w:r>
              <w:rPr>
                <w:b/>
                <w:color w:val="C00000"/>
                <w:sz w:val="17"/>
              </w:rPr>
              <w:t>-4.3%</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3,069</w:t>
            </w:r>
          </w:p>
        </w:tc>
        <w:tc>
          <w:tcPr>
            <w:tcW w:type="dxa" w:w="1440"/>
            <w:shd w:fill="FFDCE0" w:val="clear"/>
          </w:tcPr>
          <w:p>
            <w:r>
              <w:rPr>
                <w:b/>
                <w:sz w:val="17"/>
              </w:rPr>
              <w:t>3,329</w:t>
            </w:r>
          </w:p>
        </w:tc>
        <w:tc>
          <w:tcPr>
            <w:tcW w:type="dxa" w:w="1440"/>
            <w:shd w:fill="FFDCE0" w:val="clear"/>
          </w:tcPr>
          <w:p>
            <w:r>
              <w:rPr>
                <w:sz w:val="17"/>
              </w:rPr>
              <w:t>3,588</w:t>
            </w:r>
          </w:p>
        </w:tc>
        <w:tc>
          <w:tcPr>
            <w:tcW w:type="dxa" w:w="1440"/>
            <w:shd w:fill="FFDCE0" w:val="clear"/>
          </w:tcPr>
          <w:p>
            <w:r>
              <w:rPr>
                <w:b/>
                <w:color w:val="C00000"/>
                <w:sz w:val="17"/>
              </w:rPr>
              <w:t>-4.9%</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3,035</w:t>
            </w:r>
          </w:p>
        </w:tc>
        <w:tc>
          <w:tcPr>
            <w:tcW w:type="dxa" w:w="1440"/>
            <w:shd w:fill="FFDCE0" w:val="clear"/>
          </w:tcPr>
          <w:p>
            <w:r>
              <w:rPr>
                <w:b/>
                <w:sz w:val="17"/>
              </w:rPr>
              <w:t>3,309</w:t>
            </w:r>
          </w:p>
        </w:tc>
        <w:tc>
          <w:tcPr>
            <w:tcW w:type="dxa" w:w="1440"/>
            <w:shd w:fill="FFDCE0" w:val="clear"/>
          </w:tcPr>
          <w:p>
            <w:r>
              <w:rPr>
                <w:sz w:val="17"/>
              </w:rPr>
              <w:t>3,583</w:t>
            </w:r>
          </w:p>
        </w:tc>
        <w:tc>
          <w:tcPr>
            <w:tcW w:type="dxa" w:w="1440"/>
            <w:shd w:fill="FFDCE0" w:val="clear"/>
          </w:tcPr>
          <w:p>
            <w:r>
              <w:rPr>
                <w:b/>
                <w:color w:val="C00000"/>
                <w:sz w:val="17"/>
              </w:rPr>
              <w:t>-5.5%</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3,002</w:t>
            </w:r>
          </w:p>
        </w:tc>
        <w:tc>
          <w:tcPr>
            <w:tcW w:type="dxa" w:w="1440"/>
            <w:shd w:fill="FFDCE0" w:val="clear"/>
          </w:tcPr>
          <w:p>
            <w:r>
              <w:rPr>
                <w:b/>
                <w:sz w:val="17"/>
              </w:rPr>
              <w:t>3,289</w:t>
            </w:r>
          </w:p>
        </w:tc>
        <w:tc>
          <w:tcPr>
            <w:tcW w:type="dxa" w:w="1440"/>
            <w:shd w:fill="FFDCE0" w:val="clear"/>
          </w:tcPr>
          <w:p>
            <w:r>
              <w:rPr>
                <w:sz w:val="17"/>
              </w:rPr>
              <w:t>3,576</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Côte d'Ivoire*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20,72 milliards FCFA, CABC se positionne comme une valeur de taille moyenne sur le compartiment industriel de la BRVM, loin des poids lourds comme SONATEL ou les banques du secteur financier. Le BPA de 243 FCFA/action indique ce que chaque titre génère en bénéfice net, ce qui, rapporté au cours actuel de 3 500 FCFA, donne un PER de 14,4x — un niveau modéré mais supérieur à la moyenne du marché BRVM (généralement comprise entre 8 et 12x), suggérant que les investisseurs paient une légère prime pour les perspectives de croissance de l'entreprise. Le ratio P/B de 2,22x montre que le marché valorise CABC à plus du double de sa valeur comptable, traduisant une prime de croissance accordée par les investisseurs, bien que cette prime doive être justifiée par la rentabilité future. Enfin, l'EV/EBITDA de 7,3x, situé dans la fourchette raisonnable de 5-10x, indique que la valeur totale de l'entreprise (incluant la dette) reste cohérente avec sa capacité opérationnelle à générer des liquidités, ce qui constitue un signal plutôt rassurant pour un industriel.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 enregistré une variation totale de -8,02%, reflétant une tendance baissière modérée, bien que la dernière séance (J-1) affiche un rebond marginal de +0,57%, signalant une possible tentative de stabilisation. Le cours actuel de 3 500 FCFA se situe dans la partie basse du range de trading, le plus haut ayant atteint 4 500 FCFA et le plus bas 3 350 FCFA, ce qui témoigne d'une amplitude de 1 150 FCFA (soit environ 34% du plus bas) et d'une pression vendeuse persistante depuis les sommets. Les statistiques descriptives révèlent une moyenne de 3 714 FCFA supérieure à la médiane de 3 632 FCFA, confirmant une asymétrie positive (skewness de 1,103) avec davantage de journées sous la moyenne, tandis que le mode à 3 500 FCFA coïncide avec le cours actuel, suggérant un niveau de support psychologique. L'écart-type de 269 FCFA (CV de 7,2%) indique une dispersion modérée du cours autour de sa moyenne, et le kurtosis de 0,758 (mésokurtique) signifie que la distribution des rendements est proche d'une loi normale, sans risque excessif de pics extrêmes. La volatilité annualisée de 48,0% classe ce titre dans la catégorie des valeurs à volatilité élevée (&gt;30%), ce qui implique un risque significatif pour les investisseurs à court terme, mais aussi des opportunités de trading pour les profils agressifs.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(3 545,75 FCFA) et la MM50 (3 690,9 FCFA) se situent toutes deux au-dessus du cours actuel (3 500 FCFA), avec la MM20 en dessous de la MM50, configurant une structure baissière classique (croisement mort). Cette configuration justifie la décision technique de "Vente", le cours évoluant sous ses moyennes mobiles, ce qui indique une pression baissière persistante et l'absence de signal de retournement à court terme.</w:t>
      </w:r>
    </w:p>
    <w:p>
      <w:pPr>
        <w:spacing w:after="120" w:line="276" w:lineRule="auto"/>
      </w:pPr>
      <w:r>
        <w:t>**Bandes de Bollinger** : Le cours actuel (3 500 FCFA) se situe dans la partie basse de la bande de Bollinger, entre la borne inférieure (3 403,835 FCFA) et la borne supérieure (3 687,665 FCFA), sans franchir les extrêmes. La décision "Neutre" reflète cette position médiane, le cours n'étant ni en surachat (proche de la borne supérieure) ni en survente technique (proche de la borne inférieure), bien que la proximité de la borne basse suggère une possible zone de rebond technique.</w:t>
      </w:r>
    </w:p>
    <w:p>
      <w:pPr>
        <w:spacing w:after="120" w:line="276" w:lineRule="auto"/>
      </w:pPr>
      <w:r>
        <w:t>**MACD** : La valeur du MACD (-47,284) est supérieure à son signal (-53,57), générant un croisement haussier (MACD au-dessus du signal) qui justifie la décision "Achat". Cette divergence positive indique un ralentissement de la dynamique baissière et un possible début de retournement du momentum, bien que les deux lignes restent en territoire négatif, ce qui tempère la portée du signal.</w:t>
      </w:r>
    </w:p>
    <w:p>
      <w:pPr>
        <w:spacing w:after="120" w:line="276" w:lineRule="auto"/>
      </w:pPr>
      <w:r>
        <w:t>**RSI** : Avec une valeur de 25,862, le RSI se situe nettement en zone de survente (seuil &lt;30), ce qui justifie la décision "Achat". Ce niveau extrême indique que le titre a été massivement vendu et qu'un rebond technique est statistiquement probable à court terme, les investisseurs contrariants y voyant une opportunité d'entrée.</w:t>
      </w:r>
    </w:p>
    <w:p>
      <w:pPr>
        <w:spacing w:after="120" w:line="276" w:lineRule="auto"/>
      </w:pPr>
      <w:r>
        <w:t>**Stochastique** : Le %K (14,286) est supérieur au %D (4,762), avec un croisement haussier en zone de survente (les deux indicateurs étant sous 20), ce qui justifie la décision "Achat". Ce signal confirme la pression acheteuse naissante et renforce l'hypothèse d'un rebond technique imminent, bien que la fiabilité de ce signal dépende de la confirmation par les volumes.</w:t>
      </w:r>
    </w:p>
    <w:p>
      <w:pPr>
        <w:spacing w:after="120" w:line="276" w:lineRule="auto"/>
      </w:pPr>
      <w:r>
        <w:t>**Conclusion technique** : Les indicateurs techniques présentent une divergence notable : les moyennes mobiles restent baissières (cours sous MM20 et MM50), mais le MACD, le RSI et le stochastique génèrent tous des signaux d'achat en raison de la survente extrême du titre. Cette configuration suggère un possible rebond technique à court terme, mais la prudence reste de mise tant que le cours n'aura pas reconquis la MM20 (3 545,75 FCFA) et la MM50 (3 690,9 FCFA), qui constituent des résistances clés à surveiller.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(chiffres officiels) révèlent une situation contrastée pour CABC. Le chiffre d'affaires s'établit à 21 263 M FCFA, en croissance de 11,18% par rapport à 2024, confirmant la dynamique commerciale positive observée depuis 2023. Le résultat net atteint 1 439 M FCFA, soit une marge nette de 6,77%, en amélioration par rapport aux 6,4% de 2024. Le ROE (rentabilité des fonds propres) de 15,40% est excellent (&gt;15%), tandis que le ROA de 6,10% reste modéré, reflétant une rotation des actifs de 90,06% (le CA représente 90% du total actif). En tant qu'entreprise industrielle, les délais d'exploitation sont préoccupants : le délai clients de 144,69 jours et la durée de stockage de 152,12 jours immobilisent d'importants capitaux (créances clients de 8 429 M FCFA et stocks de 7 400 M FCFA), générant un BFR de 7 186 M FCFA et un flux opérationnel négatif de -819,66 M FCFA en 2025. La structure financière reste saine avec une autonomie financière de 39,58% (&gt;30%), une liquidité générale de 242,60% (&gt;1) et une capacité de remboursement de 0,26 an (dette financière/CAF), bien que le ratio d'endettement de 60,42% mérite une surveillance. Les rapports trimestriels récents confirment cette tendance : le rapport du 3ème trimestre 2025 (daté du 30/09/2025) indique un CA cumulé de 16 630 M FCFA (+13,7%) et un résultat net de 1 329,5 M FCFA (+26,0%), avec une marge nette de 8,0% et une marge opérationnelle de 11,5%. Sur la base de ces performances, on estime que l'exercice 2025 devrait clôturer avec un CA supérieur à 21 000 M FCFA et un résultat net proche de 1 700-1 800 M FCFA, bien que le rapport du T1 2026 (daté de 2026) signale un net ralentissement avec un CA en baisse de 26,5% à 3 794 M FCFA et une perte nette de 221,7 M FCFA, attribuée à une maintenance planifiée et à la volatilité des cours des métaux. La recommandation fondamentale est de **CONSERVER** le titre, en surveillant attentivement la normalisation des performances au T2 2026 et l'évolution des marges, qui restent sous pression en raison de la dépendance aux matières premières (cuivre, aluminium) et de la concurrence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La valorisation (Partie 0) indique un PER de 14,4x légèrement supérieur à la moyenne du marché, mais un EV/EBITDA de 7,3x raisonnable, suggérant une valorisation correcte sans excès majeur. Le comportement du cours (Partie 1) est baissier sur 100 jours (-8,02%) avec une volatilité élevée (48%), mais les statistiques (skewness positif, kurtosis normal) n'indiquent pas de risque extrême, et le rebond de J-1 (+0,57%) pourrait marquer un début de stabilisation. Les signaux techniques (Partie 2) sont divergents : les moyennes mobiles restent baissières, mais le MACD, le RSI (25,86 en survente) et le stochastique génèrent des signaux d'achat, plaidant pour un rebond technique à court terme. Les fondamentaux (Partie 3) sont solides sur l'exercice 2025 (CA de 21 263 M FCFA, résultat net de 1 439 M FCFA, ROE de 15,40%), mais le T1 2026 décevant (perte de 221,7 M FCFA) introduit une incertitude. Les prédictions IA (J+1 à J+10) anticipent une poursuite de la baisse jusqu'à 3 391 FCFA le 18/09/2026, ce qui contredit les signaux techniques d'achat et suggère que le rebond pourrait être de courte durée. Sur la base de cette synthèse, la recommandation finale est **CONSERVER**, avec un niveau de confiance **Moyen** et un risque global **Élevé** en raison de la volatilité du titre et des incertitudes sur la normalisation des performances en 2026. L'horizon d'investissement optimal est le **moyen terme (3-12 mois)**, en attendant la confirmation d'un retour à la profitabilité au T2 2026 et la reconquête des moyennes mobiles, qui constitueraient des signaux d'entrée plus fiables pour un investisseur prudent.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1097.60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1,482 titres</w:t>
            </w:r>
          </w:p>
        </w:tc>
        <w:tc>
          <w:tcPr>
            <w:tcW w:type="dxa" w:w="2268"/>
            <w:shd w:fill="FFF2CC" w:val="clear"/>
          </w:tcPr>
          <w:p>
            <w:r>
              <w:rPr>
                <w:b/>
                <w:color w:val="503200"/>
                <w:sz w:val="16"/>
              </w:rPr>
              <w:t xml:space="preserve">Cours actuel : </w:t>
            </w:r>
            <w:r>
              <w:rPr>
                <w:color w:val="000000"/>
                <w:sz w:val="17"/>
              </w:rPr>
              <w:t>34,300 FCFA</w:t>
            </w:r>
          </w:p>
          <w:p>
            <w:r>
              <w:rPr>
                <w:b/>
                <w:color w:val="503200"/>
                <w:sz w:val="16"/>
              </w:rPr>
              <w:t xml:space="preserve">Var. 100 jours : </w:t>
            </w:r>
            <w:r>
              <w:rPr>
                <w:b/>
                <w:color w:val="007800"/>
                <w:sz w:val="17"/>
              </w:rPr>
              <w:t>+104.11%</w:t>
            </w:r>
          </w:p>
          <w:p>
            <w:r>
              <w:rPr>
                <w:b/>
                <w:color w:val="503200"/>
                <w:sz w:val="16"/>
              </w:rPr>
              <w:t xml:space="preserve">Plus haut 100j : </w:t>
            </w:r>
            <w:r>
              <w:rPr>
                <w:color w:val="000000"/>
                <w:sz w:val="17"/>
              </w:rPr>
              <w:t>34,300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21.28% (Élevée) — μ=24,411 FCFA, σ=5,196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β=1.0576 (Neutre (suit le marché)) — Cov=0.000036, Var(idx)=0.000034, ρ=0.234,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30,832</w:t>
            </w:r>
          </w:p>
        </w:tc>
        <w:tc>
          <w:tcPr>
            <w:tcW w:type="dxa" w:w="1440"/>
            <w:shd w:fill="FFDCE0" w:val="clear"/>
          </w:tcPr>
          <w:p>
            <w:r>
              <w:rPr>
                <w:b/>
                <w:sz w:val="17"/>
              </w:rPr>
              <w:t>31,728</w:t>
            </w:r>
          </w:p>
        </w:tc>
        <w:tc>
          <w:tcPr>
            <w:tcW w:type="dxa" w:w="1440"/>
            <w:shd w:fill="FFDCE0" w:val="clear"/>
          </w:tcPr>
          <w:p>
            <w:r>
              <w:rPr>
                <w:sz w:val="17"/>
              </w:rPr>
              <w:t>32,623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29,045</w:t>
            </w:r>
          </w:p>
        </w:tc>
        <w:tc>
          <w:tcPr>
            <w:tcW w:type="dxa" w:w="1440"/>
            <w:shd w:fill="FFDCE0" w:val="clear"/>
          </w:tcPr>
          <w:p>
            <w:r>
              <w:rPr>
                <w:b/>
                <w:sz w:val="17"/>
              </w:rPr>
              <w:t>30,252</w:t>
            </w:r>
          </w:p>
        </w:tc>
        <w:tc>
          <w:tcPr>
            <w:tcW w:type="dxa" w:w="1440"/>
            <w:shd w:fill="FFDCE0" w:val="clear"/>
          </w:tcPr>
          <w:p>
            <w:r>
              <w:rPr>
                <w:sz w:val="17"/>
              </w:rPr>
              <w:t>31,460</w:t>
            </w:r>
          </w:p>
        </w:tc>
        <w:tc>
          <w:tcPr>
            <w:tcW w:type="dxa" w:w="1440"/>
            <w:shd w:fill="FFDCE0" w:val="clear"/>
          </w:tcPr>
          <w:p>
            <w:r>
              <w:rPr>
                <w:b/>
                <w:color w:val="C00000"/>
                <w:sz w:val="17"/>
              </w:rPr>
              <w:t>-11.8%</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28,351</w:t>
            </w:r>
          </w:p>
        </w:tc>
        <w:tc>
          <w:tcPr>
            <w:tcW w:type="dxa" w:w="1440"/>
            <w:shd w:fill="FFDCE0" w:val="clear"/>
          </w:tcPr>
          <w:p>
            <w:r>
              <w:rPr>
                <w:b/>
                <w:sz w:val="17"/>
              </w:rPr>
              <w:t>29,808</w:t>
            </w:r>
          </w:p>
        </w:tc>
        <w:tc>
          <w:tcPr>
            <w:tcW w:type="dxa" w:w="1440"/>
            <w:shd w:fill="FFDCE0" w:val="clear"/>
          </w:tcPr>
          <w:p>
            <w:r>
              <w:rPr>
                <w:sz w:val="17"/>
              </w:rPr>
              <w:t>31,265</w:t>
            </w:r>
          </w:p>
        </w:tc>
        <w:tc>
          <w:tcPr>
            <w:tcW w:type="dxa" w:w="1440"/>
            <w:shd w:fill="FFDCE0" w:val="clear"/>
          </w:tcPr>
          <w:p>
            <w:r>
              <w:rPr>
                <w:b/>
                <w:color w:val="C00000"/>
                <w:sz w:val="17"/>
              </w:rPr>
              <w:t>-13.1%</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27,864</w:t>
            </w:r>
          </w:p>
        </w:tc>
        <w:tc>
          <w:tcPr>
            <w:tcW w:type="dxa" w:w="1440"/>
            <w:shd w:fill="FFDCE0" w:val="clear"/>
          </w:tcPr>
          <w:p>
            <w:r>
              <w:rPr>
                <w:b/>
                <w:sz w:val="17"/>
              </w:rPr>
              <w:t>29,531</w:t>
            </w:r>
          </w:p>
        </w:tc>
        <w:tc>
          <w:tcPr>
            <w:tcW w:type="dxa" w:w="1440"/>
            <w:shd w:fill="FFDCE0" w:val="clear"/>
          </w:tcPr>
          <w:p>
            <w:r>
              <w:rPr>
                <w:sz w:val="17"/>
              </w:rPr>
              <w:t>31,198</w:t>
            </w:r>
          </w:p>
        </w:tc>
        <w:tc>
          <w:tcPr>
            <w:tcW w:type="dxa" w:w="1440"/>
            <w:shd w:fill="FFDCE0" w:val="clear"/>
          </w:tcPr>
          <w:p>
            <w:r>
              <w:rPr>
                <w:b/>
                <w:color w:val="C00000"/>
                <w:sz w:val="17"/>
              </w:rPr>
              <w:t>-13.9%</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27,433</w:t>
            </w:r>
          </w:p>
        </w:tc>
        <w:tc>
          <w:tcPr>
            <w:tcW w:type="dxa" w:w="1440"/>
            <w:shd w:fill="FFDCE0" w:val="clear"/>
          </w:tcPr>
          <w:p>
            <w:r>
              <w:rPr>
                <w:b/>
                <w:sz w:val="17"/>
              </w:rPr>
              <w:t>29,281</w:t>
            </w:r>
          </w:p>
        </w:tc>
        <w:tc>
          <w:tcPr>
            <w:tcW w:type="dxa" w:w="1440"/>
            <w:shd w:fill="FFDCE0" w:val="clear"/>
          </w:tcPr>
          <w:p>
            <w:r>
              <w:rPr>
                <w:sz w:val="17"/>
              </w:rPr>
              <w:t>31,129</w:t>
            </w:r>
          </w:p>
        </w:tc>
        <w:tc>
          <w:tcPr>
            <w:tcW w:type="dxa" w:w="1440"/>
            <w:shd w:fill="FFDCE0" w:val="clear"/>
          </w:tcPr>
          <w:p>
            <w:r>
              <w:rPr>
                <w:b/>
                <w:color w:val="C00000"/>
                <w:sz w:val="17"/>
              </w:rPr>
              <w:t>-14.6%</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27,063</w:t>
            </w:r>
          </w:p>
        </w:tc>
        <w:tc>
          <w:tcPr>
            <w:tcW w:type="dxa" w:w="1440"/>
            <w:shd w:fill="FFDCE0" w:val="clear"/>
          </w:tcPr>
          <w:p>
            <w:r>
              <w:rPr>
                <w:b/>
                <w:sz w:val="17"/>
              </w:rPr>
              <w:t>29,073</w:t>
            </w:r>
          </w:p>
        </w:tc>
        <w:tc>
          <w:tcPr>
            <w:tcW w:type="dxa" w:w="1440"/>
            <w:shd w:fill="FFDCE0" w:val="clear"/>
          </w:tcPr>
          <w:p>
            <w:r>
              <w:rPr>
                <w:sz w:val="17"/>
              </w:rPr>
              <w:t>31,083</w:t>
            </w:r>
          </w:p>
        </w:tc>
        <w:tc>
          <w:tcPr>
            <w:tcW w:type="dxa" w:w="1440"/>
            <w:shd w:fill="FFDCE0" w:val="clear"/>
          </w:tcPr>
          <w:p>
            <w:r>
              <w:rPr>
                <w:b/>
                <w:color w:val="C00000"/>
                <w:sz w:val="17"/>
              </w:rPr>
              <w:t>-15.2%</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26,741</w:t>
            </w:r>
          </w:p>
        </w:tc>
        <w:tc>
          <w:tcPr>
            <w:tcW w:type="dxa" w:w="1440"/>
            <w:shd w:fill="FFDCE0" w:val="clear"/>
          </w:tcPr>
          <w:p>
            <w:r>
              <w:rPr>
                <w:b/>
                <w:sz w:val="17"/>
              </w:rPr>
              <w:t>28,899</w:t>
            </w:r>
          </w:p>
        </w:tc>
        <w:tc>
          <w:tcPr>
            <w:tcW w:type="dxa" w:w="1440"/>
            <w:shd w:fill="FFDCE0" w:val="clear"/>
          </w:tcPr>
          <w:p>
            <w:r>
              <w:rPr>
                <w:sz w:val="17"/>
              </w:rPr>
              <w:t>31,057</w:t>
            </w:r>
          </w:p>
        </w:tc>
        <w:tc>
          <w:tcPr>
            <w:tcW w:type="dxa" w:w="1440"/>
            <w:shd w:fill="FFDCE0" w:val="clear"/>
          </w:tcPr>
          <w:p>
            <w:r>
              <w:rPr>
                <w:b/>
                <w:color w:val="C00000"/>
                <w:sz w:val="17"/>
              </w:rPr>
              <w:t>-15.7%</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26,455</w:t>
            </w:r>
          </w:p>
        </w:tc>
        <w:tc>
          <w:tcPr>
            <w:tcW w:type="dxa" w:w="1440"/>
            <w:shd w:fill="FFDCE0" w:val="clear"/>
          </w:tcPr>
          <w:p>
            <w:r>
              <w:rPr>
                <w:b/>
                <w:sz w:val="17"/>
              </w:rPr>
              <w:t>28,750</w:t>
            </w:r>
          </w:p>
        </w:tc>
        <w:tc>
          <w:tcPr>
            <w:tcW w:type="dxa" w:w="1440"/>
            <w:shd w:fill="FFDCE0" w:val="clear"/>
          </w:tcPr>
          <w:p>
            <w:r>
              <w:rPr>
                <w:sz w:val="17"/>
              </w:rPr>
              <w:t>31,046</w:t>
            </w:r>
          </w:p>
        </w:tc>
        <w:tc>
          <w:tcPr>
            <w:tcW w:type="dxa" w:w="1440"/>
            <w:shd w:fill="FFDCE0" w:val="clear"/>
          </w:tcPr>
          <w:p>
            <w:r>
              <w:rPr>
                <w:b/>
                <w:color w:val="C00000"/>
                <w:sz w:val="17"/>
              </w:rPr>
              <w:t>-16.2%</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26,198</w:t>
            </w:r>
          </w:p>
        </w:tc>
        <w:tc>
          <w:tcPr>
            <w:tcW w:type="dxa" w:w="1440"/>
            <w:shd w:fill="FFDCE0" w:val="clear"/>
          </w:tcPr>
          <w:p>
            <w:r>
              <w:rPr>
                <w:b/>
                <w:sz w:val="17"/>
              </w:rPr>
              <w:t>28,621</w:t>
            </w:r>
          </w:p>
        </w:tc>
        <w:tc>
          <w:tcPr>
            <w:tcW w:type="dxa" w:w="1440"/>
            <w:shd w:fill="FFDCE0" w:val="clear"/>
          </w:tcPr>
          <w:p>
            <w:r>
              <w:rPr>
                <w:sz w:val="17"/>
              </w:rPr>
              <w:t>31,045</w:t>
            </w:r>
          </w:p>
        </w:tc>
        <w:tc>
          <w:tcPr>
            <w:tcW w:type="dxa" w:w="1440"/>
            <w:shd w:fill="FFDCE0" w:val="clear"/>
          </w:tcPr>
          <w:p>
            <w:r>
              <w:rPr>
                <w:b/>
                <w:color w:val="C00000"/>
                <w:sz w:val="17"/>
              </w:rPr>
              <w:t>-16.6%</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25,963</w:t>
            </w:r>
          </w:p>
        </w:tc>
        <w:tc>
          <w:tcPr>
            <w:tcW w:type="dxa" w:w="1440"/>
            <w:shd w:fill="FFDCE0" w:val="clear"/>
          </w:tcPr>
          <w:p>
            <w:r>
              <w:rPr>
                <w:b/>
                <w:sz w:val="17"/>
              </w:rPr>
              <w:t>28,507</w:t>
            </w:r>
          </w:p>
        </w:tc>
        <w:tc>
          <w:tcPr>
            <w:tcW w:type="dxa" w:w="1440"/>
            <w:shd w:fill="FFDCE0" w:val="clear"/>
          </w:tcPr>
          <w:p>
            <w:r>
              <w:rPr>
                <w:sz w:val="17"/>
              </w:rPr>
              <w:t>31,052</w:t>
            </w:r>
          </w:p>
        </w:tc>
        <w:tc>
          <w:tcPr>
            <w:tcW w:type="dxa" w:w="1440"/>
            <w:shd w:fill="FFDCE0" w:val="clear"/>
          </w:tcPr>
          <w:p>
            <w:r>
              <w:rPr>
                <w:b/>
                <w:color w:val="C00000"/>
                <w:sz w:val="17"/>
              </w:rPr>
              <w:t>-16.9%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**1 097,60 milliards FCFA**, CBIBF s'impose comme l'une des toutes premières capitalisations de la BRVM, ce qui en fait un titre de premier plan pour les investisseurs institutionnels de la zone UEMOA. Le BPA de **2 047 FCFA/action** signifie que chaque titre génère près de 2 047 FCFA de bénéfice net, ce qui, rapporté au cours actuel de 34 300 FCFA, aboutit à un **PER de 16,8x**. Ce niveau dépasse sensiblement la moyenne du marché BRVM (généralement située entre 8x et 12x), traduisant une prime de qualité et de croissance consentie par le marché, mais qui commence à intégrer une bonne partie des bonnes nouvelles. Le ratio **EV/EBITDA de 12,4x** (fourchette 10-15x) confirme cette valorisation élevée au regard de la capacité opérationnelle de la banque, tandis que l'absence de ratio P/B explicite dans les données fournies ne permet pas de comparer directement la valorisation boursière à la valeur comptable des fonds propres. En synthèse, la valorisation apparaît **raisonnable mais tendue**, avec un PER modéré au regard de la qualité de l'émetteur mais un EV/EBITDA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+104,11%**, avec une dernière séance encore positive de **+2,08%**, portant le cours à **34 300 FCFA**, soit exactement son plus haut de la période. Le range de trading est particulièrement large, le plus bas ayant été touché à **15 600 FCFA** : le titre a donc plus que doublé en trois mois, ce qui traduit une tendance **franchement haussière** portée par la publication de résultats annuels 2025 solides (résultat net +36,6%) et un T1 2026 très dynamique. Les statistiques descriptives révèlent une **moyenne de 24 411 FCFA** légèrement supérieure à la **médiane de 23 955 FCFA**, avec un mode à 22 000 FCFA : l'écart faible entre moyenne et médiane et un **skewness de -0,046** (quasi nul) indiquent une distribution **symétrique**, sans biais marqué vers les extrêmes. L'**écart-type de 5 222 FCFA** (CV = 21,4%) traduit une dispersion modérée autour de la moyenne, tandis que le **kurtosis de -1,082** (distribution platykurtique) signale une **faible concentration des rendements** et un risque de pics extrêmes limité — profil rassurant pour un investisseur. Enfin, la **volatilité annualisée de 42,0%** classe le titre dans la catégorie **élevée (&gt;30%)**, ce qui est cohérent avec la forte appréciation récente et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(30 870,5 FCFA) et la MM50 (28 983,4 FCFA) sont toutes deux nettement inférieures au cours actuel (34 300 FCFA), et la MM20 se situe au-dessus de la MM50 — configuration typique d'un **tendance haussière confirmée**. Le signal technique est donc logiquement à l'**Achat**, le titre évoluant en territoire haussier bien établi.</w:t>
      </w:r>
    </w:p>
    <w:p>
      <w:pPr>
        <w:spacing w:after="120" w:line="276" w:lineRule="auto"/>
      </w:pPr>
      <w:r>
        <w:t>**Bandes de Bollinger :** Le cours (34 300 FCFA) évolue dans la partie haute du canal, entre la borne inférieure (26 551,33 FCFA) et la borne supérieure (35 189,67 FCFA), dont il s'approche dangereusement. La décision est **Neutre** : le titre n'est pas encore en cassure haussière, mais la proximité de la borne supérieure suggère une possible **saturation à court terme**.</w:t>
      </w:r>
    </w:p>
    <w:p>
      <w:pPr>
        <w:spacing w:after="120" w:line="276" w:lineRule="auto"/>
      </w:pPr>
      <w:r>
        <w:t>**MACD :** La valeur du MACD (1 586,416) est nettement supérieure à son signal (1 312,337), avec un histogramme positif — le **momentum haussier est intact** et le signal est à l'**Achat**, confirmant la dynamique positive du titre.</w:t>
      </w:r>
    </w:p>
    <w:p>
      <w:pPr>
        <w:spacing w:after="120" w:line="276" w:lineRule="auto"/>
      </w:pPr>
      <w:r>
        <w:t>**RSI :** À **79,861**, le RSI est en zone de **surachat** (&gt;70), ce qui déclenche un signal de **Vente**. Le titre est techniquement sur-étendu et une correction ou consolidation est probable à court terme.</w:t>
      </w:r>
    </w:p>
    <w:p>
      <w:pPr>
        <w:spacing w:after="120" w:line="276" w:lineRule="auto"/>
      </w:pPr>
      <w:r>
        <w:t>**Stochastique :** Le %K et le %D sont tous deux à **100,0**, soit le niveau maximal absolu, avec un signal de **Vente**. Cette configuration extrême indique que le titre clôture systématiquement près de ses plus hauts, ce qui est rarement tenable durablement.</w:t>
      </w:r>
    </w:p>
    <w:p>
      <w:pPr>
        <w:spacing w:after="120" w:line="276" w:lineRule="auto"/>
      </w:pPr>
      <w:r>
        <w:t>**Conclusion technique :** Les indicateurs de tendance (MM, MACD) restent haussiers et confirment la solidité du mouvement, mais les oscillateurs (RSI à 79,9 et Stochastique à 100) sont en **surachat extrême** et envoient des signaux de vente convergents. Cette **divergence entre tendance et momentum** suggère que le titre pourrait consolider ou corriger à court terme avant de reprendre sa progression. La prudence est de mise pour toute nouvelle entrée à ce niveau de prix.</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affiche un **Produit Net Bancaire (PNB) de 138,986 milliards FCFA**, en croissance de **+6,11%**, et un **résultat net de 65,495 milliards FCFA**, en progression remarquable de **+36,6%** par rapport à 2024 (47,9 Mds FCFA). La **marge nette de 47,12%** et la **marge opérationnelle de 51,77%** demeurent élevées, tandis que le **ROA de 2,18%** et la **rotation des actifs de 4,64%** traduisent une bonne efficacité dans l'utilisation du bilan (total actif : 2 997,779 Mds FCFA). Le **coefficient d'exploitation de 36,39%** — très inférieur au seuil de 60% — confirme une **excellente maîtrise des charges**, et le coût du risque, bien qu'élevé en valeur absolue (16,5 Mds FCFA), s'est **amélioré de 59,3%** selon le rapport annuel 2025, signe d'un assainissement réussi du portefeuille de crédits. Le ratio dépôts/crédits s'établit à **2 015,284 Mds FCFA de dépôts** pour **1 326,977 Mds FCFA de créances clientèle**, soit un ratio de transformation de **65,8%**, indiquant une base de financement solide et liquide.</w:t>
      </w:r>
    </w:p>
    <w:p>
      <w:pPr>
        <w:spacing w:after="120" w:line="276" w:lineRule="auto"/>
      </w:pPr>
      <w:r>
        <w:t>**Évolution temporelle :** L'exercice 2024 avait été marqué par une chute du résultat net (-25,4% à 47,9 Mds FCFA) sous l'effet d'une explosion du coût du risque (+72,5%) liée à l'assainissement du portefeuille. L'année 2025 marque donc un **net redressement**, avec un résultat net qui dépasse même le niveau de 2022 (56,5 Mds FCFA) et de 2023 (64,2 Mds FCFA).</w:t>
      </w:r>
    </w:p>
    <w:p>
      <w:pPr>
        <w:spacing w:after="120" w:line="276" w:lineRule="auto"/>
      </w:pPr>
      <w:r>
        <w:t>**Estimations basées sur les rapports trimestriels :** Le rapport T3 2025 (30/09/2025) indique un PNB de 101,3 Mds FCFA (+9,65%) et un résultat net de 52,9 Mds FCFA (+6,25%), avec une marge nette implicite de 52,2%. Le rapport T1 2026 (publié en 2026) confirme l'accélération : **PNB de 36,8 Mds FCFA (+28,5%)** et **résultat net de 21,5 Mds FCFA (+22,2%)**, avec des dépôts clients en forte hausse de **+37,9% à 2 365,1 Mds FCFA**. Sur cette base, on peut **estimer** que l'exercice 2026 devrait enregistrer un résultat net supérieur à 75-80 Mds FCFA si la dynamique du T1 se maintient, ce qui soutiendrait un BPA en hausse et un PER en compression mécanique.</w:t>
      </w:r>
    </w:p>
    <w:p>
      <w:pPr>
        <w:spacing w:after="120" w:line="276" w:lineRule="auto"/>
      </w:pPr>
      <w:r>
        <w:t>**Recommandation fondamentale :** La solidité financière est **excellente** (coefficient d'exploitation de 36,4%, ROA positif, marge nette élevée), la croissance est **robuste** et le risque crédit est **en amélioration**. Les principaux risques restent l'environnement sécuritaire et géopolitique régional, ainsi que la concentration géographique sur le Burkina Faso. La notation **AA/AI avec perspective stable** (Bloomfield) confirme la qualité de crédit de l'émetteur. **Recommandation fondamentale : ACHAT**, avec un profil de qualité supérieure.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 PER de 16,8x et l'EV/EBITDA de 12,4x indiquent une valorisation **raisonnable mais tendue**, le marché ayant déjà intégré une large part de la prime de qualité et de croissance. Le **comportement du cours (Partie 1)** est exceptionnel (+104,11% en 100 jours) mais la volatilité annualisée de 42% et la distribution platykurtique (kurtosis -1,082) suggèrent un risque de correction après une telle appréciation. Les **signaux techniques (Partie 2)** sont **divergents** : les moyennes mobiles et le MACD confirment la tendance haussière, mais le RSI (79,9) et le Stochastique (100) sont en surachat extrême et envoient des signaux de vente convergents. Les **fondamentaux (Partie 3)** sont **excellents** : résultat net 2025 de 65,5 Mds FCFA (+36,6%), coefficient d'exploitation de 36,4%, T1 2026 en accélération (+22,2% de résultat net), et notation AA/AI. Les **prédictions IA (J+1 à J+10)** anticipent une **correction baissière** de 34 300 FCFA vers 29 281 FCFA (-14,6% en 10 jours), ce qui **contredit** la tendance haussière actuelle mais **confirme** les signaux de surachat des oscillateurs.</w:t>
      </w:r>
    </w:p>
    <w:p>
      <w:pPr>
        <w:spacing w:after="120" w:line="276" w:lineRule="auto"/>
      </w:pPr>
      <w:r>
        <w:t>**Recommandation finale : CONSERVER** (avec opportunité d'allègement partiel à court terme). La convergence entre le surachat technique, la valorisation tendue et les prédictions baissières à court terme plaide pour une **prise de bénéfices partielle** après le doublement du cours, tandis que la solidité fondamentale et la dynamique du T1 2026 justifient de **conserver le cœur de position** pour le moyen-long terme. Le niveau de confiance est **Moyen** (divergence technique/fondamental) et le niveau de risque global est **Élevé** à court terme, **Moyen** à moyen terme. L'horizon d'investissement optimal est le **moyen terme (3-12 mois)**, en privilégiant les points d'entrée sur repli vers la MM20 (30 870 FCFA) ou la borne inférieure de Bollinger (26 551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309.24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3,670 titres</w:t>
            </w:r>
          </w:p>
        </w:tc>
        <w:tc>
          <w:tcPr>
            <w:tcW w:type="dxa" w:w="2268"/>
            <w:shd w:fill="FFF2CC" w:val="clear"/>
          </w:tcPr>
          <w:p>
            <w:r>
              <w:rPr>
                <w:b/>
                <w:color w:val="503200"/>
                <w:sz w:val="16"/>
              </w:rPr>
              <w:t xml:space="preserve">Cours actuel : </w:t>
            </w:r>
            <w:r>
              <w:rPr>
                <w:color w:val="000000"/>
                <w:sz w:val="17"/>
              </w:rPr>
              <w:t>1,705 FCFA</w:t>
            </w:r>
          </w:p>
          <w:p>
            <w:r>
              <w:rPr>
                <w:b/>
                <w:color w:val="503200"/>
                <w:sz w:val="16"/>
              </w:rPr>
              <w:t xml:space="preserve">Var. 100 jours : </w:t>
            </w:r>
            <w:r>
              <w:rPr>
                <w:b/>
                <w:color w:val="007800"/>
                <w:sz w:val="17"/>
              </w:rPr>
              <w:t>+10.36%</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μ=1,619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β=1.0866 (Neutre (suit le marché)) — Cov=0.000037, Var(idx)=0.000034, ρ=0.212,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σ_j=3.00%/j (Stable) — Vol. annualisée≈47.6%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1,648</w:t>
            </w:r>
          </w:p>
        </w:tc>
        <w:tc>
          <w:tcPr>
            <w:tcW w:type="dxa" w:w="1440"/>
            <w:shd w:fill="FAFAFA" w:val="clear"/>
          </w:tcPr>
          <w:p>
            <w:r>
              <w:rPr>
                <w:b/>
                <w:sz w:val="17"/>
              </w:rPr>
              <w:t>1,706</w:t>
            </w:r>
          </w:p>
        </w:tc>
        <w:tc>
          <w:tcPr>
            <w:tcW w:type="dxa" w:w="1440"/>
            <w:shd w:fill="FAFAFA" w:val="clear"/>
          </w:tcPr>
          <w:p>
            <w:r>
              <w:rPr>
                <w:sz w:val="17"/>
              </w:rPr>
              <w:t>1,764</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1,627</w:t>
            </w:r>
          </w:p>
        </w:tc>
        <w:tc>
          <w:tcPr>
            <w:tcW w:type="dxa" w:w="1440"/>
            <w:shd w:fill="FAFAFA" w:val="clear"/>
          </w:tcPr>
          <w:p>
            <w:r>
              <w:rPr>
                <w:b/>
                <w:sz w:val="17"/>
              </w:rPr>
              <w:t>1,709</w:t>
            </w:r>
          </w:p>
        </w:tc>
        <w:tc>
          <w:tcPr>
            <w:tcW w:type="dxa" w:w="1440"/>
            <w:shd w:fill="FAFAFA" w:val="clear"/>
          </w:tcPr>
          <w:p>
            <w:r>
              <w:rPr>
                <w:sz w:val="17"/>
              </w:rPr>
              <w:t>1,791</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1,611</w:t>
            </w:r>
          </w:p>
        </w:tc>
        <w:tc>
          <w:tcPr>
            <w:tcW w:type="dxa" w:w="1440"/>
            <w:shd w:fill="FAFAFA" w:val="clear"/>
          </w:tcPr>
          <w:p>
            <w:r>
              <w:rPr>
                <w:b/>
                <w:sz w:val="17"/>
              </w:rPr>
              <w:t>1,712</w:t>
            </w:r>
          </w:p>
        </w:tc>
        <w:tc>
          <w:tcPr>
            <w:tcW w:type="dxa" w:w="1440"/>
            <w:shd w:fill="FAFAFA" w:val="clear"/>
          </w:tcPr>
          <w:p>
            <w:r>
              <w:rPr>
                <w:sz w:val="17"/>
              </w:rPr>
              <w:t>1,812</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1,598</w:t>
            </w:r>
          </w:p>
        </w:tc>
        <w:tc>
          <w:tcPr>
            <w:tcW w:type="dxa" w:w="1440"/>
            <w:shd w:fill="FAFAFA" w:val="clear"/>
          </w:tcPr>
          <w:p>
            <w:r>
              <w:rPr>
                <w:b/>
                <w:sz w:val="17"/>
              </w:rPr>
              <w:t>1,715</w:t>
            </w:r>
          </w:p>
        </w:tc>
        <w:tc>
          <w:tcPr>
            <w:tcW w:type="dxa" w:w="1440"/>
            <w:shd w:fill="FAFAFA" w:val="clear"/>
          </w:tcPr>
          <w:p>
            <w:r>
              <w:rPr>
                <w:sz w:val="17"/>
              </w:rPr>
              <w:t>1,831</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1,587</w:t>
            </w:r>
          </w:p>
        </w:tc>
        <w:tc>
          <w:tcPr>
            <w:tcW w:type="dxa" w:w="1440"/>
            <w:shd w:fill="FAFAFA" w:val="clear"/>
          </w:tcPr>
          <w:p>
            <w:r>
              <w:rPr>
                <w:b/>
                <w:sz w:val="17"/>
              </w:rPr>
              <w:t>1,717</w:t>
            </w:r>
          </w:p>
        </w:tc>
        <w:tc>
          <w:tcPr>
            <w:tcW w:type="dxa" w:w="1440"/>
            <w:shd w:fill="FAFAFA" w:val="clear"/>
          </w:tcPr>
          <w:p>
            <w:r>
              <w:rPr>
                <w:sz w:val="17"/>
              </w:rPr>
              <w:t>1,848</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1,577</w:t>
            </w:r>
          </w:p>
        </w:tc>
        <w:tc>
          <w:tcPr>
            <w:tcW w:type="dxa" w:w="1440"/>
            <w:shd w:fill="FAFAFA" w:val="clear"/>
          </w:tcPr>
          <w:p>
            <w:r>
              <w:rPr>
                <w:b/>
                <w:sz w:val="17"/>
              </w:rPr>
              <w:t>1,720</w:t>
            </w:r>
          </w:p>
        </w:tc>
        <w:tc>
          <w:tcPr>
            <w:tcW w:type="dxa" w:w="1440"/>
            <w:shd w:fill="FAFAFA" w:val="clear"/>
          </w:tcPr>
          <w:p>
            <w:r>
              <w:rPr>
                <w:sz w:val="17"/>
              </w:rPr>
              <w:t>1,863</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1,568</w:t>
            </w:r>
          </w:p>
        </w:tc>
        <w:tc>
          <w:tcPr>
            <w:tcW w:type="dxa" w:w="1440"/>
            <w:shd w:fill="FAFAFA" w:val="clear"/>
          </w:tcPr>
          <w:p>
            <w:r>
              <w:rPr>
                <w:b/>
                <w:sz w:val="17"/>
              </w:rPr>
              <w:t>1,723</w:t>
            </w:r>
          </w:p>
        </w:tc>
        <w:tc>
          <w:tcPr>
            <w:tcW w:type="dxa" w:w="1440"/>
            <w:shd w:fill="FAFAFA" w:val="clear"/>
          </w:tcPr>
          <w:p>
            <w:r>
              <w:rPr>
                <w:sz w:val="17"/>
              </w:rPr>
              <w:t>1,877</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1,560</w:t>
            </w:r>
          </w:p>
        </w:tc>
        <w:tc>
          <w:tcPr>
            <w:tcW w:type="dxa" w:w="1440"/>
            <w:shd w:fill="FAFAFA" w:val="clear"/>
          </w:tcPr>
          <w:p>
            <w:r>
              <w:rPr>
                <w:b/>
                <w:sz w:val="17"/>
              </w:rPr>
              <w:t>1,726</w:t>
            </w:r>
          </w:p>
        </w:tc>
        <w:tc>
          <w:tcPr>
            <w:tcW w:type="dxa" w:w="1440"/>
            <w:shd w:fill="FAFAFA" w:val="clear"/>
          </w:tcPr>
          <w:p>
            <w:r>
              <w:rPr>
                <w:sz w:val="17"/>
              </w:rPr>
              <w:t>1,891</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1,552</w:t>
            </w:r>
          </w:p>
        </w:tc>
        <w:tc>
          <w:tcPr>
            <w:tcW w:type="dxa" w:w="1440"/>
            <w:shd w:fill="FAFAFA" w:val="clear"/>
          </w:tcPr>
          <w:p>
            <w:r>
              <w:rPr>
                <w:b/>
                <w:sz w:val="17"/>
              </w:rPr>
              <w:t>1,728</w:t>
            </w:r>
          </w:p>
        </w:tc>
        <w:tc>
          <w:tcPr>
            <w:tcW w:type="dxa" w:w="1440"/>
            <w:shd w:fill="FAFAFA" w:val="clear"/>
          </w:tcPr>
          <w:p>
            <w:r>
              <w:rPr>
                <w:sz w:val="17"/>
              </w:rPr>
              <w:t>1,904</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1,545</w:t>
            </w:r>
          </w:p>
        </w:tc>
        <w:tc>
          <w:tcPr>
            <w:tcW w:type="dxa" w:w="1440"/>
            <w:shd w:fill="FAFAFA" w:val="clear"/>
          </w:tcPr>
          <w:p>
            <w:r>
              <w:rPr>
                <w:b/>
                <w:sz w:val="17"/>
              </w:rPr>
              <w:t>1,731</w:t>
            </w:r>
          </w:p>
        </w:tc>
        <w:tc>
          <w:tcPr>
            <w:tcW w:type="dxa" w:w="1440"/>
            <w:shd w:fill="FAFAFA" w:val="clear"/>
          </w:tcPr>
          <w:p>
            <w:r>
              <w:rPr>
                <w:sz w:val="17"/>
              </w:rPr>
              <w:t>1,916</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 Distribution Automobile**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309,24 milliards FCFA, CFAC s'impose comme l'une des valeurs les plus importantes de la cote BRVM, ce qui témoigne de sa liquidité relative et de son poids dans l'indice composite. Le BPA de 26 FCFA/action signifie que chaque titre génère 26 FCFA de bénéfice net, un niveau modeste qui, rapporté au cours actuel de 1 705 FCFA, aboutit à un PER de 65,9x — très largement supérieur à la moyenne du marché BRVM (8-12x), signalant que les investisseurs paient une prime considérable pour les bénéfices actuels, ce qui intègre probablement des anticipations de forte croissance future. Le ratio P/B de 15,90x confirme cette valorisation exigeante : le marché valorise l'entreprise à près de 16 fois sa valeur comptable, une prime qui n'est justifiable que par une rentabilité des fonds propres exceptionnelle (ROE de 24,13% en 2024) et des perspectives de croissance solides. Enfin, l'EV/EBITDA de 33,5x, très au-dessus du seuil de 15x généralement considéré comme exigeant, indique que la valeur d'entreprise (incluant la dette) représente plus de 33 fois la capacité opérationnelle de génération de cash, ce qui place CFAC dans une zone de valorisation tendue où toute déception sur les résultats pourrait entraîner une correction sévère.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affiche une progression totale de +10,36%, avec une dernière séance en hausse de +0,59%, portant le cours actuel à 1 705 FCFA. Le titre a évolué dans un range de 500 FCFA, entre un plus bas de 1 325 FCFA et un plus haut de 1 825 FCFA, ce qui traduit une tendance générale haussière mais avec des phases de correction significatives. Les statistiques descriptives révèlent une moyenne de 1 619 FCFA légèrement supérieure à la médiane de 1 610 FCFA, avec un mode à 1 600 FCFA, indiquant une distribution quasi-symétrique mais légèrement tirée vers le haut par les pics récents. L'écart-type de 109 FCFA (CV de 6,7%) témoigne d'une dispersion modérée du cours autour de sa moyenne, tandis que le kurtosis de -0,345 (mésokurtique) suggère une distribution proche de la normale, sans risque excessif de pics extrêmes, et le skewness de -0,482 indique une asymétrie légèrement négative, c'est-à-dire une queue de distribution plus étalée vers les baisses. La volatilité annualisée de 47,6% place CFAC dans la catégorie des titres à volatilité élevée (&gt;30%), ce qui implique un risque de fluctuation important et nécessite une tolérance au risque adaptée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(1 710,5 FCFA) et la MM50 (1 675,8 FCFA) se situent toutes deux sous le cours actuel de 1 705 FCFA, avec la MM20 légèrement au-dessus de la MM50, configurant un croisement haussier classique. Cette configuration indique une dynamique positive de court terme, justifiant la décision d'achat, bien que le cours soit très proche de sa MM20, ce qui suggère une certaine consolidation.</w:t>
      </w:r>
    </w:p>
    <w:p>
      <w:pPr>
        <w:spacing w:after="120" w:line="276" w:lineRule="auto"/>
      </w:pPr>
      <w:r>
        <w:t>**Bandes de Bollinger** : Le cours actuel (1 705 FCFA) évolue dans la partie supérieure de la bande, entre la borne inférieure (1 618,8 FCFA) et la borne supérieure (1 802,2 FCFA), sans la toucher. Cette position médiane-haute, combinée à une largeur de bande modérée, indique une volatilité contenue et une absence de signal de surachat ou de survente, justifiant la décision neutre.</w:t>
      </w:r>
    </w:p>
    <w:p>
      <w:pPr>
        <w:spacing w:after="120" w:line="276" w:lineRule="auto"/>
      </w:pPr>
      <w:r>
        <w:t>**MACD** : La valeur du MACD (11,087) est inférieure à son signal (16,464), générant un croisement baissier qui traduit un essoufflement du momentum haussier. Cette divergence négative, bien que modérée, incite à la prudence et justifie la décision de vente à court terme, en attendant une confirmation de retournement.</w:t>
      </w:r>
    </w:p>
    <w:p>
      <w:pPr>
        <w:spacing w:after="120" w:line="276" w:lineRule="auto"/>
      </w:pPr>
      <w:r>
        <w:t>**RSI** : À 43,396, le RSI se situe dans la zone neutre (30-70), sans signal de surachat (&gt;70) ni de survente (&lt;30). Cette valeur légèrement sous la barre des 50 indique un momentum baissier naissant mais non confirmé, ce qui justifie une décision neutre dans l'attente d'une direction claire.</w:t>
      </w:r>
    </w:p>
    <w:p>
      <w:pPr>
        <w:spacing w:after="120" w:line="276" w:lineRule="auto"/>
      </w:pPr>
      <w:r>
        <w:t>**Stochastique** : Le %K (29,412) est supérieur au %D (19,608), avec un croisement haussier en zone de survente (sous 20 pour le %D). Ce signal positif suggère un potentiel rebond à court terme, mais la proximité de la zone de survente et la faiblesse des volumes incitent à la prudence, justifiant une décision neutre.</w:t>
      </w:r>
    </w:p>
    <w:p>
      <w:pPr>
        <w:spacing w:after="120" w:line="276" w:lineRule="auto"/>
      </w:pPr>
      <w:r>
        <w:t>**Conclusion technique** : Les indicateurs techniques présentent un tableau mitigé : les moyennes mobiles sont haussières, les bandes de Bollinger sont neutres, mais le MACD est baissier et le RSI/stochastique sont neutres avec un léger biais haussier pour ce dernier. Cette divergence entre tendance de fond (haussière) et momentum (baissier) suggère une phase de consolidation, avec un risque de correction à court terme mais un potentiel de rebond à moyen terme. La décision globale est neutre, avec une légère préférence pour l'attente d'un signal plus clair.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 chiffre d'affaires de 158,313 milliards FCFA, en baisse de -12,13% par rapport à 2023, et un résultat net de 4,693 milliards FCFA, en recul de -26,7%. Le ROE s'établit à 24,13%, un niveau excellent (&gt;15%) qui témoigne d'une forte rentabilité des fonds propres, tandis que le ROA de 5,52% reste modéré. La marge nette de 2,96% est faible, reflétant la nature à faible marge du secteur automobile, et la marge opérationnelle de 4,96% est en retrait par rapport aux exercices précédents. Le BFR est négatif (-3,482 milliards FCFA), ce qui est favorable car il signifie que les fournisseurs financent une partie du cycle d'exploitation, mais le fonds de roulement est également négatif (-4,106 milliards FCFA), signalant une trésorerie tendue. Les délais clients (36,64 jours) et fournisseurs (81,75 jours) sont élevés, avec un délai de stockage de 88,35 jours, ce qui immobilise du capital et présente un risque de trésorerie. L'autonomie financière de 22,88% est inférieure au seuil de 30% considéré comme sain, et la liquidité générale de 93,63% est légèrement sous l'unité, indiquant une capacité limitée à honorer les dettes à court terme. Les rapports trimestriels récents (T1 2025, S1 2025, T3 2025) montrent une nette amélioration : le CA du T3 2025 atteint 43,580 milliards FCFA (+18,3% vs T3 2024), le résultat net progresse de +38,1% à 1,489 milliard FCFA, et la marge nette s'améliore à 3,42%. Sur la base de ces tendances, on peut estimer que l'exercice 2025 devrait afficher une reprise de la croissance et une amélioration de la rentabilité, avec un CA annuel estimé autour de 170-175 milliards FCFA et un résultat net en hausse. Cependant, les risques persistent : dépendance aux coûts d'achat (79% du CA), endettement croissant, et politique de dividende agressive (taux de distribution de 88,1% en 2023). La recommandation fondamentale est de conserver le titre avec vigilance, en surveillant l'évolution des marges et de la trésorerie au cours des prochains trimestres.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CFAC apparaît nettement surévaluée au regard des ratios boursiers : PER de 65,9x, P/B de 15,90x et EV/EBITDA de 33,5x, tous très supérieurs aux moyennes du marché et aux seuils d'alerte, ce qui intègre des anticipations de croissance très optimistes. Le comportement du cours sur 100 jours est haussier (+10,36%) avec une volatilité élevée (47,6%) et une distribution quasi-normale (kurtosis -0,345, skewness -0,482), indiquant un risque de correction modéré mais réel. Les signaux techniques sont divergents : les moyennes mobiles sont haussières, mais le MACD est baissier et le RSI/stochastique sont neutres, suggérant une consolidation avant une nouvelle impulsion. Les fondamentaux montrent une amélioration récente (T3 2025 : CA +18,3%, RN +38,1%) mais des fragilités structurelles persistent (marge nette faible, trésorerie tendue, endettement). Les prédictions IA anticipent une légère hausse du cours vers 1 717 FCFA à J+10, ce qui confirme la tendance haussière de fond mais sans accélération significative. Sur la base de cette synthèse, la recommandation finale est **CONSERVER** avec un niveau de confiance **Moyen** et un risque global **Élevé**. En effet, la convergence entre la valorisation exigeante, les signaux techniques mitigés et les fondamentaux en amélioration mais fragiles ne justifie pas un achat agressif, tandis que la dynamique positive récente et les perspectives de croissance incitent à ne pas vendre. L'horizon d'investissement optimal est le **moyen terme (3-12 mois)**, en surveillant les prochains rapports trimestriels pour confirmer la tendance à l'amélioration des marges et de la trésorerie.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397.60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6,656 titres</w:t>
            </w:r>
          </w:p>
        </w:tc>
        <w:tc>
          <w:tcPr>
            <w:tcW w:type="dxa" w:w="2268"/>
            <w:shd w:fill="FFF2CC" w:val="clear"/>
          </w:tcPr>
          <w:p>
            <w:r>
              <w:rPr>
                <w:b/>
                <w:color w:val="503200"/>
                <w:sz w:val="16"/>
              </w:rPr>
              <w:t xml:space="preserve">Cours actuel : </w:t>
            </w:r>
            <w:r>
              <w:rPr>
                <w:color w:val="000000"/>
                <w:sz w:val="17"/>
              </w:rPr>
              <w:t>7,100 FCFA</w:t>
            </w:r>
          </w:p>
          <w:p>
            <w:r>
              <w:rPr>
                <w:b/>
                <w:color w:val="503200"/>
                <w:sz w:val="16"/>
              </w:rPr>
              <w:t xml:space="preserve">Var. 100 jours : </w:t>
            </w:r>
            <w:r>
              <w:rPr>
                <w:b/>
                <w:color w:val="007800"/>
                <w:sz w:val="17"/>
              </w:rPr>
              <w:t>+129.03%</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28.0/100 → Moyen</w:t>
      </w:r>
    </w:p>
    <w:p>
      <w:pPr>
        <w:spacing w:before="40" w:after="80"/>
      </w:pPr>
      <w:r>
        <w:rPr>
          <w:rFonts w:ascii="Courier New" w:hAnsi="Courier New"/>
          <w:color w:val="825A00"/>
          <w:sz w:val="18"/>
        </w:rPr>
        <w:t>█████░░░░░░░░░░░░░░░  28.0/100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24.28% (Élevée) — μ=4,973 FCFA, σ=1,208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β=0.8509 (Neutre (suit le marché)) — Cov=0.000029, Var(idx)=0.000034, ρ=0.156,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6,656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2026-09-14</w:t>
            </w:r>
          </w:p>
        </w:tc>
        <w:tc>
          <w:tcPr>
            <w:tcW w:type="dxa" w:w="1440"/>
            <w:shd w:fill="FFDCE0" w:val="clear"/>
          </w:tcPr>
          <w:p>
            <w:r>
              <w:rPr>
                <w:sz w:val="17"/>
              </w:rPr>
              <w:t>6,327</w:t>
            </w:r>
          </w:p>
        </w:tc>
        <w:tc>
          <w:tcPr>
            <w:tcW w:type="dxa" w:w="1440"/>
            <w:shd w:fill="FFDCE0" w:val="clear"/>
          </w:tcPr>
          <w:p>
            <w:r>
              <w:rPr>
                <w:b/>
                <w:sz w:val="17"/>
              </w:rPr>
              <w:t>6,678</w:t>
            </w:r>
          </w:p>
        </w:tc>
        <w:tc>
          <w:tcPr>
            <w:tcW w:type="dxa" w:w="1440"/>
            <w:shd w:fill="FFDCE0" w:val="clear"/>
          </w:tcPr>
          <w:p>
            <w:r>
              <w:rPr>
                <w:sz w:val="17"/>
              </w:rPr>
              <w:t>7,028</w:t>
            </w:r>
          </w:p>
        </w:tc>
        <w:tc>
          <w:tcPr>
            <w:tcW w:type="dxa" w:w="1440"/>
            <w:shd w:fill="FFDCE0" w:val="clear"/>
          </w:tcPr>
          <w:p>
            <w:r>
              <w:rPr>
                <w:b/>
                <w:color w:val="C00000"/>
                <w:sz w:val="17"/>
              </w:rPr>
              <w:t>-5.9%</w:t>
            </w:r>
          </w:p>
        </w:tc>
      </w:tr>
      <w:tr>
        <w:tc>
          <w:tcPr>
            <w:tcW w:type="dxa" w:w="1440"/>
            <w:shd w:fill="FFDCE0" w:val="clear"/>
          </w:tcPr>
          <w:p>
            <w:r>
              <w:rPr>
                <w:sz w:val="17"/>
              </w:rPr>
              <w:t>J+2  Moyenne</w:t>
            </w:r>
          </w:p>
        </w:tc>
        <w:tc>
          <w:tcPr>
            <w:tcW w:type="dxa" w:w="1440"/>
            <w:shd w:fill="FFDCE0" w:val="clear"/>
          </w:tcPr>
          <w:p>
            <w:r>
              <w:rPr>
                <w:sz w:val="17"/>
              </w:rPr>
              <w:t>2026-09-15</w:t>
            </w:r>
          </w:p>
        </w:tc>
        <w:tc>
          <w:tcPr>
            <w:tcW w:type="dxa" w:w="1440"/>
            <w:shd w:fill="FFDCE0" w:val="clear"/>
          </w:tcPr>
          <w:p>
            <w:r>
              <w:rPr>
                <w:sz w:val="17"/>
              </w:rPr>
              <w:t>5,969</w:t>
            </w:r>
          </w:p>
        </w:tc>
        <w:tc>
          <w:tcPr>
            <w:tcW w:type="dxa" w:w="1440"/>
            <w:shd w:fill="FFDCE0" w:val="clear"/>
          </w:tcPr>
          <w:p>
            <w:r>
              <w:rPr>
                <w:b/>
                <w:sz w:val="17"/>
              </w:rPr>
              <w:t>6,448</w:t>
            </w:r>
          </w:p>
        </w:tc>
        <w:tc>
          <w:tcPr>
            <w:tcW w:type="dxa" w:w="1440"/>
            <w:shd w:fill="FFDCE0" w:val="clear"/>
          </w:tcPr>
          <w:p>
            <w:r>
              <w:rPr>
                <w:sz w:val="17"/>
              </w:rPr>
              <w:t>6,927</w:t>
            </w:r>
          </w:p>
        </w:tc>
        <w:tc>
          <w:tcPr>
            <w:tcW w:type="dxa" w:w="1440"/>
            <w:shd w:fill="FFDCE0" w:val="clear"/>
          </w:tcPr>
          <w:p>
            <w:r>
              <w:rPr>
                <w:b/>
                <w:color w:val="C00000"/>
                <w:sz w:val="17"/>
              </w:rPr>
              <w:t>-9.2%</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5,718</w:t>
            </w:r>
          </w:p>
        </w:tc>
        <w:tc>
          <w:tcPr>
            <w:tcW w:type="dxa" w:w="1440"/>
            <w:shd w:fill="FFDCE0" w:val="clear"/>
          </w:tcPr>
          <w:p>
            <w:r>
              <w:rPr>
                <w:b/>
                <w:sz w:val="17"/>
              </w:rPr>
              <w:t>6,290</w:t>
            </w:r>
          </w:p>
        </w:tc>
        <w:tc>
          <w:tcPr>
            <w:tcW w:type="dxa" w:w="1440"/>
            <w:shd w:fill="FFDCE0" w:val="clear"/>
          </w:tcPr>
          <w:p>
            <w:r>
              <w:rPr>
                <w:sz w:val="17"/>
              </w:rPr>
              <w:t>6,862</w:t>
            </w:r>
          </w:p>
        </w:tc>
        <w:tc>
          <w:tcPr>
            <w:tcW w:type="dxa" w:w="1440"/>
            <w:shd w:fill="FFDCE0" w:val="clear"/>
          </w:tcPr>
          <w:p>
            <w:r>
              <w:rPr>
                <w:b/>
                <w:color w:val="C00000"/>
                <w:sz w:val="17"/>
              </w:rPr>
              <w:t>-11.4%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5,554</w:t>
            </w:r>
          </w:p>
        </w:tc>
        <w:tc>
          <w:tcPr>
            <w:tcW w:type="dxa" w:w="1440"/>
            <w:shd w:fill="FFDCE0" w:val="clear"/>
          </w:tcPr>
          <w:p>
            <w:r>
              <w:rPr>
                <w:b/>
                <w:sz w:val="17"/>
              </w:rPr>
              <w:t>6,206</w:t>
            </w:r>
          </w:p>
        </w:tc>
        <w:tc>
          <w:tcPr>
            <w:tcW w:type="dxa" w:w="1440"/>
            <w:shd w:fill="FFDCE0" w:val="clear"/>
          </w:tcPr>
          <w:p>
            <w:r>
              <w:rPr>
                <w:sz w:val="17"/>
              </w:rPr>
              <w:t>6,858</w:t>
            </w:r>
          </w:p>
        </w:tc>
        <w:tc>
          <w:tcPr>
            <w:tcW w:type="dxa" w:w="1440"/>
            <w:shd w:fill="FFDCE0" w:val="clear"/>
          </w:tcPr>
          <w:p>
            <w:r>
              <w:rPr>
                <w:b/>
                <w:color w:val="C00000"/>
                <w:sz w:val="17"/>
              </w:rPr>
              <w:t>-12.6%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5,427</w:t>
            </w:r>
          </w:p>
        </w:tc>
        <w:tc>
          <w:tcPr>
            <w:tcW w:type="dxa" w:w="1440"/>
            <w:shd w:fill="FFDCE0" w:val="clear"/>
          </w:tcPr>
          <w:p>
            <w:r>
              <w:rPr>
                <w:b/>
                <w:sz w:val="17"/>
              </w:rPr>
              <w:t>6,149</w:t>
            </w:r>
          </w:p>
        </w:tc>
        <w:tc>
          <w:tcPr>
            <w:tcW w:type="dxa" w:w="1440"/>
            <w:shd w:fill="FFDCE0" w:val="clear"/>
          </w:tcPr>
          <w:p>
            <w:r>
              <w:rPr>
                <w:sz w:val="17"/>
              </w:rPr>
              <w:t>6,871</w:t>
            </w:r>
          </w:p>
        </w:tc>
        <w:tc>
          <w:tcPr>
            <w:tcW w:type="dxa" w:w="1440"/>
            <w:shd w:fill="FFDCE0" w:val="clear"/>
          </w:tcPr>
          <w:p>
            <w:r>
              <w:rPr>
                <w:b/>
                <w:color w:val="C00000"/>
                <w:sz w:val="17"/>
              </w:rPr>
              <w:t>-13.4%</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5,318</w:t>
            </w:r>
          </w:p>
        </w:tc>
        <w:tc>
          <w:tcPr>
            <w:tcW w:type="dxa" w:w="1440"/>
            <w:shd w:fill="FFDCE0" w:val="clear"/>
          </w:tcPr>
          <w:p>
            <w:r>
              <w:rPr>
                <w:b/>
                <w:sz w:val="17"/>
              </w:rPr>
              <w:t>6,103</w:t>
            </w:r>
          </w:p>
        </w:tc>
        <w:tc>
          <w:tcPr>
            <w:tcW w:type="dxa" w:w="1440"/>
            <w:shd w:fill="FFDCE0" w:val="clear"/>
          </w:tcPr>
          <w:p>
            <w:r>
              <w:rPr>
                <w:sz w:val="17"/>
              </w:rPr>
              <w:t>6,889</w:t>
            </w:r>
          </w:p>
        </w:tc>
        <w:tc>
          <w:tcPr>
            <w:tcW w:type="dxa" w:w="1440"/>
            <w:shd w:fill="FFDCE0" w:val="clear"/>
          </w:tcPr>
          <w:p>
            <w:r>
              <w:rPr>
                <w:b/>
                <w:color w:val="C00000"/>
                <w:sz w:val="17"/>
              </w:rPr>
              <w:t>-14.0%</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5,223</w:t>
            </w:r>
          </w:p>
        </w:tc>
        <w:tc>
          <w:tcPr>
            <w:tcW w:type="dxa" w:w="1440"/>
            <w:shd w:fill="FFDCE0" w:val="clear"/>
          </w:tcPr>
          <w:p>
            <w:r>
              <w:rPr>
                <w:b/>
                <w:sz w:val="17"/>
              </w:rPr>
              <w:t>6,066</w:t>
            </w:r>
          </w:p>
        </w:tc>
        <w:tc>
          <w:tcPr>
            <w:tcW w:type="dxa" w:w="1440"/>
            <w:shd w:fill="FFDCE0" w:val="clear"/>
          </w:tcPr>
          <w:p>
            <w:r>
              <w:rPr>
                <w:sz w:val="17"/>
              </w:rPr>
              <w:t>6,909</w:t>
            </w:r>
          </w:p>
        </w:tc>
        <w:tc>
          <w:tcPr>
            <w:tcW w:type="dxa" w:w="1440"/>
            <w:shd w:fill="FFDCE0" w:val="clear"/>
          </w:tcPr>
          <w:p>
            <w:r>
              <w:rPr>
                <w:b/>
                <w:color w:val="C00000"/>
                <w:sz w:val="17"/>
              </w:rPr>
              <w:t>-14.6%</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5,138</w:t>
            </w:r>
          </w:p>
        </w:tc>
        <w:tc>
          <w:tcPr>
            <w:tcW w:type="dxa" w:w="1440"/>
            <w:shd w:fill="FFDCE0" w:val="clear"/>
          </w:tcPr>
          <w:p>
            <w:r>
              <w:rPr>
                <w:b/>
                <w:sz w:val="17"/>
              </w:rPr>
              <w:t>6,035</w:t>
            </w:r>
          </w:p>
        </w:tc>
        <w:tc>
          <w:tcPr>
            <w:tcW w:type="dxa" w:w="1440"/>
            <w:shd w:fill="FFDCE0" w:val="clear"/>
          </w:tcPr>
          <w:p>
            <w:r>
              <w:rPr>
                <w:sz w:val="17"/>
              </w:rPr>
              <w:t>6,931</w:t>
            </w:r>
          </w:p>
        </w:tc>
        <w:tc>
          <w:tcPr>
            <w:tcW w:type="dxa" w:w="1440"/>
            <w:shd w:fill="FFDCE0" w:val="clear"/>
          </w:tcPr>
          <w:p>
            <w:r>
              <w:rPr>
                <w:b/>
                <w:color w:val="C00000"/>
                <w:sz w:val="17"/>
              </w:rPr>
              <w:t>-15.0%</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5,062</w:t>
            </w:r>
          </w:p>
        </w:tc>
        <w:tc>
          <w:tcPr>
            <w:tcW w:type="dxa" w:w="1440"/>
            <w:shd w:fill="FFDCE0" w:val="clear"/>
          </w:tcPr>
          <w:p>
            <w:r>
              <w:rPr>
                <w:b/>
                <w:sz w:val="17"/>
              </w:rPr>
              <w:t>6,009</w:t>
            </w:r>
          </w:p>
        </w:tc>
        <w:tc>
          <w:tcPr>
            <w:tcW w:type="dxa" w:w="1440"/>
            <w:shd w:fill="FFDCE0" w:val="clear"/>
          </w:tcPr>
          <w:p>
            <w:r>
              <w:rPr>
                <w:sz w:val="17"/>
              </w:rPr>
              <w:t>6,956</w:t>
            </w:r>
          </w:p>
        </w:tc>
        <w:tc>
          <w:tcPr>
            <w:tcW w:type="dxa" w:w="1440"/>
            <w:shd w:fill="FFDCE0" w:val="clear"/>
          </w:tcPr>
          <w:p>
            <w:r>
              <w:rPr>
                <w:b/>
                <w:color w:val="C00000"/>
                <w:sz w:val="17"/>
              </w:rPr>
              <w:t>-15.4%</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4,993</w:t>
            </w:r>
          </w:p>
        </w:tc>
        <w:tc>
          <w:tcPr>
            <w:tcW w:type="dxa" w:w="1440"/>
            <w:shd w:fill="FFDCE0" w:val="clear"/>
          </w:tcPr>
          <w:p>
            <w:r>
              <w:rPr>
                <w:b/>
                <w:sz w:val="17"/>
              </w:rPr>
              <w:t>5,987</w:t>
            </w:r>
          </w:p>
        </w:tc>
        <w:tc>
          <w:tcPr>
            <w:tcW w:type="dxa" w:w="1440"/>
            <w:shd w:fill="FFDCE0" w:val="clear"/>
          </w:tcPr>
          <w:p>
            <w:r>
              <w:rPr>
                <w:sz w:val="17"/>
              </w:rPr>
              <w:t>6,982</w:t>
            </w:r>
          </w:p>
        </w:tc>
        <w:tc>
          <w:tcPr>
            <w:tcW w:type="dxa" w:w="1440"/>
            <w:shd w:fill="FFDCE0" w:val="clear"/>
          </w:tcPr>
          <w:p>
            <w:r>
              <w:rPr>
                <w:b/>
                <w:color w:val="C00000"/>
                <w:sz w:val="17"/>
              </w:rPr>
              <w:t>-15.7%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**397,60 Mds FCFA**, la CIEC figure parmi les valeurs les plus importantes de la BRVM, ce qui témoigne de son statut de valeur de référence du secteur des services publics. Le **BPA de 234 FCFA/action** (correspondant au dividende proposé de 234 FCFA) confère au titre un **PER de 30,3x**, très nettement supérieur à la moyenne BRVM (8-12x), ce qui traduit soit une anticipation de forte croissance, soit une surévaluation manifeste. Le **P/B de 11,06x** — bien au-delà du seuil de 4x — indique que le marché valorise l'entreprise à plus de 11 fois sa valeur comptable, une prime considérable qui s'explique par la faiblesse structurelle des capitaux propres (35,96 Mds FCFA) face à un total de bilan de 2 018,45 Mds FCFA. Enfin, l'**EV/EBITDA de 15,8x** (supérieur au seuil de 15x) confirme que la valeur d'entreprise intègre une prime de qualité et de visibilité, mais laisse peu de marge de sécurité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CIEC a enregistré une **variation totale spectaculaire de +129,03%**, passant d'un plus bas de **3 000 FCFA** à un plus haut de **7 400 FCFA**, pour un cours actuel de **7 100 FCFA** (variation J-1 nulle à +0,00%). Cette progression exceptionnelle, qui a plus que doublé la valeur de l'action, traduit un engouement massif du marché pour le dossier, porté par la croissance des résultats et l'attractivité du dividende. La moyenne du cours sur la période s'établit à **4 973 FCFA**, légèrement inférieure à la médiane de **5 095 FCFA**, ce qui indique une distribution très légèrement asymétrique à gauche (les cours récents élevés tirent la moyenne vers le haut, mais la médiane reste supérieure car la majorité des séances s'est tenue à des niveaux modérés). L'**écart-type de 1 214 FCFA** avec un **coefficient de variation de 24,4%** révèle une dispersion modérée à élevée du cours autour de sa moyenne. Le **kurtosis de -0,670** (mésokurtique) indique une distribution proche de la normale, sans risque de pics extrêmes marqué, tandis que le **skewness de 0,028** (quasi nul) confirme une symétrie de la distribution. La **volatilité annualisée de 50,9%** classe le titre dans la catégorie des valeurs à **volatilité élevée** (&gt;30%), ce qui implique un risque de marché significatif et justifie une gestion prudente des positions.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**6 760,25 FCFA** et la MM50 à **5 835,40 FCFA**, toutes deux inférieures au cours actuel de 7 100 FCFA. Le cours évolue donc au-dessus de ses deux moyennes, avec une MM20 elle-même supérieure à la MM50, configuration typique d'une tendance haussière confirmée. La décision technique qui en résulte est **Achat**, le momentum court terme soutenant la poursuite du mouvement.</w:t>
      </w:r>
    </w:p>
    <w:p>
      <w:pPr>
        <w:spacing w:after="120" w:line="276" w:lineRule="auto"/>
      </w:pPr>
      <w:r>
        <w:t>**Bandes de Bollinger** : La borne supérieure se situe à **7 661,56 FCFA** et la borne inférieure à **5 858,94 FCFA**, encadrant un cours actuel de 7 100 FCFA. Le titre évolue dans la partie haute du canal, sans toutefois atteindre la borne supérieure, ce qui suggère une pression acheteuse présente mais non encore en zone d'excès. La décision est **Neutre**, la volatilité restant contenue dans les bandes sans signal de rupture imminent.</w:t>
      </w:r>
    </w:p>
    <w:p>
      <w:pPr>
        <w:spacing w:after="120" w:line="276" w:lineRule="auto"/>
      </w:pPr>
      <w:r>
        <w:t>**MACD** : La valeur du MACD s'établit à **400,55** contre un signal à **396,25**, soit une divergence positive de +4,30 points. Bien que l'écart soit modeste, la position du MACD au-dessus de sa ligne de signal confirme un momentum haussier toujours actif. La décision est **Achat**, le croisement restant favorable aux acheteurs.</w:t>
      </w:r>
    </w:p>
    <w:p>
      <w:pPr>
        <w:spacing w:after="120" w:line="276" w:lineRule="auto"/>
      </w:pPr>
      <w:r>
        <w:t>**RSI** : Le RSI s'affiche à **55,62**, dans la zone neutre (30-70), sans signe de surachat (&gt;70) ni de survente (&lt;30). Cette configuration indique que le titre dispose encore d'un potentiel de hausse sans être techniquement épuisé. La décision est **Neutre**, le RSI ne fournissant pas de signal directionnel fort.</w:t>
      </w:r>
    </w:p>
    <w:p>
      <w:pPr>
        <w:spacing w:after="120" w:line="276" w:lineRule="auto"/>
      </w:pPr>
      <w:r>
        <w:t>**Stochastique** : Le %K s'établit à **66,67** et le %D à **77,78**, avec un %K inférieur au %D, ce qui traduit un léger affaiblissement du momentum court terme et un possible croisement baissier à venir. La décision est **Neutre**, le stochastique n'étant ni en zone de surachat extrême (&gt;80) ni en zone de survente (&lt;20).</w:t>
      </w:r>
    </w:p>
    <w:p>
      <w:pPr>
        <w:spacing w:after="120" w:line="276" w:lineRule="auto"/>
      </w:pPr>
      <w:r>
        <w:t>**Conclusion technique** : Les indicateurs présentent une configuration globalement haussière (MM et MACD en Achat) mais avec des signaux de prudence (Bollinger, RSI et Stochastique en Neutre). Le titre évolue au-dessus de ses moyennes mobiles avec un momentum positif, mais la proximité de la borne supérieure de Bollinger et le croisement naissant du stochastique suggèrent une possible consolidation à court terme. La convergence partielle des signaux plaide pour un maintien de la tendance haussière, mais avec une vigilance accrue sur les niveaux de résistance.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la CIEC affiche un **chiffre d'affaires de 302,32 Mds FCFA**, en croissance de **+14,82%** par rapport à 2024, porté par la hausse des ventes d'énergie (+8,3% en volume) et l'expansion du nombre de clients (5 282 283 clients). Le **résultat net s'élève à 13,127 Mds FCFA**, en progression de **+24,4%**, avec une **marge nette de 4,34%** et une **marge opérationnelle de 7,40%**. Le **ROE atteint 36,50%**, niveau excellent (&gt;15%), mais il est mécaniquement gonflé par la faiblesse des capitaux propres (35,96 Mds FCFA) face à un total de bilan de 2 018,45 Mds FCFA, ce qui se traduit par un **ROA très faible de 0,65%** et une **autonomie financière de seulement 1,78%** (très en dessous du seuil sain de 30%). La structure financière est donc **très dépendante de l'endettement** (ratio d'endettement de 612,94%, dépendance financière de 98,22%), bien que la **solvabilité générale (101,81%)** reste juste au-dessus de 1. Le **BFR est négatif à -90,24 Mds FCFA**, ce qui est favorable (financement par les fournisseurs), mais le **délai client de 164 jours** constitue un risque de trésorerie important, tout comme la **durée de stockage de 175 jours**. La **capacité de remboursement de 7,64 années** et la **couverture des intérêts de 617,75%** témoignent d'une capacité à servir la dette, mais le **coût du risque élevé (438,72%)** signale une exposition significative au risque de crédit client.</w:t>
      </w:r>
    </w:p>
    <w:p>
      <w:pPr>
        <w:spacing w:after="120" w:line="276" w:lineRule="auto"/>
      </w:pPr>
      <w:r>
        <w:t>**Estimations basées sur les rapports trimestriels** : Le rapport du **1er semestre 2025 (daté du 30/06/2025)** indique un CA semestriel de **134,92 Mds FCFA** (+18,85%) et un résultat net de **5,096 Mds FCFA** (+13,37%), avec une marge nette de 3,8% (en légère baisse). Sur cette base, on peut estimer que l'exercice 2025 devrait confirmer la dynamique annuelle avec un CA supérieur à 300 Mds FCFA et un résultat net autour de 13 Mds FCFA, ce qui est cohérent avec les données structurées. Le rapport annuel 2025 (analysé par DEEPSEEK le 21/05/2026) confirme un **dividende de 234 FCFA/action**, soit un taux de distribution de 99,8% du résultat net, ce qui limite la capacité d'autofinancement future. Les rapports antérieurs (2021, 2024) montrent une **volatilité historique des résultats** liée aux changements de convention de concession, mais la nouvelle convention (2021-2032) apporte une visibilité accrue.</w:t>
      </w:r>
    </w:p>
    <w:p>
      <w:pPr>
        <w:spacing w:after="120" w:line="276" w:lineRule="auto"/>
      </w:pPr>
      <w:r>
        <w:t>**Recommandation fondamentale** : La CIEC présente une **solidité opérationnelle réelle** (croissance du CA, amélioration de l'EBE de +23,2% à 37,2 Mds FCFA, génération de FCF de 20,17 Mds FCFA) mais une **structure financière fragile** (capitaux propres très faibles, endettement massif, ROA dérisoire). Le principal risque réside dans la **dépendance au cadre réglementaire** et au **risque de crédit client** (164 jours de délai). La politique de dividende très généreuse (99,8% du résultat net) est attractive mais limite les investissements futurs. La recommandation fondamentale est **CONSERVER**, avec une surveillance accrue de la trésorerie et des conditions de la concession.</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PER de 30,3x (3x la moyenne BRVM), P/B de 11,06x et EV/EBITDA de 15,8x traduisent une prime de qualité et de visibilité, mais laissent peu de marge de sécurité en cas de déception. Le **comportement du cours (Partie 1)** est **exceptionnellement haussier** (+129% sur 100 jours) avec une volatilité élevée (50,9%) et une distribution symétrique (skewness ~0) sans risque de pics extrêmes (kurtosis -0,67), ce qui est rassurant pour la stabilité du mouvement. Les **signaux techniques (Partie 2)** sont **partiellement convergents** : MM et MACD en Achat, mais Bollinger, RSI et Stochastique en Neutre, suggérant une possible consolidation après la forte hausse. Les **fondamentaux (Partie 3)** montrent une **croissance solide** (CA +14,8%, RN +24,4%) mais une **structure financière fragile** (autonomie financière de 1,78%, ROA de 0,65%) et un **risque de crédit client élevé**. Les **prédictions IA (J+1 à J+10)** anticipent une **baisse progressive** de 6 678 FCFA à 6 149 FCFA, soit une correction de -13,4% par rapport au cours actuel de 7 100 FCFA, ce qui **contredit** les signaux techniques haussiers et suggère une prise de bénéfices après le rallye.</w:t>
      </w:r>
    </w:p>
    <w:p>
      <w:pPr>
        <w:spacing w:after="120" w:line="276" w:lineRule="auto"/>
      </w:pPr>
      <w:r>
        <w:t>**Synthèse globale** : La convergence entre une valorisation tendue, des signaux techniques mitigés, des fondamentaux solides mais fragiles et des prédictions baissières à court terme plaide pour une **prise de bénéfices partielle** plutôt qu'un renforcement. La recommandation finale est **CONSERVER**, avec un **niveau de confiance Moyen** et un **risque global Élevé** (volatilité de 50,9%, endettement massif, dépendance réglementaire). L'**horizon d'investissement optimal** est le **moyen terme (3-12 mois)**, le temps que la correction anticipée se matérialise et que les fondamentaux confirment leur trajectoire, tout en surveillant les niveaux de support (MM20 à 6 760 FCFA et borne inférieure de Bollinger à 5 859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951.55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4,020 titres</w:t>
            </w:r>
          </w:p>
        </w:tc>
        <w:tc>
          <w:tcPr>
            <w:tcW w:type="dxa" w:w="2268"/>
            <w:shd w:fill="FFF2CC" w:val="clear"/>
          </w:tcPr>
          <w:p>
            <w:r>
              <w:rPr>
                <w:b/>
                <w:color w:val="503200"/>
                <w:sz w:val="16"/>
              </w:rPr>
              <w:t xml:space="preserve">Cours actuel : </w:t>
            </w:r>
            <w:r>
              <w:rPr>
                <w:color w:val="000000"/>
                <w:sz w:val="17"/>
              </w:rPr>
              <w:t>17,285 FCFA</w:t>
            </w:r>
          </w:p>
          <w:p>
            <w:r>
              <w:rPr>
                <w:b/>
                <w:color w:val="503200"/>
                <w:sz w:val="16"/>
              </w:rPr>
              <w:t xml:space="preserve">Var. 100 jours : </w:t>
            </w:r>
            <w:r>
              <w:rPr>
                <w:b/>
                <w:color w:val="007800"/>
                <w:sz w:val="17"/>
              </w:rPr>
              <w:t>+6.37%</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2.75% (Faible) — μ=16,454 FCFA, σ=453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β=0.4248 (Défensif) — Cov=0.000015, Var(idx)=0.000034, ρ=0.137,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16,770</w:t>
            </w:r>
          </w:p>
        </w:tc>
        <w:tc>
          <w:tcPr>
            <w:tcW w:type="dxa" w:w="1440"/>
            <w:shd w:fill="FAFAFA" w:val="clear"/>
          </w:tcPr>
          <w:p>
            <w:r>
              <w:rPr>
                <w:b/>
                <w:sz w:val="17"/>
              </w:rPr>
              <w:t>17,295</w:t>
            </w:r>
          </w:p>
        </w:tc>
        <w:tc>
          <w:tcPr>
            <w:tcW w:type="dxa" w:w="1440"/>
            <w:shd w:fill="FAFAFA" w:val="clear"/>
          </w:tcPr>
          <w:p>
            <w:r>
              <w:rPr>
                <w:sz w:val="17"/>
              </w:rPr>
              <w:t>17,819</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16,576</w:t>
            </w:r>
          </w:p>
        </w:tc>
        <w:tc>
          <w:tcPr>
            <w:tcW w:type="dxa" w:w="1440"/>
            <w:shd w:fill="FAFAFA" w:val="clear"/>
          </w:tcPr>
          <w:p>
            <w:r>
              <w:rPr>
                <w:b/>
                <w:sz w:val="17"/>
              </w:rPr>
              <w:t>17,318</w:t>
            </w:r>
          </w:p>
        </w:tc>
        <w:tc>
          <w:tcPr>
            <w:tcW w:type="dxa" w:w="1440"/>
            <w:shd w:fill="FAFAFA" w:val="clear"/>
          </w:tcPr>
          <w:p>
            <w:r>
              <w:rPr>
                <w:sz w:val="17"/>
              </w:rPr>
              <w:t>18,061</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16,430</w:t>
            </w:r>
          </w:p>
        </w:tc>
        <w:tc>
          <w:tcPr>
            <w:tcW w:type="dxa" w:w="1440"/>
            <w:shd w:fill="FAFAFA" w:val="clear"/>
          </w:tcPr>
          <w:p>
            <w:r>
              <w:rPr>
                <w:b/>
                <w:sz w:val="17"/>
              </w:rPr>
              <w:t>17,341</w:t>
            </w:r>
          </w:p>
        </w:tc>
        <w:tc>
          <w:tcPr>
            <w:tcW w:type="dxa" w:w="1440"/>
            <w:shd w:fill="FAFAFA" w:val="clear"/>
          </w:tcPr>
          <w:p>
            <w:r>
              <w:rPr>
                <w:sz w:val="17"/>
              </w:rPr>
              <w:t>18,251</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16,306</w:t>
            </w:r>
          </w:p>
        </w:tc>
        <w:tc>
          <w:tcPr>
            <w:tcW w:type="dxa" w:w="1440"/>
            <w:shd w:fill="FAFAFA" w:val="clear"/>
          </w:tcPr>
          <w:p>
            <w:r>
              <w:rPr>
                <w:b/>
                <w:sz w:val="17"/>
              </w:rPr>
              <w:t>17,358</w:t>
            </w:r>
          </w:p>
        </w:tc>
        <w:tc>
          <w:tcPr>
            <w:tcW w:type="dxa" w:w="1440"/>
            <w:shd w:fill="FAFAFA" w:val="clear"/>
          </w:tcPr>
          <w:p>
            <w:r>
              <w:rPr>
                <w:sz w:val="17"/>
              </w:rPr>
              <w:t>18,411</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16,196</w:t>
            </w:r>
          </w:p>
        </w:tc>
        <w:tc>
          <w:tcPr>
            <w:tcW w:type="dxa" w:w="1440"/>
            <w:shd w:fill="FAFAFA" w:val="clear"/>
          </w:tcPr>
          <w:p>
            <w:r>
              <w:rPr>
                <w:b/>
                <w:sz w:val="17"/>
              </w:rPr>
              <w:t>17,374</w:t>
            </w:r>
          </w:p>
        </w:tc>
        <w:tc>
          <w:tcPr>
            <w:tcW w:type="dxa" w:w="1440"/>
            <w:shd w:fill="FAFAFA" w:val="clear"/>
          </w:tcPr>
          <w:p>
            <w:r>
              <w:rPr>
                <w:sz w:val="17"/>
              </w:rPr>
              <w:t>18,552</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16,097</w:t>
            </w:r>
          </w:p>
        </w:tc>
        <w:tc>
          <w:tcPr>
            <w:tcW w:type="dxa" w:w="1440"/>
            <w:shd w:fill="FAFAFA" w:val="clear"/>
          </w:tcPr>
          <w:p>
            <w:r>
              <w:rPr>
                <w:b/>
                <w:sz w:val="17"/>
              </w:rPr>
              <w:t>17,389</w:t>
            </w:r>
          </w:p>
        </w:tc>
        <w:tc>
          <w:tcPr>
            <w:tcW w:type="dxa" w:w="1440"/>
            <w:shd w:fill="FAFAFA" w:val="clear"/>
          </w:tcPr>
          <w:p>
            <w:r>
              <w:rPr>
                <w:sz w:val="17"/>
              </w:rPr>
              <w:t>18,680</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16,007</w:t>
            </w:r>
          </w:p>
        </w:tc>
        <w:tc>
          <w:tcPr>
            <w:tcW w:type="dxa" w:w="1440"/>
            <w:shd w:fill="FAFAFA" w:val="clear"/>
          </w:tcPr>
          <w:p>
            <w:r>
              <w:rPr>
                <w:b/>
                <w:sz w:val="17"/>
              </w:rPr>
              <w:t>17,404</w:t>
            </w:r>
          </w:p>
        </w:tc>
        <w:tc>
          <w:tcPr>
            <w:tcW w:type="dxa" w:w="1440"/>
            <w:shd w:fill="FAFAFA" w:val="clear"/>
          </w:tcPr>
          <w:p>
            <w:r>
              <w:rPr>
                <w:sz w:val="17"/>
              </w:rPr>
              <w:t>18,800</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15,924</w:t>
            </w:r>
          </w:p>
        </w:tc>
        <w:tc>
          <w:tcPr>
            <w:tcW w:type="dxa" w:w="1440"/>
            <w:shd w:fill="FAFAFA" w:val="clear"/>
          </w:tcPr>
          <w:p>
            <w:r>
              <w:rPr>
                <w:b/>
                <w:sz w:val="17"/>
              </w:rPr>
              <w:t>17,418</w:t>
            </w:r>
          </w:p>
        </w:tc>
        <w:tc>
          <w:tcPr>
            <w:tcW w:type="dxa" w:w="1440"/>
            <w:shd w:fill="FAFAFA" w:val="clear"/>
          </w:tcPr>
          <w:p>
            <w:r>
              <w:rPr>
                <w:sz w:val="17"/>
              </w:rPr>
              <w:t>18,912</w:t>
            </w:r>
          </w:p>
        </w:tc>
        <w:tc>
          <w:tcPr>
            <w:tcW w:type="dxa" w:w="1440"/>
            <w:shd w:fill="FAFAFA" w:val="clear"/>
          </w:tcPr>
          <w:p>
            <w:r>
              <w:rPr>
                <w:b/>
                <w:color w:val="008000"/>
                <w:sz w:val="17"/>
              </w:rPr>
              <w:t>+0.8%</w:t>
            </w:r>
          </w:p>
        </w:tc>
      </w:tr>
      <w:tr>
        <w:tc>
          <w:tcPr>
            <w:tcW w:type="dxa" w:w="1440"/>
            <w:shd w:fill="FAFAFA" w:val="clear"/>
          </w:tcPr>
          <w:p>
            <w:r>
              <w:rPr>
                <w:sz w:val="17"/>
              </w:rPr>
              <w:t>J+9  Moyenne</w:t>
            </w:r>
          </w:p>
        </w:tc>
        <w:tc>
          <w:tcPr>
            <w:tcW w:type="dxa" w:w="1440"/>
            <w:shd w:fill="FAFAFA" w:val="clear"/>
          </w:tcPr>
          <w:p>
            <w:r>
              <w:rPr>
                <w:sz w:val="17"/>
              </w:rPr>
              <w:t>2026-09-24</w:t>
            </w:r>
          </w:p>
        </w:tc>
        <w:tc>
          <w:tcPr>
            <w:tcW w:type="dxa" w:w="1440"/>
            <w:shd w:fill="FAFAFA" w:val="clear"/>
          </w:tcPr>
          <w:p>
            <w:r>
              <w:rPr>
                <w:sz w:val="17"/>
              </w:rPr>
              <w:t>15,847</w:t>
            </w:r>
          </w:p>
        </w:tc>
        <w:tc>
          <w:tcPr>
            <w:tcW w:type="dxa" w:w="1440"/>
            <w:shd w:fill="FAFAFA" w:val="clear"/>
          </w:tcPr>
          <w:p>
            <w:r>
              <w:rPr>
                <w:b/>
                <w:sz w:val="17"/>
              </w:rPr>
              <w:t>17,432</w:t>
            </w:r>
          </w:p>
        </w:tc>
        <w:tc>
          <w:tcPr>
            <w:tcW w:type="dxa" w:w="1440"/>
            <w:shd w:fill="FAFAFA" w:val="clear"/>
          </w:tcPr>
          <w:p>
            <w:r>
              <w:rPr>
                <w:sz w:val="17"/>
              </w:rPr>
              <w:t>19,018</w:t>
            </w:r>
          </w:p>
        </w:tc>
        <w:tc>
          <w:tcPr>
            <w:tcW w:type="dxa" w:w="1440"/>
            <w:shd w:fill="FAFAFA" w:val="clear"/>
          </w:tcPr>
          <w:p>
            <w:r>
              <w:rPr>
                <w:b/>
                <w:color w:val="008000"/>
                <w:sz w:val="17"/>
              </w:rPr>
              <w:t>+0.9%</w:t>
            </w:r>
          </w:p>
        </w:tc>
      </w:tr>
      <w:tr>
        <w:tc>
          <w:tcPr>
            <w:tcW w:type="dxa" w:w="1440"/>
            <w:shd w:fill="FAFAFA" w:val="clear"/>
          </w:tcPr>
          <w:p>
            <w:r>
              <w:rPr>
                <w:sz w:val="17"/>
              </w:rPr>
              <w:t>J+10  Moyenne</w:t>
            </w:r>
          </w:p>
        </w:tc>
        <w:tc>
          <w:tcPr>
            <w:tcW w:type="dxa" w:w="1440"/>
            <w:shd w:fill="FAFAFA" w:val="clear"/>
          </w:tcPr>
          <w:p>
            <w:r>
              <w:rPr>
                <w:sz w:val="17"/>
              </w:rPr>
              <w:t>2026-09-25</w:t>
            </w:r>
          </w:p>
        </w:tc>
        <w:tc>
          <w:tcPr>
            <w:tcW w:type="dxa" w:w="1440"/>
            <w:shd w:fill="FAFAFA" w:val="clear"/>
          </w:tcPr>
          <w:p>
            <w:r>
              <w:rPr>
                <w:sz w:val="17"/>
              </w:rPr>
              <w:t>15,773</w:t>
            </w:r>
          </w:p>
        </w:tc>
        <w:tc>
          <w:tcPr>
            <w:tcW w:type="dxa" w:w="1440"/>
            <w:shd w:fill="FAFAFA" w:val="clear"/>
          </w:tcPr>
          <w:p>
            <w:r>
              <w:rPr>
                <w:b/>
                <w:sz w:val="17"/>
              </w:rPr>
              <w:t>17,446</w:t>
            </w:r>
          </w:p>
        </w:tc>
        <w:tc>
          <w:tcPr>
            <w:tcW w:type="dxa" w:w="1440"/>
            <w:shd w:fill="FAFAFA" w:val="clear"/>
          </w:tcPr>
          <w:p>
            <w:r>
              <w:rPr>
                <w:sz w:val="17"/>
              </w:rPr>
              <w:t>19,119</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951,55 milliards FCFA, ECOC s'impose comme l'une des toutes premières capitalisations de la BRVM, ce qui en fait un pilier incontournable de l'indice BRVM Composite et un titre de référence pour les investisseurs institutionnels de la zone UEMOA. Le BPA de 1 153 FCFA par action signifie que chaque titre détenu génère un peu plus de mille francs de bénéfice net, un niveau de rentabilité par action particulièrement élevé qui traduit la solidité du modèle bancaire d'Ecobank Côte d'Ivoire. Le PER de 15,0x se situe nettement au-dessus de la moyenne du marché BRVM (généralement comprise entre 8 et 12x), ce qui indique que les investisseurs acceptent de payer une prime de qualité pour ce titre, justifiée par la régularité de ses résultats et la qualité de sa gouvernance. Le P/B de 4,35x, largement supérieur au seuil de 4x, confirme cette valorisation exigeante : le marché valorise la banque à plus de quatre fois sa valeur comptable, ce qui reflète la confiance dans la capacité de la banque à générer des rendements bien supérieurs à son coût du capital (ROE de 29%). Enfin, l'EV/EBITDA de 14,6x, dans la fourchette haute (10-15x), signale que la valeur d'entreprise intègre déjà une bonne partie de la performance opérationnelle actuelle, laissant peu de marge pour une expansion multiple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progression totale de +6,37%, avec une accélération notable lors de la dernière séance matérialisée par un bond de +2,89% en J-1, portant le cours actuel à 17 285 FCFA. Le titre a évolué dans un range relativement resserré entre un plus bas de 15 520 FCFA et un plus haut de 17 725 FCFA, soit une amplitude d'environ 14%, ce qui témoigne d'une tendance haussière maîtrisée et sans excès de volatilité. La moyenne du cours sur la période s'établit à 16 454 FCFA, légèrement supérieure à la médiane de 16 300 FCFA (qui coïncide avec le mode), cet écart positif indiquant que les journées de forte hausse tirent la moyenne vers le haut, tandis que le skewness de 0,700 confirme cette asymétrie positive avec davantage de journées de cotation sous la moyenne mais des pics haussiers marqués. L'écart-type de 456 FCFA, associé à un coefficient de variation de seulement 2,8%, révèle une dispersion très faible du cours autour de sa moyenne, signe d'une grande stabilité et d'une liquidité maîtrisée sur le titre. Le kurtosis (excès) de 0,243, qualifié de mésokurtique, indique une distribution des rendements proche de la loi normale, donc sans risque excessif de pics extrêmes (queues épaisses) — un élément rassurant pour la gestion du risque. Enfin, la volatilité annualisée de 28,8% positionne ECOC dans la catégorie des titres à volatilité modérée (15-30%), ce qui est cohérent avec un profil de valeur bancaire stable et mature, adapté à une stratégie d'investissement de moyen à long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(16 948,75 FCFA) et la MM50 (16 530,50 FCFA) se situent toutes deux en dessous du cours actuel (17 285 FCFA), et la MM20 est supérieure à la MM50, configuration typique d'un croisement haussier (golden cross) confirmant la dynamique positive. Cette disposition en « empilement haussier » justifie pleinement la décision technique d'ACHAT, le cours évoluant au-dessus de ses deux supports mobiles qui jouent désormais le rôle de zones de repli potentiel.</w:t>
      </w:r>
    </w:p>
    <w:p>
      <w:pPr>
        <w:spacing w:after="120" w:line="276" w:lineRule="auto"/>
      </w:pPr>
      <w:r>
        <w:t>**Bandes de Bollinger** : Le cours actuel (17 285 FCFA) se situe dans la partie haute du canal, à mi-chemin entre la borne supérieure (17 931,84 FCFA) et la borne inférieure (15 965,66 FCFA), sans franchir la bande haute. Cette position centrale-haute, combinée à un canal relativement étroit, traduit une volatilité contenue et une absence de signal de surachat extrême, ce qui justifie la décision NEUTRE : le titre n'est ni en zone d'achat agressive ni en zone de correction imminente.</w:t>
      </w:r>
    </w:p>
    <w:p>
      <w:pPr>
        <w:spacing w:after="120" w:line="276" w:lineRule="auto"/>
      </w:pPr>
      <w:r>
        <w:t>**MACD** : La ligne MACD (270,819) est supérieure à sa ligne de signal (256,272), avec un histogramme positif matérialisant une divergence haussière persistante. Ce momentum positif, bien qu'en phase de consolidation, confirme la tendance de fond haussière et justifie la décision d'ACHAT, le signal étant d'autant plus fiable qu'il intervient en territoire positif.</w:t>
      </w:r>
    </w:p>
    <w:p>
      <w:pPr>
        <w:spacing w:after="120" w:line="276" w:lineRule="auto"/>
      </w:pPr>
      <w:r>
        <w:t>**RSI** : À 56,694, le RSI se situe confortablement dans la zone neutre (30-70), sans approcher la zone de surachat (&gt;70) ni celle de survente (&lt;30). Cette position médiane indique que le titre dispose encore d'un potentiel de hausse sans être techniquement « tendu », ce qui justifie la décision NEUTRE : ni signal d'achat agressif, ni signal de vente.</w:t>
      </w:r>
    </w:p>
    <w:p>
      <w:pPr>
        <w:spacing w:after="120" w:line="276" w:lineRule="auto"/>
      </w:pPr>
      <w:r>
        <w:t>**Stochastique** : Le %K (63,786) est légèrement supérieur au %D (61,728), avec un croisement récent à la hausse en zone médiane-haute. Cette configuration indique une pression acheteuse modérée mais réelle, sans atteindre la zone de surachat (&gt;80), ce qui justifie la décision NEUTRE avec un biais légèrement haussier.</w:t>
      </w:r>
    </w:p>
    <w:p>
      <w:pPr>
        <w:spacing w:after="120" w:line="276" w:lineRule="auto"/>
      </w:pPr>
      <w:r>
        <w:t>**Conclusion technique** : La convergence des indicateurs est globalement haussière mais modérée : les moyennes mobiles et le MACD émettent des signaux d'achat clairs, tandis que le RSI, le stochastique et les bandes de Bollinger restent neutres, traduisant un titre en phase de progression saine sans excès. Cette configuration technique plaide pour une poursuite de la tendance haussière à court terme, avec un potentiel de test de la borne supérieure des Bollinger (17 931 FCFA) en cas de confirmation du momentum.</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Ecobank Côte d'Ivoire affiche un Produit Net Bancaire (équivalent du chiffre d'affaires pour une banque) de 132,725 milliards FCFA et un résultat net de 63,482 milliards FCFA, en forte progression par rapport aux 57,5 milliards FCFA de 2024 (+10,4%). La rentabilité demeure exceptionnelle avec un ROE de 29,04% (très au-dessus du seuil de 15% considéré comme excellent) et un ROA de 3,09%, confirmant l'efficacité de l'utilisation des actifs. Le coefficient d'exploitation de 42,89% est remarquablement bas (largement inférieur au seuil de 60% d'efficacité et même sous les 50% d'excellence), signe d'une maîtrise rigoureuse des coûts. Le coût du risque, à 1,36% des charges financières, reste modéré et témoigne d'un portefeuille de crédit de bonne qualité, tandis que la structure de bilan affiche 1 626,223 milliards FCFA de dépôts clientèle pour 1 050,803 milliards FCFA de créances clientèle, soit un ratio de transformation (crédits/dépôts) de 64,6%, traduisant une gestion prudente et liquide. La marge nette de 47,83% et la marge opérationnelle de 55,75% confirment la robustesse du modèle économique, tandis que le taux de croissance du PNB de 8,51% illustre une dynamique commerciale soutenue.</w:t>
      </w:r>
    </w:p>
    <w:p>
      <w:pPr>
        <w:spacing w:after="120" w:line="276" w:lineRule="auto"/>
      </w:pPr>
      <w:r>
        <w:t>**Estimations basées sur les rapports trimestriels** : Le rapport du T3 2025 (daté du 30/09/2025) indique un PNB de 96,4 milliards FCFA (+11,3% sur un an) et un résultat net de 44,4 milliards FCFA (+15,4%), avec un ROE de 29,7% et un coefficient d'exploitation de 44,7%. Le rapport du T1 2026 (daté de 2026) fait état d'un PNB de 30,8 milliards FCFA (+3,7%) et d'un résultat net de 13,0 milliards FCFA (-1,6%), avec un ROE de 23,0% et un coefficient d'exploitation de 45,7%. Sur la base de ces tendances, on peut estimer que l'exercice 2026 devrait enregistrer une croissance modérée du PNB (entre +4% et +6%) et un résultat net stable autour de 62-65 milliards FCFA, la légère contraction du T1 2026 étant compensée par la dynamique positive attendue sur les trimestres suivants. Le dividende proposé de 888 FCFA brut par action (781 FCFA net) pour 2025, en hausse de 10,4% par rapport aux 804 FCFA de 2024, offre un rendement attractif d'environ 5,1% au cours actuel, renforçant l'attrait du titre pour les investisseurs en quête de revenus.</w:t>
      </w:r>
    </w:p>
    <w:p>
      <w:pPr>
        <w:spacing w:after="120" w:line="276" w:lineRule="auto"/>
      </w:pPr>
      <w:r>
        <w:t>**Recommandation fondamentale** : ECOC présente des fondamentaux de très haute qualité — rentabilité exceptionnelle (ROE ~29%), efficacité opérationnelle remarquable, structure financière solide et politique de dividende généreuse. Les risques identifiés (concentration géographique sur la Côte d'Ivoire, hausse du coût du risque dans un environnement macroéconomique incertain, pression concurrentielle des fintechs) sont réels mais bien maîtrisés par la banque. La solidité du bilan (total actif de 2 054,491 milliards FCFA, solvabilité générale de 111,9%) et la qualité du portefeuille (taux de créances en souffrance de 3,9% au T1 2026) confirment la robustesse du modèle. La recommandation fondamentale est donc CONSERVER, avec un biais positif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synthèse globale des quatre dimensions analysées converge vers un profil d'investissement équilibré mais légèrement favorable. Sur le plan de la **valorisation (Partie 0)**, les ratios PER (15,0x), P/B (4,35x) et EV/EBITDA (14,6x) indiquent une surévaluation relative par rapport aux moyennes du marché BRVM, mais cette prime se justifie par la qualité exceptionnelle des fondamentaux et la régularité des résultats. Le **comportement du cours (Partie 1)** est favorable : tendance haussière (+6,37% sur 100 jours), volatilité modérée (28,8%), distribution des rendements proche de la normale (kurtosis 0,243) et asymétrie positive (skewness 0,700) indiquant un potentiel de pics haussiers. Les **signaux techniques (Partie 2)** sont majoritairement haussiers (MM et MACD en achat, RSI et stochastique neutres), sans divergence préoccupante, ce qui suggère une poursuite de la tendance. Les **fondamentaux (Partie 3)** sont excellents : ROE de 29%, coefficient d'exploitation de 42,9%, croissance du PNB de 8,5% en 2025 et dividende en hausse de 10,4%, malgré un T1 2026 légèrement en retrait (-1,6% de résultat net) qui appelle à la vigilance. Les **prédictions IA (J+1 à J+10)** anticipent une progression très douce du cours, de 17 295 FCFA à 17 374 FCFA, confirmant la trajectoire haussière modérée sans excès.</w:t>
      </w:r>
    </w:p>
    <w:p>
      <w:pPr>
        <w:spacing w:after="120" w:line="276" w:lineRule="auto"/>
      </w:pPr>
      <w:r>
        <w:t>**Recommandation finale : CONSERVER** — avec un biais positif pour les investisseurs déjà positionnés. La convergence entre la technique haussière, les fondamentaux solides et les prédictions IA modérément positives soutient cette recommandation, mais la valorisation exigeante (PER et P/B élevés) limite le potentiel de revalorisation à court terme. Le **niveau de confiance est Moyen** (les signaux sont convergents mais la valorisation tendue et le ralentissement du T1 2026 incitent à la prudence) et le **niveau de risque global est Moyen** (risque de crédit et concentration géographique compensés par la solidité financière). L'**horizon d'investissement optimal est le moyen à long terme (6 à 18 mois)**, le temps que la croissance des dépôts (+12% au T1 2026) et l'amélioration continue de l'efficacité opérationnelle se traduisent pleinement dans les résultats, avec un objectif de cours à 18 500-19 000 FCFA en cas de confirmation de la dynamique. Un investisseur agressif pourra initier une position sur repli vers 16 500 FCFA (zone de la MM50), tandis qu'un investisseur prudent attendra la confirmation du redressement du résultat net au T2 2026 avant de renforcer.</w:t>
      </w:r>
    </w:p>
    <w:p>
      <w:pPr>
        <w:spacing w:after="120" w:line="276" w:lineRule="auto"/>
      </w:pPr>
      <w:r>
        <w:t>---</w:t>
      </w:r>
    </w:p>
    <w:p>
      <w:pPr>
        <w:spacing w:after="120" w:line="276" w:lineRule="auto"/>
      </w:pPr>
      <w:r>
        <w:t>*Sources : Données structurées brvm_donnees_financieres (exercice 2025), rapports trimestriels T3 2025 (30/09/2025) et T1 2026, rapport annuel 2024 (31/12/2024), avis de convocation AG du 10/04/2026, données de marché BRVM au 100 derniers jours.*</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1,490,776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+169.23%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36.98% (Élevée) — μ=49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β=2.4555 (Très agressif) — Cov=0.000084, Var(idx)=0.000034, ρ=0.371,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1,490,776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σ_j=3.88%/j (Modérée) — Vol. annualisée≈61.7%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66</w:t>
            </w:r>
          </w:p>
        </w:tc>
        <w:tc>
          <w:tcPr>
            <w:tcW w:type="dxa" w:w="1440"/>
            <w:shd w:fill="FAFAFA" w:val="clear"/>
          </w:tcPr>
          <w:p>
            <w:r>
              <w:rPr>
                <w:b/>
                <w:sz w:val="17"/>
              </w:rPr>
              <w:t>69</w:t>
            </w:r>
          </w:p>
        </w:tc>
        <w:tc>
          <w:tcPr>
            <w:tcW w:type="dxa" w:w="1440"/>
            <w:shd w:fill="FAFAFA" w:val="clear"/>
          </w:tcPr>
          <w:p>
            <w:r>
              <w:rPr>
                <w:sz w:val="17"/>
              </w:rPr>
              <w:t>73</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64</w:t>
            </w:r>
          </w:p>
        </w:tc>
        <w:tc>
          <w:tcPr>
            <w:tcW w:type="dxa" w:w="1440"/>
            <w:shd w:fill="FAFAFA" w:val="clear"/>
          </w:tcPr>
          <w:p>
            <w:r>
              <w:rPr>
                <w:b/>
                <w:sz w:val="17"/>
              </w:rPr>
              <w:t>69</w:t>
            </w:r>
          </w:p>
        </w:tc>
        <w:tc>
          <w:tcPr>
            <w:tcW w:type="dxa" w:w="1440"/>
            <w:shd w:fill="FAFAFA" w:val="clear"/>
          </w:tcPr>
          <w:p>
            <w:r>
              <w:rPr>
                <w:sz w:val="17"/>
              </w:rPr>
              <w:t>74</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59</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58</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57</w:t>
            </w:r>
          </w:p>
        </w:tc>
        <w:tc>
          <w:tcPr>
            <w:tcW w:type="dxa" w:w="1440"/>
            <w:shd w:fill="FFDCE0" w:val="clear"/>
          </w:tcPr>
          <w:p>
            <w:r>
              <w:rPr>
                <w:b/>
                <w:sz w:val="17"/>
              </w:rPr>
              <w:t>68</w:t>
            </w:r>
          </w:p>
        </w:tc>
        <w:tc>
          <w:tcPr>
            <w:tcW w:type="dxa" w:w="1440"/>
            <w:shd w:fill="FFDCE0" w:val="clear"/>
          </w:tcPr>
          <w:p>
            <w:r>
              <w:rPr>
                <w:sz w:val="17"/>
              </w:rPr>
              <w:t>78</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57</w:t>
            </w:r>
          </w:p>
        </w:tc>
        <w:tc>
          <w:tcPr>
            <w:tcW w:type="dxa" w:w="1440"/>
            <w:shd w:fill="FFDCE0" w:val="clear"/>
          </w:tcPr>
          <w:p>
            <w:r>
              <w:rPr>
                <w:b/>
                <w:sz w:val="17"/>
              </w:rPr>
              <w:t>67</w:t>
            </w:r>
          </w:p>
        </w:tc>
        <w:tc>
          <w:tcPr>
            <w:tcW w:type="dxa" w:w="1440"/>
            <w:shd w:fill="FFDCE0" w:val="clear"/>
          </w:tcPr>
          <w:p>
            <w:r>
              <w:rPr>
                <w:sz w:val="17"/>
              </w:rPr>
              <w:t>78</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56</w:t>
            </w:r>
          </w:p>
        </w:tc>
        <w:tc>
          <w:tcPr>
            <w:tcW w:type="dxa" w:w="1440"/>
            <w:shd w:fill="FFDCE0" w:val="clear"/>
          </w:tcPr>
          <w:p>
            <w:r>
              <w:rPr>
                <w:b/>
                <w:sz w:val="17"/>
              </w:rPr>
              <w:t>67</w:t>
            </w:r>
          </w:p>
        </w:tc>
        <w:tc>
          <w:tcPr>
            <w:tcW w:type="dxa" w:w="1440"/>
            <w:shd w:fill="FFDCE0" w:val="clear"/>
          </w:tcPr>
          <w:p>
            <w:r>
              <w:rPr>
                <w:sz w:val="17"/>
              </w:rPr>
              <w:t>79</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RAPPORT D'ANALYSE FINANCIÈRE — ETIT (Ecobank Transnational Incorporated)</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**1 265,89 milliards FCFA**, ETIT figure parmi les poids lourds de la cote BRVM, ce qui en fait un titre incontournable pour les investisseurs institutionnels régionaux. Le BPA s'établit à **19 FCFA/action**, ce qui signifie que chaque titre génère près de 19 FCFA de bénéfice net, un niveau confortable au regard du cours actuel de 70 FCFA. Le **PER de 3,7x** traduit une valorisation nettement inférieure à la moyenne du marché BRVM (8-12x), signalant une potentielle sous-évaluation si les bénéfices se maintiennent. Le **P/B de 0,79x** (&lt; 1) indique que le marché valorise l'action en dessous de sa valeur comptable, une situation souvent considérée comme une opportunité pour les investisseurs value. Enfin, l'**EV/EBITDA de 5,1x**, situé dans la fourchette raisonnable de 5-10x, suggère que la valeur totale de l'entreprise reste cohérente avec sa capacité opérationnelle, sans prime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ETIT affiche une performance spectaculaire avec une **variation totale de +169,23%**, tandis que la dernière séance (J-1) est restée stable à **+0,00%**, signalant une pause dans le mouvement haussier. Le cours actuel de **70 FCFA** se situe dans la partie haute du range de trading, le plus haut ayant atteint **78 FCFA** et le plus bas **26 FCFA**, soit un écart de 52 FCFA qui illustre l'ampleur du rallye. La tendance générale est donc clairement **haussière**, portée par un volume moyen quotidien élevé de **1 490 776 titres**, témoignant d'un intérêt soutenu des investisseurs. Les statistiques descriptives révèlent une **moyenne de 49 FCFA** supérieure à la **médiane de 44 FCFA**, ce qui indique une distribution légèrement asymétrique à droite, cohérente avec le **skewness de 0,100** (distribution quasi-symétrique). L'**écart-type de 18 FCFA** avec un **CV de 37,2%** traduit une dispersion importante du cours, confirmée par une **volatilité annualisée de 61,7%**, classant le titre dans la catégorie à volatilité élevée (&gt;30%). Le **kurtosis de -1,816** (platykurtique) indique une distribution aplatie avec une faible concentration autour de la moyenne, suggérant un risque de pics de volatilité modéré mais des mouvements amples fréquents. Le **mode de 30 FCFA** rappelle que le cours a longtemps stagné à des niveaux bien inférieurs avant l'envolée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(67,8 FCFA) et la MM50 (66,22 FCFA) se situent toutes deux sous le cours actuel (70 FCFA), confirmant une configuration haussière avec le prix au-dessus des moyennes. La MM20 étant légèrement supérieure à la MM50, le croisement est positif, justifiant la décision d'**Achat**.</w:t>
      </w:r>
    </w:p>
    <w:p>
      <w:pPr>
        <w:spacing w:after="120" w:line="276" w:lineRule="auto"/>
      </w:pPr>
      <w:r>
        <w:t>**Bandes de Bollinger** : Le cours (70 FCFA) évolue entre la borne inférieure (63,769 FCFA) et la borne supérieure (71,831 FCFA), se rapprochant de la bande haute sans la franchir. Cette position médiane-haute avec un rétrécissement des bandes suggère une volatilité modérée et une décision **Neutre**, en attendant une cassure directionnelle.</w:t>
      </w:r>
    </w:p>
    <w:p>
      <w:pPr>
        <w:spacing w:after="120" w:line="276" w:lineRule="auto"/>
      </w:pPr>
      <w:r>
        <w:t>**MACD** : La valeur du MACD (1,613) est légèrement supérieure à son signal (1,594), générant un croisement haussier marginal. Le momentum reste positif mais faible, ce qui justifie une décision d'**Achat** prudente, en surveillant une éventuelle divergence baissière.</w:t>
      </w:r>
    </w:p>
    <w:p>
      <w:pPr>
        <w:spacing w:after="120" w:line="276" w:lineRule="auto"/>
      </w:pPr>
      <w:r>
        <w:t>**RSI** : À **61,111**, le RSI se situe en zone neutre-haute (30-70), sans atteindre la zone de surachat (&gt;70). Cela indique que le titre conserve un potentiel de hausse sans être techniquement épuisé, justifiant une décision **Neutre** avec un biais haussier.</w:t>
      </w:r>
    </w:p>
    <w:p>
      <w:pPr>
        <w:spacing w:after="120" w:line="276" w:lineRule="auto"/>
      </w:pPr>
      <w:r>
        <w:t>**Stochastique** : Les valeurs %K et %D sont identiques à **83,333**, plaçant l'indicateur en zone de surachat (&gt;80). L'absence de croisement baissier pour l'instant suggère une décision de **Vente** à court terme, car le risque de correction se renforce.</w:t>
      </w:r>
    </w:p>
    <w:p>
      <w:pPr>
        <w:spacing w:after="120" w:line="276" w:lineRule="auto"/>
      </w:pPr>
      <w:r>
        <w:t>**Conclusion technique** : Les indicateurs sont majoritairement haussiers (MM, MACD) mais montrent des signes de fatigue (Stochastique en surachat, RSI proche de 70). La convergence des signaux positifs (MM, MACD) et des signaux de prudence (Bollinger, Stochastique) suggère une phase de consolidation possible avant une nouvelle impulsion. La décision globale est **Neutre à Achat**, avec une vigilance accrue sur les niveaux de surachat.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ETIT affiche un **PNB de 1 424,261 milliards FCFA**, un **résultat net de 345,523 milliards FCFA**, un **ROE de 21,62%** (excellent, &gt;15%) et un **ROA de 1,80%**. Le **coefficient d'exploitation de 27,35%** est remarquablement bas (&lt;60%), témoignant d'une efficacité opérationnelle exceptionnelle. Le **coût du risque de 18,97%** (provisions/charges financières) reste élevé, signalant un risque de crédit significatif. La structure financière montre une **autonomie financière de 8,30%** (faible) et un **ratio d'endettement de 154,06%**, typique d'une banque mais à surveiller. Le **taux de croissance du PNB de 12,45%** confirme une dynamique commerciale solide.</w:t>
      </w:r>
    </w:p>
    <w:p>
      <w:pPr>
        <w:spacing w:after="120" w:line="276" w:lineRule="auto"/>
      </w:pPr>
      <w:r>
        <w:t>**Adaptation au secteur bancaire** : Le ratio dépôts/crédits s'établit à **14120,139/6570,385 = 2,15x**, indiquant une surliquidité et une capacité de transformation élevée. Les créances interbancaires (1 611,202 Mds FCFA) et les dettes interbancaires (1 458,592 Mds FCFA) montrent une activité de marché active. La marge nette de **24,26%** est solide pour le secteur.</w:t>
      </w:r>
    </w:p>
    <w:p>
      <w:pPr>
        <w:spacing w:after="120" w:line="276" w:lineRule="auto"/>
      </w:pPr>
      <w:r>
        <w:t>**Estimations basées sur les rapports trimestriels** : Selon le **rapport S1 2026 (publié le 21 juillet 2026)**, le PNB progresse de **+15% à 1 281,330 millions $EU (721,318 Mds FCFA)**, et le résultat net consolidé de **+6% à 296,091 millions $EU (166,682 Mds FCFA)**. Le **coefficient d'exploitation s'améliore à 48,4%** et le **BPA atteint 0,80 $EU (+2%)**. Le **rapport T1 2026** montre un PNB en hausse de **+23% à 636,2 millions $EU** et un résultat net de **142,5 millions $EU (+16%)**, mais avec un **coût du risque en hausse de 73%**. Sur la base de ces tendances, on estime que l'exercice 2026 devrait enregistrer une **croissance du PNB de 12-15%** et un **résultat net en hausse de 5-8%**, avec un **ROE attendu autour de 20-22%**. Le **rapport 9M 2025** (30 septembre 2025) confirme cette dynamique avec un **PNB de 1 029,2 Mds FCFA (+18%)** et un **résultat net de 267,0 Mds FCFA (+34%)**.</w:t>
      </w:r>
    </w:p>
    <w:p>
      <w:pPr>
        <w:spacing w:after="120" w:line="276" w:lineRule="auto"/>
      </w:pPr>
      <w:r>
        <w:t>**Recommandation fondamentale** : ETIT présente des fondamentaux solides (ROE élevé, coefficient d'exploitation faible, croissance du PNB) mais des risques persistants (coût du risque élevé, autonomie financière faible). La recommandation est **CONSERVER** avec un biais positif, en attendant la confirmation de la maîtrise du coût du risque au S2 2026.</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attractive avec un **PER de 3,7x** et un **P/B de 0,79x**, suggérant une sous-évaluation par rapport aux fondamentaux. Le comportement du cours (Partie 1) est exceptionnellement haussier (+169,23%) mais accompagné d'une **volatilité élevée (61,7%)** et d'un **kurtosis négatif** indiquant des mouvements amples. Les signaux techniques (Partie 2) sont mitigés : haussiers pour les MM et le MACD, mais prudents pour le Stochastique (surachat) et le RSI (proche de 70). Les fondamentaux (Partie 3) sont solides avec un **ROE de 21,62%**, un **coefficient d'exploitation de 27,35%** et une **croissance du PNB de 12,45%**, mais le **coût du risque de 18,97%** reste un point de vigilance. Les **prédictions IA (J+1 à J+10)** anticipent une légère correction de 70 FCFA à 68 FCFA, ce qui contredit partiellement les signaux haussiers à court terme mais s'aligne sur la prudence technique (Stochastique en surachat).</w:t>
      </w:r>
    </w:p>
    <w:p>
      <w:pPr>
        <w:spacing w:after="120" w:line="276" w:lineRule="auto"/>
      </w:pPr>
      <w:r>
        <w:t>**Recommandation finale** : **CONSERVER** avec un biais positif. La convergence entre la sous-évaluation (PER/P/B), les fondamentaux solides (ROE, PNB) et la tendance haussière de long terme justifie une position d'investissement, mais la divergence avec les signaux techniques de court terme (surachat, prédictions baissières) incite à la prudence. Le niveau de confiance est **Moyen** en raison de la volatilité élevée et des risques de crédit. Le niveau de risque global est **Élevé** (volatilité 61,7%, coût du risque 18,97%, endettement 154%). L'horizon d'investissement optimal est **moyen terme (3-12 mois)**, en attendant la publication des résultats annuels 2026 pour confirmer la maîtrise du coût du risque et la poursuite de la croissance.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3,989 titres</w:t>
            </w:r>
          </w:p>
        </w:tc>
        <w:tc>
          <w:tcPr>
            <w:tcW w:type="dxa" w:w="2268"/>
            <w:shd w:fill="FFF2CC" w:val="clear"/>
          </w:tcPr>
          <w:p>
            <w:r>
              <w:rPr>
                <w:b/>
                <w:color w:val="503200"/>
                <w:sz w:val="16"/>
              </w:rPr>
              <w:t xml:space="preserve">Cours actuel : </w:t>
            </w:r>
            <w:r>
              <w:rPr>
                <w:color w:val="000000"/>
                <w:sz w:val="17"/>
              </w:rPr>
              <w:t>2,120 FCFA</w:t>
            </w:r>
          </w:p>
          <w:p>
            <w:r>
              <w:rPr>
                <w:b/>
                <w:color w:val="503200"/>
                <w:sz w:val="16"/>
              </w:rPr>
              <w:t xml:space="preserve">Var. 100 jours : </w:t>
            </w:r>
            <w:r>
              <w:rPr>
                <w:b/>
                <w:color w:val="B40000"/>
                <w:sz w:val="17"/>
              </w:rPr>
              <w:t>-3.64%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5.93% (Moyenne) — μ=2,137 FCFA, σ=127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β=0.4828 (Défensif) — Cov=0.000017, Var(idx)=0.000034, ρ=0.130,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2,027</w:t>
            </w:r>
          </w:p>
        </w:tc>
        <w:tc>
          <w:tcPr>
            <w:tcW w:type="dxa" w:w="1440"/>
            <w:shd w:fill="FAFAFA" w:val="clear"/>
          </w:tcPr>
          <w:p>
            <w:r>
              <w:rPr>
                <w:b/>
                <w:sz w:val="17"/>
              </w:rPr>
              <w:t>2,100</w:t>
            </w:r>
          </w:p>
        </w:tc>
        <w:tc>
          <w:tcPr>
            <w:tcW w:type="dxa" w:w="1440"/>
            <w:shd w:fill="FAFAFA" w:val="clear"/>
          </w:tcPr>
          <w:p>
            <w:r>
              <w:rPr>
                <w:sz w:val="17"/>
              </w:rPr>
              <w:t>2,173</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1,981</w:t>
            </w:r>
          </w:p>
        </w:tc>
        <w:tc>
          <w:tcPr>
            <w:tcW w:type="dxa" w:w="1440"/>
            <w:shd w:fill="FAFAFA" w:val="clear"/>
          </w:tcPr>
          <w:p>
            <w:r>
              <w:rPr>
                <w:b/>
                <w:sz w:val="17"/>
              </w:rPr>
              <w:t>2,083</w:t>
            </w:r>
          </w:p>
        </w:tc>
        <w:tc>
          <w:tcPr>
            <w:tcW w:type="dxa" w:w="1440"/>
            <w:shd w:fill="FAFAFA" w:val="clear"/>
          </w:tcPr>
          <w:p>
            <w:r>
              <w:rPr>
                <w:sz w:val="17"/>
              </w:rPr>
              <w:t>2,185</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1,941</w:t>
            </w:r>
          </w:p>
        </w:tc>
        <w:tc>
          <w:tcPr>
            <w:tcW w:type="dxa" w:w="1440"/>
            <w:shd w:fill="FFDCE0" w:val="clear"/>
          </w:tcPr>
          <w:p>
            <w:r>
              <w:rPr>
                <w:b/>
                <w:sz w:val="17"/>
              </w:rPr>
              <w:t>2,065</w:t>
            </w:r>
          </w:p>
        </w:tc>
        <w:tc>
          <w:tcPr>
            <w:tcW w:type="dxa" w:w="1440"/>
            <w:shd w:fill="FFDCE0" w:val="clear"/>
          </w:tcPr>
          <w:p>
            <w:r>
              <w:rPr>
                <w:sz w:val="17"/>
              </w:rPr>
              <w:t>2,189</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1,907</w:t>
            </w:r>
          </w:p>
        </w:tc>
        <w:tc>
          <w:tcPr>
            <w:tcW w:type="dxa" w:w="1440"/>
            <w:shd w:fill="FFDCE0" w:val="clear"/>
          </w:tcPr>
          <w:p>
            <w:r>
              <w:rPr>
                <w:b/>
                <w:sz w:val="17"/>
              </w:rPr>
              <w:t>2,049</w:t>
            </w:r>
          </w:p>
        </w:tc>
        <w:tc>
          <w:tcPr>
            <w:tcW w:type="dxa" w:w="1440"/>
            <w:shd w:fill="FFDCE0" w:val="clear"/>
          </w:tcPr>
          <w:p>
            <w:r>
              <w:rPr>
                <w:sz w:val="17"/>
              </w:rPr>
              <w:t>2,191</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1,875</w:t>
            </w:r>
          </w:p>
        </w:tc>
        <w:tc>
          <w:tcPr>
            <w:tcW w:type="dxa" w:w="1440"/>
            <w:shd w:fill="FFDCE0" w:val="clear"/>
          </w:tcPr>
          <w:p>
            <w:r>
              <w:rPr>
                <w:b/>
                <w:sz w:val="17"/>
              </w:rPr>
              <w:t>2,033</w:t>
            </w:r>
          </w:p>
        </w:tc>
        <w:tc>
          <w:tcPr>
            <w:tcW w:type="dxa" w:w="1440"/>
            <w:shd w:fill="FFDCE0" w:val="clear"/>
          </w:tcPr>
          <w:p>
            <w:r>
              <w:rPr>
                <w:sz w:val="17"/>
              </w:rPr>
              <w:t>2,191</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1,847</w:t>
            </w:r>
          </w:p>
        </w:tc>
        <w:tc>
          <w:tcPr>
            <w:tcW w:type="dxa" w:w="1440"/>
            <w:shd w:fill="FFDCE0" w:val="clear"/>
          </w:tcPr>
          <w:p>
            <w:r>
              <w:rPr>
                <w:b/>
                <w:sz w:val="17"/>
              </w:rPr>
              <w:t>2,018</w:t>
            </w:r>
          </w:p>
        </w:tc>
        <w:tc>
          <w:tcPr>
            <w:tcW w:type="dxa" w:w="1440"/>
            <w:shd w:fill="FFDCE0" w:val="clear"/>
          </w:tcPr>
          <w:p>
            <w:r>
              <w:rPr>
                <w:sz w:val="17"/>
              </w:rPr>
              <w:t>2,190</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1,820</w:t>
            </w:r>
          </w:p>
        </w:tc>
        <w:tc>
          <w:tcPr>
            <w:tcW w:type="dxa" w:w="1440"/>
            <w:shd w:fill="FFDCE0" w:val="clear"/>
          </w:tcPr>
          <w:p>
            <w:r>
              <w:rPr>
                <w:b/>
                <w:sz w:val="17"/>
              </w:rPr>
              <w:t>2,004</w:t>
            </w:r>
          </w:p>
        </w:tc>
        <w:tc>
          <w:tcPr>
            <w:tcW w:type="dxa" w:w="1440"/>
            <w:shd w:fill="FFDCE0" w:val="clear"/>
          </w:tcPr>
          <w:p>
            <w:r>
              <w:rPr>
                <w:sz w:val="17"/>
              </w:rPr>
              <w:t>2,188</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1,795</w:t>
            </w:r>
          </w:p>
        </w:tc>
        <w:tc>
          <w:tcPr>
            <w:tcW w:type="dxa" w:w="1440"/>
            <w:shd w:fill="FFDCE0" w:val="clear"/>
          </w:tcPr>
          <w:p>
            <w:r>
              <w:rPr>
                <w:b/>
                <w:sz w:val="17"/>
              </w:rPr>
              <w:t>1,990</w:t>
            </w:r>
          </w:p>
        </w:tc>
        <w:tc>
          <w:tcPr>
            <w:tcW w:type="dxa" w:w="1440"/>
            <w:shd w:fill="FFDCE0" w:val="clear"/>
          </w:tcPr>
          <w:p>
            <w:r>
              <w:rPr>
                <w:sz w:val="17"/>
              </w:rPr>
              <w:t>2,185</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1,771</w:t>
            </w:r>
          </w:p>
        </w:tc>
        <w:tc>
          <w:tcPr>
            <w:tcW w:type="dxa" w:w="1440"/>
            <w:shd w:fill="FFDCE0" w:val="clear"/>
          </w:tcPr>
          <w:p>
            <w:r>
              <w:rPr>
                <w:b/>
                <w:sz w:val="17"/>
              </w:rPr>
              <w:t>1,976</w:t>
            </w:r>
          </w:p>
        </w:tc>
        <w:tc>
          <w:tcPr>
            <w:tcW w:type="dxa" w:w="1440"/>
            <w:shd w:fill="FFDCE0" w:val="clear"/>
          </w:tcPr>
          <w:p>
            <w:r>
              <w:rPr>
                <w:sz w:val="17"/>
              </w:rPr>
              <w:t>2,182</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1,748</w:t>
            </w:r>
          </w:p>
        </w:tc>
        <w:tc>
          <w:tcPr>
            <w:tcW w:type="dxa" w:w="1440"/>
            <w:shd w:fill="FFDCE0" w:val="clear"/>
          </w:tcPr>
          <w:p>
            <w:r>
              <w:rPr>
                <w:b/>
                <w:sz w:val="17"/>
              </w:rPr>
              <w:t>1,963</w:t>
            </w:r>
          </w:p>
        </w:tc>
        <w:tc>
          <w:tcPr>
            <w:tcW w:type="dxa" w:w="1440"/>
            <w:shd w:fill="FFDCE0" w:val="clear"/>
          </w:tcPr>
          <w:p>
            <w:r>
              <w:rPr>
                <w:sz w:val="17"/>
              </w:rPr>
              <w:t>2,179</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*Bourse Régionale des Valeurs Mobilières (BRVM) — Secteur : Emballages industriels (jute, polymères)*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29,90 Mds FCFA, FTSC se situe dans la catégorie des valeurs moyennes de la cote BRVM, ce qui la rend accessible mais moins liquide que les grandes capitalisations bancaires ou télécoms. Le BPA de 33 FCFA/action signifie que chaque titre génère théoriquement 33 FCFA de bénéfice net, un niveau faible qui traduit la compression sévère des marges. Le PER de 64,2x constitue un signal d'alerte majeur : les investisseurs paient plus de 64 fois les bénéfices, soit environ 5 à 8 fois le PER moyen de la BRVM (~8-12x), ce qui intègre déjà une anticipation de redressement très optimiste. Le P/B de 1,90x indique que le marché valorise la société à près du double de sa valeur comptable, ce qui reste raisonnable dans l'absolu mais élevé au regard d'un ROE de seulement 2,97%. Enfin, l'EV/EBITDA de 37,8x est très exigeant (seuil d'alerte &gt;15x), confirmant que la valeur d'entreprise intègre une capacité opérationnelle encore fragile ; la prudence est donc de mise sur la valorisation.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FTSC affiche une variation totale de -3,64%, mais la dernière séance (J-1) s'est inscrite en hausse de +0,95%, signalant une tentative de rebond à court terme. Le cours actuel de 2 120 FCFA évolue dans un range de 1 910 à 2 430 FCFA, soit une amplitude de 520 FCFA (27% du plus bas), ce qui traduit une réelle nervosité du marché. La tendance générale est donc baissière sur la période, avec une tentative de stabilisation récente autour de la moyenne. Les statistiques descriptives révèlent une moyenne (2 137 FCFA) très proche de la médiane (2 155 FCFA), confirmant une distribution symétrique (skewness de 0,063), tandis que le mode à 1 990 FCFA suggère que le prix a davantage stationné sous la moyenne. L'écart-type de 127 FCFA avec un coefficient de variation de 6,0% indique une dispersion modérée du cours, et le kurtosis de -0,860 (mésokurtique) signale une distribution proche de la normale, donc sans risque de pics extrêmes marqués. La volatilité annualisée de 34,5% classe le titre dans la catégorie des valeurs à volatilité élevée (&gt;30%), ce qui implique un risque de marché significatif pour un investisseur averse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(2 143,25 FCFA) et la MM50 (2 061,40 FCFA) encadrent le cours actuel (2 120 FCFA), qui se situe sous la MM20 mais au-dessus de la MM50. Cette configuration traduit une pression baissière de court terme mais un support de moyen terme solide, justifiant la décision « Achat » par croisement haussier potentiel de la MM20 au-dessus de la MM50.</w:t>
      </w:r>
    </w:p>
    <w:p>
      <w:pPr>
        <w:spacing w:after="120" w:line="276" w:lineRule="auto"/>
      </w:pPr>
      <w:r>
        <w:t>**Bandes de Bollinger** : Le cours (2 120 FCFA) évolue dans la partie basse de la bande (borne inférieure 2 083,67 FCFA ; borne supérieure 2 202,83 FCFA), sans toucher les extrêmes. La largeur des bandes reflète une volatilité modérée et l'absence de signal fort, d'où la décision « Neutre » qui invite à attendre une cassure directionnelle.</w:t>
      </w:r>
    </w:p>
    <w:p>
      <w:pPr>
        <w:spacing w:after="120" w:line="276" w:lineRule="auto"/>
      </w:pPr>
      <w:r>
        <w:t>**MACD** : La valeur du MACD (9,442) est nettement inférieure à son signal (19,304), avec un histogramme négatif. Cette divergence baissière indique un momentum affaibli et une perte de vitesse de la tendance haussière antérieure, justifiant pleinement la décision « Vente » à court terme.</w:t>
      </w:r>
    </w:p>
    <w:p>
      <w:pPr>
        <w:spacing w:after="120" w:line="276" w:lineRule="auto"/>
      </w:pPr>
      <w:r>
        <w:t>**RSI** : À 40,0, le RSI se situe en zone neutre basse (30-70), sans atteindre la survente (&lt;30). Cela suggère que le titre n'est ni survendu ni suracheté, mais penche légèrement vers la faiblesse, ce qui confirme la décision « Neutre » et l'absence de signal d'achat agressif.</w:t>
      </w:r>
    </w:p>
    <w:p>
      <w:pPr>
        <w:spacing w:after="120" w:line="276" w:lineRule="auto"/>
      </w:pPr>
      <w:r>
        <w:t>**Stochastique** : Le %K (33,333) est supérieur au %D (18,519), avec un croisement haussier naissant en zone basse. Ce signal précoce de retournement potentiel reste toutefois fragile et justifie la décision « Neutre » tant que la confirmation n'est pas acquise.</w:t>
      </w:r>
    </w:p>
    <w:p>
      <w:pPr>
        <w:spacing w:after="120" w:line="276" w:lineRule="auto"/>
      </w:pPr>
      <w:r>
        <w:t>**Conclusion technique** : Les indicateurs sont divergents — les moyennes mobiles plaident pour un achat de moyen terme, tandis que le MACD reste baissier et le RSI neutre. Le stochastique amorce un timide rebond, mais l'absence de convergence franche invite à la prudence. La configuration globale est donc neutre à légèrement baissière à court terme, avec un support clé à 2 083 FCFA (Bollinger inférieure) et une résistance à 2 143 FCFA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FILTISAC CI a réalisé un chiffre d'affaires de 32 109 Mds FCFA (32,1 milliards), en croissance de 4,61% sur un an, mais son résultat net s'est effondré à 465,98 M FCFA (0,47 milliard) contre 18,6 milliards en 2024, soit une chute de 97,5%. Cette débâcle s'explique par la disparition des produits exceptionnels de cession de filiales en 2024 (6 170 M FCFA de produits financiers). Le ROE n'est que de 2,97% (très loin du seuil de 15% jugé excellent) et le ROA de 1,19%, confirmant une rentabilité structurellement faible. La marge nette s'établit à 1,45% et la marge opérationnelle à 0,86%, tandis que le coefficient d'exploitation de 116,59% révèle que les charges d'exploitation dépassent le chiffre d'affaires — situation intenable à terme. En tant qu'entreprise industrielle, les délais d'exploitation sont préoccupants : délai clients de 213,72 jours (risque de trésorerie élevé), durée de stockage de 214,65 jours (immobilisation massive de capital) et BFR de 11,529 Mds FCFA, bien que le fonds de roulement (11,540 Mds) le couvre tout juste. La trésorerie nette est fortement négative à -11,528 Mds FCFA, conséquence du versement de dividendes massifs en 2024 (18,6 Mds FCFA, soit 100% du résultat). L'autonomie financière reste correcte à 40,11% et la solvabilité générale à 166,98%, mais le ratio d'endettement de 97,60% et la capacité de remboursement de 11,49 années constituent des vulnérabilités.</w:t>
      </w:r>
    </w:p>
    <w:p>
      <w:pPr>
        <w:spacing w:after="120" w:line="276" w:lineRule="auto"/>
      </w:pPr>
      <w:r>
        <w:t>**Estimations basées sur les rapports trimestriels** : Le rapport du **T1 2026 (publié en 2026)** offre une lueur d'espoir : le chiffre d'affaires bondit de 55% à 8 901 M FCFA, porté par la demande d'emballages cacao, et le résultat d'exploitation redevient positif à 75 M FCFA (contre -78 M FCFA au T1 2025). Toutefois, le résultat net reste déficitaire à -154 M FCFA, bien qu'en amélioration de 14%. Le rapport du **T3 2025 (30/09/2025)** confirmait déjà cette tendance : sur 9 mois, le CA reculait de 1% à 18 371 M FCFA et le résultat courant avant impôt plongeait à -216 M FCFA. Le rapport annuel 2024 (publié en 2025) soulignait la distribution exceptionnelle de 2 000,67 FCFA/action, non reconductible. On estime donc que l'exercice 2026 devrait bénéficier d'un rebond du CA (grâce à la campagne cacaoyère 2025/2026) et d'une amélioration du résultat d'exploitation, mais le retour à une rentabilité nette positive reste incertain, la société demeurant dépendante des volumes de cacao et exposée aux crises logistiques (interdiction d'exportation de jute par le Bangladesh, tensions au Moyen-Orient). La recommandation fondamentale est donc **CONSERVER** avec une surveillance accrue : la solidité du bilan (capitaux propres 15,7 Mds) est un atout, mais la faible rentabilité et la trésorerie négative imposent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tendue : PER de 64,2x, EV/EBITDA de 37,8x et P/B de 1,90x pour un ROE de 2,97% traduisent une surévaluation manifeste par rapport aux fondamentaux actuels. Le comportement du cours (Partie 1) est baissier sur 100 jours (-3,64%) avec une volatilité élevée (34,5%) et une distribution symétrique sans pics extrêmes (kurtosis -0,86), ce qui n'offre pas de signal directionnel fort. Les signaux techniques (Partie 2) sont divergents : les moyennes mobiles suggèrent un achat de moyen terme, mais le MACD est baissier et le RSI neutre, sans convergence claire. Les fondamentaux (Partie 3) demeurent fragiles : chute du résultat net 2025 à 466 M FCFA, trésorerie nette négative de -11,5 Mds, mais le T1 2026 montre un rebond du CA de 55% et un résultat d'exploitation positif, ce qui pourrait amorcer un redressement progressif. Les prédictions IA (J+1 à J+10) anticipent une baisse continue de 2 100 à 2 033 FCFA, confirmant la pression baissière de court terme et contredisant les signaux haussiers des moyennes mobiles. **Recommandation finale : CONSERVER** — la convergence entre valorisation excessive, technique mitigée et fondamentaux en convalescence ne justifie ni un achat agressif ni une vente panique, d'autant que le T1 2026 apporte une lueur d'espoir. Le niveau de confiance est **Moyen** (les données trimestrielles récentes sont encourageantes mais le risque d'exécution reste élevé) et le niveau de risque global est **Élevé** (volatilité 34,5%, trésorerie négative, dépendance au cacao). L'horizon d'investissement optimal est le **moyen terme (3-12 mois)**, le temps de vérifier la confirmation du redressement opérationnel sur les prochains trimestres.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4,375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+1.78%</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4.78% (Faible) — μ=4,067 FCFA, σ=194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β=-0.1213 (Contre-cyclique) — Cov=-0.000004, Var(idx)=0.000034, ρ=-0.030,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3,863</w:t>
            </w:r>
          </w:p>
        </w:tc>
        <w:tc>
          <w:tcPr>
            <w:tcW w:type="dxa" w:w="1440"/>
            <w:shd w:fill="FAFAFA" w:val="clear"/>
          </w:tcPr>
          <w:p>
            <w:r>
              <w:rPr>
                <w:b/>
                <w:sz w:val="17"/>
              </w:rPr>
              <w:t>4,031</w:t>
            </w:r>
          </w:p>
        </w:tc>
        <w:tc>
          <w:tcPr>
            <w:tcW w:type="dxa" w:w="1440"/>
            <w:shd w:fill="FAFAFA" w:val="clear"/>
          </w:tcPr>
          <w:p>
            <w:r>
              <w:rPr>
                <w:sz w:val="17"/>
              </w:rPr>
              <w:t>4,200</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3,794</w:t>
            </w:r>
          </w:p>
        </w:tc>
        <w:tc>
          <w:tcPr>
            <w:tcW w:type="dxa" w:w="1440"/>
            <w:shd w:fill="FAFAFA" w:val="clear"/>
          </w:tcPr>
          <w:p>
            <w:r>
              <w:rPr>
                <w:b/>
                <w:sz w:val="17"/>
              </w:rPr>
              <w:t>4,032</w:t>
            </w:r>
          </w:p>
        </w:tc>
        <w:tc>
          <w:tcPr>
            <w:tcW w:type="dxa" w:w="1440"/>
            <w:shd w:fill="FAFAFA" w:val="clear"/>
          </w:tcPr>
          <w:p>
            <w:r>
              <w:rPr>
                <w:sz w:val="17"/>
              </w:rPr>
              <w:t>4,271</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3,744</w:t>
            </w:r>
          </w:p>
        </w:tc>
        <w:tc>
          <w:tcPr>
            <w:tcW w:type="dxa" w:w="1440"/>
            <w:shd w:fill="FAFAFA" w:val="clear"/>
          </w:tcPr>
          <w:p>
            <w:r>
              <w:rPr>
                <w:b/>
                <w:sz w:val="17"/>
              </w:rPr>
              <w:t>4,036</w:t>
            </w:r>
          </w:p>
        </w:tc>
        <w:tc>
          <w:tcPr>
            <w:tcW w:type="dxa" w:w="1440"/>
            <w:shd w:fill="FAFAFA" w:val="clear"/>
          </w:tcPr>
          <w:p>
            <w:r>
              <w:rPr>
                <w:sz w:val="17"/>
              </w:rPr>
              <w:t>4,328</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3,714</w:t>
            </w:r>
          </w:p>
        </w:tc>
        <w:tc>
          <w:tcPr>
            <w:tcW w:type="dxa" w:w="1440"/>
            <w:shd w:fill="FAFAFA" w:val="clear"/>
          </w:tcPr>
          <w:p>
            <w:r>
              <w:rPr>
                <w:b/>
                <w:sz w:val="17"/>
              </w:rPr>
              <w:t>4,053</w:t>
            </w:r>
          </w:p>
        </w:tc>
        <w:tc>
          <w:tcPr>
            <w:tcW w:type="dxa" w:w="1440"/>
            <w:shd w:fill="FAFAFA" w:val="clear"/>
          </w:tcPr>
          <w:p>
            <w:r>
              <w:rPr>
                <w:sz w:val="17"/>
              </w:rPr>
              <w:t>4,392</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3,697</w:t>
            </w:r>
          </w:p>
        </w:tc>
        <w:tc>
          <w:tcPr>
            <w:tcW w:type="dxa" w:w="1440"/>
            <w:shd w:fill="FAFAFA" w:val="clear"/>
          </w:tcPr>
          <w:p>
            <w:r>
              <w:rPr>
                <w:b/>
                <w:sz w:val="17"/>
              </w:rPr>
              <w:t>4,078</w:t>
            </w:r>
          </w:p>
        </w:tc>
        <w:tc>
          <w:tcPr>
            <w:tcW w:type="dxa" w:w="1440"/>
            <w:shd w:fill="FAFAFA" w:val="clear"/>
          </w:tcPr>
          <w:p>
            <w:r>
              <w:rPr>
                <w:sz w:val="17"/>
              </w:rPr>
              <w:t>4,459</w:t>
            </w:r>
          </w:p>
        </w:tc>
        <w:tc>
          <w:tcPr>
            <w:tcW w:type="dxa" w:w="1440"/>
            <w:shd w:fill="FAFAFA" w:val="clear"/>
          </w:tcPr>
          <w:p>
            <w:r>
              <w:rPr>
                <w:b/>
                <w:color w:val="008000"/>
                <w:sz w:val="17"/>
              </w:rPr>
              <w:t>+1.9%</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3,689</w:t>
            </w:r>
          </w:p>
        </w:tc>
        <w:tc>
          <w:tcPr>
            <w:tcW w:type="dxa" w:w="1440"/>
            <w:shd w:fill="C6EFCE" w:val="clear"/>
          </w:tcPr>
          <w:p>
            <w:r>
              <w:rPr>
                <w:b/>
                <w:sz w:val="17"/>
              </w:rPr>
              <w:t>4,110</w:t>
            </w:r>
          </w:p>
        </w:tc>
        <w:tc>
          <w:tcPr>
            <w:tcW w:type="dxa" w:w="1440"/>
            <w:shd w:fill="C6EFCE" w:val="clear"/>
          </w:tcPr>
          <w:p>
            <w:r>
              <w:rPr>
                <w:sz w:val="17"/>
              </w:rPr>
              <w:t>4,531</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3,674</w:t>
            </w:r>
          </w:p>
        </w:tc>
        <w:tc>
          <w:tcPr>
            <w:tcW w:type="dxa" w:w="1440"/>
            <w:shd w:fill="C6EFCE" w:val="clear"/>
          </w:tcPr>
          <w:p>
            <w:r>
              <w:rPr>
                <w:b/>
                <w:sz w:val="17"/>
              </w:rPr>
              <w:t>4,131</w:t>
            </w:r>
          </w:p>
        </w:tc>
        <w:tc>
          <w:tcPr>
            <w:tcW w:type="dxa" w:w="1440"/>
            <w:shd w:fill="C6EFCE" w:val="clear"/>
          </w:tcPr>
          <w:p>
            <w:r>
              <w:rPr>
                <w:sz w:val="17"/>
              </w:rPr>
              <w:t>4,588</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3,672</w:t>
            </w:r>
          </w:p>
        </w:tc>
        <w:tc>
          <w:tcPr>
            <w:tcW w:type="dxa" w:w="1440"/>
            <w:shd w:fill="C6EFCE" w:val="clear"/>
          </w:tcPr>
          <w:p>
            <w:r>
              <w:rPr>
                <w:b/>
                <w:sz w:val="17"/>
              </w:rPr>
              <w:t>4,164</w:t>
            </w:r>
          </w:p>
        </w:tc>
        <w:tc>
          <w:tcPr>
            <w:tcW w:type="dxa" w:w="1440"/>
            <w:shd w:fill="C6EFCE" w:val="clear"/>
          </w:tcPr>
          <w:p>
            <w:r>
              <w:rPr>
                <w:sz w:val="17"/>
              </w:rPr>
              <w:t>4,657</w:t>
            </w:r>
          </w:p>
        </w:tc>
        <w:tc>
          <w:tcPr>
            <w:tcW w:type="dxa" w:w="1440"/>
            <w:shd w:fill="C6EFCE" w:val="clear"/>
          </w:tcPr>
          <w:p>
            <w:r>
              <w:rPr>
                <w:b/>
                <w:color w:val="008000"/>
                <w:sz w:val="17"/>
              </w:rPr>
              <w:t>+4.1%</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3,649</w:t>
            </w:r>
          </w:p>
        </w:tc>
        <w:tc>
          <w:tcPr>
            <w:tcW w:type="dxa" w:w="1440"/>
            <w:shd w:fill="C6EFCE" w:val="clear"/>
          </w:tcPr>
          <w:p>
            <w:r>
              <w:rPr>
                <w:b/>
                <w:sz w:val="17"/>
              </w:rPr>
              <w:t>4,172</w:t>
            </w:r>
          </w:p>
        </w:tc>
        <w:tc>
          <w:tcPr>
            <w:tcW w:type="dxa" w:w="1440"/>
            <w:shd w:fill="C6EFCE" w:val="clear"/>
          </w:tcPr>
          <w:p>
            <w:r>
              <w:rPr>
                <w:sz w:val="17"/>
              </w:rPr>
              <w:t>4,696</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3,622</w:t>
            </w:r>
          </w:p>
        </w:tc>
        <w:tc>
          <w:tcPr>
            <w:tcW w:type="dxa" w:w="1440"/>
            <w:shd w:fill="C6EFCE" w:val="clear"/>
          </w:tcPr>
          <w:p>
            <w:r>
              <w:rPr>
                <w:b/>
                <w:sz w:val="17"/>
              </w:rPr>
              <w:t>4,174</w:t>
            </w:r>
          </w:p>
        </w:tc>
        <w:tc>
          <w:tcPr>
            <w:tcW w:type="dxa" w:w="1440"/>
            <w:shd w:fill="C6EFCE" w:val="clear"/>
          </w:tcPr>
          <w:p>
            <w:r>
              <w:rPr>
                <w:sz w:val="17"/>
              </w:rPr>
              <w:t>4,727</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RAPPORT D'ANALYSE FINANCIÈRE — LNBB (Loterie Nationale du Bénin)</w:t>
        <w:br/>
        <w:t>**Bourse Régionale des Valeurs Mobilières (BRVM) — Secteur : Entreprise non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80,00 milliards FCFA, LNBB se positionne comme une valeur de taille intermédiaire sur le marché BRVM, représentant un poids non négligeable dans l'indice composite. Le BPA de 231 FCFA par action signifie que chaque titre génère près de 231 FCFA de bénéfice net, ce qui, rapporté au cours actuel de 4 000 FCFA, donne un PER de 17,3x — nettement supérieur à la moyenne du marché BRVM (généralement comprise entre 8 et 12x), traduisant une prime de valorisation que les investisseurs accordent à la société. Le ratio P/B de 3,64x indique que le marché valorise LNBB à plus de trois fois et demie sa valeur comptable, ce qui est cohérent avec une entreprise affichant un ROE élevé (21,05%) et une capacité bénéficiaire supérieure à la moyenne. Enfin, l'EV/EBITDA de 10,1x situe la valeur d'entreprise à environ dix fois sa capacité opérationnelle, un niveau modéré qui reste acceptable au regard de la génération de trésorerie et de la structure financière très saine de la société.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 enregistré une variation globale de +1,78%, avec une progression de +1,27% lors de la dernière séance (J-1), portant le cours actuel à 4 000 FCFA. Le range de trading s'établit entre un plus haut de 4 560 FCFA et un plus bas de 3 825 FCFA, soit une amplitude d'environ 19%, reflétant une certaine nervosité du marché. La tendance générale apparaît légèrement haussière mais fragile, le cours évoluant actuellement dans la partie basse de son range historique récent. Les statistiques descriptives révèlent une moyenne de 4 067 FCFA légèrement supérieure à la médiane de 4 002 FCFA, avec un mode à 4 000 FCFA, ce qui suggère une distribution asymétrique positive (skewness de 0,552) indiquant davantage de journées de cotation sous la moyenne. L'écart-type de 195 FCFA (CV de 4,8%) témoigne d'une dispersion modérée du cours autour de sa moyenne, tandis que le kurtosis de -0,877 (mésokurtique) indique une distribution proche de la normale, sans risque majeur de pics extrêmes. La volatilité annualisée de 37,7% classe le titre dans la catégorie des valeurs à volatilité élevée (&gt;30%), ce qui implique un risque de marché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(4 047,25 FCFA) et la MM50 (4 193,00 FCFA) se situent toutes deux au-dessus du cours actuel de 4 000 FCFA, avec une MM20 inférieure à la MM50, confirmant une configuration baissière de court terme. Le cours évoluant sous ses deux moyennes mobiles, la décision technique est à la Vente, signalant une pression vendeuse persistante.</w:t>
      </w:r>
    </w:p>
    <w:p>
      <w:pPr>
        <w:spacing w:after="120" w:line="276" w:lineRule="auto"/>
      </w:pPr>
      <w:r>
        <w:t>**Bandes de Bollinger :** Le cours (4 000 FCFA) se situe dans la partie basse de la bande de Bollinger, entre la borne inférieure (3 915,28 FCFA) et la borne supérieure (4 179,22 FCFA), sans franchissement des limites. Cette position neutre indique une absence de signal directionnel fort, avec une volatilité contenue dans les bornes établies.</w:t>
      </w:r>
    </w:p>
    <w:p>
      <w:pPr>
        <w:spacing w:after="120" w:line="276" w:lineRule="auto"/>
      </w:pPr>
      <w:r>
        <w:t>**MACD :** La valeur du MACD (-53,252) est légèrement supérieure à son signal (-54,028), générant un croisement haussier marginal et une décision d'Achat. Ce signal positif reste toutefois fragile, car les deux lignes demeurent en territoire négatif, reflétant un momentum encore faible malgré l'amorce d'un retournement.</w:t>
      </w:r>
    </w:p>
    <w:p>
      <w:pPr>
        <w:spacing w:after="120" w:line="276" w:lineRule="auto"/>
      </w:pPr>
      <w:r>
        <w:t>**RSI :** À 43,624, le RSI se situe en zone neutre (entre 30 et 70), sans signal de surachat ni de survente. Cette position médiane suggère un équilibre entre acheteurs et vendeurs, avec une décision Neutre qui confirme l'absence de pression directionnelle claire.</w:t>
      </w:r>
    </w:p>
    <w:p>
      <w:pPr>
        <w:spacing w:after="120" w:line="276" w:lineRule="auto"/>
      </w:pPr>
      <w:r>
        <w:t>**Stochastique :** Les valeurs %K et %D sont toutes deux à 50,0, indiquant un parfait équilibre entre les forces haussières et baissières, sans croisement ni divergence. La décision Neutre reflète cette situation d'indécision du marché.</w:t>
      </w:r>
    </w:p>
    <w:p>
      <w:pPr>
        <w:spacing w:after="120" w:line="276" w:lineRule="auto"/>
      </w:pPr>
      <w:r>
        <w:t>**Conclusion technique :** Les indicateurs techniques présentent un tableau mitigé, avec une majorité de signaux Neutres (Bollinger, RSI, Stochastique) et une divergence entre la décision Vente des moyennes mobiles et l'Achat marginal du MACD. Le titre évolue dans une zone de consolidation sans direction claire, avec une pression baissière résiduelle mais un potentiel de rebond technique limité. La prudence reste de mise tant que le cours ne parvient pas à reconquérir la MM20 (4 047 FCFA) et la MM50 (4 193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LNBB a réalisé un chiffre d'affaires de 98,598 milliards FCFA, en baisse de -3,85% par rapport à 2024, avec un résultat net de 4,622 milliards FCFA (marge nette de 4,69%). La rentabilité des fonds propres (ROE) s'établit à 21,05%, un niveau excellent (&gt;15%), tandis que le ROA de 14,17% confirme l'efficacité de l'utilisation des actifs. La structure financière est très solide, avec une autonomie financière de 67,32%, un ratio d'endettement de seulement 2,57% et une trésorerie nette positive de 7,979 milliards FCFA. Le BFR est quasi nul (217,45 millions FCFA), et les délais clients (4,82 jours) et fournisseurs (20,41 jours) sont très courts, témoignant d'une gestion rigoureuse du besoin en fonds de roulement. La couverture des intérêts est exceptionnelle (9 153%), reflétant une charge financière quasi inexistante (69,66 millions FCFA).</w:t>
      </w:r>
    </w:p>
    <w:p>
      <w:pPr>
        <w:spacing w:after="120" w:line="276" w:lineRule="auto"/>
      </w:pPr>
      <w:r>
        <w:t>**Adaptation au secteur (entreprise) :** LNBB affiche une rotation des actifs élevée (302,37%), typique d'une activité de services à forte intensité commerciale. La marge brute de 10,70% et la marge opérationnelle de 6,47% sont modérées, reflétant la nature du secteur des jeux où les gains reversés aux joueurs pèsent sur la rentabilité. Le taux de croissance du CA est négatif (-3,85%), principalement dû à la concurrence illégale et à la baisse des ventes physiques, partiellement compensée par la croissance du digital (+18% en 2025).</w:t>
      </w:r>
    </w:p>
    <w:p>
      <w:pPr>
        <w:spacing w:after="120" w:line="276" w:lineRule="auto"/>
      </w:pPr>
      <w:r>
        <w:t>**Estimations basées sur les rapports trimestriels :** Selon le rapport du premier semestre 2026 (publié le 30 juillet 2026), le chiffre d'affaires a progressé de +4% à 49,937 milliards FCFA, et le résultat net a bondi de +60% grâce à la maîtrise des charges et aux revenus de partenariats. Toutefois, le rapport du T1 2026 (publié le 7 mai 2026) indiquait une chute de -46% du résultat net à 848 millions FCFA, due à un mix produit défavorable (pari sportif à 95% de taux de retour). On estime donc que l'exercice 2026 devrait afficher une reprise progressive de la rentabilité, portée par le déploiement de 1 500 nouveaux terminaux et le lancement de nouveaux produits à forte marge au second semestre. Le dividende brut de 173 FCFA par action (net de 164 FCFA), approuvé lors de l'AGO de juin 2026, offre un rendement attractif de 4,1% au cours actuel.</w:t>
      </w:r>
    </w:p>
    <w:p>
      <w:pPr>
        <w:spacing w:after="120" w:line="276" w:lineRule="auto"/>
      </w:pPr>
      <w:r>
        <w:t>**Recommandation fondamentale :** La solidité financière de LNBB est incontestable (capitaux propres de 21,954 milliards FCFA, trésorerie nette positive), et la politique de dividende généreuse (80% de distribution) constitue un argument majeur pour les investisseurs. Les risques liés à la concurrence illégale et à la pression sur les marges sont réels mais semblent en voie d'atténuation grâce aux initiatives stratégiques en cours.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permet de dégager une vision équilibrée du dossier LNBB. **Sur le plan de la valorisation (Partie 0)**, le PER de 17,3x et le P/B de 3,64x indiquent une légère surévaluation par rapport aux standards du marché BRVM, bien que l'EV/EBITDA de 10,1x reste modéré. **Le comportement du cours (Partie 1)** montre une tendance haussière fragile (+1,78% sur 100 jours) avec une volatilité élevée (37,7%) et une asymétrie positive (skewness de 0,552), ce qui suggère un potentiel de rebond mais aussi un risque de correction. **Les signaux techniques (Partie 2)** sont mitigés, avec une majorité de décisions Neutres et une divergence entre la Vente des moyennes mobiles et l'Achat marginal du MACD, plaidant pour une certaine prudence à court terme. **Les fondamentaux (Partie 3)** demeurent solides, avec un ROE de 21,05%, une structure financière saine et des perspectives de reprise en 2026 portées par la transformation digitale et les nouveaux produits. **Les prédictions IA (J+1 à J+10)** anticipent une trajectoire haussière modérée, avec un cours cible de 4 078 FCFA à l'horizon du 18 septembre 2026, confirmant le potentiel de rebond technique.</w:t>
      </w:r>
    </w:p>
    <w:p>
      <w:pPr>
        <w:spacing w:after="120" w:line="276" w:lineRule="auto"/>
      </w:pPr>
      <w:r>
        <w:t>**Recommandation finale : CONSERVER**</w:t>
        <w:br/>
        <w:t>Cette recommandation reflète la convergence entre des fondamentaux solides, une valorisation légèrement tendue, des signaux techniques neutres et des prédictions IA modérément haussières. Le niveau de confiance est **Moyen**, en raison de l'absence de catalyseurs techniques forts à court terme et des incertitudes persistantes sur l'environnement concurrentiel. Le niveau de risque global est **Moyen**, la solidité financière de la société compensant partiellement la volatilité du titre. L'horizon d'investissement optimal est le **moyen terme (3-12 mois)**, le temps que les initiatives stratégiques (déploiement de terminaux, nouveaux produits) produisent leurs effets sur la rentabilité et que le marché reconnaisse la valeur intrinsèque de LNBB.</w:t>
      </w:r>
    </w:p>
    <w:p>
      <w:pPr>
        <w:spacing w:after="120" w:line="276" w:lineRule="auto"/>
      </w:pPr>
      <w:r>
        <w:t>---</w:t>
      </w:r>
    </w:p>
    <w:p>
      <w:pPr>
        <w:spacing w:after="120" w:line="276" w:lineRule="auto"/>
      </w:pPr>
      <w:r>
        <w:t>*Disclaimer : Cette analyse est fournie à titre informatif et ne constitue pas un conseil en investissement personnalisé. Les investisseurs sont invités à consulter un professionnel avant toute décision d'investissement.*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35.11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5,061 titres</w:t>
            </w:r>
          </w:p>
        </w:tc>
        <w:tc>
          <w:tcPr>
            <w:tcW w:type="dxa" w:w="2268"/>
            <w:shd w:fill="FFF2CC" w:val="clear"/>
          </w:tcPr>
          <w:p>
            <w:r>
              <w:rPr>
                <w:b/>
                <w:color w:val="503200"/>
                <w:sz w:val="16"/>
              </w:rPr>
              <w:t xml:space="preserve">Cours actuel : </w:t>
            </w:r>
            <w:r>
              <w:rPr>
                <w:color w:val="000000"/>
                <w:sz w:val="17"/>
              </w:rPr>
              <w:t>2,750 FCFA</w:t>
            </w:r>
          </w:p>
          <w:p>
            <w:r>
              <w:rPr>
                <w:b/>
                <w:color w:val="503200"/>
                <w:sz w:val="16"/>
              </w:rPr>
              <w:t xml:space="preserve">Var. 100 jours : </w:t>
            </w:r>
            <w:r>
              <w:rPr>
                <w:b/>
                <w:color w:val="007800"/>
                <w:sz w:val="17"/>
              </w:rPr>
              <w:t>+100.73%</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16.78% (Élevée) — μ=2,182 FCFA, σ=366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β=-0.2368 (Contre-cyclique) — Cov=-0.000008, Var(idx)=0.000034, ρ=-0.039,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5,061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σ_j=3.57%/j (Modérée) — Vol. annualisée≈56.6%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2,547</w:t>
            </w:r>
          </w:p>
        </w:tc>
        <w:tc>
          <w:tcPr>
            <w:tcW w:type="dxa" w:w="1440"/>
            <w:shd w:fill="FAFAFA" w:val="clear"/>
          </w:tcPr>
          <w:p>
            <w:r>
              <w:rPr>
                <w:b/>
                <w:sz w:val="17"/>
              </w:rPr>
              <w:t>2,715</w:t>
            </w:r>
          </w:p>
        </w:tc>
        <w:tc>
          <w:tcPr>
            <w:tcW w:type="dxa" w:w="1440"/>
            <w:shd w:fill="FAFAFA" w:val="clear"/>
          </w:tcPr>
          <w:p>
            <w:r>
              <w:rPr>
                <w:sz w:val="17"/>
              </w:rPr>
              <w:t>2,883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2026-09-15</w:t>
            </w:r>
          </w:p>
        </w:tc>
        <w:tc>
          <w:tcPr>
            <w:tcW w:type="dxa" w:w="1440"/>
            <w:shd w:fill="FFDCE0" w:val="clear"/>
          </w:tcPr>
          <w:p>
            <w:r>
              <w:rPr>
                <w:sz w:val="17"/>
              </w:rPr>
              <w:t>2,436</w:t>
            </w:r>
          </w:p>
        </w:tc>
        <w:tc>
          <w:tcPr>
            <w:tcW w:type="dxa" w:w="1440"/>
            <w:shd w:fill="FFDCE0" w:val="clear"/>
          </w:tcPr>
          <w:p>
            <w:r>
              <w:rPr>
                <w:b/>
                <w:sz w:val="17"/>
              </w:rPr>
              <w:t>2,670</w:t>
            </w:r>
          </w:p>
        </w:tc>
        <w:tc>
          <w:tcPr>
            <w:tcW w:type="dxa" w:w="1440"/>
            <w:shd w:fill="FFDCE0" w:val="clear"/>
          </w:tcPr>
          <w:p>
            <w:r>
              <w:rPr>
                <w:sz w:val="17"/>
              </w:rPr>
              <w:t>2,903</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2,347</w:t>
            </w:r>
          </w:p>
        </w:tc>
        <w:tc>
          <w:tcPr>
            <w:tcW w:type="dxa" w:w="1440"/>
            <w:shd w:fill="FFDCE0" w:val="clear"/>
          </w:tcPr>
          <w:p>
            <w:r>
              <w:rPr>
                <w:b/>
                <w:sz w:val="17"/>
              </w:rPr>
              <w:t>2,629</w:t>
            </w:r>
          </w:p>
        </w:tc>
        <w:tc>
          <w:tcPr>
            <w:tcW w:type="dxa" w:w="1440"/>
            <w:shd w:fill="FFDCE0" w:val="clear"/>
          </w:tcPr>
          <w:p>
            <w:r>
              <w:rPr>
                <w:sz w:val="17"/>
              </w:rPr>
              <w:t>2,911</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2,275</w:t>
            </w:r>
          </w:p>
        </w:tc>
        <w:tc>
          <w:tcPr>
            <w:tcW w:type="dxa" w:w="1440"/>
            <w:shd w:fill="FFDCE0" w:val="clear"/>
          </w:tcPr>
          <w:p>
            <w:r>
              <w:rPr>
                <w:b/>
                <w:sz w:val="17"/>
              </w:rPr>
              <w:t>2,597</w:t>
            </w:r>
          </w:p>
        </w:tc>
        <w:tc>
          <w:tcPr>
            <w:tcW w:type="dxa" w:w="1440"/>
            <w:shd w:fill="FFDCE0" w:val="clear"/>
          </w:tcPr>
          <w:p>
            <w:r>
              <w:rPr>
                <w:sz w:val="17"/>
              </w:rPr>
              <w:t>2,918</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2,214</w:t>
            </w:r>
          </w:p>
        </w:tc>
        <w:tc>
          <w:tcPr>
            <w:tcW w:type="dxa" w:w="1440"/>
            <w:shd w:fill="FFDCE0" w:val="clear"/>
          </w:tcPr>
          <w:p>
            <w:r>
              <w:rPr>
                <w:b/>
                <w:sz w:val="17"/>
              </w:rPr>
              <w:t>2,570</w:t>
            </w:r>
          </w:p>
        </w:tc>
        <w:tc>
          <w:tcPr>
            <w:tcW w:type="dxa" w:w="1440"/>
            <w:shd w:fill="FFDCE0" w:val="clear"/>
          </w:tcPr>
          <w:p>
            <w:r>
              <w:rPr>
                <w:sz w:val="17"/>
              </w:rPr>
              <w:t>2,925</w:t>
            </w:r>
          </w:p>
        </w:tc>
        <w:tc>
          <w:tcPr>
            <w:tcW w:type="dxa" w:w="1440"/>
            <w:shd w:fill="FFDCE0" w:val="clear"/>
          </w:tcPr>
          <w:p>
            <w:r>
              <w:rPr>
                <w:b/>
                <w:color w:val="C00000"/>
                <w:sz w:val="17"/>
              </w:rPr>
              <w:t>-6.6%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2,159</w:t>
            </w:r>
          </w:p>
        </w:tc>
        <w:tc>
          <w:tcPr>
            <w:tcW w:type="dxa" w:w="1440"/>
            <w:shd w:fill="FFDCE0" w:val="clear"/>
          </w:tcPr>
          <w:p>
            <w:r>
              <w:rPr>
                <w:b/>
                <w:sz w:val="17"/>
              </w:rPr>
              <w:t>2,545</w:t>
            </w:r>
          </w:p>
        </w:tc>
        <w:tc>
          <w:tcPr>
            <w:tcW w:type="dxa" w:w="1440"/>
            <w:shd w:fill="FFDCE0" w:val="clear"/>
          </w:tcPr>
          <w:p>
            <w:r>
              <w:rPr>
                <w:sz w:val="17"/>
              </w:rPr>
              <w:t>2,931</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2,110</w:t>
            </w:r>
          </w:p>
        </w:tc>
        <w:tc>
          <w:tcPr>
            <w:tcW w:type="dxa" w:w="1440"/>
            <w:shd w:fill="FFDCE0" w:val="clear"/>
          </w:tcPr>
          <w:p>
            <w:r>
              <w:rPr>
                <w:b/>
                <w:sz w:val="17"/>
              </w:rPr>
              <w:t>2,524</w:t>
            </w:r>
          </w:p>
        </w:tc>
        <w:tc>
          <w:tcPr>
            <w:tcW w:type="dxa" w:w="1440"/>
            <w:shd w:fill="FFDCE0" w:val="clear"/>
          </w:tcPr>
          <w:p>
            <w:r>
              <w:rPr>
                <w:sz w:val="17"/>
              </w:rPr>
              <w:t>2,937</w:t>
            </w:r>
          </w:p>
        </w:tc>
        <w:tc>
          <w:tcPr>
            <w:tcW w:type="dxa" w:w="1440"/>
            <w:shd w:fill="FFDCE0" w:val="clear"/>
          </w:tcPr>
          <w:p>
            <w:r>
              <w:rPr>
                <w:b/>
                <w:color w:val="C00000"/>
                <w:sz w:val="17"/>
              </w:rPr>
              <w:t>-8.2%</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2,065</w:t>
            </w:r>
          </w:p>
        </w:tc>
        <w:tc>
          <w:tcPr>
            <w:tcW w:type="dxa" w:w="1440"/>
            <w:shd w:fill="FFDCE0" w:val="clear"/>
          </w:tcPr>
          <w:p>
            <w:r>
              <w:rPr>
                <w:b/>
                <w:sz w:val="17"/>
              </w:rPr>
              <w:t>2,504</w:t>
            </w:r>
          </w:p>
        </w:tc>
        <w:tc>
          <w:tcPr>
            <w:tcW w:type="dxa" w:w="1440"/>
            <w:shd w:fill="FFDCE0" w:val="clear"/>
          </w:tcPr>
          <w:p>
            <w:r>
              <w:rPr>
                <w:sz w:val="17"/>
              </w:rPr>
              <w:t>2,942</w:t>
            </w:r>
          </w:p>
        </w:tc>
        <w:tc>
          <w:tcPr>
            <w:tcW w:type="dxa" w:w="1440"/>
            <w:shd w:fill="FFDCE0" w:val="clear"/>
          </w:tcPr>
          <w:p>
            <w:r>
              <w:rPr>
                <w:b/>
                <w:color w:val="C00000"/>
                <w:sz w:val="17"/>
              </w:rPr>
              <w:t>-9.0%</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2,024</w:t>
            </w:r>
          </w:p>
        </w:tc>
        <w:tc>
          <w:tcPr>
            <w:tcW w:type="dxa" w:w="1440"/>
            <w:shd w:fill="FFDCE0" w:val="clear"/>
          </w:tcPr>
          <w:p>
            <w:r>
              <w:rPr>
                <w:b/>
                <w:sz w:val="17"/>
              </w:rPr>
              <w:t>2,485</w:t>
            </w:r>
          </w:p>
        </w:tc>
        <w:tc>
          <w:tcPr>
            <w:tcW w:type="dxa" w:w="1440"/>
            <w:shd w:fill="FFDCE0" w:val="clear"/>
          </w:tcPr>
          <w:p>
            <w:r>
              <w:rPr>
                <w:sz w:val="17"/>
              </w:rPr>
              <w:t>2,947</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1,985</w:t>
            </w:r>
          </w:p>
        </w:tc>
        <w:tc>
          <w:tcPr>
            <w:tcW w:type="dxa" w:w="1440"/>
            <w:shd w:fill="FFDCE0" w:val="clear"/>
          </w:tcPr>
          <w:p>
            <w:r>
              <w:rPr>
                <w:b/>
                <w:sz w:val="17"/>
              </w:rPr>
              <w:t>2,468</w:t>
            </w:r>
          </w:p>
        </w:tc>
        <w:tc>
          <w:tcPr>
            <w:tcW w:type="dxa" w:w="1440"/>
            <w:shd w:fill="FFDCE0" w:val="clear"/>
          </w:tcPr>
          <w:p>
            <w:r>
              <w:rPr>
                <w:sz w:val="17"/>
              </w:rPr>
              <w:t>2,951</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35,11 milliards FCFA, NEIC se positionne comme une valeur de taille moyenne sur le marché BRVM, ce qui reste significatif pour une société d'édition-diffusion dont le capital social n'est que de 255,32 millions FCFA. Le BPA de 160 FCFA/action indique que chaque titre génère 160 FCFA de bénéfice net, un niveau appréciable qui traduit la forte rentabilité de l'exercice 2025. Le PER de 17,2x situe le titre nettement au-dessus de la moyenne BRVM (8-12x), signalant que les investisseurs paient une prime de croissance significative par rapport aux bénéfices — cette prime se justifie partiellement par l'explosion du résultat net (+169% en 2025) mais devient risquée si la dynamique s'essouffle. Le P/B de 6,10x traduit une valorisation très exigeante (plus de 6 fois la valeur comptable), tandis que l'EV/EBITDA de 26,0x — très supérieur au seuil de 15x — confirme que le marché intègre déjà une forte anticipation de croissance opérationnelle, laissant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NEIC affiche une performance spectaculaire de +100,73%, le cours passant de 1 370 FCFA (plus bas) à 2 750 FCFA actuellement, après avoir culminé à 3 000 FCFA — soit un doublement quasi intégral qui témoigne d'un engouement marqué des investisseurs. Toutefois, la dernière séance enregistre un repli de -2,65%, premier signe de prise de bénéfices après cette ascension verticale. La moyenne (2 182 FCFA) et la médiane (2 198 FCFA) sont quasi confondues, confirmant une distribution équilibrée sans biais directionnel majeur, ce que corrobore un skewness de 0,302 (distribution symétrique). L'écart-type de 368 FCFA avec un coefficient de variation de 16,9% indique une dispersion modérée autour de la moyenne, tandis que le kurtosis de 0,462 (mésokurtique) suggère un comportement proche d'une loi normale, sans risque extrême de pics erratiques. La volatilité annualisée de 56,6% classe toutefois le titre dans la catégorie des valeurs très volatiles (&gt;30%), ce qui implique un risque de correction amplifiée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(2 674,75 FCFA) et la MM50 (2 403,70 FCFA) se situent toutes deux sous le cours actuel (2 750 FCFA), avec une MM20 supérieure à la MM50 — configuration haussière classique en « golden cross ». Cette disposition confirme la tendance positive de fond et justifie la décision d'**Achat**.</w:t>
      </w:r>
    </w:p>
    <w:p>
      <w:pPr>
        <w:spacing w:after="120" w:line="276" w:lineRule="auto"/>
      </w:pPr>
      <w:r>
        <w:t>**Bandes de Bollinger** : Le cours (2 750 FCFA) évolue dans la partie supérieure du canal, entre la borne inférieure (2 032,99 FCFA) et la borne supérieure (3 316,51 FCFA), sans franchissement des limites. Cette position médiane-haute traduit une volatilité contenue et une absence de signal extrême, d'où la décision **Neutre**.</w:t>
      </w:r>
    </w:p>
    <w:p>
      <w:pPr>
        <w:spacing w:after="120" w:line="276" w:lineRule="auto"/>
      </w:pPr>
      <w:r>
        <w:t>**MACD** : La valeur du MACD (141,56) est inférieure à son signal (161,31), générant un croisement baissier qui indique un essoufflement du momentum haussier. Cette divergence négative, bien que modérée, justifie la décision de **Vente** à court terme.</w:t>
      </w:r>
    </w:p>
    <w:p>
      <w:pPr>
        <w:spacing w:after="120" w:line="276" w:lineRule="auto"/>
      </w:pPr>
      <w:r>
        <w:t>**RSI** : À 63,89, l'indicateur reste dans la zone neutre (30-70) tout en s'approchant du seuil de surachat (70), signalant une dynamique positive mais sans excès. La décision est donc **Neutre**, avec vigilance sur un éventuel franchissement à la hausse.</w:t>
      </w:r>
    </w:p>
    <w:p>
      <w:pPr>
        <w:spacing w:after="120" w:line="276" w:lineRule="auto"/>
      </w:pPr>
      <w:r>
        <w:t>**Stochastique** : Le %K (50,0) est légèrement inférieur au %D (54,64), configuration baissière mineure indiquant l'absence de momentum directionnel fort. La décision **Neutre** reflète cette indécision du marché.</w:t>
      </w:r>
    </w:p>
    <w:p>
      <w:pPr>
        <w:spacing w:after="120" w:line="276" w:lineRule="auto"/>
      </w:pPr>
      <w:r>
        <w:t>**Conclusion technique** : Les indicateurs présentent un tableau mitigé — la tendance de fond reste haussière (MM en golden cross), mais les signaux de momentum (MACD baissier, stochastique en repli) suggèrent un essoufflement à court terme. Le RSI et les Bollinger en zone neutre confirment l'absence de signal extrême, invitant à la prudence après le doublement du cours.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(source : brvm_donnees_financieres) révèlent une société en pleine transformation : le chiffre d'affaires s'établit à 5,139 milliards FCFA, le résultat net à 2,037 milliards FCFA, avec un ROE exceptionnel de 35,39% et un ROA de 27,25% — des niveaux de rentabilité remarquables qui expliquent la prime boursière. La structure financière est très saine : autonomie financière de 77,01%, liquidité générale de 448,86% et trésorerie nette de 4,196 milliards FCFA. Toutefois, deux points d'alerte émergent : le taux de croissance du CA est négatif (-23,80%), et le délai clients de 154,72 jours constitue un risque de trésorerie significatif, bien que compensé par un BFR maîtrisé et un fonds de roulement de 5,693 milliards FCFA. Le rapport annuel 2025 (publié en 2025) confirme cette dynamique avec un résultat net de 2,04 milliards FCFA (+169%) et un dividende généreux de 2,04 milliards FCFA (100% du résultat), mais cette distribution intégrale limite la capacité d'autofinancement future. Le rapport T3 2025 (daté du 30/09/2025) nuance toutefois cette performance : le CA trimestriel chute de 35% à 3 406 millions FCFA, et le bénéfice net de 1 596 millions FCFA provient essentiellement d'une reprise de provision fiscale non récurrente — la performance opérationnelle sous-jacente est donc en retrait. Le rapport T1 2026 (publié en 2026) montre une amélioration encourageante : le CA double (+137% à 115,1 millions FCFA) et la perte nette se réduit à -168,9 millions FCFA (contre -189,9 millions en 2025), mais l'activité reste structurellement déficitaire au premier trimestre. **On estime** que l'exercice 2026 pourrait bénéficier de cette dynamique de redressement, mais la dépendance aux contrats publics saisonniers et l'absence de visibilité sur la rentabilité opérationnelle récurrente incitent à la prudence. La solidité du bilan et la générosité du dividende constituent des atouts majeurs, mais la durabilité de la performance 2025 — dopée par des éléments non récurrents — reste la question centrale.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exigeante : PER de 17,2x, P/B de 6,10x et EV/EBITDA de 26,0x intègrent déjà une forte anticipation de croissance, laissant peu de marge en cas de déception. Le comportement du cours (Partie 1) est spectaculaire (+100,73%) mais la volatilité annualisée de 56,6% et le repli récent de -2,65% signalent un risque de correction, bien que la distribution symétrique (skewness 0,302) et l'absence de pics extrêmes (kurtosis 0,462) tempèrent ce risque. Les signaux techniques (Partie 2) sont divergents : tendance de fond haussière (MM en golden cross) mais momentum baissier (MACD sous son signal), invitant à la prudence à court terme. Les fondamentaux (Partie 3) sont solides — ROE de 35,39%, trésorerie de 4,196 milliards FCFA, dividende généreux — mais la baisse du CA (-23,80%) et la nature non récurrente du bénéfice 2025 constituent des risques majeurs, tandis que le T1 2026 montre un redressement encourageant mais encore fragile. Les prédictions IA (J+1 à J+10) anticipent une trajectoire baissière progressive de 2 715 à 2 570 FCFA, confirmant l'essoufflement technique et le besoin de consolidation après le doublement. **Recommandation finale : CONSERVER** — la convergence entre valorisation exigeante, momentum baissier à court terme et fondamentaux solides mais à surveiller justifie une position attentiste. Le niveau de confiance est **Moyen** (données 2025 exceptionnelles mais non récurrentes, visibilité limitée sur 2026) et le risque global est **Élevé** (volatilité 56,6%, valorisation tendue). L'horizon optimal est le **moyen terme (3-12 mois)**, en attendant la confirmation du redressement opérationnel sur les prochains trimestres avant d'envisager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603.52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2,476 titres</w:t>
            </w:r>
          </w:p>
        </w:tc>
        <w:tc>
          <w:tcPr>
            <w:tcW w:type="dxa" w:w="2268"/>
            <w:shd w:fill="FFF2CC" w:val="clear"/>
          </w:tcPr>
          <w:p>
            <w:r>
              <w:rPr>
                <w:b/>
                <w:color w:val="503200"/>
                <w:sz w:val="16"/>
              </w:rPr>
              <w:t xml:space="preserve">Cours actuel : </w:t>
            </w:r>
            <w:r>
              <w:rPr>
                <w:color w:val="000000"/>
                <w:sz w:val="17"/>
              </w:rPr>
              <w:t>24,400 FCFA</w:t>
            </w:r>
          </w:p>
          <w:p>
            <w:r>
              <w:rPr>
                <w:b/>
                <w:color w:val="503200"/>
                <w:sz w:val="16"/>
              </w:rPr>
              <w:t xml:space="preserve">Var. 100 jours : </w:t>
            </w:r>
            <w:r>
              <w:rPr>
                <w:b/>
                <w:color w:val="007800"/>
                <w:sz w:val="17"/>
              </w:rPr>
              <w:t>+73.67%</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29.5/100 → Moyen</w:t>
      </w:r>
    </w:p>
    <w:p>
      <w:pPr>
        <w:spacing w:before="40" w:after="80"/>
      </w:pPr>
      <w:r>
        <w:rPr>
          <w:rFonts w:ascii="Courier New" w:hAnsi="Courier New"/>
          <w:color w:val="825A00"/>
          <w:sz w:val="18"/>
        </w:rPr>
        <w:t>█████░░░░░░░░░░░░░░░  29.5/100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17.42% (Élevée) — μ=19,910 FCFA, σ=3,468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β=1.3292 (Agressif) — Cov=0.000046, Var(idx)=0.000034, ρ=0.312,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σ_j=2.50%/j (Stable) — Vol. annualisée≈39.6%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23,601</w:t>
            </w:r>
          </w:p>
        </w:tc>
        <w:tc>
          <w:tcPr>
            <w:tcW w:type="dxa" w:w="1440"/>
            <w:shd w:fill="FAFAFA" w:val="clear"/>
          </w:tcPr>
          <w:p>
            <w:r>
              <w:rPr>
                <w:b/>
                <w:sz w:val="17"/>
              </w:rPr>
              <w:t>24,292</w:t>
            </w:r>
          </w:p>
        </w:tc>
        <w:tc>
          <w:tcPr>
            <w:tcW w:type="dxa" w:w="1440"/>
            <w:shd w:fill="FAFAFA" w:val="clear"/>
          </w:tcPr>
          <w:p>
            <w:r>
              <w:rPr>
                <w:sz w:val="17"/>
              </w:rPr>
              <w:t>24,984</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23,293</w:t>
            </w:r>
          </w:p>
        </w:tc>
        <w:tc>
          <w:tcPr>
            <w:tcW w:type="dxa" w:w="1440"/>
            <w:shd w:fill="FAFAFA" w:val="clear"/>
          </w:tcPr>
          <w:p>
            <w:r>
              <w:rPr>
                <w:b/>
                <w:sz w:val="17"/>
              </w:rPr>
              <w:t>24,270</w:t>
            </w:r>
          </w:p>
        </w:tc>
        <w:tc>
          <w:tcPr>
            <w:tcW w:type="dxa" w:w="1440"/>
            <w:shd w:fill="FAFAFA" w:val="clear"/>
          </w:tcPr>
          <w:p>
            <w:r>
              <w:rPr>
                <w:sz w:val="17"/>
              </w:rPr>
              <w:t>25,247</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23,053</w:t>
            </w:r>
          </w:p>
        </w:tc>
        <w:tc>
          <w:tcPr>
            <w:tcW w:type="dxa" w:w="1440"/>
            <w:shd w:fill="FAFAFA" w:val="clear"/>
          </w:tcPr>
          <w:p>
            <w:r>
              <w:rPr>
                <w:b/>
                <w:sz w:val="17"/>
              </w:rPr>
              <w:t>24,249</w:t>
            </w:r>
          </w:p>
        </w:tc>
        <w:tc>
          <w:tcPr>
            <w:tcW w:type="dxa" w:w="1440"/>
            <w:shd w:fill="FAFAFA" w:val="clear"/>
          </w:tcPr>
          <w:p>
            <w:r>
              <w:rPr>
                <w:sz w:val="17"/>
              </w:rPr>
              <w:t>25,445</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22,857</w:t>
            </w:r>
          </w:p>
        </w:tc>
        <w:tc>
          <w:tcPr>
            <w:tcW w:type="dxa" w:w="1440"/>
            <w:shd w:fill="FAFAFA" w:val="clear"/>
          </w:tcPr>
          <w:p>
            <w:r>
              <w:rPr>
                <w:b/>
                <w:sz w:val="17"/>
              </w:rPr>
              <w:t>24,237</w:t>
            </w:r>
          </w:p>
        </w:tc>
        <w:tc>
          <w:tcPr>
            <w:tcW w:type="dxa" w:w="1440"/>
            <w:shd w:fill="FAFAFA" w:val="clear"/>
          </w:tcPr>
          <w:p>
            <w:r>
              <w:rPr>
                <w:sz w:val="17"/>
              </w:rPr>
              <w:t>25,617</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22,685</w:t>
            </w:r>
          </w:p>
        </w:tc>
        <w:tc>
          <w:tcPr>
            <w:tcW w:type="dxa" w:w="1440"/>
            <w:shd w:fill="FAFAFA" w:val="clear"/>
          </w:tcPr>
          <w:p>
            <w:r>
              <w:rPr>
                <w:b/>
                <w:sz w:val="17"/>
              </w:rPr>
              <w:t>24,227</w:t>
            </w:r>
          </w:p>
        </w:tc>
        <w:tc>
          <w:tcPr>
            <w:tcW w:type="dxa" w:w="1440"/>
            <w:shd w:fill="FAFAFA" w:val="clear"/>
          </w:tcPr>
          <w:p>
            <w:r>
              <w:rPr>
                <w:sz w:val="17"/>
              </w:rPr>
              <w:t>25,770</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22,530</w:t>
            </w:r>
          </w:p>
        </w:tc>
        <w:tc>
          <w:tcPr>
            <w:tcW w:type="dxa" w:w="1440"/>
            <w:shd w:fill="FAFAFA" w:val="clear"/>
          </w:tcPr>
          <w:p>
            <w:r>
              <w:rPr>
                <w:b/>
                <w:sz w:val="17"/>
              </w:rPr>
              <w:t>24,219</w:t>
            </w:r>
          </w:p>
        </w:tc>
        <w:tc>
          <w:tcPr>
            <w:tcW w:type="dxa" w:w="1440"/>
            <w:shd w:fill="FAFAFA" w:val="clear"/>
          </w:tcPr>
          <w:p>
            <w:r>
              <w:rPr>
                <w:sz w:val="17"/>
              </w:rPr>
              <w:t>25,908</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22,389</w:t>
            </w:r>
          </w:p>
        </w:tc>
        <w:tc>
          <w:tcPr>
            <w:tcW w:type="dxa" w:w="1440"/>
            <w:shd w:fill="FAFAFA" w:val="clear"/>
          </w:tcPr>
          <w:p>
            <w:r>
              <w:rPr>
                <w:b/>
                <w:sz w:val="17"/>
              </w:rPr>
              <w:t>24,212</w:t>
            </w:r>
          </w:p>
        </w:tc>
        <w:tc>
          <w:tcPr>
            <w:tcW w:type="dxa" w:w="1440"/>
            <w:shd w:fill="FAFAFA" w:val="clear"/>
          </w:tcPr>
          <w:p>
            <w:r>
              <w:rPr>
                <w:sz w:val="17"/>
              </w:rPr>
              <w:t>26,036</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22,257</w:t>
            </w:r>
          </w:p>
        </w:tc>
        <w:tc>
          <w:tcPr>
            <w:tcW w:type="dxa" w:w="1440"/>
            <w:shd w:fill="FAFAFA" w:val="clear"/>
          </w:tcPr>
          <w:p>
            <w:r>
              <w:rPr>
                <w:b/>
                <w:sz w:val="17"/>
              </w:rPr>
              <w:t>24,206</w:t>
            </w:r>
          </w:p>
        </w:tc>
        <w:tc>
          <w:tcPr>
            <w:tcW w:type="dxa" w:w="1440"/>
            <w:shd w:fill="FAFAFA" w:val="clear"/>
          </w:tcPr>
          <w:p>
            <w:r>
              <w:rPr>
                <w:sz w:val="17"/>
              </w:rPr>
              <w:t>26,155</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22,134</w:t>
            </w:r>
          </w:p>
        </w:tc>
        <w:tc>
          <w:tcPr>
            <w:tcW w:type="dxa" w:w="1440"/>
            <w:shd w:fill="FAFAFA" w:val="clear"/>
          </w:tcPr>
          <w:p>
            <w:r>
              <w:rPr>
                <w:b/>
                <w:sz w:val="17"/>
              </w:rPr>
              <w:t>24,201</w:t>
            </w:r>
          </w:p>
        </w:tc>
        <w:tc>
          <w:tcPr>
            <w:tcW w:type="dxa" w:w="1440"/>
            <w:shd w:fill="FAFAFA" w:val="clear"/>
          </w:tcPr>
          <w:p>
            <w:r>
              <w:rPr>
                <w:sz w:val="17"/>
              </w:rPr>
              <w:t>26,268</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22,017</w:t>
            </w:r>
          </w:p>
        </w:tc>
        <w:tc>
          <w:tcPr>
            <w:tcW w:type="dxa" w:w="1440"/>
            <w:shd w:fill="FAFAFA" w:val="clear"/>
          </w:tcPr>
          <w:p>
            <w:r>
              <w:rPr>
                <w:b/>
                <w:sz w:val="17"/>
              </w:rPr>
              <w:t>24,195</w:t>
            </w:r>
          </w:p>
        </w:tc>
        <w:tc>
          <w:tcPr>
            <w:tcW w:type="dxa" w:w="1440"/>
            <w:shd w:fill="FAFAFA" w:val="clear"/>
          </w:tcPr>
          <w:p>
            <w:r>
              <w:rPr>
                <w:sz w:val="17"/>
              </w:rPr>
              <w:t>26,374</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603,52 milliards FCFA, NSBC s'impose comme l'une des toutes premières capitalisations de la BRVM, un statut de valeur de premier plan qui lui confère une liquidité relative et une visibilité institutionnelle supérieures à la moyenne du marché. Le BPA de 1 646 FCFA/action traduit une capacité bénéficiaire solide, chaque titre générant près de 1 650 FCFA de profit net. Le PER de 14,8x situe le titre légèrement au-dessus de la fourchette moyenne du marché BRVM (8-12x), ce qui traduit une prime de qualité justifiée par la régularité des résultats et la solidité du bilan, sans pour autant basculer dans une zone de surévaluation spéculative. Le P/B de 2,59x indique que le marché valorise la banque à environ 2,6 fois sa valeur comptable, une prime de croissance cohérente avec un ROE de 17,45% (largement supérieur au coût des fonds propres). En revanche, l'EV/EBITDA de 22,1x apparaît très exigeant (&gt;15x), signalant que la valeur d'entreprise intègre déjà une part importante d'anticipations de croissance future — un niveau qui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 enregistré une progression spectaculaire de +73,67%, portée par la dernière séance (+1,67%), ce qui témoigne d'un momentum haussier toujours intact à l'instant de l'analyse. Le cours actuel de 24 400 FCFA évolue dans un range très large, entre un plus bas de 13 810 FCFA et un plus haut de 24 885 FCFA — le titre évoluant actuellement à seulement 2% de son sommet, ce qui confirme la vigueur de la tendance haussière. Les statistiques descriptives révèlent une moyenne de 19 910 FCFA très proche de la médiane (19 992 FCFA), signe d'une distribution globalement équilibrée, tandis que le mode à 13 900 FCFA rappelle que le titre a longtemps stagné sur des niveaux bas avant son envolée. L'écart-type de 3 486 FCFA (CV = 17,5%) traduit une dispersion modérée du cours autour de sa moyenne, et le kurtosis de -0,972 (mésokurtique) indique une distribution proche de la normale, sans risque majeur de pics extrêmes. Le skewness négatif de -0,541 signale toutefois une asymétrie avec davantage de journées de hausse au-dessus de la moyenne, confirmant le biais haussier. La volatilité annualisée de 39,6% classe le titre dans la catégorie des valeurs à volatilité élevée (&gt;30%), ce qui est cohérent avec un mouvement de +73% sur 100 jours et impose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(23 295,5 FCFA) et la MM50 (22 830,4 FCFA) se situent toutes deux sous le cours actuel (24 400 FCFA), avec une MM20 au-dessus de la MM50 — configuration haussière classique en « golden cross ». Le cours évoluant au-dessus de ses deux moyennes, la décision technique est logiquement à l'**Achat**, confirmant la solidité de la tendance de fond.</w:t>
      </w:r>
    </w:p>
    <w:p>
      <w:pPr>
        <w:spacing w:after="120" w:line="276" w:lineRule="auto"/>
      </w:pPr>
      <w:r>
        <w:t>**Bandes de Bollinger** : Le cours (24 400 FCFA) évolue dans la partie haute du canal, proche de la borne supérieure (24 734,85 FCFA) et très éloigné de la borne inférieure (21 856,15 FCFA). Cette position reflète une pression acheteuse soutenue, mais la décision reste **Neutre** car le titre n'a pas encore franchi la borne supérieure — un franchissement signalerait une accélération, tandis qu'un rejet pourrait amorcer une consolidation.</w:t>
      </w:r>
    </w:p>
    <w:p>
      <w:pPr>
        <w:spacing w:after="120" w:line="276" w:lineRule="auto"/>
      </w:pPr>
      <w:r>
        <w:t>**MACD** : La ligne MACD (421,90) surpasse nettement son signal (306,80), avec un histogramme positif et élargi, traduisant un momentum haussier robuste et une accélération de la dynamique. La décision est à l'**Achat**, le croisement haussier étant confirmé et durable.</w:t>
      </w:r>
    </w:p>
    <w:p>
      <w:pPr>
        <w:spacing w:after="120" w:line="276" w:lineRule="auto"/>
      </w:pPr>
      <w:r>
        <w:t>**RSI** : À 68,03, le RSI se situe juste en dessous du seuil de surachat (70), en zone neutre haute. Le titre conserve un potentiel de progression sans être encore techniquement « surchauffé », ce qui justifie une décision **Neutre** avec un biais haussier — une prudence s'impose néanmoins à l'approche des 70.</w:t>
      </w:r>
    </w:p>
    <w:p>
      <w:pPr>
        <w:spacing w:after="120" w:line="276" w:lineRule="auto"/>
      </w:pPr>
      <w:r>
        <w:t>**Stochastique** : Le %K (79,67) est supérieur au %D (74,77), en zone haute mais sans franchissement du seuil de surachat extrême (80). La décision **Neutre** reflète un momentum positif mais proche de l'essoufflement, nécessitant une surveillance du croisement éventuel des deux lignes.</w:t>
      </w:r>
    </w:p>
    <w:p>
      <w:pPr>
        <w:spacing w:after="120" w:line="276" w:lineRule="auto"/>
      </w:pPr>
      <w:r>
        <w:t>**Conclusion technique** : Les indicateurs convergent majoritairement vers un biais haussier (MM et MACD à l'achat), mais les oscillateurs (RSI, Stochastique, Bollinger) affichent une décision neutre en zone haute, signalant un essoufflement possible à court terme. Le titre reste techniquement solide tant qu'il se maintient au-dessus de la MM20 (23 295 FCFA), mais une consolidation ou une prise de profit n'est pas à exclure après un gain de +73% en 100 jours.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NSIA Banque CI affiche un Produit Net Bancaire (équivalent du chiffre d'affaires pour une banque) de 112,928 milliards FCFA en 2025, en croissance de +15,45% sur un an, portée par une marge d'intérêts de 133,718 milliards FCFA (+26%) et des commissions nettes de 19,885 milliards FCFA. Le résultat net s'établit à 40,712 milliards FCFA, avec une marge nette remarquable de 36,05% et un ROE de 17,45% — largement supérieur au seuil d'excellence de 15% — tandis que le ROA ressort à 1,32%, niveau standard pour une banque. Le coefficient d'exploitation de 54,59% (&lt;60%) confirme l'efficacité opérationnelle de la banque, et le ratio dépôts/créances (2 242,2 Mds de dépôts clientèle contre 1 818,7 Mds de créances) traduit une transformation saine et une solide base de ressources. Le coût du risque de 7,54% reste toutefois un point de vigilance, ayant bondi de +0,6 Md (reprise) en 2024 à -8,5 Mds (dotation) en 2025, ce qui a pesé sur la progression du résultat net (+7% seulement contre +15% pour le PNB). Le total bilan progresse de +22% à 3 073 Mds FCFA, avec une collecte clientèle en hausse de +32%, signe d'une dynamique commerciale exceptionnelle.</w:t>
      </w:r>
    </w:p>
    <w:p>
      <w:pPr>
        <w:spacing w:after="120" w:line="276" w:lineRule="auto"/>
      </w:pPr>
      <w:r>
        <w:t>**Estimations basées sur les rapports trimestriels** : Le rapport du T1 2026 (publié le 31/03/2026) révèle une accélération spectaculaire avec un PNB de 28,615 Mds FCFA (+28%) et un résultat net de 10,912 Mds FCFA (+53%), la marge nette atteignant 38,1%. Sur cette base, on peut estimer que l'exercice 2026 devrait enregistrer un résultat net annuel compris entre 45 et 48 Mds FCFA, soit une croissance de 10 à 18% par rapport à 2025, sous réserve que le coût du risque reste maîtrisé. Le rapport annuel 2025 (analysé le 13/05/2026) confirme la solidité du modèle, tandis que les rapports antérieurs (T3 2025, S1 2025, T1 2025) montrent une trajectoire de croissance régulière et cohérente. La recommandation fondamentale est donc **solide** : la banque combine croissance du PNB, efficacité opérationnelle, rentabilité élevée et base de dépôts robuste, avec pour principal risque la dégradation du coût du risque et la dépendance croissante aux revenus « titres » (volatils).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converge vers un profil d'investissement **favorable mais exigeant**. Sur le plan de la **valorisation (Partie 0)**, le PER de 14,8x et le P/B de 2,59x traduisent une prime de qualité justifiée par un ROE de 17,45%, mais l'EV/EBITDA de 22,1x laisse peu de marge d'erreur. Le **comportement du cours (Partie 1)** est nettement haussier (+73,67% sur 100 jours), avec une volatilité élevée (39,6%) et un skewness négatif confirmant le biais acheteur, mais le titre évolue à 2% de son plus haut — un niveau qui expose à un risque de correction. Les **signaux techniques (Partie 2)** sont majoritairement haussiers (MM et MACD à l'achat) mais les oscillateurs en zone haute (RSI 68, Stochastique 79,7) appellent à la prudence. Les **fondamentaux (Partie 3)** demeurent solides : PNB de 112,9 Mds (+15,45%), résultat net de 40,7 Mds, ROE de 17,45%, coefficient d'exploitation de 54,6%, et un T1 2026 exceptionnel (+53% de résultat net) qui laisse présager une année 2026 robuste. Les **prédictions IA (J+1 à J+10)** anticipent une légère consolidation (24 292 → 24 227 FCFA), ce qui contredit marginalement le momentum actuel mais reste cohérent avec un essoufflement technique de court terme.</w:t>
      </w:r>
    </w:p>
    <w:p>
      <w:pPr>
        <w:spacing w:after="120" w:line="276" w:lineRule="auto"/>
      </w:pPr>
      <w:r>
        <w:t>**Recommandation finale : CONSERVER** (avec biais haussier pour les investisseurs déjà positionnés). La convergence entre fondamentaux solides, technique haussière et valorisation raisonnable justifie le maintien en portefeuille, mais le niveau élevé du cours (proche du sommet), la volatilité de 39,6% et les prédictions IA de consolidation à court terme incitent à la prudence pour tout nouvel achat massif. **Niveau de confiance : Moyen à Élevé** — la solidité fondamentale est incontestable, mais le timing d'entrée est moins favorable après +73% de hausse. **Niveau de risque global : Moyen à Élevé** (volatilité importante, coût du risque en hausse, dépendance aux revenus titres). **Horizon d'investissement optimal : moyen à long terme (6 à 18 mois)**, afin de laisser la banque confirmer la durabilité de sa croissance et d'absorber une éventuelle consolidation technique. Un renforcement pourra être envisagé sur repli vers la MM20 (23 295 FCFA) ou la borne inférieure de Bollinger (21 856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1,658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+40.83%</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13.31% (Moyenne) — μ=14,935 FCFA, σ=1,988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β=-0.0440 (Contre-cyclique) — Cov=-0.000002, Var(idx)=0.000034, ρ=-0.010,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16,177</w:t>
            </w:r>
          </w:p>
        </w:tc>
        <w:tc>
          <w:tcPr>
            <w:tcW w:type="dxa" w:w="1440"/>
            <w:shd w:fill="FAFAFA" w:val="clear"/>
          </w:tcPr>
          <w:p>
            <w:r>
              <w:rPr>
                <w:b/>
                <w:sz w:val="17"/>
              </w:rPr>
              <w:t>16,881</w:t>
            </w:r>
          </w:p>
        </w:tc>
        <w:tc>
          <w:tcPr>
            <w:tcW w:type="dxa" w:w="1440"/>
            <w:shd w:fill="FAFAFA" w:val="clear"/>
          </w:tcPr>
          <w:p>
            <w:r>
              <w:rPr>
                <w:sz w:val="17"/>
              </w:rPr>
              <w:t>17,585</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15,872</w:t>
            </w:r>
          </w:p>
        </w:tc>
        <w:tc>
          <w:tcPr>
            <w:tcW w:type="dxa" w:w="1440"/>
            <w:shd w:fill="FAFAFA" w:val="clear"/>
          </w:tcPr>
          <w:p>
            <w:r>
              <w:rPr>
                <w:b/>
                <w:sz w:val="17"/>
              </w:rPr>
              <w:t>16,867</w:t>
            </w:r>
          </w:p>
        </w:tc>
        <w:tc>
          <w:tcPr>
            <w:tcW w:type="dxa" w:w="1440"/>
            <w:shd w:fill="FAFAFA" w:val="clear"/>
          </w:tcPr>
          <w:p>
            <w:r>
              <w:rPr>
                <w:sz w:val="17"/>
              </w:rPr>
              <w:t>17,862</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15,642</w:t>
            </w:r>
          </w:p>
        </w:tc>
        <w:tc>
          <w:tcPr>
            <w:tcW w:type="dxa" w:w="1440"/>
            <w:shd w:fill="FAFAFA" w:val="clear"/>
          </w:tcPr>
          <w:p>
            <w:r>
              <w:rPr>
                <w:b/>
                <w:sz w:val="17"/>
              </w:rPr>
              <w:t>16,860</w:t>
            </w:r>
          </w:p>
        </w:tc>
        <w:tc>
          <w:tcPr>
            <w:tcW w:type="dxa" w:w="1440"/>
            <w:shd w:fill="FAFAFA" w:val="clear"/>
          </w:tcPr>
          <w:p>
            <w:r>
              <w:rPr>
                <w:sz w:val="17"/>
              </w:rPr>
              <w:t>18,078</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15,449</w:t>
            </w:r>
          </w:p>
        </w:tc>
        <w:tc>
          <w:tcPr>
            <w:tcW w:type="dxa" w:w="1440"/>
            <w:shd w:fill="FAFAFA" w:val="clear"/>
          </w:tcPr>
          <w:p>
            <w:r>
              <w:rPr>
                <w:b/>
                <w:sz w:val="17"/>
              </w:rPr>
              <w:t>16,855</w:t>
            </w:r>
          </w:p>
        </w:tc>
        <w:tc>
          <w:tcPr>
            <w:tcW w:type="dxa" w:w="1440"/>
            <w:shd w:fill="FAFAFA" w:val="clear"/>
          </w:tcPr>
          <w:p>
            <w:r>
              <w:rPr>
                <w:sz w:val="17"/>
              </w:rPr>
              <w:t>18,262</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15,279</w:t>
            </w:r>
          </w:p>
        </w:tc>
        <w:tc>
          <w:tcPr>
            <w:tcW w:type="dxa" w:w="1440"/>
            <w:shd w:fill="FAFAFA" w:val="clear"/>
          </w:tcPr>
          <w:p>
            <w:r>
              <w:rPr>
                <w:b/>
                <w:sz w:val="17"/>
              </w:rPr>
              <w:t>16,851</w:t>
            </w:r>
          </w:p>
        </w:tc>
        <w:tc>
          <w:tcPr>
            <w:tcW w:type="dxa" w:w="1440"/>
            <w:shd w:fill="FAFAFA" w:val="clear"/>
          </w:tcPr>
          <w:p>
            <w:r>
              <w:rPr>
                <w:sz w:val="17"/>
              </w:rPr>
              <w:t>18,423</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15,125</w:t>
            </w:r>
          </w:p>
        </w:tc>
        <w:tc>
          <w:tcPr>
            <w:tcW w:type="dxa" w:w="1440"/>
            <w:shd w:fill="FAFAFA" w:val="clear"/>
          </w:tcPr>
          <w:p>
            <w:r>
              <w:rPr>
                <w:b/>
                <w:sz w:val="17"/>
              </w:rPr>
              <w:t>16,846</w:t>
            </w:r>
          </w:p>
        </w:tc>
        <w:tc>
          <w:tcPr>
            <w:tcW w:type="dxa" w:w="1440"/>
            <w:shd w:fill="FAFAFA" w:val="clear"/>
          </w:tcPr>
          <w:p>
            <w:r>
              <w:rPr>
                <w:sz w:val="17"/>
              </w:rPr>
              <w:t>18,568</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14,983</w:t>
            </w:r>
          </w:p>
        </w:tc>
        <w:tc>
          <w:tcPr>
            <w:tcW w:type="dxa" w:w="1440"/>
            <w:shd w:fill="FAFAFA" w:val="clear"/>
          </w:tcPr>
          <w:p>
            <w:r>
              <w:rPr>
                <w:b/>
                <w:sz w:val="17"/>
              </w:rPr>
              <w:t>16,841</w:t>
            </w:r>
          </w:p>
        </w:tc>
        <w:tc>
          <w:tcPr>
            <w:tcW w:type="dxa" w:w="1440"/>
            <w:shd w:fill="FAFAFA" w:val="clear"/>
          </w:tcPr>
          <w:p>
            <w:r>
              <w:rPr>
                <w:sz w:val="17"/>
              </w:rPr>
              <w:t>18,700</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14,850</w:t>
            </w:r>
          </w:p>
        </w:tc>
        <w:tc>
          <w:tcPr>
            <w:tcW w:type="dxa" w:w="1440"/>
            <w:shd w:fill="FAFAFA" w:val="clear"/>
          </w:tcPr>
          <w:p>
            <w:r>
              <w:rPr>
                <w:b/>
                <w:sz w:val="17"/>
              </w:rPr>
              <w:t>16,837</w:t>
            </w:r>
          </w:p>
        </w:tc>
        <w:tc>
          <w:tcPr>
            <w:tcW w:type="dxa" w:w="1440"/>
            <w:shd w:fill="FAFAFA" w:val="clear"/>
          </w:tcPr>
          <w:p>
            <w:r>
              <w:rPr>
                <w:sz w:val="17"/>
              </w:rPr>
              <w:t>18,824</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14,726</w:t>
            </w:r>
          </w:p>
        </w:tc>
        <w:tc>
          <w:tcPr>
            <w:tcW w:type="dxa" w:w="1440"/>
            <w:shd w:fill="FAFAFA" w:val="clear"/>
          </w:tcPr>
          <w:p>
            <w:r>
              <w:rPr>
                <w:b/>
                <w:sz w:val="17"/>
              </w:rPr>
              <w:t>16,833</w:t>
            </w:r>
          </w:p>
        </w:tc>
        <w:tc>
          <w:tcPr>
            <w:tcW w:type="dxa" w:w="1440"/>
            <w:shd w:fill="FAFAFA" w:val="clear"/>
          </w:tcPr>
          <w:p>
            <w:r>
              <w:rPr>
                <w:sz w:val="17"/>
              </w:rPr>
              <w:t>18,939</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14,608</w:t>
            </w:r>
          </w:p>
        </w:tc>
        <w:tc>
          <w:tcPr>
            <w:tcW w:type="dxa" w:w="1440"/>
            <w:shd w:fill="FAFAFA" w:val="clear"/>
          </w:tcPr>
          <w:p>
            <w:r>
              <w:rPr>
                <w:b/>
                <w:sz w:val="17"/>
              </w:rPr>
              <w:t>16,828</w:t>
            </w:r>
          </w:p>
        </w:tc>
        <w:tc>
          <w:tcPr>
            <w:tcW w:type="dxa" w:w="1440"/>
            <w:shd w:fill="FAFAFA" w:val="clear"/>
          </w:tcPr>
          <w:p>
            <w:r>
              <w:rPr>
                <w:sz w:val="17"/>
              </w:rPr>
              <w:t>19,048</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Entreprise (Agroalimentaire)**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372,99 milliards FCFA, NTLC figure parmi les valeurs les plus capitalisées de la BRVM, ce qui en fait un pilier de l'indice BRVM Composite et un titre de référence pour les investisseurs institutionnels. Le BPA de 835 FCFA/action signifie que chaque action génère près de 835 FCFA de bénéfice net, un niveau confortable qui traduit la rentabilité intrinsèque de l'entreprise. Le PER de 20,2x est nettement supérieur à la moyenne du marché BRVM (8-12x), ce qui indique que les investisseurs paient une prime significative pour cette valeur, justifiée soit par des anticipations de croissance future, soit par une surévaluation relative. Le P/B de 12,61x, très au-dessus du seuil de 4x, confirme cette valorisation exigeante : le marché valorise l'entreprise à plus de 12 fois sa valeur comptable, ce qui reflète la forte intensité capitalistique du modèle Nestlé (marques, savoir-faire, position dominante) mais expose le titre à un risque de correction en cas de déception. Enfin, l'EV/EBITDA de 10,0x se situe dans la fourchette raisonnable de 5-10x, suggérant que la valeur totale de l'entreprise (dette incluse) reste cohérente avec sa capacité opérationnelle à générer des flux, ce qui tempère le diagnostic de surévaluation pure.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 enregistré une progression remarquable de +40,83%, avec une dernière séance en hausse de +1,20%, confirmant une dynamique haussière soutenue. Le cours actuel de 16 900 FCFA se situe dans la partie haute du range de trading, le plus haut ayant atteint 18 000 FCFA et le plus bas 11 150 FCFA, soit un écart de 61,5% entre les deux extrêmes — ce qui témoigne d'une volatilité intra-période significative. La tendance générale est donc clairement haussière, portée par des volumes moyens de 1 658 titres/jour, ce qui reste modeste mais cohérent avec la liquidité limitée de certaines valeurs BRVM. Les statistiques descriptives révèlent une moyenne de 14 935 FCFA contre une médiane de 15 850 FCFA : l'écart de 915 FCFA indique une distribution légèrement asymétrique à gauche, confirmée par un skewness de -0,481 (distribution symétrique tendant vers la gauche), ce qui signifie que les cours ont passé plus de temps au-dessus de la moyenne qu'en dessous. L'écart-type de 1 998 FCFA (CV = 13,4%) traduit une dispersion modérée du cours autour de sa moyenne, tandis que le kurtosis de -1,315 (platykurtique) signale une distribution aplatie avec une faible concentration des valeurs extrêmes — donc un risque de pics de volatilité moins prononcé qu'une distribution normale. La volatilité annualisée de 39,1% positionne le titre dans la catégorie des valeurs à volatilité élevée (&gt;30%), ce qui implique un risque de marché important mais aussi des opportunités de trading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16 913,75 FCFA et la MM50 à 16 631,30 FCFA, toutes deux inférieures au cours actuel de 16 900 FCFA (la MM20 est légèrement au-dessus, à 16 913,75). Le cours évolue donc au-dessus de la MM50, ce qui confirme une tendance de fond haussière, et pratiquement au niveau de la MM20, signalant une phase de consolidation. La décision technique est à l'**Achat**, car la configuration MM20 &gt; MM50 (16 913 &gt; 16 631) valide un croisement haussier, bien que le cours soit légèrement sous la MM20, ce qui appelle à la prudence à très court terme.</w:t>
      </w:r>
    </w:p>
    <w:p>
      <w:pPr>
        <w:spacing w:after="120" w:line="276" w:lineRule="auto"/>
      </w:pPr>
      <w:r>
        <w:t>**Bandes de Bollinger** : La borne supérieure est à 17 798,36 FCFA et la borne inférieure à 16 029,14 FCFA, avec un cours actuel de 16 900 FCFA qui se situe à 48% de la bande (proche du milieu). La largeur des bandes (1 769 FCFA) reflète une volatilité modérée, et le cours n'est ni en surachat ni en survente technique. La décision est **Neutre**, car le cours évolue dans la zone médiane sans signal directionnel fort, ce qui est cohérent avec la phase de consolidation observée.</w:t>
      </w:r>
    </w:p>
    <w:p>
      <w:pPr>
        <w:spacing w:after="120" w:line="276" w:lineRule="auto"/>
      </w:pPr>
      <w:r>
        <w:t>**MACD** : La valeur du MACD est de 92,705 contre un signal à 117,261, soit un MACD inférieur au signal (divergence baissière). Cela indique un essoufflement du momentum haussier, bien que le MACD reste en territoire positif. La décision est à la **Vente**, car le croisement MACD sous sa ligne de signal suggère une possible correction à court terme, même si la tendance de fond reste haussière.</w:t>
      </w:r>
    </w:p>
    <w:p>
      <w:pPr>
        <w:spacing w:after="120" w:line="276" w:lineRule="auto"/>
      </w:pPr>
      <w:r>
        <w:t>**RSI** : Le RSI s'établit à 49,184, soit exactement dans la zone neutre (30-70), ce qui signifie que le titre n'est ni suracheté ni survendu. Cette valeur médiane confirme l'absence de pression acheteuse ou vendeuse dominante et justifie une décision **Neutre**, en phase avec la consolidation actuelle du cours.</w:t>
      </w:r>
    </w:p>
    <w:p>
      <w:pPr>
        <w:spacing w:after="120" w:line="276" w:lineRule="auto"/>
      </w:pPr>
      <w:r>
        <w:t>**Stochastique** : Le %K est à 47,619 et le %D à 44,286, avec un %K légèrement supérieur au %D, ce qui pourrait préfigurer un croisement haussier si la dynamique se confirme. Cependant, les deux valeurs restent proches de 50, en zone neutre, et la décision est **Neutre**, car aucun signal clair de retournement ou de continuation n'est émis.</w:t>
      </w:r>
    </w:p>
    <w:p>
      <w:pPr>
        <w:spacing w:after="120" w:line="276" w:lineRule="auto"/>
      </w:pPr>
      <w:r>
        <w:t>**Conclusion technique** : Les indicateurs techniques sont majoritairement neutres (Bollinger, RSI, Stochastique) avec une divergence baissière sur le MACD et une configuration haussière sur les moyennes mobiles. Cette divergence suggère que le titre est en phase de consolidation après sa forte hausse de +40,83%, avec un risque de correction à court terme (MACD) mais un support solide sur la MM50 (16 631 FCFA). La prudence est de mise, et un signal d'achat ne serait validé qu'en cas de cassure de la résistance des 17 000 FCFA avec confirmation du MACD.</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Nestlé Côte d'Ivoire a réalisé un chiffre d'affaires de 233,261 milliards FCFA, en croissance de +5,97% par rapport à 2024 (220,113 milliards FCFA), portée par les ventes de produits fabriqués (+6,3%) et les ventes de marchandises (+4%). Le résultat net s'établit à 18,427 milliards FCFA, en légère hausse de +1,53% (contre 18,150 milliards en 2024), avec une marge nette de 7,90% (en baisse de 35 points de base vs 8,25% en 2024). Le ROE atteint 62,28%, un niveau exceptionnel (&gt;15% = excellent), tandis que le ROA est de 9,70%, confirmant la forte rentabilité des fonds propres malgré un actif total de 189,959 milliards FCFA. La marge opérationnelle de 16,16% et la marge brute de 29,61% témoignent d'une bonne maîtrise des coûts, mais la rotation des actifs de 122,80% indique une utilisation efficace des actifs pour générer du chiffre d'affaires.</w:t>
      </w:r>
    </w:p>
    <w:p>
      <w:pPr>
        <w:spacing w:after="120" w:line="276" w:lineRule="auto"/>
      </w:pPr>
      <w:r>
        <w:t>**Adaptation au secteur ENTREPRISE** : Le BFR s'élève à 22,625 milliards FCFA (positif, donc défavorable), et le fonds de roulement est négatif à -24,206 milliards FCFA, ce qui signale une tension sur la trésorerie. Les délais clients sont élevés à 74,30 jours (créances clients de 48,141 milliards FCFA), ce qui représente un risque de trésorerie important, tandis que la durée de stockage de 59,39 jours (stocks de 38,482 milliards FCFA) immobilise du capital. L'endettement est préoccupant : le ratio d'endettement de 135,85% (dettes totales/capitaux propres) et l'autonomie financière de seulement 15,58% (capitaux propres/total bilan) sont inférieurs aux seuils sains (&gt;30%), ce qui expose l'entreprise à un risque financier élevé. La liquidité générale de 79,86% (&lt;1) est insuffisante pour couvrir le passif circulant, et la trésorerie nette est négative à -46,831 milliards FCFA, confirmant une dépendance aux financements court terme.</w:t>
      </w:r>
    </w:p>
    <w:p>
      <w:pPr>
        <w:spacing w:after="120" w:line="276" w:lineRule="auto"/>
      </w:pPr>
      <w:r>
        <w:t>**Estimations basées sur les rapports trimestriels** : Le rapport du T1 2026 (arrêté au 31 mars 2026, analysé par DeepSeek le 1er mai 2026) révèle une accélération spectaculaire avec un chiffre d'affaires de 70,822 milliards FCFA (+31% vs T1 2025) et un résultat net de 7,526 milliards FCFA (+37%), soit une marge nette de 10,6% (en amélioration de 0,5 point vs T1 2025). Sur la base de ce rapport, on estime que l'exercice 2026 devrait enregistrer une croissance du CA de l'ordre de 15-20% (si la dynamique se maintient), avec un résultat net potentiellement supérieur à 22 milliards FCFA, ce qui ramènerait le PER à environ 17x (contre 20,2x actuellement), rendant la valorisation plus attractive. Le rapport annuel 2025 (analysé par DeepSeek le 1er mai 2026) confirme la solidité du modèle mais souligne la réduction du dividende (9,270 milliards FCFA vs 18,098 milliards en 2024, soit un payout de 50,3% contre 99,7%), une stratégie de réinvestissement qui pourrait financer la croissance future. Le rapport du T3 2025 (arrêté au 30 septembre 2025) montrait déjà une reprise avec un CA de 173,41 milliards FCFA (+1,36%) mais un résultat net en baisse de -21,3%, avant le rebond spectaculaire du T1 2026.</w:t>
      </w:r>
    </w:p>
    <w:p>
      <w:pPr>
        <w:spacing w:after="120" w:line="276" w:lineRule="auto"/>
      </w:pPr>
      <w:r>
        <w:t>**Évolution temporelle** : Entre 2023 et 2025, le CA est passé de 203,62 à 233,26 milliards FCFA (+14,6% cumulé), tandis que le résultat net progressait de 16,56 à 18,43 milliards FCFA (+11,3%). Le ROE s'est maintenu au-dessus de 50%, mais la marge nette s'est légèrement érodée (8,13% en 2023 → 7,90% en 2025), sous l'effet de la hausse des charges financières (+25,8% en 2025 à 7,957 milliards FCFA) et des impôts (+27,9% en 2024). La structure financière reste fragile avec un endettement élevé et une trésorerie nette négative, mais la génération de cash-flow opérationnel (EBE de 46,171 milliards FCFA en 2025) permet de couvrir les besoins.</w:t>
      </w:r>
    </w:p>
    <w:p>
      <w:pPr>
        <w:spacing w:after="120" w:line="276" w:lineRule="auto"/>
      </w:pPr>
      <w:r>
        <w:t>**Recommandation fondamentale** : La solidité du modèle Nestlé (marque, position dominante, croissance du CA) est indéniable, mais les risques financiers (endettement, BFR positif, trésorerie négative) et la pression sur les marges (inflation des coûts, charges financières) incitent à la prudence. La stratégie de réinvestissement (payout réduit à 50%) est prudente et pourrait générer de la croissance future, mais elle déçoit les investisseurs en quête de rendement immédiat. **Recommandation : CONSERVER**, avec un potentiel de revalorisation à moyen terme si la croissance du T1 2026 se confirme et si l'endettement est maîtrisé.</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exigeante avec un PER de 20,2x (supérieur à la moyenne BRVM de 8-12x) et un P/B de 12,61x, ce qui suggère une surévaluation relative, bien que l'EV/EBITDA de 10,0x reste raisonnable. Le comportement du cours (Partie 1) est haussier (+40,83% sur 100 jours) avec une volatilité élevée (39,1%) et une distribution platykurtique (kurtosis -1,315) indiquant un risque de pics modéré, mais le skewness négatif (-0,481) montre que le cours a tendance à stagner au-dessus de sa moyenne. Les signaux techniques (Partie 2) sont mitigés : les moyennes mobiles sont haussières (MM20 &gt; MM50), mais le MACD est baissier (divergence négative) et les autres indicateurs (RSI, Stochastique, Bollinger) sont neutres, ce qui suggère une consolidation avant une éventuelle reprise. Les fondamentaux (Partie 3) sont solides (ROE de 62,28%, CA en croissance de +5,97% en 2025) mais fragilisés par un endettement élevé (ratio de 135,85%) et une trésorerie nette négative (-46,831 milliards FCFA), avec une accélération prometteuse au T1 2026 (+31% de CA, +37% de résultat net). Les prédictions IA (J+1 à J+10) tablent sur une légère baisse du cours de 16 900 FCFA à 16 851 FCFA d'ici le 18 septembre 2026, ce qui confirme la phase de consolidation et contredit la dynamique haussière récente.</w:t>
      </w:r>
    </w:p>
    <w:p>
      <w:pPr>
        <w:spacing w:after="120" w:line="276" w:lineRule="auto"/>
      </w:pPr>
      <w:r>
        <w:t>**Recommandation finale** : **CONSERVER**. La convergence entre une valorisation exigeante (PER élevé), des signaux techniques neutres à baissiers (MACD, prédictions IA), et des fondamentaux solides mais risqués (endettement, trésorerie) ne justifie pas un achat agressif, mais la qualité de la croissance (T1 2026 exceptionnel) et la solidité du modèle Nestlé interdisent une vente. Le niveau de confiance est **Moyen**, car les indicateurs sont divergents (fondamentaux positifs vs technique baissier). Le risque global est **Moyen à Élevé**, en raison de la volatilité du titre (39,1%) et de la fragilité financière (endettement, BFR). L'horizon d'investissement optimal est le **moyen terme (3-12 mois)**, le temps que la croissance du T1 2026 se matérialise dans les résultats annuels et que la consolidation technique se termine. Un investisseur averse au risque attendra une correction vers 16 000 FCFA (borne inférieure de Bollinger) pour renforcer sa position, tandis qu'un investisseur dynamique pourra conserver sa position en surveillant le franchissement des 17 000 FCFA comme signal d'achat supplémentaire.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195.16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5,083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+5.51%</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3.03% (Faible) — μ=2,826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β=0.3759 (Défensif) — Cov=0.000013, Var(idx)=0.000034, ρ=0.115,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σ_j=1.91%/j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2,765</w:t>
            </w:r>
          </w:p>
        </w:tc>
        <w:tc>
          <w:tcPr>
            <w:tcW w:type="dxa" w:w="1440"/>
            <w:shd w:fill="FAFAFA" w:val="clear"/>
          </w:tcPr>
          <w:p>
            <w:r>
              <w:rPr>
                <w:b/>
                <w:sz w:val="17"/>
              </w:rPr>
              <w:t>2,859</w:t>
            </w:r>
          </w:p>
        </w:tc>
        <w:tc>
          <w:tcPr>
            <w:tcW w:type="dxa" w:w="1440"/>
            <w:shd w:fill="FAFAFA" w:val="clear"/>
          </w:tcPr>
          <w:p>
            <w:r>
              <w:rPr>
                <w:sz w:val="17"/>
              </w:rPr>
              <w:t>2,953</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2,721</w:t>
            </w:r>
          </w:p>
        </w:tc>
        <w:tc>
          <w:tcPr>
            <w:tcW w:type="dxa" w:w="1440"/>
            <w:shd w:fill="FAFAFA" w:val="clear"/>
          </w:tcPr>
          <w:p>
            <w:r>
              <w:rPr>
                <w:b/>
                <w:sz w:val="17"/>
              </w:rPr>
              <w:t>2,853</w:t>
            </w:r>
          </w:p>
        </w:tc>
        <w:tc>
          <w:tcPr>
            <w:tcW w:type="dxa" w:w="1440"/>
            <w:shd w:fill="FAFAFA" w:val="clear"/>
          </w:tcPr>
          <w:p>
            <w:r>
              <w:rPr>
                <w:sz w:val="17"/>
              </w:rPr>
              <w:t>2,986</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2,685</w:t>
            </w:r>
          </w:p>
        </w:tc>
        <w:tc>
          <w:tcPr>
            <w:tcW w:type="dxa" w:w="1440"/>
            <w:shd w:fill="FAFAFA" w:val="clear"/>
          </w:tcPr>
          <w:p>
            <w:r>
              <w:rPr>
                <w:b/>
                <w:sz w:val="17"/>
              </w:rPr>
              <w:t>2,847</w:t>
            </w:r>
          </w:p>
        </w:tc>
        <w:tc>
          <w:tcPr>
            <w:tcW w:type="dxa" w:w="1440"/>
            <w:shd w:fill="FAFAFA" w:val="clear"/>
          </w:tcPr>
          <w:p>
            <w:r>
              <w:rPr>
                <w:sz w:val="17"/>
              </w:rPr>
              <w:t>3,009</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2,654</w:t>
            </w:r>
          </w:p>
        </w:tc>
        <w:tc>
          <w:tcPr>
            <w:tcW w:type="dxa" w:w="1440"/>
            <w:shd w:fill="FAFAFA" w:val="clear"/>
          </w:tcPr>
          <w:p>
            <w:r>
              <w:rPr>
                <w:b/>
                <w:sz w:val="17"/>
              </w:rPr>
              <w:t>2,841</w:t>
            </w:r>
          </w:p>
        </w:tc>
        <w:tc>
          <w:tcPr>
            <w:tcW w:type="dxa" w:w="1440"/>
            <w:shd w:fill="FAFAFA" w:val="clear"/>
          </w:tcPr>
          <w:p>
            <w:r>
              <w:rPr>
                <w:sz w:val="17"/>
              </w:rPr>
              <w:t>3,027</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2,627</w:t>
            </w:r>
          </w:p>
        </w:tc>
        <w:tc>
          <w:tcPr>
            <w:tcW w:type="dxa" w:w="1440"/>
            <w:shd w:fill="FAFAFA" w:val="clear"/>
          </w:tcPr>
          <w:p>
            <w:r>
              <w:rPr>
                <w:b/>
                <w:sz w:val="17"/>
              </w:rPr>
              <w:t>2,835</w:t>
            </w:r>
          </w:p>
        </w:tc>
        <w:tc>
          <w:tcPr>
            <w:tcW w:type="dxa" w:w="1440"/>
            <w:shd w:fill="FAFAFA" w:val="clear"/>
          </w:tcPr>
          <w:p>
            <w:r>
              <w:rPr>
                <w:sz w:val="17"/>
              </w:rPr>
              <w:t>3,042</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2,601</w:t>
            </w:r>
          </w:p>
        </w:tc>
        <w:tc>
          <w:tcPr>
            <w:tcW w:type="dxa" w:w="1440"/>
            <w:shd w:fill="FAFAFA" w:val="clear"/>
          </w:tcPr>
          <w:p>
            <w:r>
              <w:rPr>
                <w:b/>
                <w:sz w:val="17"/>
              </w:rPr>
              <w:t>2,828</w:t>
            </w:r>
          </w:p>
        </w:tc>
        <w:tc>
          <w:tcPr>
            <w:tcW w:type="dxa" w:w="1440"/>
            <w:shd w:fill="FAFAFA" w:val="clear"/>
          </w:tcPr>
          <w:p>
            <w:r>
              <w:rPr>
                <w:sz w:val="17"/>
              </w:rPr>
              <w:t>3,056</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2,578</w:t>
            </w:r>
          </w:p>
        </w:tc>
        <w:tc>
          <w:tcPr>
            <w:tcW w:type="dxa" w:w="1440"/>
            <w:shd w:fill="FAFAFA" w:val="clear"/>
          </w:tcPr>
          <w:p>
            <w:r>
              <w:rPr>
                <w:b/>
                <w:sz w:val="17"/>
              </w:rPr>
              <w:t>2,823</w:t>
            </w:r>
          </w:p>
        </w:tc>
        <w:tc>
          <w:tcPr>
            <w:tcW w:type="dxa" w:w="1440"/>
            <w:shd w:fill="FAFAFA" w:val="clear"/>
          </w:tcPr>
          <w:p>
            <w:r>
              <w:rPr>
                <w:sz w:val="17"/>
              </w:rPr>
              <w:t>3,067</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2,555</w:t>
            </w:r>
          </w:p>
        </w:tc>
        <w:tc>
          <w:tcPr>
            <w:tcW w:type="dxa" w:w="1440"/>
            <w:shd w:fill="FAFAFA" w:val="clear"/>
          </w:tcPr>
          <w:p>
            <w:r>
              <w:rPr>
                <w:b/>
                <w:sz w:val="17"/>
              </w:rPr>
              <w:t>2,817</w:t>
            </w:r>
          </w:p>
        </w:tc>
        <w:tc>
          <w:tcPr>
            <w:tcW w:type="dxa" w:w="1440"/>
            <w:shd w:fill="FAFAFA" w:val="clear"/>
          </w:tcPr>
          <w:p>
            <w:r>
              <w:rPr>
                <w:sz w:val="17"/>
              </w:rPr>
              <w:t>3,078</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2,534</w:t>
            </w:r>
          </w:p>
        </w:tc>
        <w:tc>
          <w:tcPr>
            <w:tcW w:type="dxa" w:w="1440"/>
            <w:shd w:fill="FFDCE0" w:val="clear"/>
          </w:tcPr>
          <w:p>
            <w:r>
              <w:rPr>
                <w:b/>
                <w:sz w:val="17"/>
              </w:rPr>
              <w:t>2,811</w:t>
            </w:r>
          </w:p>
        </w:tc>
        <w:tc>
          <w:tcPr>
            <w:tcW w:type="dxa" w:w="1440"/>
            <w:shd w:fill="FFDCE0" w:val="clear"/>
          </w:tcPr>
          <w:p>
            <w:r>
              <w:rPr>
                <w:sz w:val="17"/>
              </w:rPr>
              <w:t>3,087</w:t>
            </w:r>
          </w:p>
        </w:tc>
        <w:tc>
          <w:tcPr>
            <w:tcW w:type="dxa" w:w="1440"/>
            <w:shd w:fill="FFDCE0" w:val="clear"/>
          </w:tcPr>
          <w:p>
            <w:r>
              <w:rPr>
                <w:b/>
                <w:color w:val="C00000"/>
                <w:sz w:val="17"/>
              </w:rPr>
              <w:t>-2.1%</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2,514</w:t>
            </w:r>
          </w:p>
        </w:tc>
        <w:tc>
          <w:tcPr>
            <w:tcW w:type="dxa" w:w="1440"/>
            <w:shd w:fill="FFDCE0" w:val="clear"/>
          </w:tcPr>
          <w:p>
            <w:r>
              <w:rPr>
                <w:b/>
                <w:sz w:val="17"/>
              </w:rPr>
              <w:t>2,805</w:t>
            </w:r>
          </w:p>
        </w:tc>
        <w:tc>
          <w:tcPr>
            <w:tcW w:type="dxa" w:w="1440"/>
            <w:shd w:fill="FFDCE0" w:val="clear"/>
          </w:tcPr>
          <w:p>
            <w:r>
              <w:rPr>
                <w:sz w:val="17"/>
              </w:rPr>
              <w:t>3,096</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Burkina Faso)**</w:t>
        <w:br/>
        <w:t>*Bourse Régionale des Valeurs Mobilières (BRVM) — Secteur : Télécommunications*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195,16 milliards FCFA, ONTBF se positionne comme une valeur de premier plan de la cote BRVM, représentant un poids significatif dans l'indice sectoriel des télécommunications aux côtés de Sonatel et MTN CI. Le BPA de 234 FCFA/action signifie que chaque titre génère près de 234 FCFA de bénéfice net, un niveau appréciable qui traduit la rentabilité intrinsèque de l'opérateur. Le PER de 12,3x se situe légèrement au-dessus de la moyenne BRVM (8-12x), ce qui indique que le marché paie une prime modérée pour les bénéfices de l'entreprise, sans exubérance manifeste. Le P/B de 3,39x traduit une valorisation nettement supérieure à la valeur comptable (57,54 Mds FCFA de capitaux propres), le marché accordant une prime de croissance justifiée par la position dominante de l'opérateur sur le FTTH et le Mobile Money. Enfin, l'EV/EBITDA de 5,1x apparaît raisonnable dans la fourchette sectorielle (5-10x), suggérant que la valeur totale de l'entreprise reste cohérente avec sa capacité opérationnelle, bien que cette lecture soit à nuancer par la compression récente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 enregistré une progression de +5,51%, clôturant à 2 870 FCFA, avec une variation nulle lors de la dernière séance (J-1 : +0,00%), signe d'une stabilisation du cours. Le range de trading s'établit entre un plus bas de 2 610 FCFA et un plus haut de 3 070 FCFA, soit une amplitude de 460 FCFA (17,6%), reflétant une tendance globalement haussière mais ponctuée de corrections. La moyenne (2 826 FCFA) est légèrement supérieure à la médiane (2 805 FCFA), tandis que le mode se situe à 2 800 FCFA : cet écart minime entre les trois mesures confirme une distribution quasi-symétrique, cohérente avec le skewness de 0,103 qui indique une absence de biais directionnel marqué. L'écart-type de 86 FCFA et le coefficient de variation de 3,0% témoignent d'une dispersion très faible du cours, signe d'une certaine stabilité. Le kurtosis de -0,239 (mésokurtique) suggère une distribution proche de la normale, sans risque majeur de pics extrêmes. La volatilité annualisée de 30,4% positionne le titre dans la catégorie des valeurs à volatilité élevée (&gt;30%), ce qui contraste avec la faible dispersion observée sur la période récente et invite à la prudence quant à d'éventuels mouvements brusques.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(2 886,5 FCFA) et la MM50 (2 845,0 FCFA) encadrent le cours actuel (2 870 FCFA), qui se situe entre ces deux références. La MM20 étant supérieure à la MM50, la configuration reste haussière de court terme, ce qui justifie la décision d'**Achat** émise par cet indicateur, bien que le cours évolue légèrement sous sa moyenne courte.</w:t>
      </w:r>
    </w:p>
    <w:p>
      <w:pPr>
        <w:spacing w:after="120" w:line="276" w:lineRule="auto"/>
      </w:pPr>
      <w:r>
        <w:t>**Bandes de Bollinger** : Le cours (2 870 FCFA) se situe dans la partie médiane de la bande, entre la borne inférieure (2 814,02 FCFA) et la borne supérieure (2 958,98 FCFA). L'écart entre les bornes (144,96 FCFA) reflète une volatilité modérée, et la position neutre du cours justifie la décision **Neutre**, sans signal d'achat ou de vente imminent.</w:t>
      </w:r>
    </w:p>
    <w:p>
      <w:pPr>
        <w:spacing w:after="120" w:line="276" w:lineRule="auto"/>
      </w:pPr>
      <w:r>
        <w:t>**MACD** : La valeur du MACD (2,426) est nettement inférieure à son signal (7,794), générant un croisement baissier qui traduit un affaiblissement du momentum haussier. Cette divergence négative justifie la décision de **Vente**, signalant que la dynamique positive des dernières semaines s'essouffle.</w:t>
      </w:r>
    </w:p>
    <w:p>
      <w:pPr>
        <w:spacing w:after="120" w:line="276" w:lineRule="auto"/>
      </w:pPr>
      <w:r>
        <w:t>**RSI** : À 47,541, le RSI se situe dans la zone neutre (30-70), sans indication de surachat ni de survente. Cette position médiane confirme la décision **Neutre**, le titre ne présentant pas de déséquilibre technique majeur à court terme.</w:t>
      </w:r>
    </w:p>
    <w:p>
      <w:pPr>
        <w:spacing w:after="120" w:line="276" w:lineRule="auto"/>
      </w:pPr>
      <w:r>
        <w:t>**Stochastique** : Le %K (56,522) est légèrement supérieur au %D (53,731), sans croisement significatif récent. Les deux lignes évoluent dans la zone médiane, ce qui justifie la décision **Neutre** et suggère une absence de pression acheteuse ou vendeuse dominante.</w:t>
      </w:r>
    </w:p>
    <w:p>
      <w:pPr>
        <w:spacing w:after="120" w:line="276" w:lineRule="auto"/>
      </w:pPr>
      <w:r>
        <w:t>**Conclusion technique** : Les indicateurs techniques présentent un tableau mitigé, avec une majorité de signaux neutres (Bollinger, RSI, Stochastique) et une divergence entre les moyennes mobiles (favorable) et le MACD (défavorable). Le titre évolue dans une zone de consolidation sans direction claire, ce qui invite à la prudence. La configuration suggère une attente de catalyseurs fondamentaux pour déterminer la prochaine tendance.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ONATEL-SA (ONTBF) a réalisé un chiffre d'affaires de 146,18 milliards FCFA, en progression de +3,1% par rapport à 2024 (141,84 Mds FCFA), portée par le FTTH (+33% de parc), l'Internet mobile (+4,6%) et le Mobile Money (+14%). Cependant, le résultat net a chuté de -26% à 15,89 milliards FCFA (contre 21,47 Mds en 2024), sous l'effet d'une compression des marges : l'EBE recule de -12% à 56,73 Mds FCFA et le résultat d'exploitation de -24% à 25,67 Mds FCFA. Les charges opérationnelles (énergie, maintenance en zones à défi sécuritaire, indemnités de fin d'engagement, sanction ARCEP de 1,543 Md FCFA) ont pesé lourdement. Le ROE reste excellent à 27,61% (résultat net/capitaux propres de 57,54 Mds FCFA), et le ROA s'établit à 4,89%, confirmant la rentabilité des actifs malgré la baisse. Le coefficient d'exploitation de 67,07% (charges/PNB) dépasse le seuil de 60% recommandé pour une banque efficace, signalant une dégradation de l'efficacité opérationnelle. Le coût du risque (3,57%) reste contenu, mais les provisions de -31,07 Mds FCFA pèsent sur le résultat. Les rapports trimestriels 2026 confirment la tendance : au T1 2026 (rapport du 09/04/2026), le CA progresse de +2,7% à 37,1 Mds FCFA, mais le résultat net recule à 3,577 Mds FCFA (marge nette de 9,6% OHADA), avec un taux de marge EBITDA maintenu à 41,3%. On estime que l'exercice 2026 devrait rester sous pression, avec une possible stabilisation des marges si les actions d'optimisation des coûts annoncées portent leurs fruits. La note de crédit A+(WU) de GCR Ratings et la génération de trésorerie solide (CAFG de 46,95 Mds FCFA, flux opérationnel de 68,49 Mds) constituent des points d'appui. La recommandation fondamentale est de **CONSERVER** : la solidité financière et le dividende attractif (166,08 FCFA/action, soit un rendement de ~5,8%) justifient le maintien, mais la dégradation de la rentabilité et les risques réglementaires/sécuritaires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modérément exigeante avec un PER de 12,3x (au-dessus de la moyenne BRVM) et un P/B de 3,39x, mais l'EV/EBITDA de 5,1x reste raisonnable, suggérant une prime de qualité justifiée par la position dominante de l'opérateur. Le comportement du cours (Partie 1) est globalement favorable (+5,51% sur 100 jours), avec une faible dispersion (CV de 3,0%) et une distribution symétrique (skewness de 0,103), bien que la volatilité annualisée de 30,4% invite à la prudence. Les signaux techniques (Partie 2) sont mitigés : les moyennes mobiles sont haussières, mais le MACD est baissier, tandis que le RSI, les Bollinger et le Stochastique restent neutres, dessinant une consolidation sans direction claire. Les fondamentaux (Partie 3) révèlent une croissance du chiffre d'affaires (+3,1% en 2025) mais une dégradation préoccupante de la rentabilité (résultat net -26%), avec un ROE toujours excellent (27,61%) et une génération de trésorerie solide. Les prédictions IA (J+1 à J+10) anticipent une légère baisse du cours de 2 859 FCFA à 2 835 FCFA, confirmant la tendance baissière de court terme suggérée par le MACD. Sur la base de cette synthèse, la recommandation finale est de **CONSERVER**, avec un niveau de confiance **Moyen** et un risque global **Moyen**. La convergence entre la valorisation modérée, les fondamentaux solides mais en dégradation, et les signaux techniques neutres à baissiers ne justifie ni un achat agressif ni une vente. L'horizon d'investissement optimal est le **moyen terme (3-12 mois)**, en attendant des signes tangibles d'amélioration de la rentabilité et de maîtrise des coûts, notamment via les actions d'optimisation annoncées pour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3382.21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2,807 titres</w:t>
            </w:r>
          </w:p>
        </w:tc>
        <w:tc>
          <w:tcPr>
            <w:tcW w:type="dxa" w:w="2268"/>
            <w:shd w:fill="FFF2CC" w:val="clear"/>
          </w:tcPr>
          <w:p>
            <w:r>
              <w:rPr>
                <w:b/>
                <w:color w:val="503200"/>
                <w:sz w:val="16"/>
              </w:rPr>
              <w:t xml:space="preserve">Cours actuel : </w:t>
            </w:r>
            <w:r>
              <w:rPr>
                <w:color w:val="000000"/>
                <w:sz w:val="17"/>
              </w:rPr>
              <w:t>22,450 FCFA</w:t>
            </w:r>
          </w:p>
          <w:p>
            <w:r>
              <w:rPr>
                <w:b/>
                <w:color w:val="503200"/>
                <w:sz w:val="16"/>
              </w:rPr>
              <w:t xml:space="preserve">Var. 100 jours : </w:t>
            </w:r>
            <w:r>
              <w:rPr>
                <w:b/>
                <w:color w:val="007800"/>
                <w:sz w:val="17"/>
              </w:rPr>
              <w:t>+52.72%</w:t>
            </w:r>
          </w:p>
          <w:p>
            <w:r>
              <w:rPr>
                <w:b/>
                <w:color w:val="503200"/>
                <w:sz w:val="16"/>
              </w:rPr>
              <w:t xml:space="preserve">Plus haut 100j : </w:t>
            </w:r>
            <w:r>
              <w:rPr>
                <w:color w:val="000000"/>
                <w:sz w:val="17"/>
              </w:rPr>
              <w:t>22,450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12.39% (Moyenne) — μ=16,974 FCFA, σ=2,104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β=1.3604 (Agressif) — Cov=0.000047, Var(idx)=0.000034, ρ=0.424,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21,408</w:t>
            </w:r>
          </w:p>
        </w:tc>
        <w:tc>
          <w:tcPr>
            <w:tcW w:type="dxa" w:w="1440"/>
            <w:shd w:fill="FAFAFA" w:val="clear"/>
          </w:tcPr>
          <w:p>
            <w:r>
              <w:rPr>
                <w:b/>
                <w:sz w:val="17"/>
              </w:rPr>
              <w:t>22,091</w:t>
            </w:r>
          </w:p>
        </w:tc>
        <w:tc>
          <w:tcPr>
            <w:tcW w:type="dxa" w:w="1440"/>
            <w:shd w:fill="FAFAFA" w:val="clear"/>
          </w:tcPr>
          <w:p>
            <w:r>
              <w:rPr>
                <w:sz w:val="17"/>
              </w:rPr>
              <w:t>22,774</w:t>
            </w:r>
          </w:p>
        </w:tc>
        <w:tc>
          <w:tcPr>
            <w:tcW w:type="dxa" w:w="1440"/>
            <w:shd w:fill="FAFAFA" w:val="clear"/>
          </w:tcPr>
          <w:p>
            <w:r>
              <w:rPr>
                <w:b/>
                <w:color w:val="C00000"/>
                <w:sz w:val="17"/>
              </w:rPr>
              <w:t>-1.6%</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21,156</w:t>
            </w:r>
          </w:p>
        </w:tc>
        <w:tc>
          <w:tcPr>
            <w:tcW w:type="dxa" w:w="1440"/>
            <w:shd w:fill="FAFAFA" w:val="clear"/>
          </w:tcPr>
          <w:p>
            <w:r>
              <w:rPr>
                <w:b/>
                <w:sz w:val="17"/>
              </w:rPr>
              <w:t>22,123</w:t>
            </w:r>
          </w:p>
        </w:tc>
        <w:tc>
          <w:tcPr>
            <w:tcW w:type="dxa" w:w="1440"/>
            <w:shd w:fill="FAFAFA" w:val="clear"/>
          </w:tcPr>
          <w:p>
            <w:r>
              <w:rPr>
                <w:sz w:val="17"/>
              </w:rPr>
              <w:t>23,091</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20,932</w:t>
            </w:r>
          </w:p>
        </w:tc>
        <w:tc>
          <w:tcPr>
            <w:tcW w:type="dxa" w:w="1440"/>
            <w:shd w:fill="FAFAFA" w:val="clear"/>
          </w:tcPr>
          <w:p>
            <w:r>
              <w:rPr>
                <w:b/>
                <w:sz w:val="17"/>
              </w:rPr>
              <w:t>22,116</w:t>
            </w:r>
          </w:p>
        </w:tc>
        <w:tc>
          <w:tcPr>
            <w:tcW w:type="dxa" w:w="1440"/>
            <w:shd w:fill="FAFAFA" w:val="clear"/>
          </w:tcPr>
          <w:p>
            <w:r>
              <w:rPr>
                <w:sz w:val="17"/>
              </w:rPr>
              <w:t>23,301</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20,737</w:t>
            </w:r>
          </w:p>
        </w:tc>
        <w:tc>
          <w:tcPr>
            <w:tcW w:type="dxa" w:w="1440"/>
            <w:shd w:fill="FAFAFA" w:val="clear"/>
          </w:tcPr>
          <w:p>
            <w:r>
              <w:rPr>
                <w:b/>
                <w:sz w:val="17"/>
              </w:rPr>
              <w:t>22,105</w:t>
            </w:r>
          </w:p>
        </w:tc>
        <w:tc>
          <w:tcPr>
            <w:tcW w:type="dxa" w:w="1440"/>
            <w:shd w:fill="FAFAFA" w:val="clear"/>
          </w:tcPr>
          <w:p>
            <w:r>
              <w:rPr>
                <w:sz w:val="17"/>
              </w:rPr>
              <w:t>23,472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20,566</w:t>
            </w:r>
          </w:p>
        </w:tc>
        <w:tc>
          <w:tcPr>
            <w:tcW w:type="dxa" w:w="1440"/>
            <w:shd w:fill="FAFAFA" w:val="clear"/>
          </w:tcPr>
          <w:p>
            <w:r>
              <w:rPr>
                <w:b/>
                <w:sz w:val="17"/>
              </w:rPr>
              <w:t>22,093</w:t>
            </w:r>
          </w:p>
        </w:tc>
        <w:tc>
          <w:tcPr>
            <w:tcW w:type="dxa" w:w="1440"/>
            <w:shd w:fill="FAFAFA" w:val="clear"/>
          </w:tcPr>
          <w:p>
            <w:r>
              <w:rPr>
                <w:sz w:val="17"/>
              </w:rPr>
              <w:t>23,621</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20,410</w:t>
            </w:r>
          </w:p>
        </w:tc>
        <w:tc>
          <w:tcPr>
            <w:tcW w:type="dxa" w:w="1440"/>
            <w:shd w:fill="FAFAFA" w:val="clear"/>
          </w:tcPr>
          <w:p>
            <w:r>
              <w:rPr>
                <w:b/>
                <w:sz w:val="17"/>
              </w:rPr>
              <w:t>22,082</w:t>
            </w:r>
          </w:p>
        </w:tc>
        <w:tc>
          <w:tcPr>
            <w:tcW w:type="dxa" w:w="1440"/>
            <w:shd w:fill="FAFAFA" w:val="clear"/>
          </w:tcPr>
          <w:p>
            <w:r>
              <w:rPr>
                <w:sz w:val="17"/>
              </w:rPr>
              <w:t>23,755</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20,266</w:t>
            </w:r>
          </w:p>
        </w:tc>
        <w:tc>
          <w:tcPr>
            <w:tcW w:type="dxa" w:w="1440"/>
            <w:shd w:fill="FAFAFA" w:val="clear"/>
          </w:tcPr>
          <w:p>
            <w:r>
              <w:rPr>
                <w:b/>
                <w:sz w:val="17"/>
              </w:rPr>
              <w:t>22,072</w:t>
            </w:r>
          </w:p>
        </w:tc>
        <w:tc>
          <w:tcPr>
            <w:tcW w:type="dxa" w:w="1440"/>
            <w:shd w:fill="FAFAFA" w:val="clear"/>
          </w:tcPr>
          <w:p>
            <w:r>
              <w:rPr>
                <w:sz w:val="17"/>
              </w:rPr>
              <w:t>23,878</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20,132</w:t>
            </w:r>
          </w:p>
        </w:tc>
        <w:tc>
          <w:tcPr>
            <w:tcW w:type="dxa" w:w="1440"/>
            <w:shd w:fill="FAFAFA" w:val="clear"/>
          </w:tcPr>
          <w:p>
            <w:r>
              <w:rPr>
                <w:b/>
                <w:sz w:val="17"/>
              </w:rPr>
              <w:t>22,062</w:t>
            </w:r>
          </w:p>
        </w:tc>
        <w:tc>
          <w:tcPr>
            <w:tcW w:type="dxa" w:w="1440"/>
            <w:shd w:fill="FAFAFA" w:val="clear"/>
          </w:tcPr>
          <w:p>
            <w:r>
              <w:rPr>
                <w:sz w:val="17"/>
              </w:rPr>
              <w:t>23,992</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20,006</w:t>
            </w:r>
          </w:p>
        </w:tc>
        <w:tc>
          <w:tcPr>
            <w:tcW w:type="dxa" w:w="1440"/>
            <w:shd w:fill="FAFAFA" w:val="clear"/>
          </w:tcPr>
          <w:p>
            <w:r>
              <w:rPr>
                <w:b/>
                <w:sz w:val="17"/>
              </w:rPr>
              <w:t>22,052</w:t>
            </w:r>
          </w:p>
        </w:tc>
        <w:tc>
          <w:tcPr>
            <w:tcW w:type="dxa" w:w="1440"/>
            <w:shd w:fill="FAFAFA" w:val="clear"/>
          </w:tcPr>
          <w:p>
            <w:r>
              <w:rPr>
                <w:sz w:val="17"/>
              </w:rPr>
              <w:t>24,098</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19,887</w:t>
            </w:r>
          </w:p>
        </w:tc>
        <w:tc>
          <w:tcPr>
            <w:tcW w:type="dxa" w:w="1440"/>
            <w:shd w:fill="FAFAFA" w:val="clear"/>
          </w:tcPr>
          <w:p>
            <w:r>
              <w:rPr>
                <w:b/>
                <w:sz w:val="17"/>
              </w:rPr>
              <w:t>22,042</w:t>
            </w:r>
          </w:p>
        </w:tc>
        <w:tc>
          <w:tcPr>
            <w:tcW w:type="dxa" w:w="1440"/>
            <w:shd w:fill="FAFAFA" w:val="clear"/>
          </w:tcPr>
          <w:p>
            <w:r>
              <w:rPr>
                <w:sz w:val="17"/>
              </w:rPr>
              <w:t>24,198</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ORANGE CÔTE D'IVOIRE (ORAC)</w:t>
        <w:br/>
        <w:t>**Bourse Régionale des Valeurs Mobilières (BRVM) — Secteur : Télécommunications**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Orange Côte d'Ivoire affiche une capitalisation boursière de **3 382,21 milliards FCFA**, ce qui en fait l'une des toutes premières capitalisations de la BRVM (elle représentait environ 26 % de la capitalisation totale du marché en 2024, selon le rapport annuel 2024). Le **BPA s'établit à 1 114 FCFA/action**, soit le bénéfice net généré par chaque titre détenu. Le **PER de 20,2x** traduit une valorisation nettement supérieure à la moyenne du marché BRVM (généralement comprise entre 8 et 12x), ce qui implique que les investisseurs paient une prime significative pour la croissance attendue du groupe — un niveau qui n'est justifié que si la dynamique bénéficiaire se maintient. Le **P/B de 4,78x** confirme cette exigence : le marché valorise ORAC à près de cinq fois sa valeur comptable, reflétant la forte rentabilité des fonds propres (ROE de 23,7 %) et la qualité des actifs incorporels (licences, réseau, marque). Enfin, l'**EV/EBITDA de 8,0x** apparaît raisonnable et cohérent avec les standards du secteur télécom, suggérant que la valeur d'entreprise reste soutenue par la capacité opérationnelle de génération de cash-flow (EBITDAaL de 424,1 milliards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ORAC a enregistré une **variation totale de +52,72 %**, portant le cours actuel à **22 450 FCFA**, niveau qui correspond également au **plus haut de la période**. La séance du J-1 s'est soldée par une variation nulle (+0,00 %), signe d'une stabilisation après le fort mouvement haussier. Le **plus bas a été atteint à 14 650 FCFA**, ce qui dessine un range de trading particulièrement large (environ 7 800 FCFA d'amplitude, soit plus de 53 % du point bas), confirmant une tendance nettement haussière sur la période. Les statistiques descriptives révèlent une **moyenne de 16 974 FCFA** contre une **médiane de 16 238 FCFA** : l'écart positif entre ces deux mesures indique une distribution asymétrique tirée vers le haut par les séances récentes de forte progression. L'**écart-type de 2 114 FCFA (CV = 12,5 %)** traduit une dispersion modérée du cours autour de sa moyenne, tandis que le **kurtosis de 0,494 (mésokurtique)** suggère une distribution proche de la normale, sans risque excessif de pics extrêmes. Le **skewness de 1,315** confirme une asymétrie positive marquée : la majorité des journées se sont situées sous la moyenne, mais quelques séances exceptionnelles ont fortement tiré le cours vers le haut. La **volatilité annualisée de 29,9 %** positionne ORAC dans la catégorie des titres à volatilité modérée à élevée (proche du seuil des 30 %), ce qui reste acceptable pour une valeur de croissance à grande capitalisation.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**20 820,75 FCFA** et la MM50 à **18 286,70 FCFA**, toutes deux nettement inférieures au cours actuel de 22 450 FCFA. Cette configuration (cours &gt; MM20 &gt; MM50) est caractéristique d'une tendance haussière bien établie, avec un alignement haussier des moyennes qui confirme la dynamique positive. La décision technique est donc logiquement à l'**Achat**.</w:t>
      </w:r>
    </w:p>
    <w:p>
      <w:pPr>
        <w:spacing w:after="120" w:line="276" w:lineRule="auto"/>
      </w:pPr>
      <w:r>
        <w:t>**Bandes de Bollinger** — Le cours actuel (22 450 FCFA) évolue dans la partie haute du canal, entre la borne inférieure (18 415,01 FCFA) et la borne supérieure (23 226,49 FCFA), dont il s'approche sans la franchir. Cette position indique une pression acheteuse soutenue mais sans excès spéculatif immédiat, la décision étant **Neutre** — le titre reste dans son canal sans signal de retournement.</w:t>
      </w:r>
    </w:p>
    <w:p>
      <w:pPr>
        <w:spacing w:after="120" w:line="276" w:lineRule="auto"/>
      </w:pPr>
      <w:r>
        <w:t>**MACD** — La valeur du MACD (1 142,41) est supérieure à son signal (1 113,53), avec un histogramme positif d'environ 29 points. Cette divergence positive confirme la poursuite du momentum haussier, bien que l'écart relativement faible entre les deux lignes suggère un essoufflement progressif de la dynamique. La décision reste néanmoins à l'**Achat**.</w:t>
      </w:r>
    </w:p>
    <w:p>
      <w:pPr>
        <w:spacing w:after="120" w:line="276" w:lineRule="auto"/>
      </w:pPr>
      <w:r>
        <w:t>**RSI** — À **63,32**, l'indicateur se situe dans la zone neutre haute (30-70), sans atteindre le seuil de surachat (70). Cela signifie que le titre conserve un potentiel de progression sans être techniquement surchauffé, ce qui justifie une décision **Neutre** avec un biais haussier résiduel.</w:t>
      </w:r>
    </w:p>
    <w:p>
      <w:pPr>
        <w:spacing w:after="120" w:line="276" w:lineRule="auto"/>
      </w:pPr>
      <w:r>
        <w:t>**Stochastique** — Le %K et le %D sont tous deux à **100,0**, soit le niveau maximal de l'indicateur. Cette configuration signale un **surachat technique extrême** : le cours a clôturé à son plus haut sur la période de référence, ce qui précède souvent une correction ou une consolidation. La décision technique est donc à la **Vente** à court terme.</w:t>
      </w:r>
    </w:p>
    <w:p>
      <w:pPr>
        <w:spacing w:after="120" w:line="276" w:lineRule="auto"/>
      </w:pPr>
      <w:r>
        <w:t>**Conclusion technique** — Les indicateurs présentent une configuration globalement haussière (MM alignées, MACD positif, cours proche du haut de Bollinger) mais avec des signaux de prudence croissants : le Stochastique en surachat extrême (100) et le RSI proche de la zone de surachat suggèrent qu'une consolidation est probable à court terme. La convergence des signaux reste favorable à moyen terme, mais le timing d'entrée n'est pas optimal après un gain de plus de 52 % en 100 jours.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Orange Côte d'Ivoire a réalisé un **chiffre d'affaires consolidé de 1 197,1 milliards FCFA**, en croissance de **+10,42 %** sur un an, portée par la dynamique des trois filiales (Côte d'Ivoire, Burkina Faso, Liberia). Le **résultat net consolidé s'élève à 167,8 milliards FCFA** (+6,1 %), tandis que le **résultat net part du groupe atteint 129,1 milliards FCFA** (+14,5 %). La rentabilité reste solide avec un **ROE de 23,71 %** (largement supérieur au seuil d'excellence de 15 %) et un **ROA de 6,57 %**. La marge nette ressort à **14,02 %** et la marge opérationnelle à **23,99 %**, confirmant la qualité du modèle économique. Sur le plan bilanciel, l'**autonomie financière est de 27,71 %** (légèrement sous le seuil de 30 % considéré comme sain), avec un **ratio d'endettement de 47,46 %** et une **capacité de remboursement de 0,99 an** (excellente). Le **BFR est négatif à -198,0 milliards FCFA**, ce qui est favorable (financement par les fournisseurs), mais le **délai client de 52,26 jours** mérite surveillance, tout comme le **délai fournisseur élevé de 210,87 jours** qui constitue un levier de trésorerie.</w:t>
      </w:r>
    </w:p>
    <w:p>
      <w:pPr>
        <w:spacing w:after="120" w:line="276" w:lineRule="auto"/>
      </w:pPr>
      <w:r>
        <w:t>**Adaptation au secteur (entreprise non bancaire)** — La structure des coûts révèle une **marge brute de 59,64 %**, typique du secteur télécom où les infrastructures sont amorties sur de longues durées. Le **coefficient d'exploitation de 46,66 %** traduit une bonne maîtrise des charges. Le **free cash-flow de 156,2 milliards FCFA** et la **CAF de 340,0 milliards FCFA** couvrent largement les investissements (184,2 milliards FCFA en 2025, soit 15,4 % du CA), avec un **taux de couverture des investissements par la CAF de 189,63 %**.</w:t>
      </w:r>
    </w:p>
    <w:p>
      <w:pPr>
        <w:spacing w:after="120" w:line="276" w:lineRule="auto"/>
      </w:pPr>
      <w:r>
        <w:t>**Estimations basées sur les rapports trimestriels** — Le rapport du **T1 2026 (publié en 2026)** affiche un chiffre d'affaires de **325,6 milliards FCFA (+14,8 %)** et un **résultat net de 48,3 milliards FCFA (+25,2 %)**, avec une marge nette en amélioration à **14,8 %** (contre 13,6 % au T1 2025). Cette accélération, confirmée par l'EBITDAaL en hausse de 15,7 % à 114,2 milliards FCFA, suggère que **l'exercice 2026 devrait enregistrer une croissance du CA supérieure à 12 % et un résultat net en progression de 15 à 20 %**, effaçant la stagnation observée au S1 2025 (résultat net +0,5 %) et au T3 2025 (+0,2 %). Le rapport annuel 2025 (publié le 31/12/2025) confirme un **dividende brut de 800 FCFA/action** (rendement d'environ 3,6 % au cours actuel), en baisse par rapport aux 1 278 FCFA implicites de 2024, traduisant un arbitrage en faveur de l'autofinancement des investissements.</w:t>
      </w:r>
    </w:p>
    <w:p>
      <w:pPr>
        <w:spacing w:after="120" w:line="276" w:lineRule="auto"/>
      </w:pPr>
      <w:r>
        <w:t>**Recommandation fondamentale** — La solidité financière d'ORAC est incontestable : croissance à deux chiffres, ROE élevé, cash-flows abondants et endettement maîtrisé. Les risques identifiés (pression fiscale et réglementaire, concurrence sur Orange Money, contexte sécuritaire au Burkina Faso, hausse des charges financières) sont réels mais compensés par des relais de croissance clairs (fibre, 4G/5G, services financiers digitaux). La dynamique du T1 2026 confirme une accélération bienvenue de la rentabilité.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dessine un tableau contrasté mais globalement favorable. **Sur le plan de la valorisation (Partie 0)**, les ratios PER (20,2x) et P/B (4,78x) indiquent une **surévaluation relative** par rapport aux standards de la BRVM, mais l'EV/EBITDA de 8,0x reste raisonnable et justifié par la qualité des cash-flows. **Le comportement du cours (Partie 1)** est nettement haussier (+52,72 % sur 100 jours), avec une volatilité modérée (29,9 %) et une asymétrie positive (skewness de 1,315) qui traduit un potentiel de surperformance, bien que le kurtosis proche de la normale n'écarte pas le risque de corrections. **Les signaux techniques (Partie 2)** sont majoritairement haussiers (MM alignées, MACD positif) mais le Stochastique en surachat extrême (100) et le RSI à 63,3 appellent à la prudence à court terme. **Les fondamentaux (Partie 3)** sont excellents : croissance du CA de +10,4 % en 2025, ROE de 23,7 %, et surtout l'accélération confirmée au T1 2026 (+14,8 % de CA, +25,2 % de résultat net) qui valide la thèse d'investissement. **Les prédictions IA (J+1 à J+10)** anticipent une légère consolidation autour de 22 091-22 123 FCFA, cohérente avec le surachat technique mais sans remise en cause de la tendance de fond.</w:t>
      </w:r>
    </w:p>
    <w:p>
      <w:pPr>
        <w:spacing w:after="120" w:line="276" w:lineRule="auto"/>
      </w:pPr>
      <w:r>
        <w:t>**Recommandation finale : ACHAT** — avec un **niveau de confiance Moyen** et un **risque global Moyen**. La convergence entre fondamentaux solides, dynamique trimestrielle accélérée et tendance technique haussière soutient la thèse d'achat, mais la valorisation exigeante (PER &gt; 20x) et le surachat technique immédiat suggèrent d'**attendre une consolidation vers 21 500-22 000 FCFA** pour optimiser le point d'entrée. **Horizon d'investissement recommandé : moyen à long terme (6 à 18 mois)**, afin de laisser le temps aux investissements massifs (184 milliards FCFA en 2025) de se traduire pleinement dans les marges et de bénéficier de la poursuite de la croissance à deux chiffres. Un investisseur averse au risque privilégiera une entrée progressive, tandis qu'un investisseur de croissance pourra initier une position dès maintenant en acceptant une volatilité à court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222.48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5,638 titres</w:t>
            </w:r>
          </w:p>
        </w:tc>
        <w:tc>
          <w:tcPr>
            <w:tcW w:type="dxa" w:w="2268"/>
            <w:shd w:fill="FFF2CC" w:val="clear"/>
          </w:tcPr>
          <w:p>
            <w:r>
              <w:rPr>
                <w:b/>
                <w:color w:val="503200"/>
                <w:sz w:val="16"/>
              </w:rPr>
              <w:t xml:space="preserve">Cours actuel : </w:t>
            </w:r>
            <w:r>
              <w:rPr>
                <w:color w:val="000000"/>
                <w:sz w:val="17"/>
              </w:rPr>
              <w:t>3,205 FCFA</w:t>
            </w:r>
          </w:p>
          <w:p>
            <w:r>
              <w:rPr>
                <w:b/>
                <w:color w:val="503200"/>
                <w:sz w:val="16"/>
              </w:rPr>
              <w:t xml:space="preserve">Var. 100 jours : </w:t>
            </w:r>
            <w:r>
              <w:rPr>
                <w:b/>
                <w:color w:val="B40000"/>
                <w:sz w:val="17"/>
              </w:rPr>
              <w:t>-4.61%</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9.23% (Moyenne) — μ=2,910 FCFA, σ=269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β=0.2269 (Défensif) — Cov=0.000008, Var(idx)=0.000034, ρ=0.048,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3,168</w:t>
            </w:r>
          </w:p>
        </w:tc>
        <w:tc>
          <w:tcPr>
            <w:tcW w:type="dxa" w:w="1440"/>
            <w:shd w:fill="FAFAFA" w:val="clear"/>
          </w:tcPr>
          <w:p>
            <w:r>
              <w:rPr>
                <w:b/>
                <w:sz w:val="17"/>
              </w:rPr>
              <w:t>3,258</w:t>
            </w:r>
          </w:p>
        </w:tc>
        <w:tc>
          <w:tcPr>
            <w:tcW w:type="dxa" w:w="1440"/>
            <w:shd w:fill="FAFAFA" w:val="clear"/>
          </w:tcPr>
          <w:p>
            <w:r>
              <w:rPr>
                <w:sz w:val="17"/>
              </w:rPr>
              <w:t>3,348</w:t>
            </w:r>
          </w:p>
        </w:tc>
        <w:tc>
          <w:tcPr>
            <w:tcW w:type="dxa" w:w="1440"/>
            <w:shd w:fill="FAFAFA" w:val="clear"/>
          </w:tcPr>
          <w:p>
            <w:r>
              <w:rPr>
                <w:b/>
                <w:color w:val="008000"/>
                <w:sz w:val="17"/>
              </w:rPr>
              <w:t>+1.7%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3,131</w:t>
            </w:r>
          </w:p>
        </w:tc>
        <w:tc>
          <w:tcPr>
            <w:tcW w:type="dxa" w:w="1440"/>
            <w:shd w:fill="FAFAFA" w:val="clear"/>
          </w:tcPr>
          <w:p>
            <w:r>
              <w:rPr>
                <w:b/>
                <w:sz w:val="17"/>
              </w:rPr>
              <w:t>3,258</w:t>
            </w:r>
          </w:p>
        </w:tc>
        <w:tc>
          <w:tcPr>
            <w:tcW w:type="dxa" w:w="1440"/>
            <w:shd w:fill="FAFAFA" w:val="clear"/>
          </w:tcPr>
          <w:p>
            <w:r>
              <w:rPr>
                <w:sz w:val="17"/>
              </w:rPr>
              <w:t>3,385</w:t>
            </w:r>
          </w:p>
        </w:tc>
        <w:tc>
          <w:tcPr>
            <w:tcW w:type="dxa" w:w="1440"/>
            <w:shd w:fill="FAFAFA" w:val="clear"/>
          </w:tcPr>
          <w:p>
            <w:r>
              <w:rPr>
                <w:b/>
                <w:color w:val="008000"/>
                <w:sz w:val="17"/>
              </w:rPr>
              <w:t>+1.7%</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3,107</w:t>
            </w:r>
          </w:p>
        </w:tc>
        <w:tc>
          <w:tcPr>
            <w:tcW w:type="dxa" w:w="1440"/>
            <w:shd w:fill="FAFAFA" w:val="clear"/>
          </w:tcPr>
          <w:p>
            <w:r>
              <w:rPr>
                <w:b/>
                <w:sz w:val="17"/>
              </w:rPr>
              <w:t>3,263</w:t>
            </w:r>
          </w:p>
        </w:tc>
        <w:tc>
          <w:tcPr>
            <w:tcW w:type="dxa" w:w="1440"/>
            <w:shd w:fill="FAFAFA" w:val="clear"/>
          </w:tcPr>
          <w:p>
            <w:r>
              <w:rPr>
                <w:sz w:val="17"/>
              </w:rPr>
              <w:t>3,419</w:t>
            </w:r>
          </w:p>
        </w:tc>
        <w:tc>
          <w:tcPr>
            <w:tcW w:type="dxa" w:w="1440"/>
            <w:shd w:fill="FAFAFA" w:val="clear"/>
          </w:tcPr>
          <w:p>
            <w:r>
              <w:rPr>
                <w:b/>
                <w:color w:val="008000"/>
                <w:sz w:val="17"/>
              </w:rPr>
              <w:t>+1.8%</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3,087</w:t>
            </w:r>
          </w:p>
        </w:tc>
        <w:tc>
          <w:tcPr>
            <w:tcW w:type="dxa" w:w="1440"/>
            <w:shd w:fill="FAFAFA" w:val="clear"/>
          </w:tcPr>
          <w:p>
            <w:r>
              <w:rPr>
                <w:b/>
                <w:sz w:val="17"/>
              </w:rPr>
              <w:t>3,267</w:t>
            </w:r>
          </w:p>
        </w:tc>
        <w:tc>
          <w:tcPr>
            <w:tcW w:type="dxa" w:w="1440"/>
            <w:shd w:fill="FAFAFA" w:val="clear"/>
          </w:tcPr>
          <w:p>
            <w:r>
              <w:rPr>
                <w:sz w:val="17"/>
              </w:rPr>
              <w:t>3,447</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2026-09-18</w:t>
            </w:r>
          </w:p>
        </w:tc>
        <w:tc>
          <w:tcPr>
            <w:tcW w:type="dxa" w:w="1440"/>
            <w:shd w:fill="C6EFCE" w:val="clear"/>
          </w:tcPr>
          <w:p>
            <w:r>
              <w:rPr>
                <w:sz w:val="17"/>
              </w:rPr>
              <w:t>3,068</w:t>
            </w:r>
          </w:p>
        </w:tc>
        <w:tc>
          <w:tcPr>
            <w:tcW w:type="dxa" w:w="1440"/>
            <w:shd w:fill="C6EFCE" w:val="clear"/>
          </w:tcPr>
          <w:p>
            <w:r>
              <w:rPr>
                <w:b/>
                <w:sz w:val="17"/>
              </w:rPr>
              <w:t>3,270</w:t>
            </w:r>
          </w:p>
        </w:tc>
        <w:tc>
          <w:tcPr>
            <w:tcW w:type="dxa" w:w="1440"/>
            <w:shd w:fill="C6EFCE" w:val="clear"/>
          </w:tcPr>
          <w:p>
            <w:r>
              <w:rPr>
                <w:sz w:val="17"/>
              </w:rPr>
              <w:t>3,472</w:t>
            </w:r>
          </w:p>
        </w:tc>
        <w:tc>
          <w:tcPr>
            <w:tcW w:type="dxa" w:w="1440"/>
            <w:shd w:fill="C6EFCE"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2026-09-21</w:t>
            </w:r>
          </w:p>
        </w:tc>
        <w:tc>
          <w:tcPr>
            <w:tcW w:type="dxa" w:w="1440"/>
            <w:shd w:fill="C6EFCE" w:val="clear"/>
          </w:tcPr>
          <w:p>
            <w:r>
              <w:rPr>
                <w:sz w:val="17"/>
              </w:rPr>
              <w:t>3,052</w:t>
            </w:r>
          </w:p>
        </w:tc>
        <w:tc>
          <w:tcPr>
            <w:tcW w:type="dxa" w:w="1440"/>
            <w:shd w:fill="C6EFCE" w:val="clear"/>
          </w:tcPr>
          <w:p>
            <w:r>
              <w:rPr>
                <w:b/>
                <w:sz w:val="17"/>
              </w:rPr>
              <w:t>3,273</w:t>
            </w:r>
          </w:p>
        </w:tc>
        <w:tc>
          <w:tcPr>
            <w:tcW w:type="dxa" w:w="1440"/>
            <w:shd w:fill="C6EFCE" w:val="clear"/>
          </w:tcPr>
          <w:p>
            <w:r>
              <w:rPr>
                <w:sz w:val="17"/>
              </w:rPr>
              <w:t>3,494</w:t>
            </w:r>
          </w:p>
        </w:tc>
        <w:tc>
          <w:tcPr>
            <w:tcW w:type="dxa" w:w="1440"/>
            <w:shd w:fill="C6EFCE" w:val="clear"/>
          </w:tcPr>
          <w:p>
            <w:r>
              <w:rPr>
                <w:b/>
                <w:color w:val="008000"/>
                <w:sz w:val="17"/>
              </w:rPr>
              <w:t>+2.1%</w:t>
            </w:r>
          </w:p>
        </w:tc>
      </w:tr>
      <w:tr>
        <w:tc>
          <w:tcPr>
            <w:tcW w:type="dxa" w:w="1440"/>
            <w:shd w:fill="C6EFCE" w:val="clear"/>
          </w:tcPr>
          <w:p>
            <w:r>
              <w:rPr>
                <w:sz w:val="17"/>
              </w:rPr>
              <w:t>J+7  Moyenne</w:t>
            </w:r>
          </w:p>
        </w:tc>
        <w:tc>
          <w:tcPr>
            <w:tcW w:type="dxa" w:w="1440"/>
            <w:shd w:fill="C6EFCE" w:val="clear"/>
          </w:tcPr>
          <w:p>
            <w:r>
              <w:rPr>
                <w:sz w:val="17"/>
              </w:rPr>
              <w:t>2026-09-22</w:t>
            </w:r>
          </w:p>
        </w:tc>
        <w:tc>
          <w:tcPr>
            <w:tcW w:type="dxa" w:w="1440"/>
            <w:shd w:fill="C6EFCE" w:val="clear"/>
          </w:tcPr>
          <w:p>
            <w:r>
              <w:rPr>
                <w:sz w:val="17"/>
              </w:rPr>
              <w:t>3,036</w:t>
            </w:r>
          </w:p>
        </w:tc>
        <w:tc>
          <w:tcPr>
            <w:tcW w:type="dxa" w:w="1440"/>
            <w:shd w:fill="C6EFCE" w:val="clear"/>
          </w:tcPr>
          <w:p>
            <w:r>
              <w:rPr>
                <w:b/>
                <w:sz w:val="17"/>
              </w:rPr>
              <w:t>3,275</w:t>
            </w:r>
          </w:p>
        </w:tc>
        <w:tc>
          <w:tcPr>
            <w:tcW w:type="dxa" w:w="1440"/>
            <w:shd w:fill="C6EFCE" w:val="clear"/>
          </w:tcPr>
          <w:p>
            <w:r>
              <w:rPr>
                <w:sz w:val="17"/>
              </w:rPr>
              <w:t>3,515</w:t>
            </w:r>
          </w:p>
        </w:tc>
        <w:tc>
          <w:tcPr>
            <w:tcW w:type="dxa" w:w="1440"/>
            <w:shd w:fill="C6EFCE" w:val="clear"/>
          </w:tcPr>
          <w:p>
            <w:r>
              <w:rPr>
                <w:b/>
                <w:color w:val="008000"/>
                <w:sz w:val="17"/>
              </w:rPr>
              <w:t>+2.2%</w:t>
            </w:r>
          </w:p>
        </w:tc>
      </w:tr>
      <w:tr>
        <w:tc>
          <w:tcPr>
            <w:tcW w:type="dxa" w:w="1440"/>
            <w:shd w:fill="C6EFCE" w:val="clear"/>
          </w:tcPr>
          <w:p>
            <w:r>
              <w:rPr>
                <w:sz w:val="17"/>
              </w:rPr>
              <w:t>J+8  Moyenne</w:t>
            </w:r>
          </w:p>
        </w:tc>
        <w:tc>
          <w:tcPr>
            <w:tcW w:type="dxa" w:w="1440"/>
            <w:shd w:fill="C6EFCE" w:val="clear"/>
          </w:tcPr>
          <w:p>
            <w:r>
              <w:rPr>
                <w:sz w:val="17"/>
              </w:rPr>
              <w:t>2026-09-23</w:t>
            </w:r>
          </w:p>
        </w:tc>
        <w:tc>
          <w:tcPr>
            <w:tcW w:type="dxa" w:w="1440"/>
            <w:shd w:fill="C6EFCE" w:val="clear"/>
          </w:tcPr>
          <w:p>
            <w:r>
              <w:rPr>
                <w:sz w:val="17"/>
              </w:rPr>
              <w:t>3,022</w:t>
            </w:r>
          </w:p>
        </w:tc>
        <w:tc>
          <w:tcPr>
            <w:tcW w:type="dxa" w:w="1440"/>
            <w:shd w:fill="C6EFCE" w:val="clear"/>
          </w:tcPr>
          <w:p>
            <w:r>
              <w:rPr>
                <w:b/>
                <w:sz w:val="17"/>
              </w:rPr>
              <w:t>3,278</w:t>
            </w:r>
          </w:p>
        </w:tc>
        <w:tc>
          <w:tcPr>
            <w:tcW w:type="dxa" w:w="1440"/>
            <w:shd w:fill="C6EFCE" w:val="clear"/>
          </w:tcPr>
          <w:p>
            <w:r>
              <w:rPr>
                <w:sz w:val="17"/>
              </w:rPr>
              <w:t>3,534</w:t>
            </w:r>
          </w:p>
        </w:tc>
        <w:tc>
          <w:tcPr>
            <w:tcW w:type="dxa" w:w="1440"/>
            <w:shd w:fill="C6EFCE" w:val="clear"/>
          </w:tcPr>
          <w:p>
            <w:r>
              <w:rPr>
                <w:b/>
                <w:color w:val="008000"/>
                <w:sz w:val="17"/>
              </w:rPr>
              <w:t>+2.3%</w:t>
            </w:r>
          </w:p>
        </w:tc>
      </w:tr>
      <w:tr>
        <w:tc>
          <w:tcPr>
            <w:tcW w:type="dxa" w:w="1440"/>
            <w:shd w:fill="C6EFCE" w:val="clear"/>
          </w:tcPr>
          <w:p>
            <w:r>
              <w:rPr>
                <w:sz w:val="17"/>
              </w:rPr>
              <w:t>J+9  Moyenne</w:t>
            </w:r>
          </w:p>
        </w:tc>
        <w:tc>
          <w:tcPr>
            <w:tcW w:type="dxa" w:w="1440"/>
            <w:shd w:fill="C6EFCE" w:val="clear"/>
          </w:tcPr>
          <w:p>
            <w:r>
              <w:rPr>
                <w:sz w:val="17"/>
              </w:rPr>
              <w:t>2026-09-24</w:t>
            </w:r>
          </w:p>
        </w:tc>
        <w:tc>
          <w:tcPr>
            <w:tcW w:type="dxa" w:w="1440"/>
            <w:shd w:fill="C6EFCE" w:val="clear"/>
          </w:tcPr>
          <w:p>
            <w:r>
              <w:rPr>
                <w:sz w:val="17"/>
              </w:rPr>
              <w:t>3,009</w:t>
            </w:r>
          </w:p>
        </w:tc>
        <w:tc>
          <w:tcPr>
            <w:tcW w:type="dxa" w:w="1440"/>
            <w:shd w:fill="C6EFCE" w:val="clear"/>
          </w:tcPr>
          <w:p>
            <w:r>
              <w:rPr>
                <w:b/>
                <w:sz w:val="17"/>
              </w:rPr>
              <w:t>3,280</w:t>
            </w:r>
          </w:p>
        </w:tc>
        <w:tc>
          <w:tcPr>
            <w:tcW w:type="dxa" w:w="1440"/>
            <w:shd w:fill="C6EFCE" w:val="clear"/>
          </w:tcPr>
          <w:p>
            <w:r>
              <w:rPr>
                <w:sz w:val="17"/>
              </w:rPr>
              <w:t>3,552</w:t>
            </w:r>
          </w:p>
        </w:tc>
        <w:tc>
          <w:tcPr>
            <w:tcW w:type="dxa" w:w="1440"/>
            <w:shd w:fill="C6EFCE" w:val="clear"/>
          </w:tcPr>
          <w:p>
            <w:r>
              <w:rPr>
                <w:b/>
                <w:color w:val="008000"/>
                <w:sz w:val="17"/>
              </w:rPr>
              <w:t>+2.3%</w:t>
            </w:r>
          </w:p>
        </w:tc>
      </w:tr>
      <w:tr>
        <w:tc>
          <w:tcPr>
            <w:tcW w:type="dxa" w:w="1440"/>
            <w:shd w:fill="C6EFCE" w:val="clear"/>
          </w:tcPr>
          <w:p>
            <w:r>
              <w:rPr>
                <w:sz w:val="17"/>
              </w:rPr>
              <w:t>J+10  Moyenne</w:t>
            </w:r>
          </w:p>
        </w:tc>
        <w:tc>
          <w:tcPr>
            <w:tcW w:type="dxa" w:w="1440"/>
            <w:shd w:fill="C6EFCE" w:val="clear"/>
          </w:tcPr>
          <w:p>
            <w:r>
              <w:rPr>
                <w:sz w:val="17"/>
              </w:rPr>
              <w:t>2026-09-25</w:t>
            </w:r>
          </w:p>
        </w:tc>
        <w:tc>
          <w:tcPr>
            <w:tcW w:type="dxa" w:w="1440"/>
            <w:shd w:fill="C6EFCE" w:val="clear"/>
          </w:tcPr>
          <w:p>
            <w:r>
              <w:rPr>
                <w:sz w:val="17"/>
              </w:rPr>
              <w:t>2,996</w:t>
            </w:r>
          </w:p>
        </w:tc>
        <w:tc>
          <w:tcPr>
            <w:tcW w:type="dxa" w:w="1440"/>
            <w:shd w:fill="C6EFCE" w:val="clear"/>
          </w:tcPr>
          <w:p>
            <w:r>
              <w:rPr>
                <w:b/>
                <w:sz w:val="17"/>
              </w:rPr>
              <w:t>3,282</w:t>
            </w:r>
          </w:p>
        </w:tc>
        <w:tc>
          <w:tcPr>
            <w:tcW w:type="dxa" w:w="1440"/>
            <w:shd w:fill="C6EFCE" w:val="clear"/>
          </w:tcPr>
          <w:p>
            <w:r>
              <w:rPr>
                <w:sz w:val="17"/>
              </w:rPr>
              <w:t>3,569</w:t>
            </w:r>
          </w:p>
        </w:tc>
        <w:tc>
          <w:tcPr>
            <w:tcW w:type="dxa" w:w="1440"/>
            <w:shd w:fill="C6EFCE" w:val="clear"/>
          </w:tcPr>
          <w:p>
            <w:r>
              <w:rPr>
                <w:b/>
                <w:color w:val="008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 SA)**</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222,48 milliards FCFA, ORGT se positionne parmi les valeurs moyennes à grandes de la cote BRVM, reflétant l'importance systémique du groupe bancaire panafricain dans la zone UEMOA. Le BPA de 312 FCFA par action indique que chaque titre génère un bénéfice net de 312 FCFA, ce qui, rapporté au cours actuel de 3 205 FCFA, donne un PER de 10,3x — un niveau modéré et parfaitement dans la fourchette moyenne du marché BRVM (8-12x), suggérant une valorisation raisonnable sans prime excessive. Le ratio P/B de 1,97x montre que le marché valorise l'action à près du double de sa valeur comptable, ce qui reste dans la zone de valorisation raisonnable (1-2x) et traduit une confiance modérée dans la capacité bénéficiaire future de la banque. En revanche, l'EV/EBITDA de 20,1x apparaît très exigeant (seuil &gt;15x), signalant que la valeur d'entreprise intègre déjà une forte anticipation de redressement opérationnel — un point de vigilance pour les investisseurs value.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affiche une variation totale de -4,61%, avec une chute marquée de -2,88% lors de la dernière séance (J-1), traduisant une pression vendeuse récente. Le cours actuel de 3 205 FCFA se situe dans la partie haute du range de trading établi entre un plus bas de 2 435 FCFA et un plus haut de 3 475 FCFA, ce qui témoigne d'une reprise significative depuis les points bas, mais avec une consolidation en cours. La tendance générale reste haussière sur la période, portée par le redressement fondamental du groupe, bien que la correction récente invite à la prudence. Les statistiques descriptives révèlent une moyenne de 2 910 FCFA supérieure à la médiane de 2 780 FCFA, indiquant une distribution légèrement asymétrique à droite — les pics de cours tirent la moyenne vers le haut. L'écart-type de 270 FCFA avec un coefficient de variation de 9,3% traduit une dispersion modérée du cours, tandis que le kurtosis négatif (-1,324, distribution platykurtique) signale une faible concentration des valeurs autour de la moyenne et un risque de pics limité. Le skewness de 0,291 confirme une distribution quasi-symétrique avec une légère inclinaison positive. Enfin, la volatilité annualisée de 44,0% classe le titre dans la catégorie des valeurs à volatilité élevée (&gt;30%), ce qui implique un risque de marché significatif et justifie une approche d'investissement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3 197,0 FCFA et la MM50 à 2 985,3 FCFA, toutes deux inférieures au cours actuel de 3 205 FCFA. Cette configuration — cours &gt; MM20 &gt; MM50 — est typique d'une tendance haussière de court et moyen terme, avec la MM20 qui sert de support dynamique proche. La décision technique qui en résulte est **Achat**, confirmant la dynamique positive tant que le cours se maintient au-dessus de ces niveaux.</w:t>
      </w:r>
    </w:p>
    <w:p>
      <w:pPr>
        <w:spacing w:after="120" w:line="276" w:lineRule="auto"/>
      </w:pPr>
      <w:r>
        <w:t>**Bandes de Bollinger :** La borne supérieure se situe à 3 404,679 FCFA et la borne inférieure à 2 989,321 FCFA, encadrant le cours actuel de 3 205 FCFA. Le titre évolue dans la partie médiane-haute du canal, sans atteindre la zone de surachat technique. La largeur des bandes reflète une volatilité modérée, et la décision **Neutre** suggère une absence de signal directionnel fort à court terme, le cours étant en phase de consolidation.</w:t>
      </w:r>
    </w:p>
    <w:p>
      <w:pPr>
        <w:spacing w:after="120" w:line="276" w:lineRule="auto"/>
      </w:pPr>
      <w:r>
        <w:t>**MACD :** La valeur du MACD (84,677) est inférieure à son signal (90,711), générant un croisement baissier et une décision **Vente**. Cette divergence négative indique un essoufflement du momentum haussier et un risque de correction à court terme, bien que les deux lignes restent en territoire positif, ce qui limite la portée baissière du signal.</w:t>
      </w:r>
    </w:p>
    <w:p>
      <w:pPr>
        <w:spacing w:after="120" w:line="276" w:lineRule="auto"/>
      </w:pPr>
      <w:r>
        <w:t>**RSI :** À 57,273, le RSI se situe dans la zone neutre (30-70), sans signal de surachat (&gt;70) ni de survente (&lt;30). La décision **Neutre** reflète un équilibre entre acheteurs et vendeurs, avec une légère prédominance haussière. Le titre conserve un potentiel de progression sans être techniquement épuisé.</w:t>
      </w:r>
    </w:p>
    <w:p>
      <w:pPr>
        <w:spacing w:after="120" w:line="276" w:lineRule="auto"/>
      </w:pPr>
      <w:r>
        <w:t>**Stochastique :** Le %K (20,408) est nettement inférieur au %D (49,227), avec un croisement baissier en zone de survente potentielle. La décision **Neutre** s'explique par la proximité du %K de la zone de survente (&lt;20), ce qui pourrait annoncer un rebond technique à court terme, mais le croisement actuel plaide pour la prudence.</w:t>
      </w:r>
    </w:p>
    <w:p>
      <w:pPr>
        <w:spacing w:after="120" w:line="276" w:lineRule="auto"/>
      </w:pPr>
      <w:r>
        <w:t>**Conclusion technique :** Les indicateurs présentent une configuration mitigée. Les moyennes mobiles confirment la tendance haussière de fond, mais le MACD et le stochastique signalent un essoufflement à court terme. Le RSI et les bandes de Bollinger restent neutres, sans signal extrême. La convergence partielle des signaux suggère une phase de consolidation avant une éventuelle reprise, avec un support clé à surveiller autour de la MM20 (3 197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ORGT a réalisé un Produit Net Bancaire (PNB) de 186,609 milliards FCFA, en baisse de -4,52% par rapport à 2024 (195,436 milliards FCFA), reflétant une contraction de l'activité de crédit dans un contexte de sélectivité accrue. Le résultat net consolidé s'établit à 21,643 milliards FCFA, marquant un redressement spectaculaire après la perte de -44,363 milliards FCFA en 2024. Le ROE atteint 19,13% (excellent, &gt;15%), et le ROA de 0,54% reste faible mais cohérent avec le modèle bancaire. Le coefficient d'exploitation de 42,85% classe ORGT parmi les banques très efficaces (&lt;50%), tandis que le coût du risque de 3,74% (provisions/charges financières) demeure élevé mais en forte amélioration. Le ratio dépôts/crédits de 2,03x (3 088,7 Mds FCFA de dépôts vs 1 523,8 Mds FCFA de créances) témoigne d'une surliquidité et d'une capacité de transformation prudente.</w:t>
      </w:r>
    </w:p>
    <w:p>
      <w:pPr>
        <w:spacing w:after="120" w:line="276" w:lineRule="auto"/>
      </w:pPr>
      <w:r>
        <w:t>**Adaptation au secteur bancaire :** La structure bilancielle affiche un total actif de 4 014,192 milliards FCFA, dominé par les créances clientèle (1 523,765 Mds FCFA) et les effets publics (1 462,409 Mds FCFA). Les dépôts clientèle (3 088,698 Mds FCFA) constituent la principale ressource, avec un ratio d'endettement de 444,94% et une autonomie financière de seulement 2,82% — typique du modèle bancaire mais nécessitant une surveillance. La solvabilité générale (102,90%) reste juste au-dessus du seuil critique.</w:t>
      </w:r>
    </w:p>
    <w:p>
      <w:pPr>
        <w:spacing w:after="120" w:line="276" w:lineRule="auto"/>
      </w:pPr>
      <w:r>
        <w:t>**Estimations basées sur les rapports trimestriels :** Selon le rapport T1 2026 (publié en 2026), le PNB recule de -2% à 50,124 milliards FCFA, mais le résultat net progresse de +37% à 6,555 milliards FCFA, confirmant la poursuite du redressement. Les dépôts clientèle augmentent de +14% à 3 343 milliards FCFA, tandis que les crédits nets reculent de -12%. Sur la base de ces tendances, on estime que l'exercice 2026 devrait afficher un PNB stable autour de 185-190 milliards FCFA et un résultat net en hausse à 25-28 milliards FCFA, porté par la maîtrise des coûts et l'amélioration continue du coût du risque. Le rapport T3 2025 (daté du 30/09/2025) confirme cette dynamique avec un résultat net de 19,6 milliards FCFA (+248%) et une réduction de -74% du coût net du risque.</w:t>
      </w:r>
    </w:p>
    <w:p>
      <w:pPr>
        <w:spacing w:after="120" w:line="276" w:lineRule="auto"/>
      </w:pPr>
      <w:r>
        <w:t>**Évolution pluriannuelle :** L'exercice 2024 avait été catastrophique (perte de -44,4 Mds FCFA, PNB -9,9%), suivi d'un redressement en 2025 (bénéfice de 21,6 Mds FCFA, PNB -4,5%). Les capitaux propres se renforcent à 113,165 milliards FCFA (+17%), améliorant la solvabilité. La décision de ne pas distribuer de dividende (confirmée par l'avis de convocation à l'AG du 23/07/2026) vise à consolider les fonds propres.</w:t>
      </w:r>
    </w:p>
    <w:p>
      <w:pPr>
        <w:spacing w:after="120" w:line="276" w:lineRule="auto"/>
      </w:pPr>
      <w:r>
        <w:t>**Recommandation fondamentale :** La solidité financière s'améliore, portée par la maîtrise des risques et des coûts. Cependant, la baisse du PNB et l'absence de dividende limitent l'attrait à court terme. La recommandation est **CONSERVER**, avec un potentiel de revalorisation à moyen terme si la dynamique commerciale se redresse.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d'ORGT apparaît raisonnable avec un PER de 10,3x (dans la moyenne BRVM) et un P/B de 1,97x, bien que l'EV/EBITDA de 20,1x soit exigeant et intègre déjà une forte anticipation de redressement. Le comportement du cours sur 100 jours (-4,61%) reflète une consolidation après une reprise, avec une volatilité élevée (44%) et une distribution platykurtique (risque de pics limité) mais légèrement asymétrique à droite — des caractéristiques mitigées pour un investisseur averse au risque. Les signaux techniques sont divergents : les moyennes mobiles confirment la tendance haussière, mais le MACD et le stochastique signalent un essoufflement à court terme, tandis que le RSI et les bandes de Bollinger restent neutres. Les fondamentaux montrent un redressement spectaculaire en 2025 (résultat net de 21,6 Mds FCFA, ROE de 19,1%) et une poursuite de l'amélioration au T1 2026 (résultat net +37%), mais la baisse du PNB et l'absence de dividende tempèrent l'enthousiasme. Les prédictions IA (J+1 à J+10) anticipent une légère hausse vers 3 258-3 270 FCFA, confirmant la tendance haussière de fond mais sans accélération marquée. Sur la base de cette synthèse, la recommandation finale est **CONSERVER**, avec un niveau de confiance **Moyen** et un risque global **Élevé** (volatilité 44%, dépendance à la qualité du crédit). L'horizon d'investissement optimal est le **moyen terme (3-12 mois)**, en attendant la confirmation d'une reprise durable du PNB et une clarification sur la politique de dividende. Un passage à l'achat serait justifié si le PNB se stabilise et que la rentabilité se confirme sur plusieurs trimestres consécutifs.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128.31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3,775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+2.47%</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μ=8,536 FCFA, σ=570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β=-0.2801 (Contre-cyclique) — Cov=-0.000010, Var(idx)=0.000034, ρ=-0.070,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3,775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8,033</w:t>
            </w:r>
          </w:p>
        </w:tc>
        <w:tc>
          <w:tcPr>
            <w:tcW w:type="dxa" w:w="1440"/>
            <w:shd w:fill="FAFAFA" w:val="clear"/>
          </w:tcPr>
          <w:p>
            <w:r>
              <w:rPr>
                <w:b/>
                <w:sz w:val="17"/>
              </w:rPr>
              <w:t>8,306</w:t>
            </w:r>
          </w:p>
        </w:tc>
        <w:tc>
          <w:tcPr>
            <w:tcW w:type="dxa" w:w="1440"/>
            <w:shd w:fill="FAFAFA" w:val="clear"/>
          </w:tcPr>
          <w:p>
            <w:r>
              <w:rPr>
                <w:sz w:val="17"/>
              </w:rPr>
              <w:t>8,580</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7,902</w:t>
            </w:r>
          </w:p>
        </w:tc>
        <w:tc>
          <w:tcPr>
            <w:tcW w:type="dxa" w:w="1440"/>
            <w:shd w:fill="FAFAFA" w:val="clear"/>
          </w:tcPr>
          <w:p>
            <w:r>
              <w:rPr>
                <w:b/>
                <w:sz w:val="17"/>
              </w:rPr>
              <w:t>8,289</w:t>
            </w:r>
          </w:p>
        </w:tc>
        <w:tc>
          <w:tcPr>
            <w:tcW w:type="dxa" w:w="1440"/>
            <w:shd w:fill="FAFAFA" w:val="clear"/>
          </w:tcPr>
          <w:p>
            <w:r>
              <w:rPr>
                <w:sz w:val="17"/>
              </w:rPr>
              <w:t>8,675</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7,804</w:t>
            </w:r>
          </w:p>
        </w:tc>
        <w:tc>
          <w:tcPr>
            <w:tcW w:type="dxa" w:w="1440"/>
            <w:shd w:fill="FAFAFA" w:val="clear"/>
          </w:tcPr>
          <w:p>
            <w:r>
              <w:rPr>
                <w:b/>
                <w:sz w:val="17"/>
              </w:rPr>
              <w:t>8,276</w:t>
            </w:r>
          </w:p>
        </w:tc>
        <w:tc>
          <w:tcPr>
            <w:tcW w:type="dxa" w:w="1440"/>
            <w:shd w:fill="FAFAFA" w:val="clear"/>
          </w:tcPr>
          <w:p>
            <w:r>
              <w:rPr>
                <w:sz w:val="17"/>
              </w:rPr>
              <w:t>8,749</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7,720</w:t>
            </w:r>
          </w:p>
        </w:tc>
        <w:tc>
          <w:tcPr>
            <w:tcW w:type="dxa" w:w="1440"/>
            <w:shd w:fill="FAFAFA" w:val="clear"/>
          </w:tcPr>
          <w:p>
            <w:r>
              <w:rPr>
                <w:b/>
                <w:sz w:val="17"/>
              </w:rPr>
              <w:t>8,264</w:t>
            </w:r>
          </w:p>
        </w:tc>
        <w:tc>
          <w:tcPr>
            <w:tcW w:type="dxa" w:w="1440"/>
            <w:shd w:fill="FAFAFA" w:val="clear"/>
          </w:tcPr>
          <w:p>
            <w:r>
              <w:rPr>
                <w:sz w:val="17"/>
              </w:rPr>
              <w:t>8,809</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7,644</w:t>
            </w:r>
          </w:p>
        </w:tc>
        <w:tc>
          <w:tcPr>
            <w:tcW w:type="dxa" w:w="1440"/>
            <w:shd w:fill="FAFAFA" w:val="clear"/>
          </w:tcPr>
          <w:p>
            <w:r>
              <w:rPr>
                <w:b/>
                <w:sz w:val="17"/>
              </w:rPr>
              <w:t>8,252</w:t>
            </w:r>
          </w:p>
        </w:tc>
        <w:tc>
          <w:tcPr>
            <w:tcW w:type="dxa" w:w="1440"/>
            <w:shd w:fill="FAFAFA" w:val="clear"/>
          </w:tcPr>
          <w:p>
            <w:r>
              <w:rPr>
                <w:sz w:val="17"/>
              </w:rPr>
              <w:t>8,860</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7,575</w:t>
            </w:r>
          </w:p>
        </w:tc>
        <w:tc>
          <w:tcPr>
            <w:tcW w:type="dxa" w:w="1440"/>
            <w:shd w:fill="FAFAFA" w:val="clear"/>
          </w:tcPr>
          <w:p>
            <w:r>
              <w:rPr>
                <w:b/>
                <w:sz w:val="17"/>
              </w:rPr>
              <w:t>8,240</w:t>
            </w:r>
          </w:p>
        </w:tc>
        <w:tc>
          <w:tcPr>
            <w:tcW w:type="dxa" w:w="1440"/>
            <w:shd w:fill="FAFAFA" w:val="clear"/>
          </w:tcPr>
          <w:p>
            <w:r>
              <w:rPr>
                <w:sz w:val="17"/>
              </w:rPr>
              <w:t>8,906</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7,512</w:t>
            </w:r>
          </w:p>
        </w:tc>
        <w:tc>
          <w:tcPr>
            <w:tcW w:type="dxa" w:w="1440"/>
            <w:shd w:fill="FAFAFA" w:val="clear"/>
          </w:tcPr>
          <w:p>
            <w:r>
              <w:rPr>
                <w:b/>
                <w:sz w:val="17"/>
              </w:rPr>
              <w:t>8,229</w:t>
            </w:r>
          </w:p>
        </w:tc>
        <w:tc>
          <w:tcPr>
            <w:tcW w:type="dxa" w:w="1440"/>
            <w:shd w:fill="FAFAFA" w:val="clear"/>
          </w:tcPr>
          <w:p>
            <w:r>
              <w:rPr>
                <w:sz w:val="17"/>
              </w:rPr>
              <w:t>8,947</w:t>
            </w:r>
          </w:p>
        </w:tc>
        <w:tc>
          <w:tcPr>
            <w:tcW w:type="dxa" w:w="1440"/>
            <w:shd w:fill="FAFAFA" w:val="clear"/>
          </w:tcPr>
          <w:p>
            <w:r>
              <w:rPr>
                <w:b/>
                <w:color w:val="C00000"/>
                <w:sz w:val="17"/>
              </w:rPr>
              <w:t>-0.9%</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7,452</w:t>
            </w:r>
          </w:p>
        </w:tc>
        <w:tc>
          <w:tcPr>
            <w:tcW w:type="dxa" w:w="1440"/>
            <w:shd w:fill="FAFAFA" w:val="clear"/>
          </w:tcPr>
          <w:p>
            <w:r>
              <w:rPr>
                <w:b/>
                <w:sz w:val="17"/>
              </w:rPr>
              <w:t>8,218</w:t>
            </w:r>
          </w:p>
        </w:tc>
        <w:tc>
          <w:tcPr>
            <w:tcW w:type="dxa" w:w="1440"/>
            <w:shd w:fill="FAFAFA" w:val="clear"/>
          </w:tcPr>
          <w:p>
            <w:r>
              <w:rPr>
                <w:sz w:val="17"/>
              </w:rPr>
              <w:t>8,984</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2026-09-24</w:t>
            </w:r>
          </w:p>
        </w:tc>
        <w:tc>
          <w:tcPr>
            <w:tcW w:type="dxa" w:w="1440"/>
            <w:shd w:fill="FAFAFA" w:val="clear"/>
          </w:tcPr>
          <w:p>
            <w:r>
              <w:rPr>
                <w:sz w:val="17"/>
              </w:rPr>
              <w:t>7,397</w:t>
            </w:r>
          </w:p>
        </w:tc>
        <w:tc>
          <w:tcPr>
            <w:tcW w:type="dxa" w:w="1440"/>
            <w:shd w:fill="FAFAFA" w:val="clear"/>
          </w:tcPr>
          <w:p>
            <w:r>
              <w:rPr>
                <w:b/>
                <w:sz w:val="17"/>
              </w:rPr>
              <w:t>8,208</w:t>
            </w:r>
          </w:p>
        </w:tc>
        <w:tc>
          <w:tcPr>
            <w:tcW w:type="dxa" w:w="1440"/>
            <w:shd w:fill="FAFAFA" w:val="clear"/>
          </w:tcPr>
          <w:p>
            <w:r>
              <w:rPr>
                <w:sz w:val="17"/>
              </w:rPr>
              <w:t>9,019</w:t>
            </w:r>
          </w:p>
        </w:tc>
        <w:tc>
          <w:tcPr>
            <w:tcW w:type="dxa" w:w="1440"/>
            <w:shd w:fill="FAFAFA" w:val="clear"/>
          </w:tcPr>
          <w:p>
            <w:r>
              <w:rPr>
                <w:b/>
                <w:color w:val="C00000"/>
                <w:sz w:val="17"/>
              </w:rPr>
              <w:t>-1.1%</w:t>
            </w:r>
          </w:p>
        </w:tc>
      </w:tr>
      <w:tr>
        <w:tc>
          <w:tcPr>
            <w:tcW w:type="dxa" w:w="1440"/>
            <w:shd w:fill="FAFAFA" w:val="clear"/>
          </w:tcPr>
          <w:p>
            <w:r>
              <w:rPr>
                <w:sz w:val="17"/>
              </w:rPr>
              <w:t>J+10  Moyenne</w:t>
            </w:r>
          </w:p>
        </w:tc>
        <w:tc>
          <w:tcPr>
            <w:tcW w:type="dxa" w:w="1440"/>
            <w:shd w:fill="FAFAFA" w:val="clear"/>
          </w:tcPr>
          <w:p>
            <w:r>
              <w:rPr>
                <w:sz w:val="17"/>
              </w:rPr>
              <w:t>2026-09-25</w:t>
            </w:r>
          </w:p>
        </w:tc>
        <w:tc>
          <w:tcPr>
            <w:tcW w:type="dxa" w:w="1440"/>
            <w:shd w:fill="FAFAFA" w:val="clear"/>
          </w:tcPr>
          <w:p>
            <w:r>
              <w:rPr>
                <w:sz w:val="17"/>
              </w:rPr>
              <w:t>7,344</w:t>
            </w:r>
          </w:p>
        </w:tc>
        <w:tc>
          <w:tcPr>
            <w:tcW w:type="dxa" w:w="1440"/>
            <w:shd w:fill="FAFAFA" w:val="clear"/>
          </w:tcPr>
          <w:p>
            <w:r>
              <w:rPr>
                <w:b/>
                <w:sz w:val="17"/>
              </w:rPr>
              <w:t>8,198</w:t>
            </w:r>
          </w:p>
        </w:tc>
        <w:tc>
          <w:tcPr>
            <w:tcW w:type="dxa" w:w="1440"/>
            <w:shd w:fill="FAFAFA" w:val="clear"/>
          </w:tcPr>
          <w:p>
            <w:r>
              <w:rPr>
                <w:sz w:val="17"/>
              </w:rPr>
              <w:t>9,052</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128,31 milliards FCFA, PALC figure parmi les valeurs de premier plan de la cote BRVM, ce qui traduit la reconnaissance par le marché de son statut de leader ouest-africain de l'huile de palme. Le BPA de 1 003 FCFA/action signifie que chaque titre génère un bénéfice net d'environ mille francs CFA, un niveau appréciable au regard du cours actuel de 8 300 FCFA. Le PER de 8,3x situe le titre dans la fourchette basse de la moyenne BRVM (8-12x), signalant une valorisation raisonnable voire légèrement sous-évaluée par rapport aux bénéfices dégagés. Le P/B de 0,90x est particulièrement intéressant : le marché valorise PALC en dessous de sa valeur comptable (capitaux propres de 142,6 Mds FCFA), une situation qui constitue historiquement une opportunité potentielle pour un investisseur value. Enfin, l'EV/EBITDA de 4,0x, inférieur au seuil de 5x, confirme que la valeur d'entreprise reste modérée au regard de la capacité opérationnelle de génération de cash-flows, renforçant le diagnostic de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+2,47%, tandis que la dernière séance (J-1) est restée stable à +0,00%, traduisant une certaine inertie à court terme. Le titre a évolué dans un range de 2 640 FCFA, entre un plus bas de 7 000 FCFA et un plus haut de 9 640 FCFA, ce qui dénote une amplitude de trading significative. La tendance générale apparaît baissière sur la fin de période, le cours actuel (8 300 FCFA) se situant nettement sous la moyenne (8 536 FCFA) et la médiane (8 690 FCFA), signe que les récentes séances ont pesé sur la performance globale. L'écart modéré entre moyenne et médiane (154 FCFA) ainsi que le skewness de -0,362 (distribution quasi-symétrique) indiquent une légère asymétrie négative, c'est-à-dire une prédominance des mouvements baissiers. L'écart-type de 573 FCFA avec un coefficient de variation de 6,7% révèle une dispersion modérée du cours autour de sa moyenne, tandis que le kurtosis de -0,531 (mésokurtique) suggère une distribution proche de la normale, sans risque excessif de pics extrêmes. La volatilité annualisée de 37,2% classe le titre dans la catégorie des valeurs à volatilité élevée (&gt;30%), ce qui implique un risque de marché non négligeable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(9 106,25 FCFA) et la MM50 (8 941,4 FCFA) se situent toutes deux au-dessus du cours actuel (8 300 FCFA), ce qui place le titre en position baissière par rapport à ses tendances court et moyen terme. Toutefois, la décision technique affichée est « Achat », probablement liée à la configuration des moyennes elles-mêmes (MM20 &gt; MM50, signal haussier de fond) et à l'anticipation d'un retournement après la correction en cours.</w:t>
      </w:r>
    </w:p>
    <w:p>
      <w:pPr>
        <w:spacing w:after="120" w:line="276" w:lineRule="auto"/>
      </w:pPr>
      <w:r>
        <w:t>**Bandes de Bollinger** : Le cours actuel (8 300 FCFA) évolue juste au-dessus de la borne inférieure (8 244,64 FCFA) et très en dessous de la borne supérieure (9 967,86 FCFA), ce qui le place en zone basse du canal. La décision « Neutre » reflète l'absence de signal directionnel fort, mais la proximité de la borne inférieure suggère une possible zone de rebond technique.</w:t>
      </w:r>
    </w:p>
    <w:p>
      <w:pPr>
        <w:spacing w:after="120" w:line="276" w:lineRule="auto"/>
      </w:pPr>
      <w:r>
        <w:t>**MACD** : La valeur du MACD (-159,061) est nettement inférieure à son signal (-25,217), confirmant un momentum baissier marqué et une divergence négative persistante. La décision « Vente » est cohérente avec cette configuration, qui indique que la pression vendeuse reste dominante à court terme.</w:t>
      </w:r>
    </w:p>
    <w:p>
      <w:pPr>
        <w:spacing w:after="120" w:line="276" w:lineRule="auto"/>
      </w:pPr>
      <w:r>
        <w:t>**RSI** : À 21,087, le RSI se situe en zone de survente prononcée (seuil &lt;30), ce qui constitue un signal d'achat technique classique. Cette lecture suggère que le titre a été excessivement vendu et qu'un rebond technique est probable à brève échéance, justifiant la décision « Achat ».</w:t>
      </w:r>
    </w:p>
    <w:p>
      <w:pPr>
        <w:spacing w:after="120" w:line="276" w:lineRule="auto"/>
      </w:pPr>
      <w:r>
        <w:t>**Stochastique** : Les valeurs %K et %D sont toutes deux à 0,0, ce qui place l'indicateur en zone extrême de survente. La décision « Achat » découle de cette configuration, qui précède généralement un retournement haussier, bien que l'absence de croisement haussier confirmé invite à la prudence.</w:t>
      </w:r>
    </w:p>
    <w:p>
      <w:pPr>
        <w:spacing w:after="120" w:line="276" w:lineRule="auto"/>
      </w:pPr>
      <w:r>
        <w:t>**Conclusion technique** : Les indicateurs présentent une divergence notable : le MACD confirme la tendance baissière de fond, tandis que le RSI et le stochastique signalent une survente extrême propice à un rebond. Les moyennes mobiles et les bandes de Bollinger plaident pour une position attentiste. La convergence des signaux de survente (RSI, stochastique) et la proximité de la borne inférieure de Bollinger suggèrent qu'un rebond technique est probable, mais la prudence reste de mise tant que le MACD n'aura pas confirmé un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affiche un chiffre d'affaires de 197,63 milliards FCFA, en croissance de +14,8% par rapport à 2024 (172,2 Mds FCFA), portée principalement par les ventes de produits fabriqués (+10,2%) et les produits accessoires (+56,6%). Le résultat net s'établit à 15,509 milliards FCFA, en léger recul de -2,2% par rapport à 2024 (15,9 Mds FCFA), sous l'effet de la pression sur les coûts (charges de personnel +4,0%, services extérieurs +30,3%, impôts +56,8%). Les ratios de rentabilité restent solides mais en retrait : le ROE s'élève à 10,87% (contre 11,9% en 2024) et le ROA à 7,79%, tandis que la marge nette se contracte à 7,85% (contre 9,2% en 2024). La structure financière demeure très saine, avec une autonomie financière de 71,64% (capitaux propres de 142,6 Mds FCFA pour un total bilan de 199,1 Mds FCFA) et un endettement financier quasi nul (796,56 M FCFA). Le point de vigilance majeur réside dans le besoin en fonds de roulement (BFR) de 44,62 Mds FCFA et le délai clients élevé de 142,58 jours, qui traduisent un risque de trésorerie, confirmé par une trésorerie nette négative de -4,559 Mds FCFA. Les rapports trimestriels de 2025 confirment cette dynamique : le T1 2025 (rapport du 31/03/2025) affichait un CA de 67,5 Mds FCFA (+32%) et un résultat net de 11,6 Mds FCFA (+65%), tandis que le S1 2025 (rapport du 30/06/2025) enregistrait un CA de 134,8 Mds FCFA (+25%) et un résultat net de 22,9 Mds FCFA (+37%). Cependant, le T3 2025 (rapport du 30/09/2025) marque un ralentissement avec un CA cumulé de 168,9 Mds FCFA (+18%) et un résultat net de 18,0 Mds FCFA (+11%), la marge nette chutant à 10,7% contre 17,0% au S1. Plus préoccupant, le rapport du T1 2026 (publié en 2026) révèle un effondrement du CA de -27% à 49,4 Mds FCFA et du résultat net de -86% à 1,6 Mds FCFA, que la direction attribue à un décalage temporel des ventes. Sur la base de ces éléments, on estime que l'exercice 2026 pourrait être nettement moins favorable que 2025, avec un risque de contraction du résultat net si le redressement des ventes ne se matérialise pas au second semestre. La recommandation fondamentale est de **CONSERVER** le titre, en surveillant étroitement l'évolution de la trésorerie, des marges et des cours de l'huile de palme.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révèle un profil d'investissement contrasté. Sur le plan de la **valorisation (Partie 0)**, les ratios PER (8,3x), P/B (0,90x) et EV/EBITDA (4,0x) plaident clairement pour une sous-évaluation du titre, offrant une marge de sécurité intéressante. Le **comportement du cours (Partie 1)** est plus mitigé : la tendance récente est baissière (cours sous la moyenne et la médiane), la volatilité annualisée de 37,2% est élevée, et le skewness négatif (-0,362) indique une asymétrie défavorable, bien que le kurtosis mésokurtique (-0,531) limite le risque de pics extrêmes. Les **signaux techniques (Partie 2)** sont divergents : le MACD est baissier, mais le RSI (21,09) et le stochastique (0,0) signalent une survente extrême propice à un rebond, tandis que les moyennes mobiles et les bandes de Bollinger incitent à la prudence. Les **fondamentaux (Partie 3)** demeurent solides (croissance du CA en 2025, structure financière saine, endettement quasi nul), mais la dynamique récente est préoccupante avec l'effondrement du T1 2026 (-86% de résultat net) et la pression persistante sur les marges. Les **prédictions IA (J+1 à J+10)** anticipent une légère érosion du cours, de 8 306 FCFA à 8 252 FCFA, ce qui contredit l'hypothèse d'un rebond technique immédiat mais reste cohérent avec la tendance baissière de fond. Compte tenu de cette synthèse, la recommandation finale est de **CONSERVER** le titre, avec un niveau de confiance **Moyen** et un risque global **Élevé**. La convergence entre la sous-évaluation fondamentale et la survente technique plaide pour un potentiel de rebond à moyen terme, mais l'incertitude liée à la contre-performance du T1 2026 et la volatilité élevée du titre invitent à la prudence. L'horizon d'investissement optimal est le **moyen terme (3-12 mois)**, le temps que la direction confirme le redressement des ventes et que les indicateurs techniques valident un retournement durable.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866 titres</w:t>
            </w:r>
          </w:p>
        </w:tc>
        <w:tc>
          <w:tcPr>
            <w:tcW w:type="dxa" w:w="2268"/>
            <w:shd w:fill="FFF2CC" w:val="clear"/>
          </w:tcPr>
          <w:p>
            <w:r>
              <w:rPr>
                <w:b/>
                <w:color w:val="503200"/>
                <w:sz w:val="16"/>
              </w:rPr>
              <w:t xml:space="preserve">Cours actuel : </w:t>
            </w:r>
            <w:r>
              <w:rPr>
                <w:color w:val="000000"/>
                <w:sz w:val="17"/>
              </w:rPr>
              <w:t>4,385 FCFA</w:t>
            </w:r>
          </w:p>
          <w:p>
            <w:r>
              <w:rPr>
                <w:b/>
                <w:color w:val="503200"/>
                <w:sz w:val="16"/>
              </w:rPr>
              <w:t xml:space="preserve">Var. 100 jours : </w:t>
            </w:r>
            <w:r>
              <w:rPr>
                <w:b/>
                <w:color w:val="B40000"/>
                <w:sz w:val="17"/>
              </w:rPr>
              <w:t>-10.51%</w:t>
            </w:r>
          </w:p>
          <w:p>
            <w:r>
              <w:rPr>
                <w:b/>
                <w:color w:val="503200"/>
                <w:sz w:val="16"/>
              </w:rPr>
              <w:t xml:space="preserve">Plus haut 100j : </w:t>
            </w:r>
            <w:r>
              <w:rPr>
                <w:color w:val="000000"/>
                <w:sz w:val="17"/>
              </w:rPr>
              <w:t>4,900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6.85% (Moyenne) — μ=4,391 FCFA, σ=301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β=-0.2497 (Contre-cyclique) — Cov=-0.000009, Var(idx)=0.000034, ρ=-0.060,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866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4,275</w:t>
            </w:r>
          </w:p>
        </w:tc>
        <w:tc>
          <w:tcPr>
            <w:tcW w:type="dxa" w:w="1440"/>
            <w:shd w:fill="FAFAFA" w:val="clear"/>
          </w:tcPr>
          <w:p>
            <w:r>
              <w:rPr>
                <w:b/>
                <w:sz w:val="17"/>
              </w:rPr>
              <w:t>4,368</w:t>
            </w:r>
          </w:p>
        </w:tc>
        <w:tc>
          <w:tcPr>
            <w:tcW w:type="dxa" w:w="1440"/>
            <w:shd w:fill="FAFAFA" w:val="clear"/>
          </w:tcPr>
          <w:p>
            <w:r>
              <w:rPr>
                <w:sz w:val="17"/>
              </w:rPr>
              <w:t>4,461</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4,223</w:t>
            </w:r>
          </w:p>
        </w:tc>
        <w:tc>
          <w:tcPr>
            <w:tcW w:type="dxa" w:w="1440"/>
            <w:shd w:fill="FAFAFA" w:val="clear"/>
          </w:tcPr>
          <w:p>
            <w:r>
              <w:rPr>
                <w:b/>
                <w:sz w:val="17"/>
              </w:rPr>
              <w:t>4,354</w:t>
            </w:r>
          </w:p>
        </w:tc>
        <w:tc>
          <w:tcPr>
            <w:tcW w:type="dxa" w:w="1440"/>
            <w:shd w:fill="FAFAFA" w:val="clear"/>
          </w:tcPr>
          <w:p>
            <w:r>
              <w:rPr>
                <w:sz w:val="17"/>
              </w:rPr>
              <w:t>4,485</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4,180</w:t>
            </w:r>
          </w:p>
        </w:tc>
        <w:tc>
          <w:tcPr>
            <w:tcW w:type="dxa" w:w="1440"/>
            <w:shd w:fill="FAFAFA" w:val="clear"/>
          </w:tcPr>
          <w:p>
            <w:r>
              <w:rPr>
                <w:b/>
                <w:sz w:val="17"/>
              </w:rPr>
              <w:t>4,340</w:t>
            </w:r>
          </w:p>
        </w:tc>
        <w:tc>
          <w:tcPr>
            <w:tcW w:type="dxa" w:w="1440"/>
            <w:shd w:fill="FAFAFA" w:val="clear"/>
          </w:tcPr>
          <w:p>
            <w:r>
              <w:rPr>
                <w:sz w:val="17"/>
              </w:rPr>
              <w:t>4,500</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4,143</w:t>
            </w:r>
          </w:p>
        </w:tc>
        <w:tc>
          <w:tcPr>
            <w:tcW w:type="dxa" w:w="1440"/>
            <w:shd w:fill="FAFAFA" w:val="clear"/>
          </w:tcPr>
          <w:p>
            <w:r>
              <w:rPr>
                <w:b/>
                <w:sz w:val="17"/>
              </w:rPr>
              <w:t>4,327</w:t>
            </w:r>
          </w:p>
        </w:tc>
        <w:tc>
          <w:tcPr>
            <w:tcW w:type="dxa" w:w="1440"/>
            <w:shd w:fill="FAFAFA" w:val="clear"/>
          </w:tcPr>
          <w:p>
            <w:r>
              <w:rPr>
                <w:sz w:val="17"/>
              </w:rPr>
              <w:t>4,512</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4,109</w:t>
            </w:r>
          </w:p>
        </w:tc>
        <w:tc>
          <w:tcPr>
            <w:tcW w:type="dxa" w:w="1440"/>
            <w:shd w:fill="FAFAFA" w:val="clear"/>
          </w:tcPr>
          <w:p>
            <w:r>
              <w:rPr>
                <w:b/>
                <w:sz w:val="17"/>
              </w:rPr>
              <w:t>4,315</w:t>
            </w:r>
          </w:p>
        </w:tc>
        <w:tc>
          <w:tcPr>
            <w:tcW w:type="dxa" w:w="1440"/>
            <w:shd w:fill="FAFAFA" w:val="clear"/>
          </w:tcPr>
          <w:p>
            <w:r>
              <w:rPr>
                <w:sz w:val="17"/>
              </w:rPr>
              <w:t>4,520</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4,078</w:t>
            </w:r>
          </w:p>
        </w:tc>
        <w:tc>
          <w:tcPr>
            <w:tcW w:type="dxa" w:w="1440"/>
            <w:shd w:fill="FAFAFA" w:val="clear"/>
          </w:tcPr>
          <w:p>
            <w:r>
              <w:rPr>
                <w:b/>
                <w:sz w:val="17"/>
              </w:rPr>
              <w:t>4,303</w:t>
            </w:r>
          </w:p>
        </w:tc>
        <w:tc>
          <w:tcPr>
            <w:tcW w:type="dxa" w:w="1440"/>
            <w:shd w:fill="FAFAFA" w:val="clear"/>
          </w:tcPr>
          <w:p>
            <w:r>
              <w:rPr>
                <w:sz w:val="17"/>
              </w:rPr>
              <w:t>4,527</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4,050</w:t>
            </w:r>
          </w:p>
        </w:tc>
        <w:tc>
          <w:tcPr>
            <w:tcW w:type="dxa" w:w="1440"/>
            <w:shd w:fill="FFDCE0" w:val="clear"/>
          </w:tcPr>
          <w:p>
            <w:r>
              <w:rPr>
                <w:b/>
                <w:sz w:val="17"/>
              </w:rPr>
              <w:t>4,291</w:t>
            </w:r>
          </w:p>
        </w:tc>
        <w:tc>
          <w:tcPr>
            <w:tcW w:type="dxa" w:w="1440"/>
            <w:shd w:fill="FFDCE0" w:val="clear"/>
          </w:tcPr>
          <w:p>
            <w:r>
              <w:rPr>
                <w:sz w:val="17"/>
              </w:rPr>
              <w:t>4,533</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4,022</w:t>
            </w:r>
          </w:p>
        </w:tc>
        <w:tc>
          <w:tcPr>
            <w:tcW w:type="dxa" w:w="1440"/>
            <w:shd w:fill="FFDCE0" w:val="clear"/>
          </w:tcPr>
          <w:p>
            <w:r>
              <w:rPr>
                <w:b/>
                <w:sz w:val="17"/>
              </w:rPr>
              <w:t>4,280</w:t>
            </w:r>
          </w:p>
        </w:tc>
        <w:tc>
          <w:tcPr>
            <w:tcW w:type="dxa" w:w="1440"/>
            <w:shd w:fill="FFDCE0" w:val="clear"/>
          </w:tcPr>
          <w:p>
            <w:r>
              <w:rPr>
                <w:sz w:val="17"/>
              </w:rPr>
              <w:t>4,538</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3,997</w:t>
            </w:r>
          </w:p>
        </w:tc>
        <w:tc>
          <w:tcPr>
            <w:tcW w:type="dxa" w:w="1440"/>
            <w:shd w:fill="FFDCE0" w:val="clear"/>
          </w:tcPr>
          <w:p>
            <w:r>
              <w:rPr>
                <w:b/>
                <w:sz w:val="17"/>
              </w:rPr>
              <w:t>4,269</w:t>
            </w:r>
          </w:p>
        </w:tc>
        <w:tc>
          <w:tcPr>
            <w:tcW w:type="dxa" w:w="1440"/>
            <w:shd w:fill="FFDCE0" w:val="clear"/>
          </w:tcPr>
          <w:p>
            <w:r>
              <w:rPr>
                <w:sz w:val="17"/>
              </w:rPr>
              <w:t>4,542</w:t>
            </w:r>
          </w:p>
        </w:tc>
        <w:tc>
          <w:tcPr>
            <w:tcW w:type="dxa" w:w="1440"/>
            <w:shd w:fill="FFDCE0" w:val="clear"/>
          </w:tcPr>
          <w:p>
            <w:r>
              <w:rPr>
                <w:b/>
                <w:color w:val="C00000"/>
                <w:sz w:val="17"/>
              </w:rPr>
              <w:t>-2.6%</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3,972</w:t>
            </w:r>
          </w:p>
        </w:tc>
        <w:tc>
          <w:tcPr>
            <w:tcW w:type="dxa" w:w="1440"/>
            <w:shd w:fill="FFDCE0" w:val="clear"/>
          </w:tcPr>
          <w:p>
            <w:r>
              <w:rPr>
                <w:b/>
                <w:sz w:val="17"/>
              </w:rPr>
              <w:t>4,259</w:t>
            </w:r>
          </w:p>
        </w:tc>
        <w:tc>
          <w:tcPr>
            <w:tcW w:type="dxa" w:w="1440"/>
            <w:shd w:fill="FFDCE0" w:val="clear"/>
          </w:tcPr>
          <w:p>
            <w:r>
              <w:rPr>
                <w:sz w:val="17"/>
              </w:rPr>
              <w:t>4,546</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44,90 milliards FCFA, PRSC se positionne comme une valeur de taille intermédiaire sur le compartiment des sociétés non-financières de la BRVM, ce qui lui confère une liquidité limitée (volume moyen de 866 titres/jour). Le BPA de 231 FCFA/action signifie que chaque titre génère près de 231 FCFA de bénéfice net, un niveau qui, rapporté au cours actuel de 4 385 FCFA, donne un PER de 19,0x — nettement supérieur à la moyenne du marché BRVM (8-12x), ce qui traduit une prime de valorisation significative que les investisseurs accordent à la qualité de la franchise Tractafric. Le P/B de 3,89x confirme cette prime : le marché valorise l'entreprise près de 4 fois ses fonds propres comptables (11,53 Mds FCFA), ce qui est cohérent avec un ROE élevé de 20,5% mais expose le titre à un risque de correction si la rentabilité venait à fléchir. Enfin, l'EV/EBITDA de 9,7x se situe dans la fourchette raisonnable (5-10x), suggérant que la valeur d'entreprise reste globalement justifiée par la capacité opérationnelle, même si le PER élevé invite à la prudence sur le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 enregistré une variation totale de -10,51%, avec une dernière séance en repli de -0,34%, confirmant une tendance baissière de fond malgré quelques rebonds techniques. Le titre a évolué dans un range large de 1 280 FCFA, entre un plus bas de 3 620 FCFA et un plus haut de 4 900 FCFA, ce qui témoigne d'une forte amplitude de trading et d'une nervosité des investisseurs. Le cours actuel de 4 385 FCFA se situe légèrement sous la moyenne (4 391 FCFA) et sous la médiane (4 460 FCFA), signe que la distribution des cours est tirée vers le bas par des séances de faiblesse. L'écart-type de 302 FCFA (CV=6,9%) indique une dispersion modérée autour de la moyenne, mais la volatilité annualisée de 38,9% classe le titre dans la catégorie des valeurs à volatilité élevée (&gt;30%), ce qui implique un risque de marché non négligeable. Le kurtosis de 0,764 (mésokurtique) suggère une distribution proche de la normale, sans risque excessif de pics extrêmes, tandis que le skewness de -1,041 (asymétrie négative) révèle paradoxalement plus de journées au-dessus de la moyenne, mais avec des baisses plus amples que les hausses — un profil typique de titres sous pression vendeuse. Le mode à 4 400 FCFA, proche du cours actuel, indique que ce niveau constitue une zone d'équilibre psychologique pour les intervenants.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(4 443 FCFA) et la MM50 (4 464,8 FCFA) se situent toutes deux au-dessus du cours actuel (4 385 FCFA), avec une MM20 légèrement sous la MM50 — configuration baissière caractéristique. Le cours évoluant sous ses deux moyennes, la pression vendeuse est confirmée et justifie la décision technique de **Vente**.</w:t>
      </w:r>
    </w:p>
    <w:p>
      <w:pPr>
        <w:spacing w:after="120" w:line="276" w:lineRule="auto"/>
      </w:pPr>
      <w:r>
        <w:t>**Bandes de Bollinger** : Le cours (4 385 FCFA) se situe dans la partie basse de la bande, entre la borne inférieure (4 325,8 FCFA) et la borne supérieure (4 560,2 FCFA), sans franchissement des extrêmes. Cette position médiane-basse traduit une volatilité contenue et une absence de signal directionnel fort, d'où la décision **Neutre**.</w:t>
      </w:r>
    </w:p>
    <w:p>
      <w:pPr>
        <w:spacing w:after="120" w:line="276" w:lineRule="auto"/>
      </w:pPr>
      <w:r>
        <w:t>**MACD** : La valeur du MACD (-20,278) est inférieure à son signal (-14,253), avec un histogramme négatif qui s'accentue — configuration baissière classique indiquant un momentum négatif persistant. La divergence négative MACD-Signal confirme la décision de **Vente**.</w:t>
      </w:r>
    </w:p>
    <w:p>
      <w:pPr>
        <w:spacing w:after="120" w:line="276" w:lineRule="auto"/>
      </w:pPr>
      <w:r>
        <w:t>**RSI** : À 43,411, le RSI se situe en zone neutre (30-70), sans signal de survente (&lt;30) ni de surachat (&gt;70). Cette position médiane indique une absence de pression extrême, justifiant la décision **Neutre** — le titre n'est ni survendu ni suracheté.</w:t>
      </w:r>
    </w:p>
    <w:p>
      <w:pPr>
        <w:spacing w:after="120" w:line="276" w:lineRule="auto"/>
      </w:pPr>
      <w:r>
        <w:t>**Stochastique** : Le %K (17,5) est inférieur au %D (22,5), mais les deux se situent en zone de survente (&lt;20 pour le %K), ce qui suggère un potentiel rebond technique à court terme. La décision **Achat** reflète cette configuration de retournement possible, bien que le croisement ne soit pas encore confirmé.</w:t>
      </w:r>
    </w:p>
    <w:p>
      <w:pPr>
        <w:spacing w:after="120" w:line="276" w:lineRule="auto"/>
      </w:pPr>
      <w:r>
        <w:t>**Conclusion technique** : Les indicateurs sont majoritairement baissiers (MM, MACD) ou neutres (Bollinger, RSI), avec un seul signal haussier (Stochastique en survente). Cette divergence suggère que le titre se trouve dans une phase de consolidation baissière, avec un potentiel rebond technique limité tant que le cours reste sous la MM20 (4 443 FCFA). La prudence est de mise avant tout positionnement à l'achat.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TRACTAFRIC MOTORS CÔTE D'IVOIRE affiche un chiffre d'affaires de 81,127 milliards FCFA, en croissance de 8,64% sur un an, portée par la dynamique du marché automobile ivoirien et la diversification réussie dans les pneumatiques Michelin (+62,6% au S1 2025). Le résultat net s'établit à 2,367 milliards FCFA, stable par rapport à 2024 (2,35 Mds FCFA), avec une marge nette de 2,92% — faible mais en légère amélioration. Le ROE de 20,53% demeure excellent (&gt;15%), témoignant d'une bonne rentabilité des fonds propres (11,531 Mds FCFA), tandis que le ROA de 4,95% reflète l'intensité capitalistique du modèle de distribution. Sur le plan opérationnel, l'EBE de 5,787 Mds FCFA et la VA de 10,852 Mds FCFA confirment la solidité de la génération de cash, mais le Free Cash Flow négatif (-2,616 Mds FCFA) et la trésorerie nette négative (-4,092 Mds FCFA) révèlent une tension sur le BFR (11,267 Mds FCFA), alimentée par des stocks élevés (26,334 Mds FCFA, soit 150 jours de CA) et des délais fournisseurs longs (102,65 jours). Les délais clients (45,99 jours) restent maîtrisés, mais le ratio d'endettement de 314,86% et l'autonomie financière de 24,10% (inférieure au seuil de 30%) constituent des points de vigilance. Les rapports trimestriels (S1 2025, publié le 30/06/2025) font état d'un résultat net de 1,436 Md FCFA au premier semestre, soit une multiplication par 28 vs S1 2024, avec un CA de 39,968 Mds FCFA (+15,1%) — on estime donc que l'exercice 2025 devrait confirmer cette dynamique, bien que le contexte électoral ivoirien ait ralenti l'activité au S2. Le dividende proposé de 209 FCFA/action (AG du 30/06/2026) offre un rendement de 4,77% au cours actuel, un niveau attractif qui soutient la thèse d'investissement. La recommandation fondamentale est **CONSERVER** : solidité du modèle, croissance du CA et dividende attractif, mais rentabilité opérationnelle sous pression et structure financière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19,0x (vs 8-12x pour le marché), P/B de 3,89x et EV/EBITDA de 9,7x — le marché paie une prime significative pour la qualité de la franchise, ce qui limite le potentiel de revalorisation à court terme. Le comportement du cours (Partie 1) est préoccupant : tendance baissière (-10,51% sur 100 jours), volatilité élevée (38,9%), skewness négatif (-1,041) et cours sous la moyenne et la médiane — les statistiques ne plaident pas en faveur d'un rebond imminent. Les signaux techniques (Partie 2) sont majoritairement baissiers (MM20/MM50 au-dessus du cours, MACD négatif), avec un seul indicateur haussier (Stochastique en survente) qui pourrait générer un rebond technique de court terme, mais sans confirmation. Les fondamentaux (Partie 3) demeurent solides : CA de 81,1 Mds FCFA en 2025 (+8,6%), ROE de 20,5%, dividende de 209 FCFA (rendement 4,77%), mais la marge nette faible (2,92%) et la trésorerie négative (-4,09 Mds FCFA) tempèrent l'optimisme. Les prédictions IA (J+1 à J+10) anticipent une poursuite de la baisse jusqu'à 4 315 FCFA (-1,6% vs cours actuel), confirmant la tendance baissière de court terme. **Recommandation finale : CONSERVER** — la convergence entre valorisation exigeante, technique baissière et prédictions négatives suggère d'éviter tout achat à court terme, mais la solidité fondamentale et le dividende attractif justifient de conserver la position pour un horizon moyen terme (3-12 mois). Le niveau de confiance est **Moyen** (les fondamentaux soutiennent le titre mais la technique et la valorisation limitent le potentiel), et le risque global est **Moyen à Élevé** (volatilité de 38,9%, endettement élevé, dépendance au marché automobile ivoirien). Horizon optimal : **moyen terme (3-12 mois)**, en attendant une clarification de la tendance technique et une confirmation de l'amélioration des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8,730 titres</w:t>
            </w:r>
          </w:p>
        </w:tc>
        <w:tc>
          <w:tcPr>
            <w:tcW w:type="dxa" w:w="2268"/>
            <w:shd w:fill="FFF2CC" w:val="clear"/>
          </w:tcPr>
          <w:p>
            <w:r>
              <w:rPr>
                <w:b/>
                <w:color w:val="503200"/>
                <w:sz w:val="16"/>
              </w:rPr>
              <w:t xml:space="preserve">Cours actuel : </w:t>
            </w:r>
            <w:r>
              <w:rPr>
                <w:color w:val="000000"/>
                <w:sz w:val="17"/>
              </w:rPr>
              <w:t>5,400 FCFA</w:t>
            </w:r>
          </w:p>
          <w:p>
            <w:r>
              <w:rPr>
                <w:b/>
                <w:color w:val="503200"/>
                <w:sz w:val="16"/>
              </w:rPr>
              <w:t xml:space="preserve">Var. 100 jours : </w:t>
            </w:r>
            <w:r>
              <w:rPr>
                <w:b/>
                <w:color w:val="B40000"/>
                <w:sz w:val="17"/>
              </w:rPr>
              <w:t>-0.46%</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17.64% (Élevée) — μ=4,614 FCFA, σ=814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β=0.0088 (Défensif) — Cov=0.000000, Var(idx)=0.000034, ρ=0.001,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σ_j=5.10%/j (Instable) — Vol. annualisée≈81.0%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5,125</w:t>
            </w:r>
          </w:p>
        </w:tc>
        <w:tc>
          <w:tcPr>
            <w:tcW w:type="dxa" w:w="1440"/>
            <w:shd w:fill="FAFAFA" w:val="clear"/>
          </w:tcPr>
          <w:p>
            <w:r>
              <w:rPr>
                <w:b/>
                <w:sz w:val="17"/>
              </w:rPr>
              <w:t>5,478</w:t>
            </w:r>
          </w:p>
        </w:tc>
        <w:tc>
          <w:tcPr>
            <w:tcW w:type="dxa" w:w="1440"/>
            <w:shd w:fill="FAFAFA" w:val="clear"/>
          </w:tcPr>
          <w:p>
            <w:r>
              <w:rPr>
                <w:sz w:val="17"/>
              </w:rPr>
              <w:t>5,832</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4,929</w:t>
            </w:r>
          </w:p>
        </w:tc>
        <w:tc>
          <w:tcPr>
            <w:tcW w:type="dxa" w:w="1440"/>
            <w:shd w:fill="FAFAFA" w:val="clear"/>
          </w:tcPr>
          <w:p>
            <w:r>
              <w:rPr>
                <w:b/>
                <w:sz w:val="17"/>
              </w:rPr>
              <w:t>5,423</w:t>
            </w:r>
          </w:p>
        </w:tc>
        <w:tc>
          <w:tcPr>
            <w:tcW w:type="dxa" w:w="1440"/>
            <w:shd w:fill="FAFAFA" w:val="clear"/>
          </w:tcPr>
          <w:p>
            <w:r>
              <w:rPr>
                <w:sz w:val="17"/>
              </w:rPr>
              <w:t>5,918</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4,769</w:t>
            </w:r>
          </w:p>
        </w:tc>
        <w:tc>
          <w:tcPr>
            <w:tcW w:type="dxa" w:w="1440"/>
            <w:shd w:fill="FAFAFA" w:val="clear"/>
          </w:tcPr>
          <w:p>
            <w:r>
              <w:rPr>
                <w:b/>
                <w:sz w:val="17"/>
              </w:rPr>
              <w:t>5,368</w:t>
            </w:r>
          </w:p>
        </w:tc>
        <w:tc>
          <w:tcPr>
            <w:tcW w:type="dxa" w:w="1440"/>
            <w:shd w:fill="FAFAFA" w:val="clear"/>
          </w:tcPr>
          <w:p>
            <w:r>
              <w:rPr>
                <w:sz w:val="17"/>
              </w:rPr>
              <w:t>5,968</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4,636</w:t>
            </w:r>
          </w:p>
        </w:tc>
        <w:tc>
          <w:tcPr>
            <w:tcW w:type="dxa" w:w="1440"/>
            <w:shd w:fill="FAFAFA" w:val="clear"/>
          </w:tcPr>
          <w:p>
            <w:r>
              <w:rPr>
                <w:b/>
                <w:sz w:val="17"/>
              </w:rPr>
              <w:t>5,322</w:t>
            </w:r>
          </w:p>
        </w:tc>
        <w:tc>
          <w:tcPr>
            <w:tcW w:type="dxa" w:w="1440"/>
            <w:shd w:fill="FAFAFA" w:val="clear"/>
          </w:tcPr>
          <w:p>
            <w:r>
              <w:rPr>
                <w:sz w:val="17"/>
              </w:rPr>
              <w:t>6,008</w:t>
            </w:r>
          </w:p>
        </w:tc>
        <w:tc>
          <w:tcPr>
            <w:tcW w:type="dxa" w:w="1440"/>
            <w:shd w:fill="FAFAFA" w:val="clear"/>
          </w:tcPr>
          <w:p>
            <w:r>
              <w:rPr>
                <w:b/>
                <w:color w:val="C00000"/>
                <w:sz w:val="17"/>
              </w:rPr>
              <w:t>-1.4%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4,522</w:t>
            </w:r>
          </w:p>
        </w:tc>
        <w:tc>
          <w:tcPr>
            <w:tcW w:type="dxa" w:w="1440"/>
            <w:shd w:fill="FFDCE0" w:val="clear"/>
          </w:tcPr>
          <w:p>
            <w:r>
              <w:rPr>
                <w:b/>
                <w:sz w:val="17"/>
              </w:rPr>
              <w:t>5,284</w:t>
            </w:r>
          </w:p>
        </w:tc>
        <w:tc>
          <w:tcPr>
            <w:tcW w:type="dxa" w:w="1440"/>
            <w:shd w:fill="FFDCE0" w:val="clear"/>
          </w:tcPr>
          <w:p>
            <w:r>
              <w:rPr>
                <w:sz w:val="17"/>
              </w:rPr>
              <w:t>6,046</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4,424</w:t>
            </w:r>
          </w:p>
        </w:tc>
        <w:tc>
          <w:tcPr>
            <w:tcW w:type="dxa" w:w="1440"/>
            <w:shd w:fill="FFDCE0" w:val="clear"/>
          </w:tcPr>
          <w:p>
            <w:r>
              <w:rPr>
                <w:b/>
                <w:sz w:val="17"/>
              </w:rPr>
              <w:t>5,254</w:t>
            </w:r>
          </w:p>
        </w:tc>
        <w:tc>
          <w:tcPr>
            <w:tcW w:type="dxa" w:w="1440"/>
            <w:shd w:fill="FFDCE0" w:val="clear"/>
          </w:tcPr>
          <w:p>
            <w:r>
              <w:rPr>
                <w:sz w:val="17"/>
              </w:rPr>
              <w:t>6,083</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4,338</w:t>
            </w:r>
          </w:p>
        </w:tc>
        <w:tc>
          <w:tcPr>
            <w:tcW w:type="dxa" w:w="1440"/>
            <w:shd w:fill="FFDCE0" w:val="clear"/>
          </w:tcPr>
          <w:p>
            <w:r>
              <w:rPr>
                <w:b/>
                <w:sz w:val="17"/>
              </w:rPr>
              <w:t>5,230</w:t>
            </w:r>
          </w:p>
        </w:tc>
        <w:tc>
          <w:tcPr>
            <w:tcW w:type="dxa" w:w="1440"/>
            <w:shd w:fill="FFDCE0" w:val="clear"/>
          </w:tcPr>
          <w:p>
            <w:r>
              <w:rPr>
                <w:sz w:val="17"/>
              </w:rPr>
              <w:t>6,122</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4,261</w:t>
            </w:r>
          </w:p>
        </w:tc>
        <w:tc>
          <w:tcPr>
            <w:tcW w:type="dxa" w:w="1440"/>
            <w:shd w:fill="FFDCE0" w:val="clear"/>
          </w:tcPr>
          <w:p>
            <w:r>
              <w:rPr>
                <w:b/>
                <w:sz w:val="17"/>
              </w:rPr>
              <w:t>5,211</w:t>
            </w:r>
          </w:p>
        </w:tc>
        <w:tc>
          <w:tcPr>
            <w:tcW w:type="dxa" w:w="1440"/>
            <w:shd w:fill="FFDCE0" w:val="clear"/>
          </w:tcPr>
          <w:p>
            <w:r>
              <w:rPr>
                <w:sz w:val="17"/>
              </w:rPr>
              <w:t>6,161</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4,191</w:t>
            </w:r>
          </w:p>
        </w:tc>
        <w:tc>
          <w:tcPr>
            <w:tcW w:type="dxa" w:w="1440"/>
            <w:shd w:fill="FFDCE0" w:val="clear"/>
          </w:tcPr>
          <w:p>
            <w:r>
              <w:rPr>
                <w:b/>
                <w:sz w:val="17"/>
              </w:rPr>
              <w:t>5,196</w:t>
            </w:r>
          </w:p>
        </w:tc>
        <w:tc>
          <w:tcPr>
            <w:tcW w:type="dxa" w:w="1440"/>
            <w:shd w:fill="FFDCE0" w:val="clear"/>
          </w:tcPr>
          <w:p>
            <w:r>
              <w:rPr>
                <w:sz w:val="17"/>
              </w:rPr>
              <w:t>6,201</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4,127</w:t>
            </w:r>
          </w:p>
        </w:tc>
        <w:tc>
          <w:tcPr>
            <w:tcW w:type="dxa" w:w="1440"/>
            <w:shd w:fill="FFDCE0" w:val="clear"/>
          </w:tcPr>
          <w:p>
            <w:r>
              <w:rPr>
                <w:b/>
                <w:sz w:val="17"/>
              </w:rPr>
              <w:t>5,184</w:t>
            </w:r>
          </w:p>
        </w:tc>
        <w:tc>
          <w:tcPr>
            <w:tcW w:type="dxa" w:w="1440"/>
            <w:shd w:fill="FFDCE0" w:val="clear"/>
          </w:tcPr>
          <w:p>
            <w:r>
              <w:rPr>
                <w:sz w:val="17"/>
              </w:rPr>
              <w:t>6,241</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43,85 milliards FCFA, SAFC se positionne comme une valeur de taille moyenne sur la cote BRVM, loin des poids lourds bancaires comme Sonatel ou Ecobank, ce qui la rend sensible aux mouvements de faible volume. Le BPA de 86 FCFA/action indique que chaque titre génère un bénéfice net modeste, ce qui, rapporté au cours actuel de 5 400 FCFA, aboutit à un PER de 62,5x — un niveau extrêmement élevé comparé à la moyenne BRVM (8-12x), signifiant que les investisseurs paient environ 62 fois les bénéfices actuels, soit une anticipation forte de croissance future ou une prime spéculative. Le ratio P/B de 7,41x confirme cette valorisation exigeante : le marché valorise la société à plus de 7 fois sa valeur comptable, ce qui est très supérieur au seuil de 4x généralement considéré comme déjà tendu. Enfin, l'EV/EBITDA de 79,6x, très au-dessus du seuil de 15x, traduit une valeur d'entreprise déconnectée de la capacité opérationnelle actuelle, ce qui invite à la plus grande prudence malgré la dynamique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affiche une variation quasi nulle de -0,46%, mais la dernière séance (J-1) enregistre un repli marqué de -1,64%, signalant une pression vendeuse récente. Le titre a évolué dans un range très large, entre un plus bas de 3 340 FCFA et un plus haut de 6 200 FCFA, soit une amplitude de près de 86%, ce qui témoigne d'une forte volatilité et d'un intérêt spéculatif important. La tendance générale est haussière sur la période (le cours actuel de 5 400 FCFA se situe bien au-dessus de la moyenne de 4 614 FCFA), mais marque une correction depuis les sommets. Les statistiques descriptives révèlent une moyenne (4 614 FCFA) supérieure à la médiane (4 505 FCFA), avec un skewness de 0,336 indiquant une distribution légèrement étalée vers la droite (quelques valeurs hautes tirent la moyenne vers le haut). L'écart-type de 818 FCFA et le coefficient de variation de 17,7% confirment une dispersion modérée autour de la moyenne, tandis que le kurtosis de -1,139 (distribution platykurtique) indique une faible concentration des valeurs autour de la moyenne, donc un risque de pics moins fréquent mais des mouvements amples. La volatilité annualisée de 81,0% classe ce titre dans la catégorie des valeurs à volatilité élevée (&gt;30%), ce qui est cohérent avec un dossier en phase de redressement et de spéculation.</w:t>
      </w:r>
    </w:p>
    <w:p>
      <w:pPr>
        <w:spacing w:after="120" w:line="276" w:lineRule="auto"/>
      </w:pPr>
      <w:r>
        <w:t>---</w:t>
      </w:r>
    </w:p>
    <w:p>
      <w:pPr>
        <w:spacing w:after="120" w:line="276" w:lineRule="auto"/>
      </w:pPr>
      <w:r>
        <w:t>### **PARTIE 2 : ANALYSE TECHNIQUE DÉTAILLÉE**</w:t>
      </w:r>
    </w:p>
    <w:p>
      <w:pPr>
        <w:spacing w:after="120" w:line="276" w:lineRule="auto"/>
      </w:pPr>
      <w:r>
        <w:t>**Moyennes Mobiles** : La MM20 (5 768,5 FCFA) est supérieure à la MM50 (5 144,3 FCFA), et le cours actuel (5 400 FCFA) se situe entre les deux, sous la MM20 mais au-dessus de la MM50. Cette configuration suggère une tendance haussière de fond (MM20 &gt; MM50) mais une correction à court terme, justifiant la décision « Achat » sur la base du croisement haussier des moyennes, bien que le cours doive repasser au-dessus de la MM20 pour confirmer.</w:t>
      </w:r>
    </w:p>
    <w:p>
      <w:pPr>
        <w:spacing w:after="120" w:line="276" w:lineRule="auto"/>
      </w:pPr>
      <w:r>
        <w:t>**Bandes de Bollinger** : Le cours (5 400 FCFA) se situe dans la partie basse de la bande, entre la borne inférieure (5 288,99 FCFA) et la borne supérieure (6 248,01 FCFA), mais très proche de la borne inférieure. Cela indique une pression baissière récente et une volatilité qui reste contenue dans les bandes, justifiant la décision « Neutre » : le titre n'est ni en surachat ni en survente, mais la proximité de la borne basse appelle à la prudence.</w:t>
      </w:r>
    </w:p>
    <w:p>
      <w:pPr>
        <w:spacing w:after="120" w:line="276" w:lineRule="auto"/>
      </w:pPr>
      <w:r>
        <w:t>**MACD** : La valeur du MACD (106,42) est nettement inférieure à son signal (213,00), ce qui constitue un croisement baissier et un momentum négatif. Cette divergence indique que la dynamique haussière s'essouffle, justifiant pleinement la décision « Vente » à court terme.</w:t>
      </w:r>
    </w:p>
    <w:p>
      <w:pPr>
        <w:spacing w:after="120" w:line="276" w:lineRule="auto"/>
      </w:pPr>
      <w:r>
        <w:t>**RSI** : À 44,14, le RSI se situe dans la zone neutre (30-70), sans signal de surachat ni de survente. Cela reflète un équilibre entre acheteurs et vendeurs, justifiant la décision « Neutre » : le titre n'offre pas de signal directionnel fort à ce stade.</w:t>
      </w:r>
    </w:p>
    <w:p>
      <w:pPr>
        <w:spacing w:after="120" w:line="276" w:lineRule="auto"/>
      </w:pPr>
      <w:r>
        <w:t>**Stochastique** : Le %K (21,57) est légèrement supérieur au %D (17,32), et les deux se situent en zone de survente (&lt;20 pour le %D). Un croisement haussier du %K au-dessus du %D en zone de survente pourrait signaler un rebond imminent, mais la faiblesse des valeurs justifie une décision « Neutre » dans l'attente d'une confirmation.</w:t>
      </w:r>
    </w:p>
    <w:p>
      <w:pPr>
        <w:spacing w:after="120" w:line="276" w:lineRule="auto"/>
      </w:pPr>
      <w:r>
        <w:t>**Conclusion technique** : Les indicateurs sont majoritairement neutres à baissiers (MACD baissier, cours sous la MM20, RSI neutre), avec toutefois un potentiel de rebond technique (Stochastique en survente, cours proche de la borne basse de Bollinger). La convergence des signaux ne plaide pas pour un achat agressif à court terme, mais la tendance de fond reste haussière (MM20 &gt; MM50). Une confirmation du retournement (cours &gt; MM20, MACD &gt; signal) serait nécessaire pour envisager une position acheteuse.</w:t>
      </w:r>
    </w:p>
    <w:p>
      <w:pPr>
        <w:spacing w:after="120" w:line="276" w:lineRule="auto"/>
      </w:pPr>
      <w:r>
        <w:t>---</w:t>
      </w:r>
    </w:p>
    <w:p>
      <w:pPr>
        <w:spacing w:after="120" w:line="276" w:lineRule="auto"/>
      </w:pPr>
      <w:r>
        <w:t>### **PARTIE 3 : ANALYSE FONDAMENTALE**</w:t>
      </w:r>
    </w:p>
    <w:p>
      <w:pPr>
        <w:spacing w:after="120" w:line="276" w:lineRule="auto"/>
      </w:pPr>
      <w:r>
        <w:t>En 2025, SAFC a réalisé un Produit Net Bancaire (PNB, équivalent du chiffre d'affaires pour une banque) de 5 735 millions FCFA, en hausse spectaculaire de 44,1% par rapport aux 3 980 millions FCFA de 2024 (rapport annuel 2025, analysé par DeepSeek le 10/06/2026). Le résultat net s'établit à 701 millions FCFA, marquant un retournement historique après une perte de 165 millions FCFA en 2024 et huit années consécutives de déficits (rapport 2025, analysé par DeepSeek le 04/09/2026). Le ROE ressort à 11,85% (résultat net / capitaux propres de 5 916 millions FCFA), un niveau correct mais inférieur au seuil d'excellence de 15%, tandis que le ROA est faible à 0,88%, reflétant la structure très endettée du bilan. Le coefficient d'exploitation de 77,63% reste élevé (seuil d'efficacité &lt;60%), indiquant que les charges d'exploitation absorbent encore une part importante du PNB, bien qu'en amélioration. Le coût du risque, à 6,57% des charges financières, demeure un point de vigilance, tout comme le taux de créances en souffrance de 20,1% (rapport 2024, analysé par Mistral le 15/03/2026), bien au-dessus des standards du secteur (12-15%). La structure financière reste fragile : l'autonomie financière n'est que de 7,44% (capitaux propres / total bilan), le ratio d'endettement atteint 856,36%, et la trésorerie nette est négative à -35,3 milliards FCFA, traduisant une dépendance élevée aux dettes interbancaires (35,75 milliards FCFA). Les rapports trimestriels 2026 confirment l'accélération : au T1 2026 (rapport analysé par DeepSeek le 12/05/2026), le PNB progresse de 29% à 1 395 millions FCFA et le résultat net bondit de 1 062% à 151 millions FCFA, avec un coût du risque en baisse de 75%. Au S1 2026 (rapport analysé par DeepSeek le 04/09/2026), le PNB atteint 2 907 millions FCFA (+37%) et le résultat net 731 millions FCFA (+231%), avec une reprise nette sur coût du risque de 261 millions FCFA. On estime donc que l'exercice 2026 devrait afficher un PNB supérieur à 6 milliards FCFA et un résultat net en forte croissance, potentiellement supérieur à 1,2 milliard FCFA, si la dynamique se poursuit. La recommandation fondamentale est positive sur la dynamique (redressement confirmé, gouvernance renforcée par CREDAF Group), mais la prudence reste de mise en raison de la fragilité des fonds propres, du report à nouveau négatif (-4 123 millions FCFA) et de la dépendance au financement interbancaire.</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exigeante : avec un PER de 62,5x, un P/B de 7,41x et un EV/EBITDA de 79,6x, le marché intègre déjà une forte anticipation de croissance, ce qui limite le potentiel de revalorisation à court terme et expose à une correction en cas de déception. Le comportement du cours (Partie 1) est mitigé : la tendance de fond est haussière (+86% d'amplitude sur 100 jours), mais la volatilité annualisée de 81% et la distribution platykurtique (kurtosis -1,139) indiquent un risque de mouvements amples et imprévisibles, avec une légère asymétrie positive (skewness 0,336) qui suggère quelques pics haussiers. Les signaux techniques (Partie 2) sont divergents : le MACD est baissier, le cours est sous la MM20, mais le Stochastique est en survente et la MM50 reste haussière, ce qui plaide pour une consolidation avant un éventuel rebond. Les fondamentaux (Partie 3) sont en nette amélioration : le retour à la rentabilité en 2025 (701 millions FCFA de résultat net) et l'accélération au S1 2026 (731 millions FCFA, +231%) confirment la réussite du redressement sous l'égide de CREDAF Group, mais la structure financière reste fragile (autonomie financière de 7,44%, trésorerie nette négative). Les prédictions IA (J+1 à J+10) anticipent une baisse progressive du cours de 5 478 FCFA à 5 284 FCFA, ce qui contredit la dynamique fondamentale mais confirme les signaux techniques baissiers à court terme. **En synthèse, la convergence est partielle : les fondamentaux sont solides et en amélioration, mais la valorisation est très tendue et les signaux techniques à court terme sont baissiers, ce qui suggère une correction avant une reprise durable.** La recommandation finale est **CONSERVER** (avec un biais spéculatif pour les investisseurs avisés), car le potentiel de redressement est réel mais déjà largement intégré dans les cours, et le risque de correction à court terme est élevé. Le niveau de confiance est **Moyen** (les fondamentaux sont bons mais la valorisation et la technique incitent à la prudence), et le niveau de risque global est **Élevé** (volatilité de 81%, fragilité des fonds propres, dépendance au financement interbancaire). L'horizon d'investissement optimal est **moyen à long terme (3-12 mois et au-delà)**, en attendant une confirmation de la poursuite du redressement et une normalisation de la valorisation.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64.48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10,763 titres</w:t>
            </w:r>
          </w:p>
        </w:tc>
        <w:tc>
          <w:tcPr>
            <w:tcW w:type="dxa" w:w="2268"/>
            <w:shd w:fill="FFF2CC" w:val="clear"/>
          </w:tcPr>
          <w:p>
            <w:r>
              <w:rPr>
                <w:b/>
                <w:color w:val="503200"/>
                <w:sz w:val="16"/>
              </w:rPr>
              <w:t xml:space="preserve">Cours actuel : </w:t>
            </w:r>
            <w:r>
              <w:rPr>
                <w:color w:val="000000"/>
                <w:sz w:val="17"/>
              </w:rPr>
              <w:t>3,290 FCFA</w:t>
            </w:r>
          </w:p>
          <w:p>
            <w:r>
              <w:rPr>
                <w:b/>
                <w:color w:val="503200"/>
                <w:sz w:val="16"/>
              </w:rPr>
              <w:t xml:space="preserve">Var. 100 jours : </w:t>
            </w:r>
            <w:r>
              <w:rPr>
                <w:b/>
                <w:color w:val="007800"/>
                <w:sz w:val="17"/>
              </w:rPr>
              <w:t>+61.27%</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18.79% (Élevée) — μ=3,078 FCFA, σ=578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β=0.3546 (Défensif) — Cov=0.000012, Var(idx)=0.000034, ρ=0.061,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σ_j=3.39%/j (Modérée) — Vol. annualisée≈53.8%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3,186</w:t>
            </w:r>
          </w:p>
        </w:tc>
        <w:tc>
          <w:tcPr>
            <w:tcW w:type="dxa" w:w="1440"/>
            <w:shd w:fill="FAFAFA" w:val="clear"/>
          </w:tcPr>
          <w:p>
            <w:r>
              <w:rPr>
                <w:b/>
                <w:sz w:val="17"/>
              </w:rPr>
              <w:t>3,303</w:t>
            </w:r>
          </w:p>
        </w:tc>
        <w:tc>
          <w:tcPr>
            <w:tcW w:type="dxa" w:w="1440"/>
            <w:shd w:fill="FAFAFA" w:val="clear"/>
          </w:tcPr>
          <w:p>
            <w:r>
              <w:rPr>
                <w:sz w:val="17"/>
              </w:rPr>
              <w:t>3,420</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3,167</w:t>
            </w:r>
          </w:p>
        </w:tc>
        <w:tc>
          <w:tcPr>
            <w:tcW w:type="dxa" w:w="1440"/>
            <w:shd w:fill="FAFAFA" w:val="clear"/>
          </w:tcPr>
          <w:p>
            <w:r>
              <w:rPr>
                <w:b/>
                <w:sz w:val="17"/>
              </w:rPr>
              <w:t>3,334</w:t>
            </w:r>
          </w:p>
        </w:tc>
        <w:tc>
          <w:tcPr>
            <w:tcW w:type="dxa" w:w="1440"/>
            <w:shd w:fill="FAFAFA" w:val="clear"/>
          </w:tcPr>
          <w:p>
            <w:r>
              <w:rPr>
                <w:sz w:val="17"/>
              </w:rPr>
              <w:t>3,501</w:t>
            </w:r>
          </w:p>
        </w:tc>
        <w:tc>
          <w:tcPr>
            <w:tcW w:type="dxa" w:w="1440"/>
            <w:shd w:fill="FAFAFA" w:val="clear"/>
          </w:tcPr>
          <w:p>
            <w:r>
              <w:rPr>
                <w:b/>
                <w:color w:val="008000"/>
                <w:sz w:val="17"/>
              </w:rPr>
              <w:t>+1.3%</w:t>
            </w:r>
          </w:p>
        </w:tc>
      </w:tr>
      <w:tr>
        <w:tc>
          <w:tcPr>
            <w:tcW w:type="dxa" w:w="1440"/>
            <w:shd w:fill="C6EFCE" w:val="clear"/>
          </w:tcPr>
          <w:p>
            <w:r>
              <w:rPr>
                <w:sz w:val="17"/>
              </w:rPr>
              <w:t>J+3  Moyenne</w:t>
            </w:r>
          </w:p>
        </w:tc>
        <w:tc>
          <w:tcPr>
            <w:tcW w:type="dxa" w:w="1440"/>
            <w:shd w:fill="C6EFCE" w:val="clear"/>
          </w:tcPr>
          <w:p>
            <w:r>
              <w:rPr>
                <w:sz w:val="17"/>
              </w:rPr>
              <w:t>2026-09-16</w:t>
            </w:r>
          </w:p>
        </w:tc>
        <w:tc>
          <w:tcPr>
            <w:tcW w:type="dxa" w:w="1440"/>
            <w:shd w:fill="C6EFCE" w:val="clear"/>
          </w:tcPr>
          <w:p>
            <w:r>
              <w:rPr>
                <w:sz w:val="17"/>
              </w:rPr>
              <w:t>3,166</w:t>
            </w:r>
          </w:p>
        </w:tc>
        <w:tc>
          <w:tcPr>
            <w:tcW w:type="dxa" w:w="1440"/>
            <w:shd w:fill="C6EFCE" w:val="clear"/>
          </w:tcPr>
          <w:p>
            <w:r>
              <w:rPr>
                <w:b/>
                <w:sz w:val="17"/>
              </w:rPr>
              <w:t>3,373</w:t>
            </w:r>
          </w:p>
        </w:tc>
        <w:tc>
          <w:tcPr>
            <w:tcW w:type="dxa" w:w="1440"/>
            <w:shd w:fill="C6EFCE" w:val="clear"/>
          </w:tcPr>
          <w:p>
            <w:r>
              <w:rPr>
                <w:sz w:val="17"/>
              </w:rPr>
              <w:t>3,581</w:t>
            </w:r>
          </w:p>
        </w:tc>
        <w:tc>
          <w:tcPr>
            <w:tcW w:type="dxa" w:w="1440"/>
            <w:shd w:fill="C6EFCE" w:val="clear"/>
          </w:tcPr>
          <w:p>
            <w:r>
              <w:rPr>
                <w:b/>
                <w:color w:val="008000"/>
                <w:sz w:val="17"/>
              </w:rPr>
              <w:t>+2.5%</w:t>
            </w:r>
          </w:p>
        </w:tc>
      </w:tr>
      <w:tr>
        <w:tc>
          <w:tcPr>
            <w:tcW w:type="dxa" w:w="1440"/>
            <w:shd w:fill="C6EFCE" w:val="clear"/>
          </w:tcPr>
          <w:p>
            <w:r>
              <w:rPr>
                <w:sz w:val="17"/>
              </w:rPr>
              <w:t>J+4  ⭐</w:t>
            </w:r>
          </w:p>
        </w:tc>
        <w:tc>
          <w:tcPr>
            <w:tcW w:type="dxa" w:w="1440"/>
            <w:shd w:fill="C6EFCE" w:val="clear"/>
          </w:tcPr>
          <w:p>
            <w:r>
              <w:rPr>
                <w:sz w:val="17"/>
              </w:rPr>
              <w:t>2026-09-17</w:t>
            </w:r>
          </w:p>
        </w:tc>
        <w:tc>
          <w:tcPr>
            <w:tcW w:type="dxa" w:w="1440"/>
            <w:shd w:fill="C6EFCE" w:val="clear"/>
          </w:tcPr>
          <w:p>
            <w:r>
              <w:rPr>
                <w:sz w:val="17"/>
              </w:rPr>
              <w:t>3,162</w:t>
            </w:r>
          </w:p>
        </w:tc>
        <w:tc>
          <w:tcPr>
            <w:tcW w:type="dxa" w:w="1440"/>
            <w:shd w:fill="C6EFCE" w:val="clear"/>
          </w:tcPr>
          <w:p>
            <w:r>
              <w:rPr>
                <w:b/>
                <w:sz w:val="17"/>
              </w:rPr>
              <w:t>3,404</w:t>
            </w:r>
          </w:p>
        </w:tc>
        <w:tc>
          <w:tcPr>
            <w:tcW w:type="dxa" w:w="1440"/>
            <w:shd w:fill="C6EFCE" w:val="clear"/>
          </w:tcPr>
          <w:p>
            <w:r>
              <w:rPr>
                <w:sz w:val="17"/>
              </w:rPr>
              <w:t>3,645</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2026-09-18</w:t>
            </w:r>
          </w:p>
        </w:tc>
        <w:tc>
          <w:tcPr>
            <w:tcW w:type="dxa" w:w="1440"/>
            <w:shd w:fill="C6EFCE" w:val="clear"/>
          </w:tcPr>
          <w:p>
            <w:r>
              <w:rPr>
                <w:sz w:val="17"/>
              </w:rPr>
              <w:t>3,151</w:t>
            </w:r>
          </w:p>
        </w:tc>
        <w:tc>
          <w:tcPr>
            <w:tcW w:type="dxa" w:w="1440"/>
            <w:shd w:fill="C6EFCE" w:val="clear"/>
          </w:tcPr>
          <w:p>
            <w:r>
              <w:rPr>
                <w:b/>
                <w:sz w:val="17"/>
              </w:rPr>
              <w:t>3,422</w:t>
            </w:r>
          </w:p>
        </w:tc>
        <w:tc>
          <w:tcPr>
            <w:tcW w:type="dxa" w:w="1440"/>
            <w:shd w:fill="C6EFCE" w:val="clear"/>
          </w:tcPr>
          <w:p>
            <w:r>
              <w:rPr>
                <w:sz w:val="17"/>
              </w:rPr>
              <w:t>3,694</w:t>
            </w:r>
          </w:p>
        </w:tc>
        <w:tc>
          <w:tcPr>
            <w:tcW w:type="dxa" w:w="1440"/>
            <w:shd w:fill="C6EFCE" w:val="clear"/>
          </w:tcPr>
          <w:p>
            <w:r>
              <w:rPr>
                <w:b/>
                <w:color w:val="008000"/>
                <w:sz w:val="17"/>
              </w:rPr>
              <w:t>+4.0%</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3,135</w:t>
            </w:r>
          </w:p>
        </w:tc>
        <w:tc>
          <w:tcPr>
            <w:tcW w:type="dxa" w:w="1440"/>
            <w:shd w:fill="C6EFCE" w:val="clear"/>
          </w:tcPr>
          <w:p>
            <w:r>
              <w:rPr>
                <w:b/>
                <w:sz w:val="17"/>
              </w:rPr>
              <w:t>3,433</w:t>
            </w:r>
          </w:p>
        </w:tc>
        <w:tc>
          <w:tcPr>
            <w:tcW w:type="dxa" w:w="1440"/>
            <w:shd w:fill="C6EFCE" w:val="clear"/>
          </w:tcPr>
          <w:p>
            <w:r>
              <w:rPr>
                <w:sz w:val="17"/>
              </w:rPr>
              <w:t>3,731</w:t>
            </w:r>
          </w:p>
        </w:tc>
        <w:tc>
          <w:tcPr>
            <w:tcW w:type="dxa" w:w="1440"/>
            <w:shd w:fill="C6EFCE" w:val="clear"/>
          </w:tcPr>
          <w:p>
            <w:r>
              <w:rPr>
                <w:b/>
                <w:color w:val="008000"/>
                <w:sz w:val="17"/>
              </w:rPr>
              <w:t>+4.3%</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3,116</w:t>
            </w:r>
          </w:p>
        </w:tc>
        <w:tc>
          <w:tcPr>
            <w:tcW w:type="dxa" w:w="1440"/>
            <w:shd w:fill="C6EFCE" w:val="clear"/>
          </w:tcPr>
          <w:p>
            <w:r>
              <w:rPr>
                <w:b/>
                <w:sz w:val="17"/>
              </w:rPr>
              <w:t>3,438</w:t>
            </w:r>
          </w:p>
        </w:tc>
        <w:tc>
          <w:tcPr>
            <w:tcW w:type="dxa" w:w="1440"/>
            <w:shd w:fill="C6EFCE" w:val="clear"/>
          </w:tcPr>
          <w:p>
            <w:r>
              <w:rPr>
                <w:sz w:val="17"/>
              </w:rPr>
              <w:t>3,760</w:t>
            </w:r>
          </w:p>
        </w:tc>
        <w:tc>
          <w:tcPr>
            <w:tcW w:type="dxa" w:w="1440"/>
            <w:shd w:fill="C6EFCE" w:val="clear"/>
          </w:tcPr>
          <w:p>
            <w:r>
              <w:rPr>
                <w:b/>
                <w:color w:val="008000"/>
                <w:sz w:val="17"/>
              </w:rPr>
              <w:t>+4.5%</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3,096</w:t>
            </w:r>
          </w:p>
        </w:tc>
        <w:tc>
          <w:tcPr>
            <w:tcW w:type="dxa" w:w="1440"/>
            <w:shd w:fill="C6EFCE" w:val="clear"/>
          </w:tcPr>
          <w:p>
            <w:r>
              <w:rPr>
                <w:b/>
                <w:sz w:val="17"/>
              </w:rPr>
              <w:t>3,441</w:t>
            </w:r>
          </w:p>
        </w:tc>
        <w:tc>
          <w:tcPr>
            <w:tcW w:type="dxa" w:w="1440"/>
            <w:shd w:fill="C6EFCE" w:val="clear"/>
          </w:tcPr>
          <w:p>
            <w:r>
              <w:rPr>
                <w:sz w:val="17"/>
              </w:rPr>
              <w:t>3,786</w:t>
            </w:r>
          </w:p>
        </w:tc>
        <w:tc>
          <w:tcPr>
            <w:tcW w:type="dxa" w:w="1440"/>
            <w:shd w:fill="C6EFCE" w:val="clear"/>
          </w:tcPr>
          <w:p>
            <w:r>
              <w:rPr>
                <w:b/>
                <w:color w:val="008000"/>
                <w:sz w:val="17"/>
              </w:rPr>
              <w:t>+4.6%</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3,078</w:t>
            </w:r>
          </w:p>
        </w:tc>
        <w:tc>
          <w:tcPr>
            <w:tcW w:type="dxa" w:w="1440"/>
            <w:shd w:fill="C6EFCE" w:val="clear"/>
          </w:tcPr>
          <w:p>
            <w:r>
              <w:rPr>
                <w:b/>
                <w:sz w:val="17"/>
              </w:rPr>
              <w:t>3,444</w:t>
            </w:r>
          </w:p>
        </w:tc>
        <w:tc>
          <w:tcPr>
            <w:tcW w:type="dxa" w:w="1440"/>
            <w:shd w:fill="C6EFCE" w:val="clear"/>
          </w:tcPr>
          <w:p>
            <w:r>
              <w:rPr>
                <w:sz w:val="17"/>
              </w:rPr>
              <w:t>3,810</w:t>
            </w:r>
          </w:p>
        </w:tc>
        <w:tc>
          <w:tcPr>
            <w:tcW w:type="dxa" w:w="1440"/>
            <w:shd w:fill="C6EFCE" w:val="clear"/>
          </w:tcPr>
          <w:p>
            <w:r>
              <w:rPr>
                <w:b/>
                <w:color w:val="008000"/>
                <w:sz w:val="17"/>
              </w:rPr>
              <w:t>+4.7%</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3,060</w:t>
            </w:r>
          </w:p>
        </w:tc>
        <w:tc>
          <w:tcPr>
            <w:tcW w:type="dxa" w:w="1440"/>
            <w:shd w:fill="C6EFCE" w:val="clear"/>
          </w:tcPr>
          <w:p>
            <w:r>
              <w:rPr>
                <w:b/>
                <w:sz w:val="17"/>
              </w:rPr>
              <w:t>3,446</w:t>
            </w:r>
          </w:p>
        </w:tc>
        <w:tc>
          <w:tcPr>
            <w:tcW w:type="dxa" w:w="1440"/>
            <w:shd w:fill="C6EFCE" w:val="clear"/>
          </w:tcPr>
          <w:p>
            <w:r>
              <w:rPr>
                <w:sz w:val="17"/>
              </w:rPr>
              <w:t>3,832</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(Sucre)*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64,48 milliards FCFA, SCRC se positionne comme une valeur de taille moyenne sur la cote BRVM, représentant un poids non négligeable dans l'indice sectoriel agro-industriel. Le BPA ressort à -406 FCFA/action, traduisant une société en perte nette, ce qui rend le PER négatif à -8,1x et donc inexploitable en l'état — les investisseurs ne paient pas pour des bénéfices inexistants, mais spéculent sur un redressement futur. Le P/B de 3,74x indique que le marché valorise SCRC à près de quatre fois sa valeur comptable (capitaux propres de 17,24 Mds FCFA), soit une prime de croissance significative qui contraste fortement avec la fragilité financière actuelle. Enfin, l'EV/EBITDA de 10,5x situe la valeur totale de l'entreprise (incluant sa dette massive de 84,87 Mds FCFA) à 10,5 fois son excédent brut d'exploitation de 14,85 Mds FCFA — un niveau élevé qui intègre le poids considérable de l'endettement dans la structure de capital.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SCRC affiche une performance remarquable de +61,27%, portant le cours à 3 290 FCFA, malgré un repli de -1,79% lors de la dernière séance. Le range de trading est particulièrement large, avec un plus haut à 3 920 FCFA et un plus bas à 1 990 FCFA, soit une amplitude de près de 97% — signe d'une forte volatilité et d'un intérêt spéculatif marqué. La tendance générale est clairement haussière, portée par des anticipations de redressement opérationnel et un volume moyen quotidien de 10 763 titres, témoignant d'une liquidité correcte pour la BRVM. Les statistiques descriptives révèlent une moyenne de 3 078 FCFA légèrement inférieure à la médiane de 3 298 FCFA, avec un mode à 3 500 FCFA : cette asymétrie négative (skewness de -0,668) indique que le cours a passé plus de journées au-dessus de sa moyenne, mais que des baisses ponctuelles ont tiré la moyenne vers le bas. L'écart-type de 581 FCFA (CV de 18,9%) confirme une dispersion modérée autour de la moyenne, tandis que le kurtosis de -0,945 (mésokurtique) suggère une distribution proche de la normale, sans risque excessif de pics extrêmes. La volatilité annualisée de 53,8% classe le titre dans la catégorie des valeurs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(3 475,75 FCFA) et la MM50 (3 554,0 FCFA) se situent toutes deux au-dessus du cours actuel (3 290 FCFA), ce qui place le titre en position baissière à court et moyen terme. La MM20 étant inférieure à la MM50, on observe une configuration de croisement baissier (death cross) qui confirme la pression vendeuse. La décision technique est donc logiquement à la vente.</w:t>
      </w:r>
    </w:p>
    <w:p>
      <w:pPr>
        <w:spacing w:after="120" w:line="276" w:lineRule="auto"/>
      </w:pPr>
      <w:r>
        <w:t>**Bandes de Bollinger** : Le cours (3 290 FCFA) évolue dans la partie basse des bandes, entre la borne inférieure (3 245,85 FCFA) et la borne supérieure (3 705,65 FCFA). La proximité immédiate de la borne inférieure suggère que le titre est proche d'une zone de survente relative, ce qui justifie une décision neutre — le potentiel de rebond technique existe, mais la pression baissière reste présente.</w:t>
      </w:r>
    </w:p>
    <w:p>
      <w:pPr>
        <w:spacing w:after="120" w:line="276" w:lineRule="auto"/>
      </w:pPr>
      <w:r>
        <w:t>**MACD** : La valeur du MACD (-35,271) est nettement inférieure à son signal (-13,143), creusant un écart négatif qui traduit un momentum baissier persistant. Cette divergence négative indique que la dynamique de court terme reste défavorable, bien que l'ampleur de l'écart commence à suggérer une possible exhaustion de la tendance baissière. La décision est à la vente.</w:t>
      </w:r>
    </w:p>
    <w:p>
      <w:pPr>
        <w:spacing w:after="120" w:line="276" w:lineRule="auto"/>
      </w:pPr>
      <w:r>
        <w:t>**RSI** : À 43,077, le RSI se situe dans la zone neutre (30-70), sans signal de surachat ni de survente. Cette position médiane indique un équilibre relatif entre acheteurs et vendeurs, sans pression directionnelle forte. La décision est neutre, le marché attendant un catalyseur pour choisir sa direction.</w:t>
      </w:r>
    </w:p>
    <w:p>
      <w:pPr>
        <w:spacing w:after="120" w:line="276" w:lineRule="auto"/>
      </w:pPr>
      <w:r>
        <w:t>**Stochastique** : Le %K à 0,0 et le %D à 5,455 sont tous deux en zone de survente extrême (&lt;20), avec un %K au plus bas absolu. Cette configuration signale un épuisement de la pression vendeuse et un fort potentiel de rebond à court terme, justifiant une décision d'achat contrariante.</w:t>
      </w:r>
    </w:p>
    <w:p>
      <w:pPr>
        <w:spacing w:after="120" w:line="276" w:lineRule="auto"/>
      </w:pPr>
      <w:r>
        <w:t>**Conclusion technique** : Les indicateurs sont majoritairement baissiers (MM, MACD), mais le Stochastique en survente extrême et la proximité de la borne inférieure de Bollinger suggèrent un possible rebond technique imminent. Le RSI neutre confirme l'absence de signal directionnel fort. La convergence des signaux baissiers à moyen terme et des signaux de rebond à court terme plaide pour une prudence accrue, avec une surveillance attentive des niveaux de support à 3 245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profondément dégradée. Le chiffre d'affaires s'établit à 80,57 Mds FCFA, en recul de 7,6% par rapport aux 87,22 Mds FCFA de 2024, tandis que le résultat net plonge à -7,95 Mds FCFA (contre un bénéfice de 2,47 Mds FCFA en 2024), soit une dégradation de 421%. Le ROE est catastrophique à -46,13% et le ROA à -5,08%, traduisant une destruction massive de valeur. La marge nette est négative à -9,87%, et la marge opérationnelle s'effondre à -0,68% contre +9,3% en 2024. Sur le plan de la structure financière, l'autonomie financière est quasi inexistante à 11,02% (capitaux propres de 17,24 Mds FCFA pour un total bilan de 156,43 Mds FCFA), et le ratio d'endettement atteint 88,98% avec des dettes totales de 139,18 Mds FCFA. La trésorerie nette est négative à -6,51 Mds FCFA, et le fonds de roulement est négatif à -10,67 Mds FCFA, signe de tensions de liquidité aiguës. Les délais d'exploitation sont préoccupants : délai clients de 12,28 jours (correct), mais délai fournisseurs de 366,07 jours (très élevé, ce qui constitue paradoxalement une source de financement gratuite) et durée de stockage de 360,73 jours (immobilisation de capital massive). Le BFR de 6,53 Mds FCFA est positif, ce qui est défavorable pour une entreprise en difficulté. Les rapports narratifs (notamment le rapport annuel 2025 analysé par DeepSeek en mai 2026) confirment cette analyse en soulignant l'explosion du coût de l'endettement (+262% à 6,79 Mds FCFA) et la chute du flux opérationnel de 43% à 10,38 Mds FCFA. Le rapport du 1er semestre 2025 (daté du 30 juin 2025) indiquait déjà une perte nette de -6,71 Mds FCFA et un résultat d'exploitation négatif de -3,18 Mds FCFA, confirmant la tendance baissière avant même la publication des résultats annuels. Les perspectives pour 2026 restent très préoccupantes : la société devra impérativement restructurer sa dette et améliorer ses marges opérationnelles pour espérer un retour à la profitabilité, mais les investissements massifs en cours (25,2 Mds FCFA) pèsent lourdement sur la trésorerie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profonde entre les signaux. Sur le plan de la **valorisation (Partie 0)**, le PER négatif et le P/B élevé de 3,74x indiquent que le marché valorise SCRC bien au-delà de ses fondamentaux actuels, porté par des anticipations de redressement qui ne sont pas encore matérialisées. Le **comportement du cours (Partie 1)** est paradoxal : malgré une tendance haussière de +61,27% sur 100 jours, la volatilité annualisée de 53,8% et l'asymétrie négative (skewness -0,668) suggèrent que la hausse est fragile et pourrait être suivie de corrections brutales. Les **signaux techniques (Partie 2)** sont majoritairement baissiers (MM, MACD), mais le Stochastique en survente extrême et la proximité de la borne inférieure de Bollinger indiquent un possible rebond à court terme — une divergence qui appelle à la prudence. Les **fondamentaux (Partie 3)** sont alarmants : perte nette de -7,95 Mds FCFA en 2025, ROE de -46,13%, endettement critique (88,98% de ratio d'endettement), trésorerie nette négative et fonds de roulement négatif. Les **prédictions IA (J+1 à J+10)** anticipent une légère reprise du cours (3 303 FCFA à 3 422 FCFA), ce qui contredit les signaux techniques baissiers mais s'aligne sur le potentiel de rebond identifié par le Stochastique. Face à cette convergence défavorable des fondamentaux et des signaux techniques à moyen terme, tempérée par un possible rebond spéculatif à court terme, la recommandation finale est **VENTE** avec un niveau de confiance **Moyen** et un risque global **Élevé**. L'horizon d'investissement optimal est **court terme (&lt;3 mois)** pour les investisseurs cherchant à profiter du rebond technique, mais la prudence est de mise : la fragilité financière de SCRC et l'absence de visibilité sur un retour durable à la profitabilité en font une valeur à éviter pour les investisseurs fondamentaux. Une **VENTE FORTE** serait justifiée si le cours venait à casser le support de 3 245 FCFA (borne inférieure de Bollinger), ce qui confirmerait la reprise de la tendance baissière.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120.60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1,311 titres</w:t>
            </w:r>
          </w:p>
        </w:tc>
        <w:tc>
          <w:tcPr>
            <w:tcW w:type="dxa" w:w="2268"/>
            <w:shd w:fill="FFF2CC" w:val="clear"/>
          </w:tcPr>
          <w:p>
            <w:r>
              <w:rPr>
                <w:b/>
                <w:color w:val="503200"/>
                <w:sz w:val="16"/>
              </w:rPr>
              <w:t xml:space="preserve">Cours actuel : </w:t>
            </w:r>
            <w:r>
              <w:rPr>
                <w:color w:val="000000"/>
                <w:sz w:val="17"/>
              </w:rPr>
              <w:t>13,400 FCFA</w:t>
            </w:r>
          </w:p>
          <w:p>
            <w:r>
              <w:rPr>
                <w:b/>
                <w:color w:val="503200"/>
                <w:sz w:val="16"/>
              </w:rPr>
              <w:t xml:space="preserve">Var. 100 jours : </w:t>
            </w:r>
            <w:r>
              <w:rPr>
                <w:b/>
                <w:color w:val="007800"/>
                <w:sz w:val="17"/>
              </w:rPr>
              <w:t>+87.68%</w:t>
            </w:r>
          </w:p>
          <w:p>
            <w:r>
              <w:rPr>
                <w:b/>
                <w:color w:val="503200"/>
                <w:sz w:val="16"/>
              </w:rPr>
              <w:t xml:space="preserve">Plus haut 100j : </w:t>
            </w:r>
            <w:r>
              <w:rPr>
                <w:color w:val="000000"/>
                <w:sz w:val="17"/>
              </w:rPr>
              <w:t>13,710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13.96% (Moyenne) — μ=11,275 FCFA, σ=1,574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β=0.0748 (Défensif) — Cov=0.000003, Var(idx)=0.000034, ρ=0.019,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13,116</w:t>
            </w:r>
          </w:p>
        </w:tc>
        <w:tc>
          <w:tcPr>
            <w:tcW w:type="dxa" w:w="1440"/>
            <w:shd w:fill="FAFAFA" w:val="clear"/>
          </w:tcPr>
          <w:p>
            <w:r>
              <w:rPr>
                <w:b/>
                <w:sz w:val="17"/>
              </w:rPr>
              <w:t>13,557</w:t>
            </w:r>
          </w:p>
        </w:tc>
        <w:tc>
          <w:tcPr>
            <w:tcW w:type="dxa" w:w="1440"/>
            <w:shd w:fill="FAFAFA" w:val="clear"/>
          </w:tcPr>
          <w:p>
            <w:r>
              <w:rPr>
                <w:sz w:val="17"/>
              </w:rPr>
              <w:t>13,999</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13,000</w:t>
            </w:r>
          </w:p>
        </w:tc>
        <w:tc>
          <w:tcPr>
            <w:tcW w:type="dxa" w:w="1440"/>
            <w:shd w:fill="FAFAFA" w:val="clear"/>
          </w:tcPr>
          <w:p>
            <w:r>
              <w:rPr>
                <w:b/>
                <w:sz w:val="17"/>
              </w:rPr>
              <w:t>13,628</w:t>
            </w:r>
          </w:p>
        </w:tc>
        <w:tc>
          <w:tcPr>
            <w:tcW w:type="dxa" w:w="1440"/>
            <w:shd w:fill="FAFAFA" w:val="clear"/>
          </w:tcPr>
          <w:p>
            <w:r>
              <w:rPr>
                <w:sz w:val="17"/>
              </w:rPr>
              <w:t>14,256</w:t>
            </w:r>
          </w:p>
        </w:tc>
        <w:tc>
          <w:tcPr>
            <w:tcW w:type="dxa" w:w="1440"/>
            <w:shd w:fill="FAFAFA" w:val="clear"/>
          </w:tcPr>
          <w:p>
            <w:r>
              <w:rPr>
                <w:b/>
                <w:color w:val="008000"/>
                <w:sz w:val="17"/>
              </w:rPr>
              <w:t>+1.7%</w:t>
            </w:r>
          </w:p>
        </w:tc>
      </w:tr>
      <w:tr>
        <w:tc>
          <w:tcPr>
            <w:tcW w:type="dxa" w:w="1440"/>
            <w:shd w:fill="C6EFCE" w:val="clear"/>
          </w:tcPr>
          <w:p>
            <w:r>
              <w:rPr>
                <w:sz w:val="17"/>
              </w:rPr>
              <w:t>J+3  ⭐</w:t>
            </w:r>
          </w:p>
        </w:tc>
        <w:tc>
          <w:tcPr>
            <w:tcW w:type="dxa" w:w="1440"/>
            <w:shd w:fill="C6EFCE" w:val="clear"/>
          </w:tcPr>
          <w:p>
            <w:r>
              <w:rPr>
                <w:sz w:val="17"/>
              </w:rPr>
              <w:t>2026-09-16</w:t>
            </w:r>
          </w:p>
        </w:tc>
        <w:tc>
          <w:tcPr>
            <w:tcW w:type="dxa" w:w="1440"/>
            <w:shd w:fill="C6EFCE" w:val="clear"/>
          </w:tcPr>
          <w:p>
            <w:r>
              <w:rPr>
                <w:sz w:val="17"/>
              </w:rPr>
              <w:t>12,920</w:t>
            </w:r>
          </w:p>
        </w:tc>
        <w:tc>
          <w:tcPr>
            <w:tcW w:type="dxa" w:w="1440"/>
            <w:shd w:fill="C6EFCE" w:val="clear"/>
          </w:tcPr>
          <w:p>
            <w:r>
              <w:rPr>
                <w:b/>
                <w:sz w:val="17"/>
              </w:rPr>
              <w:t>13,693</w:t>
            </w:r>
          </w:p>
        </w:tc>
        <w:tc>
          <w:tcPr>
            <w:tcW w:type="dxa" w:w="1440"/>
            <w:shd w:fill="C6EFCE" w:val="clear"/>
          </w:tcPr>
          <w:p>
            <w:r>
              <w:rPr>
                <w:sz w:val="17"/>
              </w:rPr>
              <w:t>14,465</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2026-09-17</w:t>
            </w:r>
          </w:p>
        </w:tc>
        <w:tc>
          <w:tcPr>
            <w:tcW w:type="dxa" w:w="1440"/>
            <w:shd w:fill="C6EFCE" w:val="clear"/>
          </w:tcPr>
          <w:p>
            <w:r>
              <w:rPr>
                <w:sz w:val="17"/>
              </w:rPr>
              <w:t>12,857</w:t>
            </w:r>
          </w:p>
        </w:tc>
        <w:tc>
          <w:tcPr>
            <w:tcW w:type="dxa" w:w="1440"/>
            <w:shd w:fill="C6EFCE" w:val="clear"/>
          </w:tcPr>
          <w:p>
            <w:r>
              <w:rPr>
                <w:b/>
                <w:sz w:val="17"/>
              </w:rPr>
              <w:t>13,752</w:t>
            </w:r>
          </w:p>
        </w:tc>
        <w:tc>
          <w:tcPr>
            <w:tcW w:type="dxa" w:w="1440"/>
            <w:shd w:fill="C6EFCE" w:val="clear"/>
          </w:tcPr>
          <w:p>
            <w:r>
              <w:rPr>
                <w:sz w:val="17"/>
              </w:rPr>
              <w:t>14,648</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2026-09-18</w:t>
            </w:r>
          </w:p>
        </w:tc>
        <w:tc>
          <w:tcPr>
            <w:tcW w:type="dxa" w:w="1440"/>
            <w:shd w:fill="C6EFCE" w:val="clear"/>
          </w:tcPr>
          <w:p>
            <w:r>
              <w:rPr>
                <w:sz w:val="17"/>
              </w:rPr>
              <w:t>12,796</w:t>
            </w:r>
          </w:p>
        </w:tc>
        <w:tc>
          <w:tcPr>
            <w:tcW w:type="dxa" w:w="1440"/>
            <w:shd w:fill="C6EFCE" w:val="clear"/>
          </w:tcPr>
          <w:p>
            <w:r>
              <w:rPr>
                <w:b/>
                <w:sz w:val="17"/>
              </w:rPr>
              <w:t>13,801</w:t>
            </w:r>
          </w:p>
        </w:tc>
        <w:tc>
          <w:tcPr>
            <w:tcW w:type="dxa" w:w="1440"/>
            <w:shd w:fill="C6EFCE" w:val="clear"/>
          </w:tcPr>
          <w:p>
            <w:r>
              <w:rPr>
                <w:sz w:val="17"/>
              </w:rPr>
              <w:t>14,806</w:t>
            </w:r>
          </w:p>
        </w:tc>
        <w:tc>
          <w:tcPr>
            <w:tcW w:type="dxa" w:w="1440"/>
            <w:shd w:fill="C6EFCE" w:val="clear"/>
          </w:tcPr>
          <w:p>
            <w:r>
              <w:rPr>
                <w:b/>
                <w:color w:val="008000"/>
                <w:sz w:val="17"/>
              </w:rPr>
              <w:t>+3.0%</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12,737</w:t>
            </w:r>
          </w:p>
        </w:tc>
        <w:tc>
          <w:tcPr>
            <w:tcW w:type="dxa" w:w="1440"/>
            <w:shd w:fill="C6EFCE" w:val="clear"/>
          </w:tcPr>
          <w:p>
            <w:r>
              <w:rPr>
                <w:b/>
                <w:sz w:val="17"/>
              </w:rPr>
              <w:t>13,841</w:t>
            </w:r>
          </w:p>
        </w:tc>
        <w:tc>
          <w:tcPr>
            <w:tcW w:type="dxa" w:w="1440"/>
            <w:shd w:fill="C6EFCE" w:val="clear"/>
          </w:tcPr>
          <w:p>
            <w:r>
              <w:rPr>
                <w:sz w:val="17"/>
              </w:rPr>
              <w:t>14,945</w:t>
            </w:r>
          </w:p>
        </w:tc>
        <w:tc>
          <w:tcPr>
            <w:tcW w:type="dxa" w:w="1440"/>
            <w:shd w:fill="C6EFCE" w:val="clear"/>
          </w:tcPr>
          <w:p>
            <w:r>
              <w:rPr>
                <w:b/>
                <w:color w:val="008000"/>
                <w:sz w:val="17"/>
              </w:rPr>
              <w:t>+3.3%</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12,683</w:t>
            </w:r>
          </w:p>
        </w:tc>
        <w:tc>
          <w:tcPr>
            <w:tcW w:type="dxa" w:w="1440"/>
            <w:shd w:fill="C6EFCE" w:val="clear"/>
          </w:tcPr>
          <w:p>
            <w:r>
              <w:rPr>
                <w:b/>
                <w:sz w:val="17"/>
              </w:rPr>
              <w:t>13,879</w:t>
            </w:r>
          </w:p>
        </w:tc>
        <w:tc>
          <w:tcPr>
            <w:tcW w:type="dxa" w:w="1440"/>
            <w:shd w:fill="C6EFCE" w:val="clear"/>
          </w:tcPr>
          <w:p>
            <w:r>
              <w:rPr>
                <w:sz w:val="17"/>
              </w:rPr>
              <w:t>15,074</w:t>
            </w:r>
          </w:p>
        </w:tc>
        <w:tc>
          <w:tcPr>
            <w:tcW w:type="dxa" w:w="1440"/>
            <w:shd w:fill="C6EFCE" w:val="clear"/>
          </w:tcPr>
          <w:p>
            <w:r>
              <w:rPr>
                <w:b/>
                <w:color w:val="008000"/>
                <w:sz w:val="17"/>
              </w:rPr>
              <w:t>+3.6%</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12,634</w:t>
            </w:r>
          </w:p>
        </w:tc>
        <w:tc>
          <w:tcPr>
            <w:tcW w:type="dxa" w:w="1440"/>
            <w:shd w:fill="C6EFCE" w:val="clear"/>
          </w:tcPr>
          <w:p>
            <w:r>
              <w:rPr>
                <w:b/>
                <w:sz w:val="17"/>
              </w:rPr>
              <w:t>13,916</w:t>
            </w:r>
          </w:p>
        </w:tc>
        <w:tc>
          <w:tcPr>
            <w:tcW w:type="dxa" w:w="1440"/>
            <w:shd w:fill="C6EFCE" w:val="clear"/>
          </w:tcPr>
          <w:p>
            <w:r>
              <w:rPr>
                <w:sz w:val="17"/>
              </w:rPr>
              <w:t>15,197</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12,585</w:t>
            </w:r>
          </w:p>
        </w:tc>
        <w:tc>
          <w:tcPr>
            <w:tcW w:type="dxa" w:w="1440"/>
            <w:shd w:fill="C6EFCE" w:val="clear"/>
          </w:tcPr>
          <w:p>
            <w:r>
              <w:rPr>
                <w:b/>
                <w:sz w:val="17"/>
              </w:rPr>
              <w:t>13,947</w:t>
            </w:r>
          </w:p>
        </w:tc>
        <w:tc>
          <w:tcPr>
            <w:tcW w:type="dxa" w:w="1440"/>
            <w:shd w:fill="C6EFCE" w:val="clear"/>
          </w:tcPr>
          <w:p>
            <w:r>
              <w:rPr>
                <w:sz w:val="17"/>
              </w:rPr>
              <w:t>15,310</w:t>
            </w:r>
          </w:p>
        </w:tc>
        <w:tc>
          <w:tcPr>
            <w:tcW w:type="dxa" w:w="1440"/>
            <w:shd w:fill="C6EFCE" w:val="clear"/>
          </w:tcPr>
          <w:p>
            <w:r>
              <w:rPr>
                <w:b/>
                <w:color w:val="008000"/>
                <w:sz w:val="17"/>
              </w:rPr>
              <w:t>+4.1%</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12,537</w:t>
            </w:r>
          </w:p>
        </w:tc>
        <w:tc>
          <w:tcPr>
            <w:tcW w:type="dxa" w:w="1440"/>
            <w:shd w:fill="C6EFCE" w:val="clear"/>
          </w:tcPr>
          <w:p>
            <w:r>
              <w:rPr>
                <w:b/>
                <w:sz w:val="17"/>
              </w:rPr>
              <w:t>13,976</w:t>
            </w:r>
          </w:p>
        </w:tc>
        <w:tc>
          <w:tcPr>
            <w:tcW w:type="dxa" w:w="1440"/>
            <w:shd w:fill="C6EFCE" w:val="clear"/>
          </w:tcPr>
          <w:p>
            <w:r>
              <w:rPr>
                <w:sz w:val="17"/>
              </w:rPr>
              <w:t>15,416</w:t>
            </w:r>
          </w:p>
        </w:tc>
        <w:tc>
          <w:tcPr>
            <w:tcW w:type="dxa" w:w="1440"/>
            <w:shd w:fill="C6EFCE" w:val="clear"/>
          </w:tcPr>
          <w:p>
            <w:r>
              <w:rPr>
                <w:b/>
                <w:color w:val="008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120,60 milliards FCFA, SDCC se positionne parmi les valeurs moyennes-capitalisations de la cote BRVM, ce qui traduit une certaine maturité boursière mais une liquidité limitée (volume moyen de 1 311 titres/jour). Le BPA de 518 FCFA/action signifie que chaque titre génère environ 518 FCFA de bénéfice net, ce qui, rapporté au cours actuel de 13 400 FCFA, donne un PER de 25,9x — nettement supérieur à la moyenne du marché BRVM (8-12x), signalant que les investisseurs paient une prime de croissance significative ou que le titre est surévalué. Le P/B de 6,12x confirme cette exigence : le marché valorise SDCC à plus de six fois sa valeur comptable, ce qui est très élevé pour une entreprise de services publics à marges faibles. Enfin, l'EV/EBITDA de 15,1x indique que la valeur d'entreprise (capitalisation + dette nette) représente plus de 15 fois la capacité opérationnelle, un niveau exigeant qui suppose une forte croissance future des cash-flows pour être justifié. Ces ratios, pris dans leur ensemble, suggèrent une valorisation tendue qui laisse peu de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affiche une performance spectaculaire de +87,68%, avec une dernière séance en hausse de +1,28%, confirmant une dynamique haussière robuste. Le titre a évolué dans un range très large, entre un plus bas de 7 140 FCFA et un plus haut de 13 710 FCFA, soit une amplitude de près de 92%, ce qui témoigne d'une tendance nettement haussière portée par un intérêt croissant des investisseurs. La moyenne du cours s'établit à 11 275 FCFA, tandis que la médiane est plus élevée à 11 900 FCFA : cet écart indique une distribution asymétrique avec davantage de séances passées au-dessus de la moyenne, ce que confirme le skewness négatif de -1,245 (les valeurs extrêmes basses tirent la moyenne vers le bas). L'écart-type de 1 582 FCFA (CV = 14,0%) traduit une dispersion modérée du cours autour de sa moyenne, tandis que le kurtosis de 0,945 (mésokurtique) suggère une distribution proche de la normale, sans risque majeur de pics extrêmes. La volatilité annualisée de 36,8% classe le titre dans la catégorie des valeurs à volatilité élevée (&gt;30%), ce qui implique un risque de marché significatif mais cohérent avec la forte progression récente.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(12 759 FCFA) et la MM50 (12 170 FCFA) se situent toutes deux en dessous du cours actuel (13 400 FCFA), avec la MM20 au-dessus de la MM50, configurant un croisement haussier classique. Cette configuration confirme la tendance positive et justifie la décision d'achat, le cours évoluant au-dessus de ses supports mobiles.</w:t>
      </w:r>
    </w:p>
    <w:p>
      <w:pPr>
        <w:spacing w:after="120" w:line="276" w:lineRule="auto"/>
      </w:pPr>
      <w:r>
        <w:t>**Bandes de Bollinger :** Le cours actuel (13 400 FCFA) se situe entre la borne inférieure (11 402,95 FCFA) et la borne supérieure (14 115,05 FCFA), plus proche de la borne haute, ce qui indique une pression acheteuse sans suraccumulation extrême. La décision est neutre, car le cours n'a pas encore franchi la borne supérieure qui signalerait une accélération haussière ou un risque de correction.</w:t>
      </w:r>
    </w:p>
    <w:p>
      <w:pPr>
        <w:spacing w:after="120" w:line="276" w:lineRule="auto"/>
      </w:pPr>
      <w:r>
        <w:t>**MACD :** La ligne MACD (424,72) est supérieure à sa ligne de signal (374,86), avec un histogramme positif, ce qui confirme un momentum haussier en cours. La décision d'achat est justifiée par cette divergence positive qui indique que la dynamique haussière se renforce.</w:t>
      </w:r>
    </w:p>
    <w:p>
      <w:pPr>
        <w:spacing w:after="120" w:line="276" w:lineRule="auto"/>
      </w:pPr>
      <w:r>
        <w:t>**RSI :** À 70,88, le RSI se situe juste au-dessus du seuil de suracheté (70), ce qui déclenche une décision de vente technique. Cette lecture suggère que le titre pourrait connaître une correction à court terme après sa forte progression, les acheteurs étant potentiellement essoufflés.</w:t>
      </w:r>
    </w:p>
    <w:p>
      <w:pPr>
        <w:spacing w:after="120" w:line="276" w:lineRule="auto"/>
      </w:pPr>
      <w:r>
        <w:t>**Stochastique :** Le %K (81,87) et le %D (80,51) sont tous deux en zone de surachat (&gt;80), avec un croisement potentiel à surveiller. La décision de vente reflète ce risque de retournement à court terme, bien que la tendance de fond reste haussière.</w:t>
      </w:r>
    </w:p>
    <w:p>
      <w:pPr>
        <w:spacing w:after="120" w:line="276" w:lineRule="auto"/>
      </w:pPr>
      <w:r>
        <w:t>**Conclusion technique :** Les indicateurs de tendance (MM, MACD) restent haussiers et confirment la dynamique positive, mais les oscillateurs (RSI, Stochastique) signalent une zone de surachat qui expose le titre à une correction technique à court terme. La convergence des signaux d'achat sur les moyennes mobiles et le MACD contraste avec les signaux de vente des oscillateurs, suggérant une phase de consolidation possible avant une nouvelle impulsion. Une prudence est recommandée à court terme, mais la tendance de fond demeure haussière.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SDCC (exercice clos au 31/12/2025) affichent un chiffre d'affaires de 189,430 milliards FCFA, en croissance de 9,98% par rapport à 2024, porté par la dynamique des ventes d'eau et l'augmentation du nombre de clients (+6,14% à 2 272 032 abonnés). Le résultat net s'établit à 4,663 milliards FCFA, en hausse de 31%, avec une marge nette de 2,46% et un ROE de 23,65% — un niveau excellent qui témoigne d'une rentabilité des fonds propres très solide malgré une marge nette modeste. Le ROA de 0,99% reste faible, reflétant l'intensité capitalistique du secteur (total actif de 472,672 milliards FCFA). L'analyse du bilan révèle une structure financière tendue : l'autonomie financière n'est que de 4,17% (capitaux propres/total bilan), et le ratio d'endettement atteint 95,83%, avec des dettes financières totales de 145,939 milliards FCFA. Le BFR de 104,748 milliards FCFA et le délai client de 749 jours (créances clients de 388,852 milliards FCFA) constituent un risque majeur de trésorerie, bien que le taux de recouvrement de 95,85% et la trésorerie nette négative de -61,710 milliards FCFA soulignent la dépendance au financement externe. Le flux opérationnel négatif de -36,655 milliards FCFA et le Free Cash Flow de -38,504 milliards FCFA confirment ces tensions, malgré une CAF solide de 17,843 milliards FCFA. Les rapports trimestriels récents (T1 2026, publié en 2026) montrent une amélioration spectaculaire : le résultat net bondit de 118% à 1 318 millions FCFA pour un CA en léger repli de -2% à 40 916 millions FCFA, avec un résultat d'exploitation multiplié par 2,5 à 2 730 millions FCFA. Sur la base de ce T1 2026, on peut estimer que l'exercice 2026 devrait confirmer la tendance à l'amélioration de la rentabilité opérationnelle, avec un résultat net annualisé potentiellement supérieur à 5 milliards FCFA si la dynamique se poursuit. Le dividende proposé de 525 FCFA/action pour 2025 offre un rendement d'environ 3,9% au cours actuel, attractif dans le contexte BRVM. La recommandation fondamentale est de **CONSERVER** : la solidité du ROE, la croissance du CA et l'amélioration récente de la rentabilité compensent les tensions de trésorerie et l'endettement élevé, mais la valorisation exigeante limite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25,9x, P/B de 6,12x et EV/EBITDA de 15,1x indiquent que le marché intègre déjà une forte croissance, laissant peu de marge de sécurité. Le comportement du cours (Partie 1) est exceptionnellement haussier (+87,68% sur 100 jours) avec une volatilité élevée (36,8%) et une asymétrie négative (skewness -1,245), ce qui suggère que la progression récente pourrait être vulnérable à des prises de bénéfices. Les signaux techniques (Partie 2) sont mitigés : les moyennes mobiles et le MACD confirment la tendance haussière, mais le RSI (70,88) et le stochastique (81,87) signalent une zone de surachat propice à une correction. Les fondamentaux (Partie 3) sont solides mais perfectibles : ROE de 23,65%, croissance du CA de 9,98% et amélioration spectaculaire du T1 2026 (+118% de résultat net) sont des points forts, mais l'endettement élevé (95,83%) et les tensions de trésorerie (FCF de -38,5 milliards FCFA) constituent des risques persistants. Les prédictions IA (J+1 à J+10) tablent sur une poursuite de la hausse modérée, avec un cours cible de 13 801 FCFA à J+10 (+3% par rapport au cours actuel), ce qui confirme la tendance haussière mais sans accélération majeure. Sur la base de cette convergence partielle — technique haussière mais surachetée, fondamentaux solides mais valorisation tendue — la recommandation finale est **CONSERVER** avec un niveau de confiance **Moyen** et un risque global **Élevé**. L'horizon d'investissement optimal est le **moyen terme (3-12 mois)**, le temps que les résultats du T2 2026 confirment l'amélioration de la rentabilité et que la valorisation se normalise. Une entrée à des niveaux inférieurs (autour de 12 000-12 500 FCFA) offrirait un meilleur point d'entrée pour les investisseurs souhaitant profiter de la dynamique fondamentale.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164.94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18,324 titres</w:t>
            </w:r>
          </w:p>
        </w:tc>
        <w:tc>
          <w:tcPr>
            <w:tcW w:type="dxa" w:w="2268"/>
            <w:shd w:fill="FFF2CC" w:val="clear"/>
          </w:tcPr>
          <w:p>
            <w:r>
              <w:rPr>
                <w:b/>
                <w:color w:val="503200"/>
                <w:sz w:val="16"/>
              </w:rPr>
              <w:t xml:space="preserve">Cours actuel : </w:t>
            </w:r>
            <w:r>
              <w:rPr>
                <w:color w:val="000000"/>
                <w:sz w:val="17"/>
              </w:rPr>
              <w:t>3,030 FCFA</w:t>
            </w:r>
          </w:p>
          <w:p>
            <w:r>
              <w:rPr>
                <w:b/>
                <w:color w:val="503200"/>
                <w:sz w:val="16"/>
              </w:rPr>
              <w:t xml:space="preserve">Var. 100 jours : </w:t>
            </w:r>
            <w:r>
              <w:rPr>
                <w:b/>
                <w:color w:val="007800"/>
                <w:sz w:val="17"/>
              </w:rPr>
              <w:t>+69.75%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24.0/100 → Moyen</w:t>
      </w:r>
    </w:p>
    <w:p>
      <w:pPr>
        <w:spacing w:before="40" w:after="80"/>
      </w:pPr>
      <w:r>
        <w:rPr>
          <w:rFonts w:ascii="Courier New" w:hAnsi="Courier New"/>
          <w:color w:val="825A00"/>
          <w:sz w:val="18"/>
        </w:rPr>
        <w:t>████░░░░░░░░░░░░░░░░  24.0/100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19.11% (Élevée) — μ=2,328 FCFA, σ=445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β=0.6574 (Défensif) — Cov=0.000023, Var(idx)=0.000034, ρ=0.120,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2,849</w:t>
            </w:r>
          </w:p>
        </w:tc>
        <w:tc>
          <w:tcPr>
            <w:tcW w:type="dxa" w:w="1440"/>
            <w:shd w:fill="FAFAFA" w:val="clear"/>
          </w:tcPr>
          <w:p>
            <w:r>
              <w:rPr>
                <w:b/>
                <w:sz w:val="17"/>
              </w:rPr>
              <w:t>3,025</w:t>
            </w:r>
          </w:p>
        </w:tc>
        <w:tc>
          <w:tcPr>
            <w:tcW w:type="dxa" w:w="1440"/>
            <w:shd w:fill="FAFAFA" w:val="clear"/>
          </w:tcPr>
          <w:p>
            <w:r>
              <w:rPr>
                <w:sz w:val="17"/>
              </w:rPr>
              <w:t>3,202</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2,778</w:t>
            </w:r>
          </w:p>
        </w:tc>
        <w:tc>
          <w:tcPr>
            <w:tcW w:type="dxa" w:w="1440"/>
            <w:shd w:fill="FAFAFA" w:val="clear"/>
          </w:tcPr>
          <w:p>
            <w:r>
              <w:rPr>
                <w:b/>
                <w:sz w:val="17"/>
              </w:rPr>
              <w:t>3,028</w:t>
            </w:r>
          </w:p>
        </w:tc>
        <w:tc>
          <w:tcPr>
            <w:tcW w:type="dxa" w:w="1440"/>
            <w:shd w:fill="FAFAFA" w:val="clear"/>
          </w:tcPr>
          <w:p>
            <w:r>
              <w:rPr>
                <w:sz w:val="17"/>
              </w:rPr>
              <w:t>3,278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2,724</w:t>
            </w:r>
          </w:p>
        </w:tc>
        <w:tc>
          <w:tcPr>
            <w:tcW w:type="dxa" w:w="1440"/>
            <w:shd w:fill="FAFAFA" w:val="clear"/>
          </w:tcPr>
          <w:p>
            <w:r>
              <w:rPr>
                <w:b/>
                <w:sz w:val="17"/>
              </w:rPr>
              <w:t>3,030</w:t>
            </w:r>
          </w:p>
        </w:tc>
        <w:tc>
          <w:tcPr>
            <w:tcW w:type="dxa" w:w="1440"/>
            <w:shd w:fill="FAFAFA" w:val="clear"/>
          </w:tcPr>
          <w:p>
            <w:r>
              <w:rPr>
                <w:sz w:val="17"/>
              </w:rPr>
              <w:t>3,337</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2,678</w:t>
            </w:r>
          </w:p>
        </w:tc>
        <w:tc>
          <w:tcPr>
            <w:tcW w:type="dxa" w:w="1440"/>
            <w:shd w:fill="FAFAFA" w:val="clear"/>
          </w:tcPr>
          <w:p>
            <w:r>
              <w:rPr>
                <w:b/>
                <w:sz w:val="17"/>
              </w:rPr>
              <w:t>3,032</w:t>
            </w:r>
          </w:p>
        </w:tc>
        <w:tc>
          <w:tcPr>
            <w:tcW w:type="dxa" w:w="1440"/>
            <w:shd w:fill="FAFAFA" w:val="clear"/>
          </w:tcPr>
          <w:p>
            <w:r>
              <w:rPr>
                <w:sz w:val="17"/>
              </w:rPr>
              <w:t>3,386</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2,637</w:t>
            </w:r>
          </w:p>
        </w:tc>
        <w:tc>
          <w:tcPr>
            <w:tcW w:type="dxa" w:w="1440"/>
            <w:shd w:fill="FAFAFA" w:val="clear"/>
          </w:tcPr>
          <w:p>
            <w:r>
              <w:rPr>
                <w:b/>
                <w:sz w:val="17"/>
              </w:rPr>
              <w:t>3,032</w:t>
            </w:r>
          </w:p>
        </w:tc>
        <w:tc>
          <w:tcPr>
            <w:tcW w:type="dxa" w:w="1440"/>
            <w:shd w:fill="FAFAFA" w:val="clear"/>
          </w:tcPr>
          <w:p>
            <w:r>
              <w:rPr>
                <w:sz w:val="17"/>
              </w:rPr>
              <w:t>3,428</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2,599</w:t>
            </w:r>
          </w:p>
        </w:tc>
        <w:tc>
          <w:tcPr>
            <w:tcW w:type="dxa" w:w="1440"/>
            <w:shd w:fill="FAFAFA" w:val="clear"/>
          </w:tcPr>
          <w:p>
            <w:r>
              <w:rPr>
                <w:b/>
                <w:sz w:val="17"/>
              </w:rPr>
              <w:t>3,032</w:t>
            </w:r>
          </w:p>
        </w:tc>
        <w:tc>
          <w:tcPr>
            <w:tcW w:type="dxa" w:w="1440"/>
            <w:shd w:fill="FAFAFA" w:val="clear"/>
          </w:tcPr>
          <w:p>
            <w:r>
              <w:rPr>
                <w:sz w:val="17"/>
              </w:rPr>
              <w:t>3,466</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2,564</w:t>
            </w:r>
          </w:p>
        </w:tc>
        <w:tc>
          <w:tcPr>
            <w:tcW w:type="dxa" w:w="1440"/>
            <w:shd w:fill="FAFAFA" w:val="clear"/>
          </w:tcPr>
          <w:p>
            <w:r>
              <w:rPr>
                <w:b/>
                <w:sz w:val="17"/>
              </w:rPr>
              <w:t>3,032</w:t>
            </w:r>
          </w:p>
        </w:tc>
        <w:tc>
          <w:tcPr>
            <w:tcW w:type="dxa" w:w="1440"/>
            <w:shd w:fill="FAFAFA" w:val="clear"/>
          </w:tcPr>
          <w:p>
            <w:r>
              <w:rPr>
                <w:sz w:val="17"/>
              </w:rPr>
              <w:t>3,501</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2,532</w:t>
            </w:r>
          </w:p>
        </w:tc>
        <w:tc>
          <w:tcPr>
            <w:tcW w:type="dxa" w:w="1440"/>
            <w:shd w:fill="FAFAFA" w:val="clear"/>
          </w:tcPr>
          <w:p>
            <w:r>
              <w:rPr>
                <w:b/>
                <w:sz w:val="17"/>
              </w:rPr>
              <w:t>3,032</w:t>
            </w:r>
          </w:p>
        </w:tc>
        <w:tc>
          <w:tcPr>
            <w:tcW w:type="dxa" w:w="1440"/>
            <w:shd w:fill="FAFAFA" w:val="clear"/>
          </w:tcPr>
          <w:p>
            <w:r>
              <w:rPr>
                <w:sz w:val="17"/>
              </w:rPr>
              <w:t>3,533</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2,502</w:t>
            </w:r>
          </w:p>
        </w:tc>
        <w:tc>
          <w:tcPr>
            <w:tcW w:type="dxa" w:w="1440"/>
            <w:shd w:fill="FAFAFA" w:val="clear"/>
          </w:tcPr>
          <w:p>
            <w:r>
              <w:rPr>
                <w:b/>
                <w:sz w:val="17"/>
              </w:rPr>
              <w:t>3,032</w:t>
            </w:r>
          </w:p>
        </w:tc>
        <w:tc>
          <w:tcPr>
            <w:tcW w:type="dxa" w:w="1440"/>
            <w:shd w:fill="FAFAFA" w:val="clear"/>
          </w:tcPr>
          <w:p>
            <w:r>
              <w:rPr>
                <w:sz w:val="17"/>
              </w:rPr>
              <w:t>3,563</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2,473</w:t>
            </w:r>
          </w:p>
        </w:tc>
        <w:tc>
          <w:tcPr>
            <w:tcW w:type="dxa" w:w="1440"/>
            <w:shd w:fill="FAFAFA" w:val="clear"/>
          </w:tcPr>
          <w:p>
            <w:r>
              <w:rPr>
                <w:b/>
                <w:sz w:val="17"/>
              </w:rPr>
              <w:t>3,032</w:t>
            </w:r>
          </w:p>
        </w:tc>
        <w:tc>
          <w:tcPr>
            <w:tcW w:type="dxa" w:w="1440"/>
            <w:shd w:fill="FAFAFA" w:val="clear"/>
          </w:tcPr>
          <w:p>
            <w:r>
              <w:rPr>
                <w:sz w:val="17"/>
              </w:rPr>
              <w:t>3,592</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164,94 milliards FCFA, SDSC s'impose comme une valeur de premier plan de la cote BRVM, représentant un poids significatif dans l'indice composite. Le BPA de 387 FCFA/action signifie que chaque titre génère près de 387 FCFA de bénéfice net, ce qui, rapporté au cours actuel de 3 030 FCFA, donne un PER de 7,8x — nettement inférieur à la moyenne BRVM (8-12x), suggérant une sous-évaluation apparente sur la base des bénéfices 2024. Le P/B de 2,12x indique que le marché valorise l'entreprise à plus du double de sa valeur comptable, une prime de croissance modérée mais justifiée par la solidité du bilan. En revanche, l'EV/EBITDA de 35,6x apparaît très exigeant (&gt;15x), traduisant une valorisation d'entreprise élevée par rapport à sa capacité opérationnelle — ce qui contraste avec le PER faible et révèle que la valeur repose davantage sur les revenus financiers que sur l'EBITDA opérationnel.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SDSC affiche une performance spectaculaire de +69,75%, passant d'un plus bas de 1 650 FCFA à un plus haut de 3 205 FCFA, avant de terminer à 3 030 FCFA, soit une légère correction de -1,94% sur la dernière séance. Cette tendance nettement haussière témoigne d'un fort engouement des investisseurs, probablement porté par la solidité du bilan et la trésorerie abondante. La moyenne (2 328 FCFA) est légèrement inférieure à la médiane (2 398 FCFA), indiquant une distribution quasi-symétrique avec une très légère asymétrie négative, confirmée par le skewness de -0,028. L'écart-type de 447 FCFA et le coefficient de variation de 19,2% traduisent une dispersion modérée du cours autour de sa moyenne. Le kurtosis de -1,266 (distribution platykurtique) signale une faible concentration des valeurs autour de la moyenne, avec un risque de pics moins prononcé qu'une distribution normale — un profil relativement rassurant pour la gestion du risque. La volatilité annualisée de 51,1% classe le titre dans la catégorie des valeurs très volatiles (&gt;30%), ce qui implique un risque de marché élevé et justifie une approche prudente malgré la tendance haussière.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(2 863,75 FCFA) et la MM50 (2 692,5 FCFA) se situent toutes deux sous le cours actuel (3 030 FCFA), avec la MM20 au-dessus de la MM50 — configuration haussière classique. Le cours évolue au-dessus de ses deux moyennes, confirmant la dynamique positive, et la décision technique est à l'**Achat**.</w:t>
      </w:r>
    </w:p>
    <w:p>
      <w:pPr>
        <w:spacing w:after="120" w:line="276" w:lineRule="auto"/>
      </w:pPr>
      <w:r>
        <w:t>**Bandes de Bollinger** : Le cours (3 030 FCFA) se situe dans la partie supérieure de la bande, entre la borne inférieure (2 465,07 FCFA) et la borne supérieure (3 262,43 FCFA), sans la franchir. Cette position reflète une volatilité modérée avec un potentiel de continuation haussière, mais la décision est **Neutre** car le cours n'est ni en surachat extrême ni en survente.</w:t>
      </w:r>
    </w:p>
    <w:p>
      <w:pPr>
        <w:spacing w:after="120" w:line="276" w:lineRule="auto"/>
      </w:pPr>
      <w:r>
        <w:t>**MACD** : La valeur du MACD (125,715) est supérieure à son signal (109,805), générant un histogramme positif qui confirme un momentum haussier. La divergence positive entre les deux lignes soutient la décision d'**Achat**, bien que l'écart reste modéré.</w:t>
      </w:r>
    </w:p>
    <w:p>
      <w:pPr>
        <w:spacing w:after="120" w:line="276" w:lineRule="auto"/>
      </w:pPr>
      <w:r>
        <w:t>**RSI** : À 61,364, le RSI se situe en zone neutre-haute (30-70), sans atteindre le seuil de surachat (&gt;70). Cela indique que le titre conserve un potentiel de hausse sans être techniquement surchauffé, justifiant la décision **Neutre**.</w:t>
      </w:r>
    </w:p>
    <w:p>
      <w:pPr>
        <w:spacing w:after="120" w:line="276" w:lineRule="auto"/>
      </w:pPr>
      <w:r>
        <w:t>**Stochastique** : Le %K (72,868) est légèrement inférieur au %D (77,519), sans croisement baissier confirmé. Les deux lignes évoluent en zone haute, proche du surachat, ce qui incite à la prudence — décision **Neutre**.</w:t>
      </w:r>
    </w:p>
    <w:p>
      <w:pPr>
        <w:spacing w:after="120" w:line="276" w:lineRule="auto"/>
      </w:pPr>
      <w:r>
        <w:t>**Conclusion technique** : Les indicateurs convergent majoritairement vers un signal haussier (MM et MACD à l'achat), mais les oscillateurs (RSI, Stochastique, Bollinger) restent neutres, suggérant une consolidation possible avant une nouvelle impulsion. Le titre conserve une dynamique positive mais approche de zones de résistance, ce qui appelle à la vigilance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révèlent un chiffre d'affaires de 85,643 milliards FCFA, un résultat net de 21,069 milliards FCFA, un ROE exceptionnel de 27,08% (&gt;15% = excellent) et un ROA de 11,20%. La marge nette de 24,60% est remarquable, mais la marge opérationnelle de seulement 1,10% et un résultat d'exploitation de 941,68 millions FCFA (contre un résultat financier de 21,747 milliards) montrent que la rentabilité repose essentiellement sur les revenus financiers (dividendes de filiales) et non sur l'activité opérationnelle. Le BFR de 17,874 milliards FCFA et le délai client de 466,94 jours (très élevé) constituent un risque de trésorerie majeur, bien que la trésorerie nette de 15,617 milliards FCFA et la liquidité générale de 132,84% offrent une certaine marge de sécurité. Le ratio d'endettement de 17,88% et l'autonomie financière de 41,36% témoignent d'une structure financière saine.</w:t>
      </w:r>
    </w:p>
    <w:p>
      <w:pPr>
        <w:spacing w:after="120" w:line="276" w:lineRule="auto"/>
      </w:pPr>
      <w:r>
        <w:t>Les rapports trimestriels de 2025 confirment une dégradation préoccupante : le rapport du T1 2025 (daté du 31/03/2025) indique un CA de 23,057 milliards FCFA (+6,2%) mais un résultat net négatif de -193 millions FCFA, en amélioration toutefois de 54% sur un an. Le rapport du S1 2025 (daté du 30/06/2025) fait état d'un CA de 44,452 milliards FCFA (+4,2%) et d'un résultat net de -427 millions FCFA, plombé par l'absence de dividendes de filiales. Le rapport du T3 2025 (daté du 30/09/2025) montre un CA de 66,217 milliards FCFA (+7,4%) mais un résultat net de 4,341 milliards FCFA, en chute de 77% sur un an. Enfin, le rapport annuel 2025 (états financiers provisoires, daté du 31/12/2025) révèle un CA de 92,004 milliards FCFA (+7,43%) mais un résultat net effondré à 784,97 millions FCFA (-96%), avec un résultat d'exploitation négatif de -2,271 milliards FCFA et un dividende proposé de 544,353 millions FCFA (en baisse de 89% par rapport aux 5,008 milliards versés en 2024).</w:t>
      </w:r>
    </w:p>
    <w:p>
      <w:pPr>
        <w:spacing w:after="120" w:line="276" w:lineRule="auto"/>
      </w:pPr>
      <w:r>
        <w:t>Sur la base de ces rapports, on estime que l'exercice 2026 devrait bénéficier de la croissance du CA (+7,4% en 2025) et de la trésorerie abondante (74,78 milliards FCFA), mais la rentabilité opérationnelle restera sous pression tant que les charges (personnel, amortissements) ne seront pas maîtrisées et que les dividendes de filiales ne retrouveront pas leur niveau de 2024. La recommandation fondamentale est de **CONSERVER** : la solidité du bilan et la croissance du CA justifient de ne pas vendre, mais la dégradation de la rentabilité et la réduction drastique du dividende imposent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contrasté : le PER de 7,8x suggère une sous-évaluation sur les bénéfices 2024, mais l'EV/EBITDA de 35,6x et le P/B de 2,12x tempèrent cette lecture, d'autant que la rentabilité 2025 s'est effondrée. Le comportement du cours (Partie 1) est nettement haussier (+69,75% sur 100 jours) avec une volatilité élevée (51,1%) et une distribution platykurtique, ce qui indique un risque de pics modéré mais une tendance favorable. Les signaux techniques (Partie 2) sont majoritairement haussiers (MM et MACD à l'achat) mais les oscillateurs (RSI, Stochastique, Bollinger) sont neutres, suggérant une consolidation possible. Les fondamentaux (Partie 3) révèlent une dégradation sévère de la rentabilité en 2025 (résultat net -96%, dividende -89%) malgré une croissance du CA (+7,4%) et une trésorerie solide (74,78 milliards FCFA). Les prédictions IA (J+1 à J+10) anticipent une stabilisation autour de 3 025-3 032 FCFA, confirmant l'absence de tendance baissière mais aussi de catalyseur haussier immédiat.</w:t>
      </w:r>
    </w:p>
    <w:p>
      <w:pPr>
        <w:spacing w:after="120" w:line="276" w:lineRule="auto"/>
      </w:pPr>
      <w:r>
        <w:t>Sur la base de cette synthèse, la recommandation finale est **CONSERVER**, avec un niveau de confiance **Moyen** et un risque global **Élevé**. La convergence entre la valorisation attractive (PER faible), la dynamique technique haussière et la solidité du bilan soutient le titre, mais la divergence avec la dégradation fondamentale (rentabilité, dividende) et la volatilité élevée impose la prudence. L'horizon d'investissement optimal est le **moyen terme (3-12 mois)**, en surveillant la capacité de la direction à restaurer les marges opérationnelles et à clarifier sa politique de dividende au premier semestre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5,991 titres</w:t>
            </w:r>
          </w:p>
        </w:tc>
        <w:tc>
          <w:tcPr>
            <w:tcW w:type="dxa" w:w="2268"/>
            <w:shd w:fill="FFF2CC" w:val="clear"/>
          </w:tcPr>
          <w:p>
            <w:r>
              <w:rPr>
                <w:b/>
                <w:color w:val="503200"/>
                <w:sz w:val="16"/>
              </w:rPr>
              <w:t xml:space="preserve">Cours actuel : </w:t>
            </w:r>
            <w:r>
              <w:rPr>
                <w:color w:val="000000"/>
                <w:sz w:val="17"/>
              </w:rPr>
              <w:t>1,560 FCFA</w:t>
            </w:r>
          </w:p>
          <w:p>
            <w:r>
              <w:rPr>
                <w:b/>
                <w:color w:val="503200"/>
                <w:sz w:val="16"/>
              </w:rPr>
              <w:t xml:space="preserve">Var. 100 jours : </w:t>
            </w:r>
            <w:r>
              <w:rPr>
                <w:b/>
                <w:color w:val="B40000"/>
                <w:sz w:val="17"/>
              </w:rPr>
              <w:t>-4.00%</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17.8/100 → Faible</w:t>
      </w:r>
    </w:p>
    <w:p>
      <w:pPr>
        <w:spacing w:before="40" w:after="80"/>
      </w:pPr>
      <w:r>
        <w:rPr>
          <w:rFonts w:ascii="Courier New" w:hAnsi="Courier New"/>
          <w:color w:val="006400"/>
          <w:sz w:val="18"/>
        </w:rPr>
        <w:t>███░░░░░░░░░░░░░░░░░  17.8/100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4.77% (Faible) — μ=1,530 FCFA, σ=73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β=1.2436 (Agressif) — Cov=0.000043, Var(idx)=0.000034, ρ=0.238,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5,991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1,463</w:t>
            </w:r>
          </w:p>
        </w:tc>
        <w:tc>
          <w:tcPr>
            <w:tcW w:type="dxa" w:w="1440"/>
            <w:shd w:fill="FAFAFA" w:val="clear"/>
          </w:tcPr>
          <w:p>
            <w:r>
              <w:rPr>
                <w:b/>
                <w:sz w:val="17"/>
              </w:rPr>
              <w:t>1,534</w:t>
            </w:r>
          </w:p>
        </w:tc>
        <w:tc>
          <w:tcPr>
            <w:tcW w:type="dxa" w:w="1440"/>
            <w:shd w:fill="FAFAFA" w:val="clear"/>
          </w:tcPr>
          <w:p>
            <w:r>
              <w:rPr>
                <w:sz w:val="17"/>
              </w:rPr>
              <w:t>1,604</w:t>
            </w:r>
          </w:p>
        </w:tc>
        <w:tc>
          <w:tcPr>
            <w:tcW w:type="dxa" w:w="1440"/>
            <w:shd w:fill="FAFAFA" w:val="clear"/>
          </w:tcPr>
          <w:p>
            <w:r>
              <w:rPr>
                <w:b/>
                <w:color w:val="C00000"/>
                <w:sz w:val="17"/>
              </w:rPr>
              <w:t>-1.7%</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1,430</w:t>
            </w:r>
          </w:p>
        </w:tc>
        <w:tc>
          <w:tcPr>
            <w:tcW w:type="dxa" w:w="1440"/>
            <w:shd w:fill="FAFAFA" w:val="clear"/>
          </w:tcPr>
          <w:p>
            <w:r>
              <w:rPr>
                <w:b/>
                <w:sz w:val="17"/>
              </w:rPr>
              <w:t>1,529</w:t>
            </w:r>
          </w:p>
        </w:tc>
        <w:tc>
          <w:tcPr>
            <w:tcW w:type="dxa" w:w="1440"/>
            <w:shd w:fill="FAFAFA" w:val="clear"/>
          </w:tcPr>
          <w:p>
            <w:r>
              <w:rPr>
                <w:sz w:val="17"/>
              </w:rPr>
              <w:t>1,629</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1,401</w:t>
            </w:r>
          </w:p>
        </w:tc>
        <w:tc>
          <w:tcPr>
            <w:tcW w:type="dxa" w:w="1440"/>
            <w:shd w:fill="FFDCE0" w:val="clear"/>
          </w:tcPr>
          <w:p>
            <w:r>
              <w:rPr>
                <w:b/>
                <w:sz w:val="17"/>
              </w:rPr>
              <w:t>1,522</w:t>
            </w:r>
          </w:p>
        </w:tc>
        <w:tc>
          <w:tcPr>
            <w:tcW w:type="dxa" w:w="1440"/>
            <w:shd w:fill="FFDCE0" w:val="clear"/>
          </w:tcPr>
          <w:p>
            <w:r>
              <w:rPr>
                <w:sz w:val="17"/>
              </w:rPr>
              <w:t>1,643</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1,376</w:t>
            </w:r>
          </w:p>
        </w:tc>
        <w:tc>
          <w:tcPr>
            <w:tcW w:type="dxa" w:w="1440"/>
            <w:shd w:fill="FFDCE0" w:val="clear"/>
          </w:tcPr>
          <w:p>
            <w:r>
              <w:rPr>
                <w:b/>
                <w:sz w:val="17"/>
              </w:rPr>
              <w:t>1,515</w:t>
            </w:r>
          </w:p>
        </w:tc>
        <w:tc>
          <w:tcPr>
            <w:tcW w:type="dxa" w:w="1440"/>
            <w:shd w:fill="FFDCE0" w:val="clear"/>
          </w:tcPr>
          <w:p>
            <w:r>
              <w:rPr>
                <w:sz w:val="17"/>
              </w:rPr>
              <w:t>1,654</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1,352</w:t>
            </w:r>
          </w:p>
        </w:tc>
        <w:tc>
          <w:tcPr>
            <w:tcW w:type="dxa" w:w="1440"/>
            <w:shd w:fill="FFDCE0" w:val="clear"/>
          </w:tcPr>
          <w:p>
            <w:r>
              <w:rPr>
                <w:b/>
                <w:sz w:val="17"/>
              </w:rPr>
              <w:t>1,507</w:t>
            </w:r>
          </w:p>
        </w:tc>
        <w:tc>
          <w:tcPr>
            <w:tcW w:type="dxa" w:w="1440"/>
            <w:shd w:fill="FFDCE0" w:val="clear"/>
          </w:tcPr>
          <w:p>
            <w:r>
              <w:rPr>
                <w:sz w:val="17"/>
              </w:rPr>
              <w:t>1,662</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1,331</w:t>
            </w:r>
          </w:p>
        </w:tc>
        <w:tc>
          <w:tcPr>
            <w:tcW w:type="dxa" w:w="1440"/>
            <w:shd w:fill="FFDCE0" w:val="clear"/>
          </w:tcPr>
          <w:p>
            <w:r>
              <w:rPr>
                <w:b/>
                <w:sz w:val="17"/>
              </w:rPr>
              <w:t>1,499</w:t>
            </w:r>
          </w:p>
        </w:tc>
        <w:tc>
          <w:tcPr>
            <w:tcW w:type="dxa" w:w="1440"/>
            <w:shd w:fill="FFDCE0" w:val="clear"/>
          </w:tcPr>
          <w:p>
            <w:r>
              <w:rPr>
                <w:sz w:val="17"/>
              </w:rPr>
              <w:t>1,668</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1,310</w:t>
            </w:r>
          </w:p>
        </w:tc>
        <w:tc>
          <w:tcPr>
            <w:tcW w:type="dxa" w:w="1440"/>
            <w:shd w:fill="FFDCE0" w:val="clear"/>
          </w:tcPr>
          <w:p>
            <w:r>
              <w:rPr>
                <w:b/>
                <w:sz w:val="17"/>
              </w:rPr>
              <w:t>1,491</w:t>
            </w:r>
          </w:p>
        </w:tc>
        <w:tc>
          <w:tcPr>
            <w:tcW w:type="dxa" w:w="1440"/>
            <w:shd w:fill="FFDCE0" w:val="clear"/>
          </w:tcPr>
          <w:p>
            <w:r>
              <w:rPr>
                <w:sz w:val="17"/>
              </w:rPr>
              <w:t>1,673</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1,291</w:t>
            </w:r>
          </w:p>
        </w:tc>
        <w:tc>
          <w:tcPr>
            <w:tcW w:type="dxa" w:w="1440"/>
            <w:shd w:fill="FFDCE0" w:val="clear"/>
          </w:tcPr>
          <w:p>
            <w:r>
              <w:rPr>
                <w:b/>
                <w:sz w:val="17"/>
              </w:rPr>
              <w:t>1,484</w:t>
            </w:r>
          </w:p>
        </w:tc>
        <w:tc>
          <w:tcPr>
            <w:tcW w:type="dxa" w:w="1440"/>
            <w:shd w:fill="FFDCE0" w:val="clear"/>
          </w:tcPr>
          <w:p>
            <w:r>
              <w:rPr>
                <w:sz w:val="17"/>
              </w:rPr>
              <w:t>1,677</w:t>
            </w:r>
          </w:p>
        </w:tc>
        <w:tc>
          <w:tcPr>
            <w:tcW w:type="dxa" w:w="1440"/>
            <w:shd w:fill="FFDCE0" w:val="clear"/>
          </w:tcPr>
          <w:p>
            <w:r>
              <w:rPr>
                <w:b/>
                <w:color w:val="C00000"/>
                <w:sz w:val="17"/>
              </w:rPr>
              <w:t>-4.9%</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1,273</w:t>
            </w:r>
          </w:p>
        </w:tc>
        <w:tc>
          <w:tcPr>
            <w:tcW w:type="dxa" w:w="1440"/>
            <w:shd w:fill="FFDCE0" w:val="clear"/>
          </w:tcPr>
          <w:p>
            <w:r>
              <w:rPr>
                <w:b/>
                <w:sz w:val="17"/>
              </w:rPr>
              <w:t>1,476</w:t>
            </w:r>
          </w:p>
        </w:tc>
        <w:tc>
          <w:tcPr>
            <w:tcW w:type="dxa" w:w="1440"/>
            <w:shd w:fill="FFDCE0" w:val="clear"/>
          </w:tcPr>
          <w:p>
            <w:r>
              <w:rPr>
                <w:sz w:val="17"/>
              </w:rPr>
              <w:t>1,680</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1,256</w:t>
            </w:r>
          </w:p>
        </w:tc>
        <w:tc>
          <w:tcPr>
            <w:tcW w:type="dxa" w:w="1440"/>
            <w:shd w:fill="FFDCE0" w:val="clear"/>
          </w:tcPr>
          <w:p>
            <w:r>
              <w:rPr>
                <w:b/>
                <w:sz w:val="17"/>
              </w:rPr>
              <w:t>1,469</w:t>
            </w:r>
          </w:p>
        </w:tc>
        <w:tc>
          <w:tcPr>
            <w:tcW w:type="dxa" w:w="1440"/>
            <w:shd w:fill="FFDCE0" w:val="clear"/>
          </w:tcPr>
          <w:p>
            <w:r>
              <w:rPr>
                <w:sz w:val="17"/>
              </w:rPr>
              <w:t>1,682</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 | Analyste : Marchés Frontières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39,30 milliards FCFA, un niveau intermédiaire à l'échelle de la BRVM qui la positionne comme une valeur industrielle de second rang, loin des poids lourds bancaires et télécoms. Les ratios de valorisation classiques (BPA, PER, P/B, EV/EBITDA) ne sont pas calculables en l'état, faute de données financières structurées récentes et fiables injectées dans la base : le dernier BPA exploitable remonte à l'exercice 2023 (512 FCFA selon le rapport annuel 2023), ce qui donnerait un PER théorique d'environ 3,0x au cours actuel de 1 560 FCFA — un niveau exceptionnellement bas, très en-dessous de la moyenne BRVM (8-12x), mais à interpréter avec prudence car il repose sur des résultats non audités pour 2024-2025 et sur un flottant réduit. L'absence de P/B et d'EV/EBITDA empêche toute comparaison rigoureuse avec les pairs du secteur emballage, et cette carence informationnelle constitue en soi un facteur de risque pour l'investisseur.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-4,00%, avec une dernière séance en repli de -0,32%, portant le cours à 1 560 FCFA. Le titre a évolué dans un range de 450 FCFA (plus haut 1 800 FCFA, plus bas 1 350 FCFA), soit une amplitude de 33% du cours actuel — un spread large traduisant une réelle nervosité. La tendance générale est baissière modérée avec une tentative de stabilisation autour de 1 500-1 560 FCFA, le cours se situant légèrement au-dessus de sa moyenne (1 530 FCFA) et de sa médiane (1 520 FCFA), ce qui suggère une distribution légèrement asymétrique à droite. L'écart-type de 73 FCFA et le coefficient de variation de 4,8% indiquent une dispersion relativement contenue sur la période, mais le kurtosis de 1,438 (leptokurtique) signale des queues épaisses et un risque de pics brutaux — caractéristique des titres à faible liquidité. Le skewness positif de 0,620 confirme cette asymétrie : davantage de journées se sont situées sous la moyenne, avec quelques séances haussières marquées venant tirer la distribution vers le haut. Enfin, la volatilité annualisée de 48,7% classe SEMC dans la catégorie des titres à volatilité élevée (&gt;30%), ce qui est cohérent avec un flottant réduit et un volume moyen quotidien limité à 5 991 titres.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(1 538,5 FCFA) est supérieure à la MM50 (1 499,0 FCFA), configuration haussière classique de croisement doré. Le cours actuel (1 560 FCFA) surplombe les deux moyennes, ce qui confirme la décision d'**Achat** : le titre évolue au-dessus de ses supports dynamiques, et la pente ascendante de la MM20 valide un momentum positif de court terme.</w:t>
      </w:r>
    </w:p>
    <w:p>
      <w:pPr>
        <w:spacing w:after="120" w:line="276" w:lineRule="auto"/>
      </w:pPr>
      <w:r>
        <w:t>**Bandes de Bollinger** : Le cours (1 560 FCFA) se situe dans la partie haute de la bande (borne supérieure 1 624,16 FCFA, borne inférieure 1 452,84 FCFA), sans la franchir. L'écart entre les bornes (171 FCFA) traduit une volatilité modérée. La décision est **Neutre** : le titre n'est ni en surachat extrême, ni en survente, et la position médiane-haute suggère une consolidation possible avant un nouveau mouvement directionnel.</w:t>
      </w:r>
    </w:p>
    <w:p>
      <w:pPr>
        <w:spacing w:after="120" w:line="276" w:lineRule="auto"/>
      </w:pPr>
      <w:r>
        <w:t>**MACD** : La ligne MACD (13,22) est supérieure à sa ligne de signal (10,912), avec un histogramme positif — configuration haussière. Le momentum est donc favorable, et la décision d'**Achat** est cohérente : la divergence positive indique que la pression acheteuse reste dominante, même si l'écart entre les deux lignes demeure modeste, limitant la conviction.</w:t>
      </w:r>
    </w:p>
    <w:p>
      <w:pPr>
        <w:spacing w:after="120" w:line="276" w:lineRule="auto"/>
      </w:pPr>
      <w:r>
        <w:t>**RSI** : À 50,962, le RSI se situe exactement dans la zone neutre (30-70), sans signal de surachat ni de survente. La décision **Neutre** reflète un équilibre parfait entre acheteurs et vendeurs, ce qui suggère que le titre n'a pas encore choisi sa direction et qu'un catalyseur sera nécessaire pour déclencher un mouvement.</w:t>
      </w:r>
    </w:p>
    <w:p>
      <w:pPr>
        <w:spacing w:after="120" w:line="276" w:lineRule="auto"/>
      </w:pPr>
      <w:r>
        <w:t>**Stochastique** : Le %K (84,615) et le %D (85,073) sont tous deux en zone de surachat (&gt;80), avec un %K légèrement inférieur au %D — un croisement baissier imminent. La décision de **Vente** est justifiée : le titre approche d'un sommet de court terme et un repli technique est probable, ce qui contredit partiellement les signaux haussiers des MM et du MACD.</w:t>
      </w:r>
    </w:p>
    <w:p>
      <w:pPr>
        <w:spacing w:after="120" w:line="276" w:lineRule="auto"/>
      </w:pPr>
      <w:r>
        <w:t>**Conclusion technique** : Les indicateurs sont **divergents** — les moyennes mobiles et le MACD plaident pour un achat, tandis que le stochastique signale une vente imminente et que le RSI et les Bollinger restent neutres. Cette configuration suggère un titre en phase de consolidation haussière mais proche d'un point de retournement à court terme. La prudence est de mise : un repli vers la MM20 (1 538 FCFA) voire la MM50 (1 499 FCFA) constituerait un point d'entrée plus favorable.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récentes ne sont pas disponibles dans la base, mais les rapports officiels fournis — dont les plus récents datent du **31 décembre 2024** (exercice 2023) — permettent de dresser un tableau contrasté. **En 2023**, selon le rapport annuel analysé le 15 mars 2026, SEMC a enregistré un chiffre d'affaires de **27,88 milliards FCFA**, en **baisse de 6%** par rapport aux 29,60 milliards FCFA de 2022, et un résultat net de **1,01 milliard FCFA**, en **chute de 74%** (vs 3,86 milliards en 2022). La marge nette s'est effondrée à **3,6%** (contre 13,0% en 2022), et le ROE a chuté à environ **4,5%** (contre 18,5% en 2022 selon le rapport 2023). Cette dégradation s'explique par la perte de clients clés (AIRONE, secteur tomate), la concurrence du PET, et des coûts fixes élevés. À noter que **deux rapports distincts** pour l'exercice 2023 coexistent : l'un évoque un CA de 125,4 milliards FCFA et un résultat net de 12,8 milliards FCFA (probablement une confusion avec les comptes consolidés du groupe Eviosys), l'autre — plus crédible car détaillé par secteur — retient 27,88 milliards FCFA de CA et 1,01 milliard FCFA de résultat net. **Aucun dividende n'a été distribué en 2022 et 2023** (DPA = 0 FCFA), la trésorerie (3,35 milliards FCFA en 2023) étant conservée pour financer la relance. Le **rachat par Sonoco Products Company** (finalisé en décembre 2024) constitue un événement majeur : il pourrait apporter des capitaux, une expertise technologique et débloquer la **suspension de la cote BRVM** (flottant insuffisant à 10,42% vs 15% requis). **Sur la base du rapport T1 2023** (CA +16,5% à 7,65 milliards FCFA, résultat net +37,9% à 855,65 millions FCFA), on peut estimer que l'exercice 2024 devrait bénéficier d'un rebond, avec un objectif affiché de **32 milliards FCFA de CA (+18%)** porté par les bouchons couronnes (+61% en volume) et les exportations. Toutefois, la **rentabilité reste fragile** (marge nette estimée &lt;5%) et la **dépendance aux clients historiques** demeure un risque majeur. La recommandation fondamentale est **CONSERVER avec vigilance** : les perspectives de relance et l'arrivée de Sonoco sont prometteuses, mais la faiblesse des marges et l'absence de dividendes limitent l'attrait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théoriquement attractive (PER ~3x sur la base des résultats 2023), mais l'absence de ratios fiables et la dégradation des bénéfices en 2023 rendent cette évaluation peu concluante. Le **comportement du cours (Partie 1)** est préoccupant : tendance baissière sur 100 jours (-4,00%), volatilité élevée (48,7%), kurtosis leptokurtique (risque de pics) et skewness positif (pression vendeuse sous la moyenne) — des statistiques défavorables pour un investisseur averse au risque. Les **signaux techniques (Partie 2)** sont divergents : MM et MACD haussiers, mais stochastique en surachat et RSI neutre, plaidant pour une consolidation avant tout nouvel engagement. Les **fondamentaux (Partie 3)** sont mitigés : exercice 2023 désastreux (CA -6%, résultat net -74%, marge nette 3,6%), mais perspectives 2024-2025 porteuses grâce au rachat par Sonoco et à la relance des bouchons couronnes. Les **prédictions IA (J+1 à J+10)** anticipent une **baisse continue** de 1 534 FCFA (J+1) à 1 507 FCFA (J+5), confirmant le signal baissier du stochastique et contredisant les signaux haussiers des MM et du MACD. **En synthèse**, la convergence entre la prédiction IA baissière, le stochastique en surachat et la tendance de fond négative l'emporte sur les signaux haussiers isolés. **Recommandation finale : CONSERVER** (avec biais baissier à court terme). Justification : la valorisation théorique et les perspectives de relance justifient de ne pas vendre, mais la faiblesse des fondamentaux 2023, l'absence de dividendes et la trajectoire baissière prédite à 10 jours incitent à la prudence. **Niveau de confiance : Moyen** (divergence des signaux). **Niveau de risque : Élevé** (volatilité 48,7%, flottant réduit, suspension BRVM). **Horizon optimal : Moyen terme (3-12 mois)**, en surveillant la levée de la suspension BRVM et les résultats 2024-2025 pour confirmer ou infirmer la reprise. Un retour vers 1 450-1 500 FCFA constituerait une zone d'accumulation intéressante pour les investisseurs patients.</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1197.78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5,595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+16.67%</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4.82% (Faible) — μ=37,501 FCFA, σ=1,806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β=0.6071 (Défensif) — Cov=0.000021, Var(idx)=0.000034, ρ=0.236,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σ_j=1.51%/j (Stable) — Vol. annualisée≈23.9%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37,369</w:t>
            </w:r>
          </w:p>
        </w:tc>
        <w:tc>
          <w:tcPr>
            <w:tcW w:type="dxa" w:w="1440"/>
            <w:shd w:fill="FAFAFA" w:val="clear"/>
          </w:tcPr>
          <w:p>
            <w:r>
              <w:rPr>
                <w:b/>
                <w:sz w:val="17"/>
              </w:rPr>
              <w:t>38,246</w:t>
            </w:r>
          </w:p>
        </w:tc>
        <w:tc>
          <w:tcPr>
            <w:tcW w:type="dxa" w:w="1440"/>
            <w:shd w:fill="FAFAFA" w:val="clear"/>
          </w:tcPr>
          <w:p>
            <w:r>
              <w:rPr>
                <w:sz w:val="17"/>
              </w:rPr>
              <w:t>39,122</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36,882</w:t>
            </w:r>
          </w:p>
        </w:tc>
        <w:tc>
          <w:tcPr>
            <w:tcW w:type="dxa" w:w="1440"/>
            <w:shd w:fill="FAFAFA" w:val="clear"/>
          </w:tcPr>
          <w:p>
            <w:r>
              <w:rPr>
                <w:b/>
                <w:sz w:val="17"/>
              </w:rPr>
              <w:t>38,118</w:t>
            </w:r>
          </w:p>
        </w:tc>
        <w:tc>
          <w:tcPr>
            <w:tcW w:type="dxa" w:w="1440"/>
            <w:shd w:fill="FAFAFA" w:val="clear"/>
          </w:tcPr>
          <w:p>
            <w:r>
              <w:rPr>
                <w:sz w:val="17"/>
              </w:rPr>
              <w:t>39,354</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36,485</w:t>
            </w:r>
          </w:p>
        </w:tc>
        <w:tc>
          <w:tcPr>
            <w:tcW w:type="dxa" w:w="1440"/>
            <w:shd w:fill="FAFAFA" w:val="clear"/>
          </w:tcPr>
          <w:p>
            <w:r>
              <w:rPr>
                <w:b/>
                <w:sz w:val="17"/>
              </w:rPr>
              <w:t>37,993</w:t>
            </w:r>
          </w:p>
        </w:tc>
        <w:tc>
          <w:tcPr>
            <w:tcW w:type="dxa" w:w="1440"/>
            <w:shd w:fill="FAFAFA" w:val="clear"/>
          </w:tcPr>
          <w:p>
            <w:r>
              <w:rPr>
                <w:sz w:val="17"/>
              </w:rPr>
              <w:t>39,502</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36,139</w:t>
            </w:r>
          </w:p>
        </w:tc>
        <w:tc>
          <w:tcPr>
            <w:tcW w:type="dxa" w:w="1440"/>
            <w:shd w:fill="FAFAFA" w:val="clear"/>
          </w:tcPr>
          <w:p>
            <w:r>
              <w:rPr>
                <w:b/>
                <w:sz w:val="17"/>
              </w:rPr>
              <w:t>37,875</w:t>
            </w:r>
          </w:p>
        </w:tc>
        <w:tc>
          <w:tcPr>
            <w:tcW w:type="dxa" w:w="1440"/>
            <w:shd w:fill="FAFAFA" w:val="clear"/>
          </w:tcPr>
          <w:p>
            <w:r>
              <w:rPr>
                <w:sz w:val="17"/>
              </w:rPr>
              <w:t>39,612</w:t>
            </w:r>
          </w:p>
        </w:tc>
        <w:tc>
          <w:tcPr>
            <w:tcW w:type="dxa" w:w="1440"/>
            <w:shd w:fill="FAFAFA" w:val="clear"/>
          </w:tcPr>
          <w:p>
            <w:r>
              <w:rPr>
                <w:b/>
                <w:color w:val="C00000"/>
                <w:sz w:val="17"/>
              </w:rPr>
              <w:t>-1.6%</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35,827</w:t>
            </w:r>
          </w:p>
        </w:tc>
        <w:tc>
          <w:tcPr>
            <w:tcW w:type="dxa" w:w="1440"/>
            <w:shd w:fill="FAFAFA" w:val="clear"/>
          </w:tcPr>
          <w:p>
            <w:r>
              <w:rPr>
                <w:b/>
                <w:sz w:val="17"/>
              </w:rPr>
              <w:t>37,763</w:t>
            </w:r>
          </w:p>
        </w:tc>
        <w:tc>
          <w:tcPr>
            <w:tcW w:type="dxa" w:w="1440"/>
            <w:shd w:fill="FAFAFA" w:val="clear"/>
          </w:tcPr>
          <w:p>
            <w:r>
              <w:rPr>
                <w:sz w:val="17"/>
              </w:rPr>
              <w:t>39,698</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35,539</w:t>
            </w:r>
          </w:p>
        </w:tc>
        <w:tc>
          <w:tcPr>
            <w:tcW w:type="dxa" w:w="1440"/>
            <w:shd w:fill="FFDCE0" w:val="clear"/>
          </w:tcPr>
          <w:p>
            <w:r>
              <w:rPr>
                <w:b/>
                <w:sz w:val="17"/>
              </w:rPr>
              <w:t>37,654</w:t>
            </w:r>
          </w:p>
        </w:tc>
        <w:tc>
          <w:tcPr>
            <w:tcW w:type="dxa" w:w="1440"/>
            <w:shd w:fill="FFDCE0" w:val="clear"/>
          </w:tcPr>
          <w:p>
            <w:r>
              <w:rPr>
                <w:sz w:val="17"/>
              </w:rPr>
              <w:t>39,768</w:t>
            </w:r>
          </w:p>
        </w:tc>
        <w:tc>
          <w:tcPr>
            <w:tcW w:type="dxa" w:w="1440"/>
            <w:shd w:fill="FFDCE0" w:val="clear"/>
          </w:tcPr>
          <w:p>
            <w:r>
              <w:rPr>
                <w:b/>
                <w:color w:val="C00000"/>
                <w:sz w:val="17"/>
              </w:rPr>
              <w:t>-2.2%</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35,270</w:t>
            </w:r>
          </w:p>
        </w:tc>
        <w:tc>
          <w:tcPr>
            <w:tcW w:type="dxa" w:w="1440"/>
            <w:shd w:fill="FFDCE0" w:val="clear"/>
          </w:tcPr>
          <w:p>
            <w:r>
              <w:rPr>
                <w:b/>
                <w:sz w:val="17"/>
              </w:rPr>
              <w:t>37,548</w:t>
            </w:r>
          </w:p>
        </w:tc>
        <w:tc>
          <w:tcPr>
            <w:tcW w:type="dxa" w:w="1440"/>
            <w:shd w:fill="FFDCE0" w:val="clear"/>
          </w:tcPr>
          <w:p>
            <w:r>
              <w:rPr>
                <w:sz w:val="17"/>
              </w:rPr>
              <w:t>39,825</w:t>
            </w:r>
          </w:p>
        </w:tc>
        <w:tc>
          <w:tcPr>
            <w:tcW w:type="dxa" w:w="1440"/>
            <w:shd w:fill="FFDCE0" w:val="clear"/>
          </w:tcPr>
          <w:p>
            <w:r>
              <w:rPr>
                <w:b/>
                <w:color w:val="C00000"/>
                <w:sz w:val="17"/>
              </w:rPr>
              <w:t>-2.5%</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35,016</w:t>
            </w:r>
          </w:p>
        </w:tc>
        <w:tc>
          <w:tcPr>
            <w:tcW w:type="dxa" w:w="1440"/>
            <w:shd w:fill="FFDCE0" w:val="clear"/>
          </w:tcPr>
          <w:p>
            <w:r>
              <w:rPr>
                <w:b/>
                <w:sz w:val="17"/>
              </w:rPr>
              <w:t>37,444</w:t>
            </w:r>
          </w:p>
        </w:tc>
        <w:tc>
          <w:tcPr>
            <w:tcW w:type="dxa" w:w="1440"/>
            <w:shd w:fill="FFDCE0" w:val="clear"/>
          </w:tcPr>
          <w:p>
            <w:r>
              <w:rPr>
                <w:sz w:val="17"/>
              </w:rPr>
              <w:t>39,872</w:t>
            </w:r>
          </w:p>
        </w:tc>
        <w:tc>
          <w:tcPr>
            <w:tcW w:type="dxa" w:w="1440"/>
            <w:shd w:fill="FFDCE0" w:val="clear"/>
          </w:tcPr>
          <w:p>
            <w:r>
              <w:rPr>
                <w:b/>
                <w:color w:val="C00000"/>
                <w:sz w:val="17"/>
              </w:rPr>
              <w:t>-2.7%</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34,775</w:t>
            </w:r>
          </w:p>
        </w:tc>
        <w:tc>
          <w:tcPr>
            <w:tcW w:type="dxa" w:w="1440"/>
            <w:shd w:fill="FFDCE0" w:val="clear"/>
          </w:tcPr>
          <w:p>
            <w:r>
              <w:rPr>
                <w:b/>
                <w:sz w:val="17"/>
              </w:rPr>
              <w:t>37,343</w:t>
            </w:r>
          </w:p>
        </w:tc>
        <w:tc>
          <w:tcPr>
            <w:tcW w:type="dxa" w:w="1440"/>
            <w:shd w:fill="FFDCE0" w:val="clear"/>
          </w:tcPr>
          <w:p>
            <w:r>
              <w:rPr>
                <w:sz w:val="17"/>
              </w:rPr>
              <w:t>39,911</w:t>
            </w:r>
          </w:p>
        </w:tc>
        <w:tc>
          <w:tcPr>
            <w:tcW w:type="dxa" w:w="1440"/>
            <w:shd w:fill="FFDCE0" w:val="clear"/>
          </w:tcPr>
          <w:p>
            <w:r>
              <w:rPr>
                <w:b/>
                <w:color w:val="C00000"/>
                <w:sz w:val="17"/>
              </w:rPr>
              <w:t>-3.0%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34,543</w:t>
            </w:r>
          </w:p>
        </w:tc>
        <w:tc>
          <w:tcPr>
            <w:tcW w:type="dxa" w:w="1440"/>
            <w:shd w:fill="FFDCE0" w:val="clear"/>
          </w:tcPr>
          <w:p>
            <w:r>
              <w:rPr>
                <w:b/>
                <w:sz w:val="17"/>
              </w:rPr>
              <w:t>37,243</w:t>
            </w:r>
          </w:p>
        </w:tc>
        <w:tc>
          <w:tcPr>
            <w:tcW w:type="dxa" w:w="1440"/>
            <w:shd w:fill="FFDCE0" w:val="clear"/>
          </w:tcPr>
          <w:p>
            <w:r>
              <w:rPr>
                <w:sz w:val="17"/>
              </w:rPr>
              <w:t>39,943</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SOCIÉTÉ GÉNÉRALE CÔTE D'IVOIRE (SGBC)**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1 197,78 milliards FCFA, SGBC s'impose comme l'une des toutes premières capitalisations de la BRVM, un statut de poids lourd du compartiment bancaire régional. Le BPA de 3 258 FCFA par action signifie que chaque titre génère près de 3 258 FCFA de bénéfice net, ce qui, rapporté au cours actuel de 38 500 FCFA, donne un PER de 11,8x — un niveau modéré, légèrement supérieur à la moyenne du marché BRVM (8-12x) mais justifié par la qualité exceptionnelle de l'émetteur. Le P/B de 2,42x indique que le marché valorise la banque à plus de deux fois ses fonds propres comptables, traduisant une prime de croissance et de rentabilité (ROE &gt;20%) tout à fait légitime pour un leader noté AAA. En revanche, l'EV/EBITDA de 24,6x apparaît très exigeant (&gt;15x), signalant que la valeur d'entreprise intègre déjà une forte anticipation de résultats futurs — un point de vigilance pour les investisseurs en quête de décote.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SGBC affiche une performance remarquable de +16,67%, malgré un léger repli de -0,95% lors de la dernière séance, le titre clôturant à 38 500 FCFA. Le range de trading s'étend de 32 800 FCFA (plus bas) à 39 300 FCFA (plus haut), soit une amplitude de 6 500 FCFA qui témoigne d'une tendance nettement haussière, le cours évoluant désormais dans le haut de cette fourchette. Les statistiques descriptives révèlent une moyenne de 37 501 FCFA légèrement inférieure à la médiane de 38 000 FCFA, confirmant une asymétrie négative (skewness de -1,193) : le cours a passé davantage de séances au-dessus de sa moyenne, avec quelques journées de correction marquée tirant la moyenne vers le bas. L'écart-type de 1 815 FCFA (CV de 4,8%) indique une dispersion modérée du cours autour de sa tendance, tandis que le kurtosis de 0,271 (mésokurtique) suggère un comportement proche d'une distribution normale, sans risque excessif de pics extrêmes. La volatilité annualisée de 23,9% positionne SGBC dans la catégorie des titres à volatilité modérée (15-30%), cohérente avec un profil de valeur bancaire stable et liquide (volume moyen de 5 595 titres/jour).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(38 607,5 FCFA) et la MM50 (38 418,4 FCFA) se situent toutes deux au-dessus du cours actuel (38 500 FCFA), avec une MM20 légèrement supérieure à la MM50 — configuration haussière classique. Le signal d'achat est confirmé par le fait que le cours évolue à proximité immédiate de ces supports dynamiques, suggérant une consolidation saine avant reprise.</w:t>
      </w:r>
    </w:p>
    <w:p>
      <w:pPr>
        <w:spacing w:after="120" w:line="276" w:lineRule="auto"/>
      </w:pPr>
      <w:r>
        <w:t>**Bandes de Bollinger** : Le cours (38 500 FCFA) se situe à mi-chemin entre la borne inférieure (37 609,9 FCFA) et la borne supérieure (39 605,1 FCFA), dans la zone médiane du canal. Cette position neutre indique l'absence de tension extrême, avec une volatilité contenue — le titre n'est ni suracheté ni survendu selon ce critère.</w:t>
      </w:r>
    </w:p>
    <w:p>
      <w:pPr>
        <w:spacing w:after="120" w:line="276" w:lineRule="auto"/>
      </w:pPr>
      <w:r>
        <w:t>**MACD** : La valeur du MACD (50,745) surpasse nettement son signal (20,994), générant un histogramme positif qui confirme un momentum haussier en cours. Cette divergence positive plaide pour la poursuite de la tendance, bien que l'ampleur de l'écart invite à surveiller un éventuel essoufflement.</w:t>
      </w:r>
    </w:p>
    <w:p>
      <w:pPr>
        <w:spacing w:after="120" w:line="276" w:lineRule="auto"/>
      </w:pPr>
      <w:r>
        <w:t>**RSI** : À 39,884, le RSI se situe dans la zone neutre basse (30-70), sans atteindre le seuil de survente (30). Cette configuration indique que le titre dispose encore d'un potentiel de hausse sans être suracheté, mais la proximité de la zone de survente appelle à la prudence à court terme.</w:t>
      </w:r>
    </w:p>
    <w:p>
      <w:pPr>
        <w:spacing w:after="120" w:line="276" w:lineRule="auto"/>
      </w:pPr>
      <w:r>
        <w:t>**Stochastique** : Le %K (50,761) est inférieur au %D (67,251), signalant un croisement baissier récent qui pourrait annoncer une correction de court terme. Cette configuration neutre à légèrement baissière contraste avec le signal d'achat des moyennes mobiles et du MACD.</w:t>
      </w:r>
    </w:p>
    <w:p>
      <w:pPr>
        <w:spacing w:after="120" w:line="276" w:lineRule="auto"/>
      </w:pPr>
      <w:r>
        <w:t>**Conclusion technique** : Les indicateurs présentent une divergence notable : les moyennes mobiles et le MACD émettent des signaux d'achat, tandis que le RSI et le stochastique suggèrent une certaine prudence à court terme. Cette configuration mixte, typique d'une phase de consolidation, invite à privilégier une approche progressive plutôt qu'un achat massif immédiat.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SGBC affiche des fondamentaux exceptionnels : un Produit Net Bancaire (équivalent du chiffre d'affaires pour une banque) de 276,048 milliards FCFA, un résultat net de 101,352 milliards FCFA (franchissant pour la première fois le seuil symbolique des 100 milliards), un ROE de 20,47% (largement supérieur au seuil d'excellence de 15%) et un ROA de 2,69%. Le coefficient d'exploitation s'établit à 38,75%, bien en dessous du seuil de 60% qui définit une banque efficace — SGBC figure parmi les établissements les plus performants de la zone UEMOA sur ce critère. La structure bilancielle révèle une banque solidement capitalisée (capitaux propres de 495,113 milliards FCFA) et une collecte de dépôts massive (2 907,675 milliards FCFA) pour des créances clientèle de 2 546,290 milliards FCFA, soit un ratio prêts/dépôts de 87,6% — un niveau sain traduisant une bonne transformation. Le portefeuille de titres d'État (599,811 milliards FCFA) et la trésorerie abondante (371,730 milliards FCFA) confirment une gestion prudente de la liquidité. Les rapports trimestriels 2025 corroborent cette dynamique : au T3 2025 (rapport du 30 septembre 2025), le PNB cumulé atteint 201,0 milliards FCFA (+2,5%) et le résultat net 83,3 milliards FCFA (+11,7%), avec un coefficient d'exploitation amélioré à 37,3% et une collecte de dépôts en hausse de +13,9% à 2 939 milliards FCFA. Le rapport S1 2025 (30 juin 2025) souligne un ROE de 23,8% et un ratio de solvabilité de 17,7%, bien au-dessus du minimum réglementaire de 12,5%, tandis que le rapport annuel 2024 (31 décembre 2024) confirme la notation AAA (unique sur le marché bancaire BRVM) et un dividende brut de 1 863 FCFA par action (+8,4%), soit un taux de distribution de 57,25%. Sur la base du T3 2025 (résultat net +11,7%), on peut estimer que l'exercice 2025 devrait clôturer avec un résultat net proche de 105-110 milliards FCFA, confirmant la trajectoire de croissance rentable. Le principal point de vigilance reste la qualité du crédit : le taux de créances en souffrance (NPL) s'établissait à 7,8% au S1 2025 (contre 6,7% un an plus tôt), avec un taux de couverture en baisse à 91% — un risque à surveiller dans un contexte de ralentissement économique potentiel lié aux élections présidentielles. Néanmoins, la solidité du bilan, la notation AAA et la politique de dividende généreuse confirment la robustesse fondamentale de SGBC.</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La valorisation (Partie 0) apparaît modérée avec un PER de 11,8x et un P/B de 2,42x, bien que l'EV/EBITDA de 24,6x soit exigeant — le marché intègre déjà une prime de qualité. Le comportement du cours (Partie 1) est nettement haussier (+16,67% sur 100 jours) avec une volatilité modérée (23,9%) et une asymétrie négative (skewness -1,193) qui traduit une tendance de fond positive malgré quelques corrections. Les signaux techniques (Partie 2) sont mitigés : les moyennes mobiles et le MACD sont haussiers, mais le RSI (39,9) et le stochastique (croisement baissier %K/%D) suggèrent une consolidation imminente. Les fondamentaux (Partie 3) sont excellents : ROE de 20,47%, coefficient d'exploitation de 38,75%, résultat net de 101,352 milliards FCFA en 2025, notation AAA et dividende attractif — la croissance du résultat net au T3 2025 (+11,7%) confirme la dynamique. Les prédictions IA (J+1 à J+10) anticipent une légère correction vers 37 763 FCFA d'ici le 18 septembre 2026, ce qui contredit partiellement les signaux haussiers des moyennes mobiles mais s'aligne avec le stochastique baissier. Compte tenu de cette convergence partielle — fondamentaux solides, valorisation raisonnable, technique mitigée et prédiction baissière à court terme — la recommandation finale est **CONSERVER**, avec un niveau de confiance **Moyen** et un risque global **Faible**. L'horizon d'investissement optimal est le **moyen terme (3-12 mois)**, le temps que la consolidation technique s'achève et que la croissance bénéficiaire se matérialise pleinement, offrant aux investisseurs un profil rendement (dividende) et stabilité (notation AAA) attractif sur la BRVM.</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160.65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4,606 titres</w:t>
            </w:r>
          </w:p>
        </w:tc>
        <w:tc>
          <w:tcPr>
            <w:tcW w:type="dxa" w:w="2268"/>
            <w:shd w:fill="FFF2CC" w:val="clear"/>
          </w:tcPr>
          <w:p>
            <w:r>
              <w:rPr>
                <w:b/>
                <w:color w:val="503200"/>
                <w:sz w:val="16"/>
              </w:rPr>
              <w:t xml:space="preserve">Cours actuel : </w:t>
            </w:r>
            <w:r>
              <w:rPr>
                <w:color w:val="000000"/>
                <w:sz w:val="17"/>
              </w:rPr>
              <w:t>2,550 FCFA</w:t>
            </w:r>
          </w:p>
          <w:p>
            <w:r>
              <w:rPr>
                <w:b/>
                <w:color w:val="503200"/>
                <w:sz w:val="16"/>
              </w:rPr>
              <w:t xml:space="preserve">Var. 100 jours : </w:t>
            </w:r>
            <w:r>
              <w:rPr>
                <w:b/>
                <w:color w:val="007800"/>
                <w:sz w:val="17"/>
              </w:rPr>
              <w:t>+34.92%</w:t>
            </w:r>
          </w:p>
          <w:p>
            <w:r>
              <w:rPr>
                <w:b/>
                <w:color w:val="503200"/>
                <w:sz w:val="16"/>
              </w:rPr>
              <w:t xml:space="preserve">Plus haut 100j : </w:t>
            </w:r>
            <w:r>
              <w:rPr>
                <w:color w:val="000000"/>
                <w:sz w:val="17"/>
              </w:rPr>
              <w:t>2,550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8.44% (Moyenne) — μ=2,157 FCFA, σ=182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β=1.0297 (Neutre (suit le marché)) — Cov=0.000035, Var(idx)=0.000034, ρ=0.287,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2,401</w:t>
            </w:r>
          </w:p>
        </w:tc>
        <w:tc>
          <w:tcPr>
            <w:tcW w:type="dxa" w:w="1440"/>
            <w:shd w:fill="FFDCE0" w:val="clear"/>
          </w:tcPr>
          <w:p>
            <w:r>
              <w:rPr>
                <w:b/>
                <w:sz w:val="17"/>
              </w:rPr>
              <w:t>2,478</w:t>
            </w:r>
          </w:p>
        </w:tc>
        <w:tc>
          <w:tcPr>
            <w:tcW w:type="dxa" w:w="1440"/>
            <w:shd w:fill="FFDCE0" w:val="clear"/>
          </w:tcPr>
          <w:p>
            <w:r>
              <w:rPr>
                <w:sz w:val="17"/>
              </w:rPr>
              <w:t>2,556</w:t>
            </w:r>
          </w:p>
        </w:tc>
        <w:tc>
          <w:tcPr>
            <w:tcW w:type="dxa" w:w="1440"/>
            <w:shd w:fill="FFDCE0" w:val="clear"/>
          </w:tcPr>
          <w:p>
            <w:r>
              <w:rPr>
                <w:b/>
                <w:color w:val="C00000"/>
                <w:sz w:val="17"/>
              </w:rPr>
              <w:t>-2.8%</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2,323</w:t>
            </w:r>
          </w:p>
        </w:tc>
        <w:tc>
          <w:tcPr>
            <w:tcW w:type="dxa" w:w="1440"/>
            <w:shd w:fill="FFDCE0" w:val="clear"/>
          </w:tcPr>
          <w:p>
            <w:r>
              <w:rPr>
                <w:b/>
                <w:sz w:val="17"/>
              </w:rPr>
              <w:t>2,431</w:t>
            </w:r>
          </w:p>
        </w:tc>
        <w:tc>
          <w:tcPr>
            <w:tcW w:type="dxa" w:w="1440"/>
            <w:shd w:fill="FFDCE0" w:val="clear"/>
          </w:tcPr>
          <w:p>
            <w:r>
              <w:rPr>
                <w:sz w:val="17"/>
              </w:rPr>
              <w:t>2,539</w:t>
            </w:r>
          </w:p>
        </w:tc>
        <w:tc>
          <w:tcPr>
            <w:tcW w:type="dxa" w:w="1440"/>
            <w:shd w:fill="FFDCE0" w:val="clear"/>
          </w:tcPr>
          <w:p>
            <w:r>
              <w:rPr>
                <w:b/>
                <w:color w:val="C00000"/>
                <w:sz w:val="17"/>
              </w:rPr>
              <w:t>-4.7%</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2,257</w:t>
            </w:r>
          </w:p>
        </w:tc>
        <w:tc>
          <w:tcPr>
            <w:tcW w:type="dxa" w:w="1440"/>
            <w:shd w:fill="FFDCE0" w:val="clear"/>
          </w:tcPr>
          <w:p>
            <w:r>
              <w:rPr>
                <w:b/>
                <w:sz w:val="17"/>
              </w:rPr>
              <w:t>2,386</w:t>
            </w:r>
          </w:p>
        </w:tc>
        <w:tc>
          <w:tcPr>
            <w:tcW w:type="dxa" w:w="1440"/>
            <w:shd w:fill="FFDCE0" w:val="clear"/>
          </w:tcPr>
          <w:p>
            <w:r>
              <w:rPr>
                <w:sz w:val="17"/>
              </w:rPr>
              <w:t>2,516</w:t>
            </w:r>
          </w:p>
        </w:tc>
        <w:tc>
          <w:tcPr>
            <w:tcW w:type="dxa" w:w="1440"/>
            <w:shd w:fill="FFDCE0" w:val="clear"/>
          </w:tcPr>
          <w:p>
            <w:r>
              <w:rPr>
                <w:b/>
                <w:color w:val="C00000"/>
                <w:sz w:val="17"/>
              </w:rPr>
              <w:t>-6.4%</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2,200</w:t>
            </w:r>
          </w:p>
        </w:tc>
        <w:tc>
          <w:tcPr>
            <w:tcW w:type="dxa" w:w="1440"/>
            <w:shd w:fill="FFDCE0" w:val="clear"/>
          </w:tcPr>
          <w:p>
            <w:r>
              <w:rPr>
                <w:b/>
                <w:sz w:val="17"/>
              </w:rPr>
              <w:t>2,348</w:t>
            </w:r>
          </w:p>
        </w:tc>
        <w:tc>
          <w:tcPr>
            <w:tcW w:type="dxa" w:w="1440"/>
            <w:shd w:fill="FFDCE0" w:val="clear"/>
          </w:tcPr>
          <w:p>
            <w:r>
              <w:rPr>
                <w:sz w:val="17"/>
              </w:rPr>
              <w:t>2,495</w:t>
            </w:r>
          </w:p>
        </w:tc>
        <w:tc>
          <w:tcPr>
            <w:tcW w:type="dxa" w:w="1440"/>
            <w:shd w:fill="FFDCE0" w:val="clear"/>
          </w:tcPr>
          <w:p>
            <w:r>
              <w:rPr>
                <w:b/>
                <w:color w:val="C00000"/>
                <w:sz w:val="17"/>
              </w:rPr>
              <w:t>-7.9%</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2,153</w:t>
            </w:r>
          </w:p>
        </w:tc>
        <w:tc>
          <w:tcPr>
            <w:tcW w:type="dxa" w:w="1440"/>
            <w:shd w:fill="FFDCE0" w:val="clear"/>
          </w:tcPr>
          <w:p>
            <w:r>
              <w:rPr>
                <w:b/>
                <w:sz w:val="17"/>
              </w:rPr>
              <w:t>2,315</w:t>
            </w:r>
          </w:p>
        </w:tc>
        <w:tc>
          <w:tcPr>
            <w:tcW w:type="dxa" w:w="1440"/>
            <w:shd w:fill="FFDCE0" w:val="clear"/>
          </w:tcPr>
          <w:p>
            <w:r>
              <w:rPr>
                <w:sz w:val="17"/>
              </w:rPr>
              <w:t>2,478</w:t>
            </w:r>
          </w:p>
        </w:tc>
        <w:tc>
          <w:tcPr>
            <w:tcW w:type="dxa" w:w="1440"/>
            <w:shd w:fill="FFDCE0" w:val="clear"/>
          </w:tcPr>
          <w:p>
            <w:r>
              <w:rPr>
                <w:b/>
                <w:color w:val="C00000"/>
                <w:sz w:val="17"/>
              </w:rPr>
              <w:t>-9.2%</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2,112</w:t>
            </w:r>
          </w:p>
        </w:tc>
        <w:tc>
          <w:tcPr>
            <w:tcW w:type="dxa" w:w="1440"/>
            <w:shd w:fill="FFDCE0" w:val="clear"/>
          </w:tcPr>
          <w:p>
            <w:r>
              <w:rPr>
                <w:b/>
                <w:sz w:val="17"/>
              </w:rPr>
              <w:t>2,288</w:t>
            </w:r>
          </w:p>
        </w:tc>
        <w:tc>
          <w:tcPr>
            <w:tcW w:type="dxa" w:w="1440"/>
            <w:shd w:fill="FFDCE0" w:val="clear"/>
          </w:tcPr>
          <w:p>
            <w:r>
              <w:rPr>
                <w:sz w:val="17"/>
              </w:rPr>
              <w:t>2,463</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2,075</w:t>
            </w:r>
          </w:p>
        </w:tc>
        <w:tc>
          <w:tcPr>
            <w:tcW w:type="dxa" w:w="1440"/>
            <w:shd w:fill="FFDCE0" w:val="clear"/>
          </w:tcPr>
          <w:p>
            <w:r>
              <w:rPr>
                <w:b/>
                <w:sz w:val="17"/>
              </w:rPr>
              <w:t>2,263</w:t>
            </w:r>
          </w:p>
        </w:tc>
        <w:tc>
          <w:tcPr>
            <w:tcW w:type="dxa" w:w="1440"/>
            <w:shd w:fill="FFDCE0" w:val="clear"/>
          </w:tcPr>
          <w:p>
            <w:r>
              <w:rPr>
                <w:sz w:val="17"/>
              </w:rPr>
              <w:t>2,451</w:t>
            </w:r>
          </w:p>
        </w:tc>
        <w:tc>
          <w:tcPr>
            <w:tcW w:type="dxa" w:w="1440"/>
            <w:shd w:fill="FFDCE0" w:val="clear"/>
          </w:tcPr>
          <w:p>
            <w:r>
              <w:rPr>
                <w:b/>
                <w:color w:val="C00000"/>
                <w:sz w:val="17"/>
              </w:rPr>
              <w:t>-11.2%</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2,043</w:t>
            </w:r>
          </w:p>
        </w:tc>
        <w:tc>
          <w:tcPr>
            <w:tcW w:type="dxa" w:w="1440"/>
            <w:shd w:fill="FFDCE0" w:val="clear"/>
          </w:tcPr>
          <w:p>
            <w:r>
              <w:rPr>
                <w:b/>
                <w:sz w:val="17"/>
              </w:rPr>
              <w:t>2,241</w:t>
            </w:r>
          </w:p>
        </w:tc>
        <w:tc>
          <w:tcPr>
            <w:tcW w:type="dxa" w:w="1440"/>
            <w:shd w:fill="FFDCE0" w:val="clear"/>
          </w:tcPr>
          <w:p>
            <w:r>
              <w:rPr>
                <w:sz w:val="17"/>
              </w:rPr>
              <w:t>2,440</w:t>
            </w:r>
          </w:p>
        </w:tc>
        <w:tc>
          <w:tcPr>
            <w:tcW w:type="dxa" w:w="1440"/>
            <w:shd w:fill="FFDCE0" w:val="clear"/>
          </w:tcPr>
          <w:p>
            <w:r>
              <w:rPr>
                <w:b/>
                <w:color w:val="C00000"/>
                <w:sz w:val="17"/>
              </w:rPr>
              <w:t>-12.1%</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2,012</w:t>
            </w:r>
          </w:p>
        </w:tc>
        <w:tc>
          <w:tcPr>
            <w:tcW w:type="dxa" w:w="1440"/>
            <w:shd w:fill="FFDCE0" w:val="clear"/>
          </w:tcPr>
          <w:p>
            <w:r>
              <w:rPr>
                <w:b/>
                <w:sz w:val="17"/>
              </w:rPr>
              <w:t>2,222</w:t>
            </w:r>
          </w:p>
        </w:tc>
        <w:tc>
          <w:tcPr>
            <w:tcW w:type="dxa" w:w="1440"/>
            <w:shd w:fill="FFDCE0" w:val="clear"/>
          </w:tcPr>
          <w:p>
            <w:r>
              <w:rPr>
                <w:sz w:val="17"/>
              </w:rPr>
              <w:t>2,431</w:t>
            </w:r>
          </w:p>
        </w:tc>
        <w:tc>
          <w:tcPr>
            <w:tcW w:type="dxa" w:w="1440"/>
            <w:shd w:fill="FFDCE0" w:val="clear"/>
          </w:tcPr>
          <w:p>
            <w:r>
              <w:rPr>
                <w:b/>
                <w:color w:val="C00000"/>
                <w:sz w:val="17"/>
              </w:rPr>
              <w:t>-12.9%</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1,985</w:t>
            </w:r>
          </w:p>
        </w:tc>
        <w:tc>
          <w:tcPr>
            <w:tcW w:type="dxa" w:w="1440"/>
            <w:shd w:fill="FFDCE0" w:val="clear"/>
          </w:tcPr>
          <w:p>
            <w:r>
              <w:rPr>
                <w:b/>
                <w:sz w:val="17"/>
              </w:rPr>
              <w:t>2,203</w:t>
            </w:r>
          </w:p>
        </w:tc>
        <w:tc>
          <w:tcPr>
            <w:tcW w:type="dxa" w:w="1440"/>
            <w:shd w:fill="FFDCE0" w:val="clear"/>
          </w:tcPr>
          <w:p>
            <w:r>
              <w:rPr>
                <w:sz w:val="17"/>
              </w:rPr>
              <w:t>2,422</w:t>
            </w:r>
          </w:p>
        </w:tc>
        <w:tc>
          <w:tcPr>
            <w:tcW w:type="dxa" w:w="1440"/>
            <w:shd w:fill="FFDCE0" w:val="clear"/>
          </w:tcPr>
          <w:p>
            <w:r>
              <w:rPr>
                <w:b/>
                <w:color w:val="C00000"/>
                <w:sz w:val="17"/>
              </w:rPr>
              <w:t>-13.6%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**Bourse Régionale des Valeurs Mobilières (BRVM) — Secteur : Distribution pétrolière aval**</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160,65 Mds FCFA, SHEC se positionne parmi les valeurs moyennes de la cote BRVM, reflétant sa taille de distributeur pétrolier aval à faible marge. Le BPA de 96 FCFA/action signifie que chaque titre génère près d'un centième de sa valeur en bénéfice net, ce qui, rapporté au cours actuel de 2 550 FCFA, aboutit à un PER de 26,7x — très nettement supérieur à la moyenne BRVM (~8-12x), signalant soit une anticipation de croissance forte, soit une surévaluation manifeste. Le P/B de 5,92x (bien au-delà du seuil de 4x) traduit une prime considérable par rapport à la valeur comptable, d'autant plus notable que les capitaux propres ne s'élèvent qu'à 27,16 Mds FCFA pour 160,65 Mds de capitalisation. Enfin, l'EV/EBITDA de 13,9x, dans la fourchette haute (10-15x), confirme que le marché valorise généreusement la capacité opérationnelle de l'entreprise, ce qui laisse peu de marge de sécurité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 enregistré une progression spectaculaire de **+34,92%**, avec une dernière séance en hausse de **+2,00%**, portant le cours à 2 550 FCFA — soit précisément le plus haut de la période, contre un plus bas de 1 840 FCFA. Le range de trading de 710 FCFA (38,6% d'amplitude) témoigne d'une tendance nettement haussière, le titre clôturant au sommet de sa fourchette. Les statistiques descriptives révèlent une moyenne de 2 157 FCFA légèrement inférieure à la médiane de 2 170 FCFA, avec un mode à 2 200 FCFA, suggérant une distribution quasi symétrique (skewness de 0,284, confirmant cette symétrie) où les extrêmes hauts et bas s'équilibrent. L'écart-type de 183 FCFA (CV de 8,5%) indique une dispersion modérée autour de la moyenne, tandis que le kurtosis de -0,860 (mésokurtique) signale une distribution proche de la normale, sans risque majeur de pics extrêmes — un profil rassurant pour la gestion du risque. La volatilité annualisée de 33,4% classe le titre dans la catégorie **élevée** (&gt;30%), ce qui est cohérent avec un rallye haussier soutenu mais expose l'investisseur à des corrections potentiellement marquées.</w:t>
      </w:r>
    </w:p>
    <w:p>
      <w:pPr>
        <w:spacing w:after="120" w:line="276" w:lineRule="auto"/>
      </w:pPr>
      <w:r>
        <w:t>---</w:t>
      </w:r>
    </w:p>
    <w:p>
      <w:pPr>
        <w:spacing w:after="120" w:line="276" w:lineRule="auto"/>
      </w:pPr>
      <w:r>
        <w:t>## PARTIE 2 : ANALYSE TECHNIQUE DÉTAILLÉE</w:t>
      </w:r>
    </w:p>
    <w:p>
      <w:pPr>
        <w:spacing w:after="120" w:line="276" w:lineRule="auto"/>
      </w:pPr>
      <w:r>
        <w:t>**Moyennes Mobiles** : La MM20 (2 432,5 FCFA) et la MM50 (2 302,2 FCFA) se situent toutes deux sous le cours actuel (2 550 FCFA), avec la MM20 au-dessus de la MM50 — configuration haussière classique en « golden cross ». Le cours évoluant au-dessus de ses deux moyennes, la dynamique de court et moyen terme reste positive, justifiant la décision **Achat**.</w:t>
      </w:r>
    </w:p>
    <w:p>
      <w:pPr>
        <w:spacing w:after="120" w:line="276" w:lineRule="auto"/>
      </w:pPr>
      <w:r>
        <w:t>**Bandes de Bollinger** : Le cours (2 550 FCFA) évolue à proximité immédiate de la borne supérieure (2 575,53 FCFA) tout en restant bien au-dessus de la borne inférieure (2 289,47 FCFA), ce qui traduit une pression acheteuse soutenue mais un risque de retour à la moyenne. La décision **Neutre** reflète cette position ambivalente : le titre n'est pas encore en surachat extrême, mais la proximité de la borne haute limite le potentiel de hausse immédiat.</w:t>
      </w:r>
    </w:p>
    <w:p>
      <w:pPr>
        <w:spacing w:after="120" w:line="276" w:lineRule="auto"/>
      </w:pPr>
      <w:r>
        <w:t>**MACD** : Le MACD (59,847) surpasse son signal (56,013), avec un histogramme positif confirmant un momentum haussier en cours. Cette divergence positive entre la ligne MACD et sa moyenne mobile de signal valide la poursuite de la tendance, justifiant la décision **Achat**.</w:t>
      </w:r>
    </w:p>
    <w:p>
      <w:pPr>
        <w:spacing w:after="120" w:line="276" w:lineRule="auto"/>
      </w:pPr>
      <w:r>
        <w:t>**RSI** : À 66,667, le RSI se situe dans la zone neutre haute (30-70), sans atteindre le seuil de surachat (70). Cette configuration indique que le titre conserve un potentiel de hausse résiduel sans être techniquement épuisé, ce qui justifie la décision **Neutre** — ni signal d'achat agressif, ni signal de vente.</w:t>
      </w:r>
    </w:p>
    <w:p>
      <w:pPr>
        <w:spacing w:after="120" w:line="276" w:lineRule="auto"/>
      </w:pPr>
      <w:r>
        <w:t>**Stochastique** : Le %K et le %D sont tous deux à 100,0, soit le niveau maximal de la fourchette, signalant un surachat technique extrême. Cette configuration, bien que confirmant la force du rallye, expose le titre à un risque de correction à court terme, justifiant la décision **Vente** — signal de prudence face à un essoufflement potentiel.</w:t>
      </w:r>
    </w:p>
    <w:p>
      <w:pPr>
        <w:spacing w:after="120" w:line="276" w:lineRule="auto"/>
      </w:pPr>
      <w:r>
        <w:t>**Conclusion technique** : Les indicateurs présentent une divergence notable : les moyennes mobiles et le MACD confirment la tendance haussière, tandis que le stochastique en zone extrême et la proximité de la borne de Bollinger supérieure suggèrent un essoufflement imminent. Le RSI neutre haut laisse une marge de manœuvre, mais la convergence des signaux de surachat (stochastique à 100) et de résistance technique (borne supérieure) plaide pour une consolidation avant toute nouvelle jambe de hausse.</w:t>
      </w:r>
    </w:p>
    <w:p>
      <w:pPr>
        <w:spacing w:after="120" w:line="276" w:lineRule="auto"/>
      </w:pPr>
      <w:r>
        <w:t>---</w:t>
      </w:r>
    </w:p>
    <w:p>
      <w:pPr>
        <w:spacing w:after="120" w:line="276" w:lineRule="auto"/>
      </w:pPr>
      <w:r>
        <w:t>## PARTIE 3 : ANALYSE FONDAMENTALE</w:t>
      </w:r>
    </w:p>
    <w:p>
      <w:pPr>
        <w:spacing w:after="120" w:line="276" w:lineRule="auto"/>
      </w:pPr>
      <w:r>
        <w:t>En 2025, SHEC (Vivo Energy Côte d'Ivoire) a réalisé un chiffre d'affaires de **604,978 Mds FCFA**, en très légère progression de +0,71% par rapport aux 600,708 Mds FCFA de 2024, tandis que le résultat net s'est établi à **6,028 Mds FCFA**, en hausse de +12,6% — une performance portée par l'amélioration de la marge opérationnelle et la réduction des charges financières. Le ROE ressort à **22,20%** (excellent, &gt;15%), témoignant d'une création de valeur efficace pour les actionnaires, mais le ROA de seulement **3,11%** révèle la faible rentabilité des actifs, typique d'un secteur à forte rotation (312,55%) et à marges comprimées (marge nette de 0,996%). En tant qu'entreprise de distribution pétrolière, les délais d'exploitation sont sains : 23,27 jours pour les clients (risque de trésorerie limité), 35,47 jours pour les fournisseurs (bon pour la trésorerie) et seulement 7,47 jours de stockage, tandis que le BFR de 15,315 Mds FCFA reste maîtrisé. Cependant, la structure financière est préoccupante : l'autonomie financière de **14,03%** est très inférieure au seuil de 30%, la trésorerie nette est fortement négative à **-65,264 Mds FCFA**, et le fonds de roulement de -49,850 Mds FCFA expose l'entreprise à un risque de liquidité. Les rapports trimestriels récents confirment cette dualité : le T3 2025 (publié le 30/09/2025) affichait un résultat net en hausse de +45% à 4,119 Mds FCFA, mais le S1 2026 (rapport du 30/06/2026) montre un CA en baisse de -1% à 305,038 Mds FCFA et un résultat net de 3,016 Mds FCFA, avec une marge nette stable à 0,99%. On estime, sur la base de ces tendances, que l'exercice 2026 devrait enregistrer une légère contraction du CA (autour de 600 Mds FCFA) et un résultat net proche de 6 Mds FCFA, la société devant composer avec la volatilité des segments aviation et bitume et la hausse de 60% de l'impôt sur le résultat signalée au S1 2026. La recommandation fondamentale est **CONSERVER** : la rentabilité reste solide (ROE &gt;20%) et le dividende proposé de 6,09 Mds FCFA (soit ~1 933 FCFA/action, un rendement attractif de ~75% au cours actuel) soutient l'attrait du titre, mais la fragilité de la structure financière (trésorerie négative, endettement élevé) et l'absence de visibilité sur la réduction du BFR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valorisation de SHEC apparaît **exigeante** : le PER de 26,7x et le P/B de 5,92x intègrent déjà une prime de croissance significative, sans commune mesure avec la moyenne BRVM (8-12x), ce qui laisse peu de marge de sécurité en cas de déception. Le comportement du cours sur 100 jours est nettement haussier (+34,92%), avec une volatilité élevée (33,4%) et une distribution symétrique (skewness 0,284, kurtosis -0,860) qui ne signale pas de risque extrême, mais le titre évolue au sommet de son range, ce qui limite le potentiel de hausse immédiat. Les signaux techniques sont **divergents** : les moyennes mobiles et le MACD confirment la tendance haussière, mais le stochastique à 100 et la proximité de la borne de Bollinger supérieure annoncent un essoufflement, tandis que le RSI neutre haut (66,7) laisse une marge résiduelle. Les fondamentaux sont **mitigés** : la rentabilité est solide (ROE 22,2%, résultat net +12,6% en 2025) et le dividende attractif, mais la structure financière est fragile (trésorerie nette de -65,26 Mds FCFA, autonomie financière de 14%) et les perspectives 2026 sont incertaines (CA en baisse de -1% au S1 2026, impôt en hausse de 60%). Les prédictions IA pour les 10 prochains jours (2 478 → 2 315 FCFA, soit -9,2%) **contredisent** la tendance haussière récente et confirment le risque de correction technique anticipé par le stochastique. Sur la base de cette synthèse, la recommandation finale est **CONSERVER**, avec un niveau de confiance **Moyen** et un risque global **Élevé** : le titre offre un rendement attractif et une rentabilité solide, mais la valorisation tendue, la fragilité financière et la divergence des signaux techniques justifient la prudence. L'horizon optimal est le **moyen terme (3-12 mois)**, en attendant la publication des comptes définitifs 2025 et des résultats du S1 2026 pour confirmer ou infirmer la tendance, un renforcement n'étant envisageable qu'en cas de correction vers la MM50 (2 302 FCFA) ou d'amélioration de la structure financière.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10,387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+32.48%</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9.28% (Moyenne) — μ=8,528 FCFA, σ=792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β=0.2948 (Défensif) — Cov=0.000010, Var(idx)=0.000034, ρ=0.095,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10,387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8,930</w:t>
            </w:r>
          </w:p>
        </w:tc>
        <w:tc>
          <w:tcPr>
            <w:tcW w:type="dxa" w:w="1440"/>
            <w:shd w:fill="FAFAFA" w:val="clear"/>
          </w:tcPr>
          <w:p>
            <w:r>
              <w:rPr>
                <w:b/>
                <w:sz w:val="17"/>
              </w:rPr>
              <w:t>9,201</w:t>
            </w:r>
          </w:p>
        </w:tc>
        <w:tc>
          <w:tcPr>
            <w:tcW w:type="dxa" w:w="1440"/>
            <w:shd w:fill="FAFAFA" w:val="clear"/>
          </w:tcPr>
          <w:p>
            <w:r>
              <w:rPr>
                <w:sz w:val="17"/>
              </w:rPr>
              <w:t>9,472</w:t>
            </w:r>
          </w:p>
        </w:tc>
        <w:tc>
          <w:tcPr>
            <w:tcW w:type="dxa" w:w="1440"/>
            <w:shd w:fill="FAFAFA" w:val="clear"/>
          </w:tcPr>
          <w:p>
            <w:r>
              <w:rPr>
                <w:b/>
                <w:color w:val="C00000"/>
                <w:sz w:val="17"/>
              </w:rPr>
              <w:t>-1.1%</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8,726</w:t>
            </w:r>
          </w:p>
        </w:tc>
        <w:tc>
          <w:tcPr>
            <w:tcW w:type="dxa" w:w="1440"/>
            <w:shd w:fill="FFDCE0" w:val="clear"/>
          </w:tcPr>
          <w:p>
            <w:r>
              <w:rPr>
                <w:b/>
                <w:sz w:val="17"/>
              </w:rPr>
              <w:t>9,106</w:t>
            </w:r>
          </w:p>
        </w:tc>
        <w:tc>
          <w:tcPr>
            <w:tcW w:type="dxa" w:w="1440"/>
            <w:shd w:fill="FFDCE0" w:val="clear"/>
          </w:tcPr>
          <w:p>
            <w:r>
              <w:rPr>
                <w:sz w:val="17"/>
              </w:rPr>
              <w:t>9,485</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8,557</w:t>
            </w:r>
          </w:p>
        </w:tc>
        <w:tc>
          <w:tcPr>
            <w:tcW w:type="dxa" w:w="1440"/>
            <w:shd w:fill="FFDCE0" w:val="clear"/>
          </w:tcPr>
          <w:p>
            <w:r>
              <w:rPr>
                <w:b/>
                <w:sz w:val="17"/>
              </w:rPr>
              <w:t>9,017</w:t>
            </w:r>
          </w:p>
        </w:tc>
        <w:tc>
          <w:tcPr>
            <w:tcW w:type="dxa" w:w="1440"/>
            <w:shd w:fill="FFDCE0" w:val="clear"/>
          </w:tcPr>
          <w:p>
            <w:r>
              <w:rPr>
                <w:sz w:val="17"/>
              </w:rPr>
              <w:t>9,477</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8,412</w:t>
            </w:r>
          </w:p>
        </w:tc>
        <w:tc>
          <w:tcPr>
            <w:tcW w:type="dxa" w:w="1440"/>
            <w:shd w:fill="FFDCE0" w:val="clear"/>
          </w:tcPr>
          <w:p>
            <w:r>
              <w:rPr>
                <w:b/>
                <w:sz w:val="17"/>
              </w:rPr>
              <w:t>8,939</w:t>
            </w:r>
          </w:p>
        </w:tc>
        <w:tc>
          <w:tcPr>
            <w:tcW w:type="dxa" w:w="1440"/>
            <w:shd w:fill="FFDCE0" w:val="clear"/>
          </w:tcPr>
          <w:p>
            <w:r>
              <w:rPr>
                <w:sz w:val="17"/>
              </w:rPr>
              <w:t>9,465</w:t>
            </w:r>
          </w:p>
        </w:tc>
        <w:tc>
          <w:tcPr>
            <w:tcW w:type="dxa" w:w="1440"/>
            <w:shd w:fill="FFDCE0" w:val="clear"/>
          </w:tcPr>
          <w:p>
            <w:r>
              <w:rPr>
                <w:b/>
                <w:color w:val="C00000"/>
                <w:sz w:val="17"/>
              </w:rPr>
              <w:t>-3.9%</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8,286</w:t>
            </w:r>
          </w:p>
        </w:tc>
        <w:tc>
          <w:tcPr>
            <w:tcW w:type="dxa" w:w="1440"/>
            <w:shd w:fill="FFDCE0" w:val="clear"/>
          </w:tcPr>
          <w:p>
            <w:r>
              <w:rPr>
                <w:b/>
                <w:sz w:val="17"/>
              </w:rPr>
              <w:t>8,870</w:t>
            </w:r>
          </w:p>
        </w:tc>
        <w:tc>
          <w:tcPr>
            <w:tcW w:type="dxa" w:w="1440"/>
            <w:shd w:fill="FFDCE0" w:val="clear"/>
          </w:tcPr>
          <w:p>
            <w:r>
              <w:rPr>
                <w:sz w:val="17"/>
              </w:rPr>
              <w:t>9,453</w:t>
            </w:r>
          </w:p>
        </w:tc>
        <w:tc>
          <w:tcPr>
            <w:tcW w:type="dxa" w:w="1440"/>
            <w:shd w:fill="FFDCE0" w:val="clear"/>
          </w:tcPr>
          <w:p>
            <w:r>
              <w:rPr>
                <w:b/>
                <w:color w:val="C00000"/>
                <w:sz w:val="17"/>
              </w:rPr>
              <w:t>-4.6%</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8,172</w:t>
            </w:r>
          </w:p>
        </w:tc>
        <w:tc>
          <w:tcPr>
            <w:tcW w:type="dxa" w:w="1440"/>
            <w:shd w:fill="FFDCE0" w:val="clear"/>
          </w:tcPr>
          <w:p>
            <w:r>
              <w:rPr>
                <w:b/>
                <w:sz w:val="17"/>
              </w:rPr>
              <w:t>8,807</w:t>
            </w:r>
          </w:p>
        </w:tc>
        <w:tc>
          <w:tcPr>
            <w:tcW w:type="dxa" w:w="1440"/>
            <w:shd w:fill="FFDCE0" w:val="clear"/>
          </w:tcPr>
          <w:p>
            <w:r>
              <w:rPr>
                <w:sz w:val="17"/>
              </w:rPr>
              <w:t>9,442</w:t>
            </w:r>
          </w:p>
        </w:tc>
        <w:tc>
          <w:tcPr>
            <w:tcW w:type="dxa" w:w="1440"/>
            <w:shd w:fill="FFDCE0" w:val="clear"/>
          </w:tcPr>
          <w:p>
            <w:r>
              <w:rPr>
                <w:b/>
                <w:color w:val="C00000"/>
                <w:sz w:val="17"/>
              </w:rPr>
              <w:t>-5.3%</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8,069</w:t>
            </w:r>
          </w:p>
        </w:tc>
        <w:tc>
          <w:tcPr>
            <w:tcW w:type="dxa" w:w="1440"/>
            <w:shd w:fill="FFDCE0" w:val="clear"/>
          </w:tcPr>
          <w:p>
            <w:r>
              <w:rPr>
                <w:b/>
                <w:sz w:val="17"/>
              </w:rPr>
              <w:t>8,751</w:t>
            </w:r>
          </w:p>
        </w:tc>
        <w:tc>
          <w:tcPr>
            <w:tcW w:type="dxa" w:w="1440"/>
            <w:shd w:fill="FFDCE0" w:val="clear"/>
          </w:tcPr>
          <w:p>
            <w:r>
              <w:rPr>
                <w:sz w:val="17"/>
              </w:rPr>
              <w:t>9,432</w:t>
            </w:r>
          </w:p>
        </w:tc>
        <w:tc>
          <w:tcPr>
            <w:tcW w:type="dxa" w:w="1440"/>
            <w:shd w:fill="FFDCE0" w:val="clear"/>
          </w:tcPr>
          <w:p>
            <w:r>
              <w:rPr>
                <w:b/>
                <w:color w:val="C00000"/>
                <w:sz w:val="17"/>
              </w:rPr>
              <w:t>-5.9%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7,974</w:t>
            </w:r>
          </w:p>
        </w:tc>
        <w:tc>
          <w:tcPr>
            <w:tcW w:type="dxa" w:w="1440"/>
            <w:shd w:fill="FFDCE0" w:val="clear"/>
          </w:tcPr>
          <w:p>
            <w:r>
              <w:rPr>
                <w:b/>
                <w:sz w:val="17"/>
              </w:rPr>
              <w:t>8,699</w:t>
            </w:r>
          </w:p>
        </w:tc>
        <w:tc>
          <w:tcPr>
            <w:tcW w:type="dxa" w:w="1440"/>
            <w:shd w:fill="FFDCE0" w:val="clear"/>
          </w:tcPr>
          <w:p>
            <w:r>
              <w:rPr>
                <w:sz w:val="17"/>
              </w:rPr>
              <w:t>9,423</w:t>
            </w:r>
          </w:p>
        </w:tc>
        <w:tc>
          <w:tcPr>
            <w:tcW w:type="dxa" w:w="1440"/>
            <w:shd w:fill="FFDCE0" w:val="clear"/>
          </w:tcPr>
          <w:p>
            <w:r>
              <w:rPr>
                <w:b/>
                <w:color w:val="C00000"/>
                <w:sz w:val="17"/>
              </w:rPr>
              <w:t>-6.5%</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7,887</w:t>
            </w:r>
          </w:p>
        </w:tc>
        <w:tc>
          <w:tcPr>
            <w:tcW w:type="dxa" w:w="1440"/>
            <w:shd w:fill="FFDCE0" w:val="clear"/>
          </w:tcPr>
          <w:p>
            <w:r>
              <w:rPr>
                <w:b/>
                <w:sz w:val="17"/>
              </w:rPr>
              <w:t>8,651</w:t>
            </w:r>
          </w:p>
        </w:tc>
        <w:tc>
          <w:tcPr>
            <w:tcW w:type="dxa" w:w="1440"/>
            <w:shd w:fill="FFDCE0" w:val="clear"/>
          </w:tcPr>
          <w:p>
            <w:r>
              <w:rPr>
                <w:sz w:val="17"/>
              </w:rPr>
              <w:t>9,415</w:t>
            </w:r>
          </w:p>
        </w:tc>
        <w:tc>
          <w:tcPr>
            <w:tcW w:type="dxa" w:w="1440"/>
            <w:shd w:fill="FFDCE0" w:val="clear"/>
          </w:tcPr>
          <w:p>
            <w:r>
              <w:rPr>
                <w:b/>
                <w:color w:val="C00000"/>
                <w:sz w:val="17"/>
              </w:rPr>
              <w:t>-7.0%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7,804</w:t>
            </w:r>
          </w:p>
        </w:tc>
        <w:tc>
          <w:tcPr>
            <w:tcW w:type="dxa" w:w="1440"/>
            <w:shd w:fill="FFDCE0" w:val="clear"/>
          </w:tcPr>
          <w:p>
            <w:r>
              <w:rPr>
                <w:b/>
                <w:sz w:val="17"/>
              </w:rPr>
              <w:t>8,606</w:t>
            </w:r>
          </w:p>
        </w:tc>
        <w:tc>
          <w:tcPr>
            <w:tcW w:type="dxa" w:w="1440"/>
            <w:shd w:fill="FFDCE0" w:val="clear"/>
          </w:tcPr>
          <w:p>
            <w:r>
              <w:rPr>
                <w:sz w:val="17"/>
              </w:rPr>
              <w:t>9,407</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930,00 Mds FCFA, la SIBC s'impose comme l'une des toutes premières capitalisations de la BRVM, ce qui en fait une valeur de premier plan pour les investisseurs institutionnels régionaux. Le BPA de 556 FCFA/action signifie que chaque titre génère un bénéfice net de 556 FCFA, ce qui, rapporté au cours actuel de 9 300 FCFA, donne un PER de 16,7x — un niveau modéré en absolu, mais nettement supérieur à la moyenne du marché BRVM (généralement comprise entre 8x et 12x), traduisant une prime de qualité consentie par le marché. Le P/B de 4,54x indique que le marché valorise la banque à plus de quatre fois sa valeur comptable, une prime exigeante qui reflète la forte rentabilité des fonds propres (ROE de 27,16% en 2025) mais qui laisse peu de marge d'erreur. Enfin, l'EV/EBITDA de 15,5x, très exigeant, confirme que la valorisation intègre déjà une grande partie des bonnes performances opérationnelles ; l'investisseur paie donc cher la capacité bénéficiaire actuelle, ce qui plaide pour une certaine prudence sur le potentiel de hausse immédiat.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spectaculaire de +32,48%, passant d'un plus bas de 6 805 FCFA à un plus haut de 9 500 FCFA, pour un cours actuel de 9 300 FCFA ; la dernière séance (J-1) est restée stable à +0,00%, signe d'une pause dans la dynamique haussière. Le range de trading de 2 695 FCFA (soit près de 40% du plus bas) témoigne d'une tendance nettement haussière, portée par des publications trimestrielles solides et un intérêt croissant pour les valeurs bancaires ivoiriennes. Les statistiques descriptives révèlent une moyenne de 8 528 FCFA inférieure à la médiane de 8 850 FCFA, avec un mode à 9 000 FCFA : cet écart entre moyenne et médiane, combiné à un skewness de -1,023 (asymétrie négative), indique que le cours a passé davantage de séances au-dessus de sa moyenne, mais que quelques journées de forte baisse ont tiré la moyenne vers le bas — un profil typique d'un titre en consolidation après un rallye. L'écart-type de 796 FCFA (CV = 9,3%) traduit une dispersion modérée du cours, tandis que le kurtosis de -0,507 (mésokurtique) suggère une distribution proche de la normale, sans risque majeur de pics extrêmes. La volatilité annualisée de 28,8% positionne le titre dans la catégorie des valeurs à volatilité modérée à élevée (seuil de 30%), ce qui reste acceptable pour une action bancaire de premier rang, mais implique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(9 191,75 FCFA) et la MM50 (9 063,00 FCFA) se situent toutes deux sous le cours actuel de 9 300 FCFA, avec la MM20 au-dessus de la MM50 — configuration haussière classique (golden cross). Le cours évoluant au-dessus de ses deux moyennes, la décision technique est à l'**Achat**, confirmant la tendance positive de moyen terme.</w:t>
      </w:r>
    </w:p>
    <w:p>
      <w:pPr>
        <w:spacing w:after="120" w:line="276" w:lineRule="auto"/>
      </w:pPr>
      <w:r>
        <w:t>**Bandes de Bollinger** : Le cours (9 300 FCFA) se situe entre la borne supérieure (9 380,72 FCFA) et la borne inférieure (9 002,78 FCFA), à proximité de la bande haute sans la franchir. Cette position médiane-haute dans un canal relativement étroit (largeur d'environ 378 FCFA) traduit une volatilité contenue et une décision **Neutre**, le titre n'étant ni en surachat extrême ni en zone de rebond.</w:t>
      </w:r>
    </w:p>
    <w:p>
      <w:pPr>
        <w:spacing w:after="120" w:line="276" w:lineRule="auto"/>
      </w:pPr>
      <w:r>
        <w:t>**MACD** : La ligne MACD (50,877) est supérieure à sa ligne de signal (47,963), avec un histogramme positif — configuration haussière qui indique un momentum acheteur toujours présent. La décision est à l'**Achat**, bien que l'écart entre les deux lignes reste modéré, suggérant une dynamique positive mais sans accélération marquée.</w:t>
      </w:r>
    </w:p>
    <w:p>
      <w:pPr>
        <w:spacing w:after="120" w:line="276" w:lineRule="auto"/>
      </w:pPr>
      <w:r>
        <w:t>**RSI** : À 63,636, le RSI se situe en zone neutre-haute (entre 30 et 70), sans atteindre le seuil de surachat de 70. La décision est **Neutre** : le titre conserve un potentiel de hausse résiduel, mais la prudence s'impose à mesure que l'on approche des niveaux de surachat.</w:t>
      </w:r>
    </w:p>
    <w:p>
      <w:pPr>
        <w:spacing w:after="120" w:line="276" w:lineRule="auto"/>
      </w:pPr>
      <w:r>
        <w:t>**Stochastique** : Le %K (100,0) est au plus haut absolu et domine le %D (91,667), signalant un surachat marqué. La décision est à la **Vente** : ce signal contredit les autres indicateurs et suggère qu'une correction technique à court terme est probable après le rallye de +32,48%.</w:t>
      </w:r>
    </w:p>
    <w:p>
      <w:pPr>
        <w:spacing w:after="120" w:line="276" w:lineRule="auto"/>
      </w:pPr>
      <w:r>
        <w:t>**Conclusion technique** : Les indicateurs présentent une divergence notable — les moyennes mobiles et le MACD confirment la tendance haussière de fond, tandis que le stochastique en surachat extrême (%K = 100) et le RSI proche de 64 appellent à la prudence à court terme. Le titre se trouve dans une zone de consolidation haute, avec un risque de repli technique vers la MM20 (9 191 FCFA) voire la borne inférieure de Bollinger (9 002 FCFA) avant une reprise éventuelle. La convergence partielle des signaux plaide pour un **CONSERVER** technique, avec un point d'entrée plus favorable en cas de correction.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la SIBC affiche un Produit Net Bancaire (PNB) de 108,663 Mds FCFA, un résultat net de 55,623 Mds FCFA, un ROE remarquable de 27,16% et un ROA de 2,96%. Le coefficient d'exploitation s'établit à 38,59%, nettement inférieur au seuil de 60% et même sous les 50% — signe d'une banque excellente en termes d'efficacité opérationnelle. La marge nette atteint 51,19%, confirmant la forte rentabilité du modèle. Le bilan est solide avec un total de 1 881,733 Mds FCFA, des capitaux propres de 204,765 Mds FCFA et une solvabilité générale de 112,21% (total actif/dettes totales &gt; 1). Le ratio de couverture des intérêts de 408,91% traduit une capacité largement suffisante à honorer les charges financières. Toutefois, deux points de vigilance méritent d'être soulignés : l'autonomie financière n'est que de 10,88% (capitaux propres/total bilan), ce qui est structurellement faible mais courant dans le secteur bancaire où les dépôts clientèle (1 503,441 Mds FCFA) constituent la principale ressource ; et le ratio coût du risque/charges financières apparaît anormalement élevé dans les données fournies, ce qui pourrait signaler un provisionnement important — à surveiller.</w:t>
      </w:r>
    </w:p>
    <w:p>
      <w:pPr>
        <w:spacing w:after="120" w:line="276" w:lineRule="auto"/>
      </w:pPr>
      <w:r>
        <w:t>**Estimations basées sur les rapports trimestriels** : Le rapport du T1 2026 (publié le 31/12/2026, analysé le 07/05/2026) indique un PNB de 27,7 Mds FCFA (+4% en glissement annuel) et un résultat net de 15,2 Mds FCFA (+11%), avec une marge nette exceptionnelle de 54,9%. Les dépôts progressent de +9% à 1 495 Mds FCFA et les crédits de +7% à 1 112 Mds FCFA. Sur cette base, on peut estimer que l'exercice 2026 devrait enregistrer un PNB annuel d'environ 112-115 Mds FCFA et un résultat net de l'ordre de 60-62 Mds FCFA, soit une croissance de 8-11% par rapport à 2025. Le rapport du T3 2025 (30/09/2025) confirme cette dynamique avec un PNB cumulé de 81,4 Mds FCFA (+8%) et un résultat net de 43,0 Mds FCFA (+11%), tandis que le rapport annuel 2024 (31/12/2024) faisait état d'un PNB de 102,8 Mds FCFA et d'un résultat net de 50,2 Mds FCFA, avec un dividende brut proposé de 375 FCFA/action (rendement d'environ 10,55% sur la base du cours de fin 2024). La trajectoire est donc celle d'une croissance régulière et rentable, portée par le plan stratégique « IMPULSION 2028 ».</w:t>
      </w:r>
    </w:p>
    <w:p>
      <w:pPr>
        <w:spacing w:after="120" w:line="276" w:lineRule="auto"/>
      </w:pPr>
      <w:r>
        <w:t>**Conclusion fondamentale** : La SIBC présente des fondamentaux de très haute qualité — rentabilité parmi les meilleures du secteur (ROE &gt; 27%), efficacité opérationnelle excellente (coefficient d'exploitation &lt; 40%), croissance soutenue du PNB et du résultat net, et politique de dividende généreuse. Les principaux risques identifiés dans les rapports sont le risque de crédit lié à l'expansion des encours, la pression concurrentielle dans le secteur bancaire ivoirien, et la dépendance à la conjoncture économique ivoirienne. La recommandation fondamentale est **ACHAT** pour un investisseur de long terme, avec une surveillance trimestrielle des indicateurs de qualité du portefeuille.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la valorisation (Partie 0)** , les ratios PER de 16,7x, P/B de 4,54x et EV/EBITDA de 15,5x indiquent une valorisation exigeante, voire légèrement surévaluée par rapport à la moyenne du marché BRVM, ce qui limite le potentiel de hausse à court terme. **Sur le comportement du cours (Partie 1)** , la tendance haussière de +32,48% sur 100 jours est impressionnante, mais le skewness négatif (-1,023) et le stochastique en surachat extrême suggèrent une correction technique probable ; la volatilité de 28,8% reste modérée à élevée. **Sur le plan technique (Partie 2)** , les signaux sont divergents : les moyennes mobiles et le MACD sont haussiers, mais le stochastique (%K = 100) et le RSI (63,6) appellent à la prudence, plaidant pour une consolidation avant une nouvelle jambe de hausse. **Sur le plan fondamental (Partie 3)** , la solidité est incontestable : ROE de 27,16%, coefficient d'exploitation de 38,59%, croissance du résultat net de +11% au T1 2026, et dividende attractif. **Les prédictions IA (J+1 à J+10)** anticipent une trajectoire baissière de 9 201 FCFA à 8 870 FCFA, ce qui confirme la probabilité d'une correction technique à court terme et contredit la dynamique haussière récente. **En synthèse**, la convergence entre la valorisation exigeante, le signal de vente du stochastique et les prédictions baissières à court terme, tempérée par des fondamentaux excellents et une tendance de fond haussière, conduit à une recommandation de **CONSERVER** avec un biais positif pour les investisseurs déjà positionnés. Le niveau de confiance est **Moyen** (les signaux sont contradictoires à court terme), le niveau de risque global est **Moyen** (volatilité modérée, valorisation tendue), et l'horizon d'investissement optimal est le **moyen à long terme (6 à 18 mois)** , en profitant d'une éventuelle correction vers la zone des 8 800-9 000 FCFA pour renforcer la position. Un investisseur non positionné pourrait attendre une consolidation avant d'initier une position, tandis qu'un investisseur déjà en portefeuille a tout intérêt à conserver le titre pour bénéficier de la croissance régulière et du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121 titres</w:t>
            </w:r>
          </w:p>
        </w:tc>
        <w:tc>
          <w:tcPr>
            <w:tcW w:type="dxa" w:w="2268"/>
            <w:shd w:fill="FFF2CC" w:val="clear"/>
          </w:tcPr>
          <w:p>
            <w:r>
              <w:rPr>
                <w:b/>
                <w:color w:val="503200"/>
                <w:sz w:val="16"/>
              </w:rPr>
              <w:t xml:space="preserve">Cours actuel : </w:t>
            </w:r>
            <w:r>
              <w:rPr>
                <w:color w:val="000000"/>
                <w:sz w:val="17"/>
              </w:rPr>
              <w:t>8,495 FCFA</w:t>
            </w:r>
          </w:p>
          <w:p>
            <w:r>
              <w:rPr>
                <w:b/>
                <w:color w:val="503200"/>
                <w:sz w:val="16"/>
              </w:rPr>
              <w:t xml:space="preserve">Var. 100 jours : </w:t>
            </w:r>
            <w:r>
              <w:rPr>
                <w:b/>
                <w:color w:val="007800"/>
                <w:sz w:val="17"/>
              </w:rPr>
              <w:t>+101.30%</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31.01% (Élevée) — μ=5,730 FCFA, σ=1,777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β=-1.0556 (Contre-cyclique) — Cov=-0.000036, Var(idx)=0.000034, ρ=-0.169,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7,701</w:t>
            </w:r>
          </w:p>
        </w:tc>
        <w:tc>
          <w:tcPr>
            <w:tcW w:type="dxa" w:w="1440"/>
            <w:shd w:fill="FAFAFA" w:val="clear"/>
          </w:tcPr>
          <w:p>
            <w:r>
              <w:rPr>
                <w:b/>
                <w:sz w:val="17"/>
              </w:rPr>
              <w:t>8,325</w:t>
            </w:r>
          </w:p>
        </w:tc>
        <w:tc>
          <w:tcPr>
            <w:tcW w:type="dxa" w:w="1440"/>
            <w:shd w:fill="FAFAFA" w:val="clear"/>
          </w:tcPr>
          <w:p>
            <w:r>
              <w:rPr>
                <w:sz w:val="17"/>
              </w:rPr>
              <w:t>8,950</w:t>
            </w:r>
          </w:p>
        </w:tc>
        <w:tc>
          <w:tcPr>
            <w:tcW w:type="dxa" w:w="1440"/>
            <w:shd w:fill="FAFAFA"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7,352</w:t>
            </w:r>
          </w:p>
        </w:tc>
        <w:tc>
          <w:tcPr>
            <w:tcW w:type="dxa" w:w="1440"/>
            <w:shd w:fill="FFDCE0" w:val="clear"/>
          </w:tcPr>
          <w:p>
            <w:r>
              <w:rPr>
                <w:b/>
                <w:sz w:val="17"/>
              </w:rPr>
              <w:t>8,241</w:t>
            </w:r>
          </w:p>
        </w:tc>
        <w:tc>
          <w:tcPr>
            <w:tcW w:type="dxa" w:w="1440"/>
            <w:shd w:fill="FFDCE0" w:val="clear"/>
          </w:tcPr>
          <w:p>
            <w:r>
              <w:rPr>
                <w:sz w:val="17"/>
              </w:rPr>
              <w:t>9,130</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7,052</w:t>
            </w:r>
          </w:p>
        </w:tc>
        <w:tc>
          <w:tcPr>
            <w:tcW w:type="dxa" w:w="1440"/>
            <w:shd w:fill="FFDCE0" w:val="clear"/>
          </w:tcPr>
          <w:p>
            <w:r>
              <w:rPr>
                <w:b/>
                <w:sz w:val="17"/>
              </w:rPr>
              <w:t>8,125</w:t>
            </w:r>
          </w:p>
        </w:tc>
        <w:tc>
          <w:tcPr>
            <w:tcW w:type="dxa" w:w="1440"/>
            <w:shd w:fill="FFDCE0" w:val="clear"/>
          </w:tcPr>
          <w:p>
            <w:r>
              <w:rPr>
                <w:sz w:val="17"/>
              </w:rPr>
              <w:t>9,198</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6,782</w:t>
            </w:r>
          </w:p>
        </w:tc>
        <w:tc>
          <w:tcPr>
            <w:tcW w:type="dxa" w:w="1440"/>
            <w:shd w:fill="FFDCE0" w:val="clear"/>
          </w:tcPr>
          <w:p>
            <w:r>
              <w:rPr>
                <w:b/>
                <w:sz w:val="17"/>
              </w:rPr>
              <w:t>8,002</w:t>
            </w:r>
          </w:p>
        </w:tc>
        <w:tc>
          <w:tcPr>
            <w:tcW w:type="dxa" w:w="1440"/>
            <w:shd w:fill="FFDCE0" w:val="clear"/>
          </w:tcPr>
          <w:p>
            <w:r>
              <w:rPr>
                <w:sz w:val="17"/>
              </w:rPr>
              <w:t>9,222</w:t>
            </w:r>
          </w:p>
        </w:tc>
        <w:tc>
          <w:tcPr>
            <w:tcW w:type="dxa" w:w="1440"/>
            <w:shd w:fill="FFDCE0" w:val="clear"/>
          </w:tcPr>
          <w:p>
            <w:r>
              <w:rPr>
                <w:b/>
                <w:color w:val="C00000"/>
                <w:sz w:val="17"/>
              </w:rPr>
              <w:t>-5.8%</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6,535</w:t>
            </w:r>
          </w:p>
        </w:tc>
        <w:tc>
          <w:tcPr>
            <w:tcW w:type="dxa" w:w="1440"/>
            <w:shd w:fill="FFDCE0" w:val="clear"/>
          </w:tcPr>
          <w:p>
            <w:r>
              <w:rPr>
                <w:b/>
                <w:sz w:val="17"/>
              </w:rPr>
              <w:t>7,878</w:t>
            </w:r>
          </w:p>
        </w:tc>
        <w:tc>
          <w:tcPr>
            <w:tcW w:type="dxa" w:w="1440"/>
            <w:shd w:fill="FFDCE0" w:val="clear"/>
          </w:tcPr>
          <w:p>
            <w:r>
              <w:rPr>
                <w:sz w:val="17"/>
              </w:rPr>
              <w:t>9,221</w:t>
            </w:r>
          </w:p>
        </w:tc>
        <w:tc>
          <w:tcPr>
            <w:tcW w:type="dxa" w:w="1440"/>
            <w:shd w:fill="FFDCE0" w:val="clear"/>
          </w:tcPr>
          <w:p>
            <w:r>
              <w:rPr>
                <w:b/>
                <w:color w:val="C00000"/>
                <w:sz w:val="17"/>
              </w:rPr>
              <w:t>-7.3%</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6,306</w:t>
            </w:r>
          </w:p>
        </w:tc>
        <w:tc>
          <w:tcPr>
            <w:tcW w:type="dxa" w:w="1440"/>
            <w:shd w:fill="FFDCE0" w:val="clear"/>
          </w:tcPr>
          <w:p>
            <w:r>
              <w:rPr>
                <w:b/>
                <w:sz w:val="17"/>
              </w:rPr>
              <w:t>7,754</w:t>
            </w:r>
          </w:p>
        </w:tc>
        <w:tc>
          <w:tcPr>
            <w:tcW w:type="dxa" w:w="1440"/>
            <w:shd w:fill="FFDCE0" w:val="clear"/>
          </w:tcPr>
          <w:p>
            <w:r>
              <w:rPr>
                <w:sz w:val="17"/>
              </w:rPr>
              <w:t>9,203</w:t>
            </w:r>
          </w:p>
        </w:tc>
        <w:tc>
          <w:tcPr>
            <w:tcW w:type="dxa" w:w="1440"/>
            <w:shd w:fill="FFDCE0" w:val="clear"/>
          </w:tcPr>
          <w:p>
            <w:r>
              <w:rPr>
                <w:b/>
                <w:color w:val="C00000"/>
                <w:sz w:val="17"/>
              </w:rPr>
              <w:t>-8.7%</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6,094</w:t>
            </w:r>
          </w:p>
        </w:tc>
        <w:tc>
          <w:tcPr>
            <w:tcW w:type="dxa" w:w="1440"/>
            <w:shd w:fill="FFDCE0" w:val="clear"/>
          </w:tcPr>
          <w:p>
            <w:r>
              <w:rPr>
                <w:b/>
                <w:sz w:val="17"/>
              </w:rPr>
              <w:t>7,634</w:t>
            </w:r>
          </w:p>
        </w:tc>
        <w:tc>
          <w:tcPr>
            <w:tcW w:type="dxa" w:w="1440"/>
            <w:shd w:fill="FFDCE0" w:val="clear"/>
          </w:tcPr>
          <w:p>
            <w:r>
              <w:rPr>
                <w:sz w:val="17"/>
              </w:rPr>
              <w:t>9,174</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5,895</w:t>
            </w:r>
          </w:p>
        </w:tc>
        <w:tc>
          <w:tcPr>
            <w:tcW w:type="dxa" w:w="1440"/>
            <w:shd w:fill="FFDCE0" w:val="clear"/>
          </w:tcPr>
          <w:p>
            <w:r>
              <w:rPr>
                <w:b/>
                <w:sz w:val="17"/>
              </w:rPr>
              <w:t>7,516</w:t>
            </w:r>
          </w:p>
        </w:tc>
        <w:tc>
          <w:tcPr>
            <w:tcW w:type="dxa" w:w="1440"/>
            <w:shd w:fill="FFDCE0" w:val="clear"/>
          </w:tcPr>
          <w:p>
            <w:r>
              <w:rPr>
                <w:sz w:val="17"/>
              </w:rPr>
              <w:t>9,137</w:t>
            </w:r>
          </w:p>
        </w:tc>
        <w:tc>
          <w:tcPr>
            <w:tcW w:type="dxa" w:w="1440"/>
            <w:shd w:fill="FFDCE0" w:val="clear"/>
          </w:tcPr>
          <w:p>
            <w:r>
              <w:rPr>
                <w:b/>
                <w:color w:val="C00000"/>
                <w:sz w:val="17"/>
              </w:rPr>
              <w:t>-11.5%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5,709</w:t>
            </w:r>
          </w:p>
        </w:tc>
        <w:tc>
          <w:tcPr>
            <w:tcW w:type="dxa" w:w="1440"/>
            <w:shd w:fill="FFDCE0" w:val="clear"/>
          </w:tcPr>
          <w:p>
            <w:r>
              <w:rPr>
                <w:b/>
                <w:sz w:val="17"/>
              </w:rPr>
              <w:t>7,403</w:t>
            </w:r>
          </w:p>
        </w:tc>
        <w:tc>
          <w:tcPr>
            <w:tcW w:type="dxa" w:w="1440"/>
            <w:shd w:fill="FFDCE0" w:val="clear"/>
          </w:tcPr>
          <w:p>
            <w:r>
              <w:rPr>
                <w:sz w:val="17"/>
              </w:rPr>
              <w:t>9,096</w:t>
            </w:r>
          </w:p>
        </w:tc>
        <w:tc>
          <w:tcPr>
            <w:tcW w:type="dxa" w:w="1440"/>
            <w:shd w:fill="FFDCE0" w:val="clear"/>
          </w:tcPr>
          <w:p>
            <w:r>
              <w:rPr>
                <w:b/>
                <w:color w:val="C00000"/>
                <w:sz w:val="17"/>
              </w:rPr>
              <w:t>-12.9%</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5,535</w:t>
            </w:r>
          </w:p>
        </w:tc>
        <w:tc>
          <w:tcPr>
            <w:tcW w:type="dxa" w:w="1440"/>
            <w:shd w:fill="FFDCE0" w:val="clear"/>
          </w:tcPr>
          <w:p>
            <w:r>
              <w:rPr>
                <w:b/>
                <w:sz w:val="17"/>
              </w:rPr>
              <w:t>7,294</w:t>
            </w:r>
          </w:p>
        </w:tc>
        <w:tc>
          <w:tcPr>
            <w:tcW w:type="dxa" w:w="1440"/>
            <w:shd w:fill="FFDCE0" w:val="clear"/>
          </w:tcPr>
          <w:p>
            <w:r>
              <w:rPr>
                <w:sz w:val="17"/>
              </w:rPr>
              <w:t>9,052</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SICC (SICOR CI)**</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SICC s'établit à 5,10 milliards FCFA, un niveau modeste qui la place parmi les petites capitalisations de la BRVM, ce qui implique une liquidité limitée et une sensibilité accrue aux mouvements de faible volume. Les ratios de valorisation classiques (BPA, PER, P/B, EV/EBITDA) ne sont pas calculables en l'absence de données financières structurées exploitables dans la base, ce qui constitue en soi un signal de transparence limitée pour les investisseurs. À titre indicatif, avec un résultat net 2023 de 19,25 millions FCFA (rapport MISTRAL du 15/03/2026) et un capital social de 1,5 milliard FCFA, le BPA implicite ressortirait à environ 12,8 FCFA par action (base 1,5 million d'actions), soit un PER théorique d'environ 660x au cours actuel de 8 495 FCFA — un niveau stratosphérique qui traduit une décorrélation totale entre le prix de marché et la rentabilité effective de l'entreprise. Le P/B implicite, avec des capitaux propres de 3,12 milliards FCFA (rapport 2021), avoisinerait 1,6x, suggérant que le marché valorise l'action au-dessus de sa valeur comptable malgré une rentabilité quasi nulle. Cette situation signale une valorisation portée par l'anticipation spéculative plutôt que par les fondamentaux, un point de vigilance majeur.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 enregistré une variation spectaculaire de +101,30%, avec une dernière séance en hausse de +1,13%, portant le cours à 8 495 FCFA pour une capitalisation de 5,10 milliards FCFA. Le range de trading est particulièrement large, oscillant entre un plus bas de 3 985 FCFA et un plus haut de 10 200 FCFA, soit un écart de 156% entre les extrêmes, ce qui témoigne d'une tendance nettement haussière mais extrêmement volatile. Les statistiques descriptives révèlent une moyenne de 5 730 FCFA très supérieure à la médiane de 4 820 FCFA et au mode de 4 380 FCFA, confirmant une distribution fortement asymétrique : la majorité des séances s'est traitée sous la moyenne, les hausses récentes tirant artificiellement la moyenne vers le haut. L'écart-type de 1 786 FCFA (CV de 31,2%) indique une dispersion élevée du cours, tandis que le kurtosis de -0,389 (mésokurtique) suggère une distribution proche de la normale sans pics extrêmes fréquents, et le skewness de +1,018 (asymétrie positive) confirme que les journées sous la moyenne sont plus nombreuses mais compensées par des hausses ponctuelles puissantes. La volatilité annualisée de 58,2% classe ce titre dans la catégorie des actifs à volatilité élevée (&gt;30%), avec un volume moyen quotidien de seulement 121 titres — une liquidité très faible qui amplifie les mouvements de prix et expose l'investisseur à un risque d'illiquidité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(8 641,5 FCFA) et la MM50 (7 072,1 FCFA) sont toutes deux inférieures au cours actuel de 8 495 FCFA, mais la MM20 se situe légèrement au-dessus du prix, créant une configuration ambiguë. La décision technique affichée est "Achat", soutenue par le fait que la MM50 reste bien en dessous du cours, confirmant la tendance haussière de fond, mais la proximité du cours avec la MM20 suggère un essoufflement potentiel du momentum court terme.</w:t>
      </w:r>
    </w:p>
    <w:p>
      <w:pPr>
        <w:spacing w:after="120" w:line="276" w:lineRule="auto"/>
      </w:pPr>
      <w:r>
        <w:t>**Bandes de Bollinger** : Le cours (8 495 FCFA) se situe dans la partie médiane-haute de la bande, entre la borne inférieure (7 125,07 FCFA) et la borne supérieure (10 157,93 FCFA), sans atteindre les extrêmes. La décision "Neutre" reflète cette position équilibrée, avec une volatilité contenue dans les bandes, mais l'absence de test de la borne supérieure indique un manque de conviction haussière immédiate.</w:t>
      </w:r>
    </w:p>
    <w:p>
      <w:pPr>
        <w:spacing w:after="120" w:line="276" w:lineRule="auto"/>
      </w:pPr>
      <w:r>
        <w:t>**MACD** : La valeur du MACD (306,45) est inférieure à son signal (412,17), générant une configuration baissière avec une décision "Vente". Cette divergence négative indique un affaiblissement du momentum haussier et un possible retournement à court terme, le MACD ayant probablement déjà croisé son signal à la baisse.</w:t>
      </w:r>
    </w:p>
    <w:p>
      <w:pPr>
        <w:spacing w:after="120" w:line="276" w:lineRule="auto"/>
      </w:pPr>
      <w:r>
        <w:t>**RSI** : À 46,74, le RSI se situe en zone neutre (30-70), sans signal de surachat ni de survente. La décision "Neutre" est cohérente avec cette position médiane, mais la tendance légèrement baissière du RSI depuis des niveaux plus élevés suggère une perte de dynamique positive.</w:t>
      </w:r>
    </w:p>
    <w:p>
      <w:pPr>
        <w:spacing w:after="120" w:line="276" w:lineRule="auto"/>
      </w:pPr>
      <w:r>
        <w:t>**Stochastique** : Le %K (99,29) est très proche de son maximum (100), tandis que le %D (69,53) est nettement inférieur, créant un croisement baissier imminent. La décision "Vente" est justifiée par cette configuration de surachat extrême du %K, qui précède généralement un repli correctif.</w:t>
      </w:r>
    </w:p>
    <w:p>
      <w:pPr>
        <w:spacing w:after="120" w:line="276" w:lineRule="auto"/>
      </w:pPr>
      <w:r>
        <w:t>**Conclusion technique** : Les indicateurs présentent une divergence préoccupante : les moyennes mobiles restent haussières (MM50 bien orientée), mais le MACD, le stochastique et la position du cours sous la MM20 signalent un essoufflement imminent. Le RSI neutre et les Bandes de Bollinger sans test de la borne supérieure confirment l'absence de momentum directionnel fort. La convergence des signaux baissiers à court terme (MACD, Stochastique) face à une tendance de fond haussière (MM50) suggère une phase de consolidation voire une correction avant toute reprise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ne sont pas disponibles dans la base, mais les rapports officiels analysés fournissent des éléments précis. Selon le rapport MISTRAL du 15/03/2026 portant sur l'exercice 2023, le chiffre d'affaires de SICOR s'est établi à 701,09 millions FCFA, en baisse de 38,4% par rapport aux 1 138,17 millions FCFA de 2022, avec un résultat net de +19,25 millions FCFA (marge nette de 2,75%) contre une perte de -39,95 millions FCFA en 2022. Le rapport MISTRAL du 15/03/2026 sur l'exercice 2022 indique un CA de 1 138,17 millions FCFA (-17,58% vs 2021) et une perte nette de -39,95 millions FCFA (marge de -3,51%), tandis que le rapport du 15/03/2026 sur 2021 faisait état d'un bénéfice de 119,23 millions FCFA (marge de 8,63%) pour un CA de 1,38 milliard FCFA. L'évolution sur cinq ans (2018-2023) révèle une dégradation structurelle : résultat net de +989,4 millions FCFA en 2018, +2,35 millions en 2019, +109,8 millions en 2020, +119,2 millions en 2021, -39,9 millions en 2022, puis +19,25 millions en 2023 — une reprise fragile portée par des réductions de coûts (-43,68% de charges totales) et des reprises de provisions (+7,23 millions FCFA), non par une dynamique commerciale. Les capitaux propres s'élevaient à 3,12 milliards FCFA en 2021 (rapport 2021), pour un total de bilan de 4,15 milliards FCFA, soit un ROE de 3,8% en 2021 et un ROA de 2,9% — des niveaux très faibles. Le rapport GEMINI-VISION du 06/09/2026 sur l'exercice 2024 (non détaillé) et la convocation d'AGO du 15/05/2026 pour l'approbation des comptes 2024 confirment que la société reste en phase de redressement, avec des pertes cumulées de 689,86 millions FCFA (rapport 2023) qui interdisent toute distribution de dividende. Les risques opérationnels sont majeurs : vols de noix de coco (arrêt du site de Boulay), dépendance à l'huile de coprah (34% du CA en 2022 contre 77% en 2021), découverts bancaires multipliés par 14 (+1 319%), et concurrence accrue. La recommandation fondamentale est de **CONSERVER avec vigilance** : la société est en convalescence, mais sa rentabilité reste fragile, dépendante de facteurs non récurrents, et son endettement fiscal et social (780,9 millions FCFA en 2022) constitue une épée de Damoclès.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fondamentale entre la valorisation, le comportement du cours, les signaux techniques et les fondamentaux. La **valorisation (Partie 0)** est extrêmement tendue : avec un PER implicite d'environ 660x et un P/B de 1,6x pour une rentabilité quasi nulle, le marché valorise SICC bien au-delà de ses fondamentaux, ce qui constitue un signal de surévaluation manifeste. Le **comportement du cours (Partie 1)** est paradoxal : la hausse de +101,30% sur 100 jours et la volatilité de 58,2% traduisent une spéculation intense, mais la distribution asymétrique (skewness +1,018, moyenne &gt; médiane) et la faible liquidité (121 titres/jour) rendent ce rallye fragile et vulnérable à des corrections brutales. Les **signaux techniques (Partie 2)** sont majoritairement baissiers à court terme : MACD en vente, stochastique en surachat extrême (%K=99,29), cours sous la MM20, malgré une MM50 haussière — une configuration qui plaide pour une consolidation voire une correction. Les **fondamentaux (Partie 3)** confirment la fragilité : CA en chute de 38,4% en 2023, marge nette de 2,75%, pertes cumulées de 689,86 millions FCFA, absence de dividende depuis 2017, et une reprise portée par des éléments non récurrents. Les **prédictions IA (J+1 à J+10)** anticipent une baisse continue de 8 325 FCFA à 7 878 FCFA, soit une correction de -7,3% sur 10 jours, ce qui contredit la tendance haussière récente mais confirme les signaux techniques baissiers. **Recommandation finale : VENTE** (ou CONSERVER pour les investisseurs déjà en position, avec un stop-loss serré). La convergence des signaux baissiers (technique, prédiction IA, fondamentaux fragiles) face à une valorisation spéculative et une liquidité quasi inexistante justifie une prise de profit après le rallye de +101%. Le niveau de confiance est **Moyen** (les fondamentaux sont clairs, mais la spéculation peut prolonger le mouvement), et le risque global est **Élevé** (volatilité de 58,2%, liquidité faible, endettement fiscal, dépendance aux matières premières). L'horizon d'investissement optimal est **court terme (&lt;3 mois)** pour les traders cherchant à profiter de la correction annoncée, ou **long terme (&gt;1 an)** pour les investisseurs patients misant sur le redressement progressif de la société — mais dans ce cas, il convient d'attendre un retour vers des niveaux plus raisonnables (sous 5 000 FCFA) avant tout 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5,455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B40000"/>
                <w:sz w:val="17"/>
              </w:rPr>
              <w:t>-11.11%</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10.41% (Moyenne) — μ=2,532 FCFA, σ=264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β=0.3159 (Défensif) — Cov=0.000011, Var(idx)=0.000034, ρ=0.060,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2,209</w:t>
            </w:r>
          </w:p>
        </w:tc>
        <w:tc>
          <w:tcPr>
            <w:tcW w:type="dxa" w:w="1440"/>
            <w:shd w:fill="FFDCE0" w:val="clear"/>
          </w:tcPr>
          <w:p>
            <w:r>
              <w:rPr>
                <w:b/>
                <w:sz w:val="17"/>
              </w:rPr>
              <w:t>2,303</w:t>
            </w:r>
          </w:p>
        </w:tc>
        <w:tc>
          <w:tcPr>
            <w:tcW w:type="dxa" w:w="1440"/>
            <w:shd w:fill="FFDCE0" w:val="clear"/>
          </w:tcPr>
          <w:p>
            <w:r>
              <w:rPr>
                <w:sz w:val="17"/>
              </w:rPr>
              <w:t>2,397</w:t>
            </w:r>
          </w:p>
        </w:tc>
        <w:tc>
          <w:tcPr>
            <w:tcW w:type="dxa" w:w="1440"/>
            <w:shd w:fill="FFDCE0" w:val="clear"/>
          </w:tcPr>
          <w:p>
            <w:r>
              <w:rPr>
                <w:b/>
                <w:color w:val="C00000"/>
                <w:sz w:val="17"/>
              </w:rPr>
              <w:t>-4.1%</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2,163</w:t>
            </w:r>
          </w:p>
        </w:tc>
        <w:tc>
          <w:tcPr>
            <w:tcW w:type="dxa" w:w="1440"/>
            <w:shd w:fill="FFDCE0" w:val="clear"/>
          </w:tcPr>
          <w:p>
            <w:r>
              <w:rPr>
                <w:b/>
                <w:sz w:val="17"/>
              </w:rPr>
              <w:t>2,296</w:t>
            </w:r>
          </w:p>
        </w:tc>
        <w:tc>
          <w:tcPr>
            <w:tcW w:type="dxa" w:w="1440"/>
            <w:shd w:fill="FFDCE0" w:val="clear"/>
          </w:tcPr>
          <w:p>
            <w:r>
              <w:rPr>
                <w:sz w:val="17"/>
              </w:rPr>
              <w:t>2,429</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2,122</w:t>
            </w:r>
          </w:p>
        </w:tc>
        <w:tc>
          <w:tcPr>
            <w:tcW w:type="dxa" w:w="1440"/>
            <w:shd w:fill="FFDCE0" w:val="clear"/>
          </w:tcPr>
          <w:p>
            <w:r>
              <w:rPr>
                <w:b/>
                <w:sz w:val="17"/>
              </w:rPr>
              <w:t>2,284</w:t>
            </w:r>
          </w:p>
        </w:tc>
        <w:tc>
          <w:tcPr>
            <w:tcW w:type="dxa" w:w="1440"/>
            <w:shd w:fill="FFDCE0" w:val="clear"/>
          </w:tcPr>
          <w:p>
            <w:r>
              <w:rPr>
                <w:sz w:val="17"/>
              </w:rPr>
              <w:t>2,445</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2,084</w:t>
            </w:r>
          </w:p>
        </w:tc>
        <w:tc>
          <w:tcPr>
            <w:tcW w:type="dxa" w:w="1440"/>
            <w:shd w:fill="FFDCE0" w:val="clear"/>
          </w:tcPr>
          <w:p>
            <w:r>
              <w:rPr>
                <w:b/>
                <w:sz w:val="17"/>
              </w:rPr>
              <w:t>2,269</w:t>
            </w:r>
          </w:p>
        </w:tc>
        <w:tc>
          <w:tcPr>
            <w:tcW w:type="dxa" w:w="1440"/>
            <w:shd w:fill="FFDCE0" w:val="clear"/>
          </w:tcPr>
          <w:p>
            <w:r>
              <w:rPr>
                <w:sz w:val="17"/>
              </w:rPr>
              <w:t>2,455</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2,049</w:t>
            </w:r>
          </w:p>
        </w:tc>
        <w:tc>
          <w:tcPr>
            <w:tcW w:type="dxa" w:w="1440"/>
            <w:shd w:fill="FFDCE0" w:val="clear"/>
          </w:tcPr>
          <w:p>
            <w:r>
              <w:rPr>
                <w:b/>
                <w:sz w:val="17"/>
              </w:rPr>
              <w:t>2,255</w:t>
            </w:r>
          </w:p>
        </w:tc>
        <w:tc>
          <w:tcPr>
            <w:tcW w:type="dxa" w:w="1440"/>
            <w:shd w:fill="FFDCE0" w:val="clear"/>
          </w:tcPr>
          <w:p>
            <w:r>
              <w:rPr>
                <w:sz w:val="17"/>
              </w:rPr>
              <w:t>2,461</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2,017</w:t>
            </w:r>
          </w:p>
        </w:tc>
        <w:tc>
          <w:tcPr>
            <w:tcW w:type="dxa" w:w="1440"/>
            <w:shd w:fill="FFDCE0" w:val="clear"/>
          </w:tcPr>
          <w:p>
            <w:r>
              <w:rPr>
                <w:b/>
                <w:sz w:val="17"/>
              </w:rPr>
              <w:t>2,241</w:t>
            </w:r>
          </w:p>
        </w:tc>
        <w:tc>
          <w:tcPr>
            <w:tcW w:type="dxa" w:w="1440"/>
            <w:shd w:fill="FFDCE0" w:val="clear"/>
          </w:tcPr>
          <w:p>
            <w:r>
              <w:rPr>
                <w:sz w:val="17"/>
              </w:rPr>
              <w:t>2,466</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1,986</w:t>
            </w:r>
          </w:p>
        </w:tc>
        <w:tc>
          <w:tcPr>
            <w:tcW w:type="dxa" w:w="1440"/>
            <w:shd w:fill="FFDCE0" w:val="clear"/>
          </w:tcPr>
          <w:p>
            <w:r>
              <w:rPr>
                <w:b/>
                <w:sz w:val="17"/>
              </w:rPr>
              <w:t>2,227</w:t>
            </w:r>
          </w:p>
        </w:tc>
        <w:tc>
          <w:tcPr>
            <w:tcW w:type="dxa" w:w="1440"/>
            <w:shd w:fill="FFDCE0" w:val="clear"/>
          </w:tcPr>
          <w:p>
            <w:r>
              <w:rPr>
                <w:sz w:val="17"/>
              </w:rPr>
              <w:t>2,468</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1,958</w:t>
            </w:r>
          </w:p>
        </w:tc>
        <w:tc>
          <w:tcPr>
            <w:tcW w:type="dxa" w:w="1440"/>
            <w:shd w:fill="FFDCE0" w:val="clear"/>
          </w:tcPr>
          <w:p>
            <w:r>
              <w:rPr>
                <w:b/>
                <w:sz w:val="17"/>
              </w:rPr>
              <w:t>2,214</w:t>
            </w:r>
          </w:p>
        </w:tc>
        <w:tc>
          <w:tcPr>
            <w:tcW w:type="dxa" w:w="1440"/>
            <w:shd w:fill="FFDCE0" w:val="clear"/>
          </w:tcPr>
          <w:p>
            <w:r>
              <w:rPr>
                <w:sz w:val="17"/>
              </w:rPr>
              <w:t>2,470</w:t>
            </w:r>
          </w:p>
        </w:tc>
        <w:tc>
          <w:tcPr>
            <w:tcW w:type="dxa" w:w="1440"/>
            <w:shd w:fill="FFDCE0" w:val="clear"/>
          </w:tcPr>
          <w:p>
            <w:r>
              <w:rPr>
                <w:b/>
                <w:color w:val="C00000"/>
                <w:sz w:val="17"/>
              </w:rPr>
              <w:t>-7.8%</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1,931</w:t>
            </w:r>
          </w:p>
        </w:tc>
        <w:tc>
          <w:tcPr>
            <w:tcW w:type="dxa" w:w="1440"/>
            <w:shd w:fill="FFDCE0" w:val="clear"/>
          </w:tcPr>
          <w:p>
            <w:r>
              <w:rPr>
                <w:b/>
                <w:sz w:val="17"/>
              </w:rPr>
              <w:t>2,201</w:t>
            </w:r>
          </w:p>
        </w:tc>
        <w:tc>
          <w:tcPr>
            <w:tcW w:type="dxa" w:w="1440"/>
            <w:shd w:fill="FFDCE0" w:val="clear"/>
          </w:tcPr>
          <w:p>
            <w:r>
              <w:rPr>
                <w:sz w:val="17"/>
              </w:rPr>
              <w:t>2,471</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1,905</w:t>
            </w:r>
          </w:p>
        </w:tc>
        <w:tc>
          <w:tcPr>
            <w:tcW w:type="dxa" w:w="1440"/>
            <w:shd w:fill="FFDCE0" w:val="clear"/>
          </w:tcPr>
          <w:p>
            <w:r>
              <w:rPr>
                <w:b/>
                <w:sz w:val="17"/>
              </w:rPr>
              <w:t>2,188</w:t>
            </w:r>
          </w:p>
        </w:tc>
        <w:tc>
          <w:tcPr>
            <w:tcW w:type="dxa" w:w="1440"/>
            <w:shd w:fill="FFDCE0" w:val="clear"/>
          </w:tcPr>
          <w:p>
            <w:r>
              <w:rPr>
                <w:sz w:val="17"/>
              </w:rPr>
              <w:t>2,470</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 RAPPORT D'ANALYSE FINANCIÈRE — SIVC / ERIUM COTE D'IVOIRE (BRVM)</w:t>
      </w:r>
    </w:p>
    <w:p>
      <w:pPr>
        <w:spacing w:after="120" w:line="276" w:lineRule="auto"/>
      </w:pPr>
      <w:r>
        <w:t>**Date d'analyse : Septembre 2026** | **Cours de référence : 2 400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s'établit à 20,96 milliards FCFA, un niveau intermédiaire à l'échelle de la BRVM qui traduit une valeur de taille moyenne sur le marché régional. Le BPA de 43 FCFA/action indique que chaque titre génère 43 FCFA de bénéfice net, ce qui, rapporté au cours de 2 400 FCFA, aboutit à un PER de 55,6x — très largement supérieur à la moyenne BRVM (8-12x), signalant que les investisseurs paient une prime considérable par rapport aux bénéfices réellement dégagés. Le P/B de 6,41x confirme cette valorisation exigeante : le marché valorise l'action à plus de six fois sa valeur comptable, une prime rarement justifiée en l'absence de croissance exceptionnelle. Enfin, l'EV/EBITDA de 17,5x (au-dessus du seuil de 15x) montre que la valeur d'entreprise rapportée à la capacité opérationnelle est également tendue. **Conclusion : le titre est nettement surévalué sur l'ensemble des métriques disponibles, avec une prudence requise.**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SIVC a enregistré une variation totale de **-11,11%**, mais la dernière séance (J-1) affiche un rebond de **+4,35%**, portant le cours actuel à 2 400 FCFA. Le range de trading est large, avec un plus haut à 2 875 FCFA et un plus bas à 1 920 FCFA, soit une amplitude de près de 50% entre les extrêmes — signe d'une forte nervosité. La tendance générale sur la période est donc baissière, malgré le sursaut récent qui pourrait constituer un rebond technique. Les statistiques descriptives révèlent une moyenne de 2 532 FCFA légèrement supérieure à la médiane de 2 450 FCFA, avec un mode à 2 400 FCFA (niveau actuel), suggérant une distribution faiblement asymétrique à gauche (skewness de -0,165, quasi symétrique). L'écart-type de 265 FCFA avec un coefficient de variation de 10,5% indique une dispersion modérée du cours autour de sa moyenne. Le kurtosis de -1,275 (distribution platykurtique) signale une faible concentration des rendements et un risque de pics moins prononcé qu'une distribution normale, ce qui est rassurant. Enfin, la **volatilité annualisée de 49,0%** classe ce titre dans la catégorie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(2 367,75 FCFA) et la MM50 (2 295,5 FCFA) se situent toutes deux sous le cours actuel (2 400 FCFA), ce qui place le titre en position haussière de court terme. La MM20 étant supérieure à la MM50, la configuration est haussière (croisement doré), justifiant la décision **Achat** fournie par l'indicateur.</w:t>
      </w:r>
    </w:p>
    <w:p>
      <w:pPr>
        <w:spacing w:after="120" w:line="276" w:lineRule="auto"/>
      </w:pPr>
      <w:r>
        <w:t>**Bandes de Bollinger** : Le cours (2 400 FCFA) évolue entre la borne inférieure (2 289,65 FCFA) et la borne supérieure (2 445,85 FCFA), se rapprochant de la borne haute sans la franchir. Cette position médiane-haute indique une volatilité modérée et l'absence de signal de surachat ou de survente, justifiant la décision **Neutre**.</w:t>
      </w:r>
    </w:p>
    <w:p>
      <w:pPr>
        <w:spacing w:after="120" w:line="276" w:lineRule="auto"/>
      </w:pPr>
      <w:r>
        <w:t>**MACD** : La valeur du MACD (5,1) est inférieure à son signal (7,609), générant un croisement baissier. Le momentum est donc négatif, ce qui contredit la tendance haussière des moyennes mobiles et justifie la décision **Vente** de cet indicateur.</w:t>
      </w:r>
    </w:p>
    <w:p>
      <w:pPr>
        <w:spacing w:after="120" w:line="276" w:lineRule="auto"/>
      </w:pPr>
      <w:r>
        <w:t>**RSI** : À 52,727, le RSI se situe dans la zone neutre (30-70), sans signal de surachat (&gt;70) ni de survente (&lt;30). Cela traduit un équilibre entre acheteurs et vendeurs, justifiant la décision **Neutre**.</w:t>
      </w:r>
    </w:p>
    <w:p>
      <w:pPr>
        <w:spacing w:after="120" w:line="276" w:lineRule="auto"/>
      </w:pPr>
      <w:r>
        <w:t>**Stochastique** : Le %K (80,0) est nettement supérieur au %D (26,667), ce qui génère un croisement haussier en zone de surachat potentiel. Cette configuration est ambiguë : elle suggère une dynamique positive à court terme mais un risque de retournement, justifiant la décision **Neutre**.</w:t>
      </w:r>
    </w:p>
    <w:p>
      <w:pPr>
        <w:spacing w:after="120" w:line="276" w:lineRule="auto"/>
      </w:pPr>
      <w:r>
        <w:t>**Conclusion technique** : Les indicateurs sont **divergents** — les moyennes mobiles sont haussières, le MACD est baissier, tandis que le RSI, les Bollinger et le Stochastique sont neutres. Cette absence de consensus traduit une phase d'incertitude, avec un léger avantage aux acheteurs (MM) mais un momentum fragile (MACD). La prudence est de mise.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2024)** : En 2024, SIVC (Erium CI) affiche un chiffre d'affaires/PNB de **9,283 milliards FCFA**, un résultat net de **376,96 millions FCFA**, un ROE de **11,52%** (inférieur au seuil d'excellence de 15%) et un ROA de **2,69%**. La marge nette est de **4,06%**, la marge opérationnelle de **5,63%**, et le coefficient d'exploitation de **95,83%** — très élevé, indiquant une structure de coûts lourde et une efficacité opérationnelle faible. Le coût du risque (3,10%) reste contenu, mais la trésorerie nette est négative à **-2,143 milliards FCFA**, et l'autonomie financière (23,34%) est en dessous du seuil sain de 30%. Le ratio d'endettement (80,09%) est préoccupant, tout comme la liquidité générale (61,93%, &lt;1) qui signale un risque de liquidité.</w:t>
      </w:r>
    </w:p>
    <w:p>
      <w:pPr>
        <w:spacing w:after="120" w:line="276" w:lineRule="auto"/>
      </w:pPr>
      <w:r>
        <w:t>**Estimations basées sur les rapports trimestriels** : Le rapport du **S1 2025 (30 juin 2025)** indique un CA de 4 897,5 millions FCFA (+8,8%) et un résultat net de 512,9 millions FCFA (+4,6%), avec une marge nette de 10,5%. Le rapport du **T3 2025** confirme cette dynamique avec un CA cumulé de 7 584,7 millions FCFA (+13%) et un résultat net de 832,5 millions FCFA (+58%), portant la marge nette à 11,0%. **On estime donc que l'exercice 2025 devrait clôturer avec un CA d'environ 10,07 milliards FCFA (+8,5%) et un résultat net d'environ 179,3 millions FCFA** — en **chute de 52,4%** par rapport à 2024, selon le rapport annuel 2025 (date : 31/12/2025). Cette contradiction entre la croissance du CA et l'effondrement du résultat net s'explique par une explosion des charges financières (passant d'un gain de 316 M FCFA à une perte de -114 M FCFA) et une dégradation du résultat exceptionnel.</w:t>
      </w:r>
    </w:p>
    <w:p>
      <w:pPr>
        <w:spacing w:after="120" w:line="276" w:lineRule="auto"/>
      </w:pPr>
      <w:r>
        <w:t>**Évolution pluriannuelle** : Les rapports antérieurs (2019-2020) montrent une société historiquement fragile, avec des pertes en 2019 (-26,5 M FCFA) et 2020 (T1 : -84,3 M FCFA), suivies d'un redressement progressif jusqu'en 2024. Cependant, l'exercice 2025 marque une **rechute brutale** de la rentabilité, avec une marge nette tombant à 1,78% et des capitaux propres en diminution à 2,53 milliards FCFA. Le changement de dénomination sociale (Air Liquide CI → Erium CI) et la cession totale de la participation d'Air Liquide International (72,08% à 0% en novembre 2025) ajoutent une incertitude stratégique majeure.</w:t>
      </w:r>
    </w:p>
    <w:p>
      <w:pPr>
        <w:spacing w:after="120" w:line="276" w:lineRule="auto"/>
      </w:pPr>
      <w:r>
        <w:t>**Recommandation fondamentale** : La société présente un profil **fragile** : croissance du CA réelle mais non rentable, endettement élevé, trésorerie négative et gouvernance en transition. La recommandation des analystes est **CONSERVER (avec surveillance)**, en attendant une amélioration durable de la rentabilité.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converge vers un **profil de risque élevé** pour SIVC. La **valorisation (Partie 0)** est clairement **surévaluée** : PER de 55,6x, P/B de 6,41x et EV/EBITDA de 17,5x, tous très au-dessus des normes du marché BRVM. Le **comportement du cours (Partie 1)** est baissier sur 100 jours (-11,11%), avec une volatilité annualisée élevée (49%) et une distribution platykurtique (kurtosis -1,275) qui, bien que réduisant le risque de pics extrêmes, n'en demeure pas moins préoccupante. Les **signaux techniques (Partie 2)** sont **divergents** : les moyennes mobiles sont haussières, mais le MACD est baissier, et les autres indicateurs sont neutres — ce qui ne permet pas de dégager une tendance claire. Les **fondamentaux (Partie 3)** sont **mitigés** : la croissance du CA (+8,5% en 2025) est réelle, mais le résultat net s'est effondré de 52,4% à 179,3 M FCFA, et la structure financière reste fragile (trésorerie négative, endettement élevé). Les **prédictions IA (J+1 à J+10)** anticipent une **baisse continue** du cours, de 2 303 FCFA à 2 255 FCFA, ce qui **contredit** les signaux haussiers des moyennes mobiles et **confirme** la tendance baissière de fond.</w:t>
      </w:r>
    </w:p>
    <w:p>
      <w:pPr>
        <w:spacing w:after="120" w:line="276" w:lineRule="auto"/>
      </w:pPr>
      <w:r>
        <w:t>**Recommandation finale : VENTE**</w:t>
      </w:r>
    </w:p>
    <w:p>
      <w:pPr>
        <w:spacing w:after="120" w:line="276" w:lineRule="auto"/>
      </w:pPr>
      <w:r>
        <w:t>Cette recommandation est justifiée par la **convergence négative** entre une valorisation excessive, des fondamentaux dégradés, une tendance baissière confirmée par les prédictions IA, et une divergence technique qui ne plaide pas en faveur d'un rebond durable. Le niveau de confiance est **Moyen** (en raison de la divergence des indicateurs techniques), et le niveau de risque global est **Élevé**. L'horizon d'investissement recommandé est **court terme (&lt;3 mois)** pour les investisseurs cherchant à sortir, ou **moyen terme (3-12 mois)** pour ceux qui souhaitent surveiller une éventuelle stabilisation — mais un nouvel investissement n'est **pas recommandé** à ce stade.</w:t>
      </w:r>
    </w:p>
    <w:p>
      <w:pPr>
        <w:spacing w:after="120" w:line="276" w:lineRule="auto"/>
      </w:pPr>
      <w:r>
        <w: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623.95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1,311 titres</w:t>
            </w:r>
          </w:p>
        </w:tc>
        <w:tc>
          <w:tcPr>
            <w:tcW w:type="dxa" w:w="2268"/>
            <w:shd w:fill="FFF2CC" w:val="clear"/>
          </w:tcPr>
          <w:p>
            <w:r>
              <w:rPr>
                <w:b/>
                <w:color w:val="503200"/>
                <w:sz w:val="16"/>
              </w:rPr>
              <w:t xml:space="preserve">Cours actuel : </w:t>
            </w:r>
            <w:r>
              <w:rPr>
                <w:color w:val="000000"/>
                <w:sz w:val="17"/>
              </w:rPr>
              <w:t>37,905 FCFA</w:t>
            </w:r>
          </w:p>
          <w:p>
            <w:r>
              <w:rPr>
                <w:b/>
                <w:color w:val="503200"/>
                <w:sz w:val="16"/>
              </w:rPr>
              <w:t xml:space="preserve">Var. 100 jours : </w:t>
            </w:r>
            <w:r>
              <w:rPr>
                <w:b/>
                <w:color w:val="B40000"/>
                <w:sz w:val="17"/>
              </w:rPr>
              <w:t>-4.76%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29.1%</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2.45% (Faible) — μ=38,275 FCFA, σ=939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β=0.1895 (Défensif) — Cov=0.000007, Var(idx)=0.000034, ρ=0.061,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37,403</w:t>
            </w:r>
          </w:p>
        </w:tc>
        <w:tc>
          <w:tcPr>
            <w:tcW w:type="dxa" w:w="1440"/>
            <w:shd w:fill="FAFAFA" w:val="clear"/>
          </w:tcPr>
          <w:p>
            <w:r>
              <w:rPr>
                <w:b/>
                <w:sz w:val="17"/>
              </w:rPr>
              <w:t>38,540</w:t>
            </w:r>
          </w:p>
        </w:tc>
        <w:tc>
          <w:tcPr>
            <w:tcW w:type="dxa" w:w="1440"/>
            <w:shd w:fill="FAFAFA" w:val="clear"/>
          </w:tcPr>
          <w:p>
            <w:r>
              <w:rPr>
                <w:sz w:val="17"/>
              </w:rPr>
              <w:t>39,676</w:t>
            </w:r>
          </w:p>
        </w:tc>
        <w:tc>
          <w:tcPr>
            <w:tcW w:type="dxa" w:w="1440"/>
            <w:shd w:fill="FAFAFA" w:val="clear"/>
          </w:tcPr>
          <w:p>
            <w:r>
              <w:rPr>
                <w:b/>
                <w:color w:val="008000"/>
                <w:sz w:val="17"/>
              </w:rPr>
              <w:t>+1.7%</w:t>
            </w:r>
          </w:p>
        </w:tc>
      </w:tr>
      <w:tr>
        <w:tc>
          <w:tcPr>
            <w:tcW w:type="dxa" w:w="1440"/>
            <w:shd w:fill="C6EFCE" w:val="clear"/>
          </w:tcPr>
          <w:p>
            <w:r>
              <w:rPr>
                <w:sz w:val="17"/>
              </w:rPr>
              <w:t>J+2  ⭐⭐⭐</w:t>
            </w:r>
          </w:p>
        </w:tc>
        <w:tc>
          <w:tcPr>
            <w:tcW w:type="dxa" w:w="1440"/>
            <w:shd w:fill="C6EFCE" w:val="clear"/>
          </w:tcPr>
          <w:p>
            <w:r>
              <w:rPr>
                <w:sz w:val="17"/>
              </w:rPr>
              <w:t>2026-09-15</w:t>
            </w:r>
          </w:p>
        </w:tc>
        <w:tc>
          <w:tcPr>
            <w:tcW w:type="dxa" w:w="1440"/>
            <w:shd w:fill="C6EFCE" w:val="clear"/>
          </w:tcPr>
          <w:p>
            <w:r>
              <w:rPr>
                <w:sz w:val="17"/>
              </w:rPr>
              <w:t>37,198</w:t>
            </w:r>
          </w:p>
        </w:tc>
        <w:tc>
          <w:tcPr>
            <w:tcW w:type="dxa" w:w="1440"/>
            <w:shd w:fill="C6EFCE" w:val="clear"/>
          </w:tcPr>
          <w:p>
            <w:r>
              <w:rPr>
                <w:b/>
                <w:sz w:val="17"/>
              </w:rPr>
              <w:t>38,817</w:t>
            </w:r>
          </w:p>
        </w:tc>
        <w:tc>
          <w:tcPr>
            <w:tcW w:type="dxa" w:w="1440"/>
            <w:shd w:fill="C6EFCE" w:val="clear"/>
          </w:tcPr>
          <w:p>
            <w:r>
              <w:rPr>
                <w:sz w:val="17"/>
              </w:rPr>
              <w:t>40,436</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2026-09-16</w:t>
            </w:r>
          </w:p>
        </w:tc>
        <w:tc>
          <w:tcPr>
            <w:tcW w:type="dxa" w:w="1440"/>
            <w:shd w:fill="C6EFCE" w:val="clear"/>
          </w:tcPr>
          <w:p>
            <w:r>
              <w:rPr>
                <w:sz w:val="17"/>
              </w:rPr>
              <w:t>37,150</w:t>
            </w:r>
          </w:p>
        </w:tc>
        <w:tc>
          <w:tcPr>
            <w:tcW w:type="dxa" w:w="1440"/>
            <w:shd w:fill="C6EFCE" w:val="clear"/>
          </w:tcPr>
          <w:p>
            <w:r>
              <w:rPr>
                <w:b/>
                <w:sz w:val="17"/>
              </w:rPr>
              <w:t>39,149</w:t>
            </w:r>
          </w:p>
        </w:tc>
        <w:tc>
          <w:tcPr>
            <w:tcW w:type="dxa" w:w="1440"/>
            <w:shd w:fill="C6EFCE" w:val="clear"/>
          </w:tcPr>
          <w:p>
            <w:r>
              <w:rPr>
                <w:sz w:val="17"/>
              </w:rPr>
              <w:t>41,149</w:t>
            </w:r>
          </w:p>
        </w:tc>
        <w:tc>
          <w:tcPr>
            <w:tcW w:type="dxa" w:w="1440"/>
            <w:shd w:fill="C6EFCE" w:val="clear"/>
          </w:tcPr>
          <w:p>
            <w:r>
              <w:rPr>
                <w:b/>
                <w:color w:val="008000"/>
                <w:sz w:val="17"/>
              </w:rPr>
              <w:t>+3.3%</w:t>
            </w:r>
          </w:p>
        </w:tc>
      </w:tr>
      <w:tr>
        <w:tc>
          <w:tcPr>
            <w:tcW w:type="dxa" w:w="1440"/>
            <w:shd w:fill="C6EFCE" w:val="clear"/>
          </w:tcPr>
          <w:p>
            <w:r>
              <w:rPr>
                <w:sz w:val="17"/>
              </w:rPr>
              <w:t>J+4  Moyenne</w:t>
            </w:r>
          </w:p>
        </w:tc>
        <w:tc>
          <w:tcPr>
            <w:tcW w:type="dxa" w:w="1440"/>
            <w:shd w:fill="C6EFCE" w:val="clear"/>
          </w:tcPr>
          <w:p>
            <w:r>
              <w:rPr>
                <w:sz w:val="17"/>
              </w:rPr>
              <w:t>2026-09-17</w:t>
            </w:r>
          </w:p>
        </w:tc>
        <w:tc>
          <w:tcPr>
            <w:tcW w:type="dxa" w:w="1440"/>
            <w:shd w:fill="C6EFCE" w:val="clear"/>
          </w:tcPr>
          <w:p>
            <w:r>
              <w:rPr>
                <w:sz w:val="17"/>
              </w:rPr>
              <w:t>37,157</w:t>
            </w:r>
          </w:p>
        </w:tc>
        <w:tc>
          <w:tcPr>
            <w:tcW w:type="dxa" w:w="1440"/>
            <w:shd w:fill="C6EFCE" w:val="clear"/>
          </w:tcPr>
          <w:p>
            <w:r>
              <w:rPr>
                <w:b/>
                <w:sz w:val="17"/>
              </w:rPr>
              <w:t>39,485</w:t>
            </w:r>
          </w:p>
        </w:tc>
        <w:tc>
          <w:tcPr>
            <w:tcW w:type="dxa" w:w="1440"/>
            <w:shd w:fill="C6EFCE" w:val="clear"/>
          </w:tcPr>
          <w:p>
            <w:r>
              <w:rPr>
                <w:sz w:val="17"/>
              </w:rPr>
              <w:t>41,814</w:t>
            </w:r>
          </w:p>
        </w:tc>
        <w:tc>
          <w:tcPr>
            <w:tcW w:type="dxa" w:w="1440"/>
            <w:shd w:fill="C6EFCE" w:val="clear"/>
          </w:tcPr>
          <w:p>
            <w:r>
              <w:rPr>
                <w:b/>
                <w:color w:val="008000"/>
                <w:sz w:val="17"/>
              </w:rPr>
              <w:t>+4.2%</w:t>
            </w:r>
          </w:p>
        </w:tc>
      </w:tr>
      <w:tr>
        <w:tc>
          <w:tcPr>
            <w:tcW w:type="dxa" w:w="1440"/>
            <w:shd w:fill="C6EFCE" w:val="clear"/>
          </w:tcPr>
          <w:p>
            <w:r>
              <w:rPr>
                <w:sz w:val="17"/>
              </w:rPr>
              <w:t>J+5  Moyenne</w:t>
            </w:r>
          </w:p>
        </w:tc>
        <w:tc>
          <w:tcPr>
            <w:tcW w:type="dxa" w:w="1440"/>
            <w:shd w:fill="C6EFCE" w:val="clear"/>
          </w:tcPr>
          <w:p>
            <w:r>
              <w:rPr>
                <w:sz w:val="17"/>
              </w:rPr>
              <w:t>2026-09-18</w:t>
            </w:r>
          </w:p>
        </w:tc>
        <w:tc>
          <w:tcPr>
            <w:tcW w:type="dxa" w:w="1440"/>
            <w:shd w:fill="C6EFCE" w:val="clear"/>
          </w:tcPr>
          <w:p>
            <w:r>
              <w:rPr>
                <w:sz w:val="17"/>
              </w:rPr>
              <w:t>37,190</w:t>
            </w:r>
          </w:p>
        </w:tc>
        <w:tc>
          <w:tcPr>
            <w:tcW w:type="dxa" w:w="1440"/>
            <w:shd w:fill="C6EFCE" w:val="clear"/>
          </w:tcPr>
          <w:p>
            <w:r>
              <w:rPr>
                <w:b/>
                <w:sz w:val="17"/>
              </w:rPr>
              <w:t>39,815</w:t>
            </w:r>
          </w:p>
        </w:tc>
        <w:tc>
          <w:tcPr>
            <w:tcW w:type="dxa" w:w="1440"/>
            <w:shd w:fill="C6EFCE" w:val="clear"/>
          </w:tcPr>
          <w:p>
            <w:r>
              <w:rPr>
                <w:sz w:val="17"/>
              </w:rPr>
              <w:t>42,441</w:t>
            </w:r>
          </w:p>
        </w:tc>
        <w:tc>
          <w:tcPr>
            <w:tcW w:type="dxa" w:w="1440"/>
            <w:shd w:fill="C6EFCE" w:val="clear"/>
          </w:tcPr>
          <w:p>
            <w:r>
              <w:rPr>
                <w:b/>
                <w:color w:val="008000"/>
                <w:sz w:val="17"/>
              </w:rPr>
              <w:t>+5.0%</w:t>
            </w:r>
          </w:p>
        </w:tc>
      </w:tr>
      <w:tr>
        <w:tc>
          <w:tcPr>
            <w:tcW w:type="dxa" w:w="1440"/>
            <w:shd w:fill="C6EFCE" w:val="clear"/>
          </w:tcPr>
          <w:p>
            <w:r>
              <w:rPr>
                <w:sz w:val="17"/>
              </w:rPr>
              <w:t>J+6  Moyenne</w:t>
            </w:r>
          </w:p>
        </w:tc>
        <w:tc>
          <w:tcPr>
            <w:tcW w:type="dxa" w:w="1440"/>
            <w:shd w:fill="C6EFCE" w:val="clear"/>
          </w:tcPr>
          <w:p>
            <w:r>
              <w:rPr>
                <w:sz w:val="17"/>
              </w:rPr>
              <w:t>2026-09-21</w:t>
            </w:r>
          </w:p>
        </w:tc>
        <w:tc>
          <w:tcPr>
            <w:tcW w:type="dxa" w:w="1440"/>
            <w:shd w:fill="C6EFCE" w:val="clear"/>
          </w:tcPr>
          <w:p>
            <w:r>
              <w:rPr>
                <w:sz w:val="17"/>
              </w:rPr>
              <w:t>37,239</w:t>
            </w:r>
          </w:p>
        </w:tc>
        <w:tc>
          <w:tcPr>
            <w:tcW w:type="dxa" w:w="1440"/>
            <w:shd w:fill="C6EFCE" w:val="clear"/>
          </w:tcPr>
          <w:p>
            <w:r>
              <w:rPr>
                <w:b/>
                <w:sz w:val="17"/>
              </w:rPr>
              <w:t>40,138</w:t>
            </w:r>
          </w:p>
        </w:tc>
        <w:tc>
          <w:tcPr>
            <w:tcW w:type="dxa" w:w="1440"/>
            <w:shd w:fill="C6EFCE" w:val="clear"/>
          </w:tcPr>
          <w:p>
            <w:r>
              <w:rPr>
                <w:sz w:val="17"/>
              </w:rPr>
              <w:t>43,038</w:t>
            </w:r>
          </w:p>
        </w:tc>
        <w:tc>
          <w:tcPr>
            <w:tcW w:type="dxa" w:w="1440"/>
            <w:shd w:fill="C6EFCE" w:val="clear"/>
          </w:tcPr>
          <w:p>
            <w:r>
              <w:rPr>
                <w:b/>
                <w:color w:val="008000"/>
                <w:sz w:val="17"/>
              </w:rPr>
              <w:t>+5.9%</w:t>
            </w:r>
          </w:p>
        </w:tc>
      </w:tr>
      <w:tr>
        <w:tc>
          <w:tcPr>
            <w:tcW w:type="dxa" w:w="1440"/>
            <w:shd w:fill="C6EFCE" w:val="clear"/>
          </w:tcPr>
          <w:p>
            <w:r>
              <w:rPr>
                <w:sz w:val="17"/>
              </w:rPr>
              <w:t>J+7  Moyenne</w:t>
            </w:r>
          </w:p>
        </w:tc>
        <w:tc>
          <w:tcPr>
            <w:tcW w:type="dxa" w:w="1440"/>
            <w:shd w:fill="C6EFCE" w:val="clear"/>
          </w:tcPr>
          <w:p>
            <w:r>
              <w:rPr>
                <w:sz w:val="17"/>
              </w:rPr>
              <w:t>2026-09-22</w:t>
            </w:r>
          </w:p>
        </w:tc>
        <w:tc>
          <w:tcPr>
            <w:tcW w:type="dxa" w:w="1440"/>
            <w:shd w:fill="C6EFCE" w:val="clear"/>
          </w:tcPr>
          <w:p>
            <w:r>
              <w:rPr>
                <w:sz w:val="17"/>
              </w:rPr>
              <w:t>37,299</w:t>
            </w:r>
          </w:p>
        </w:tc>
        <w:tc>
          <w:tcPr>
            <w:tcW w:type="dxa" w:w="1440"/>
            <w:shd w:fill="C6EFCE" w:val="clear"/>
          </w:tcPr>
          <w:p>
            <w:r>
              <w:rPr>
                <w:b/>
                <w:sz w:val="17"/>
              </w:rPr>
              <w:t>40,455</w:t>
            </w:r>
          </w:p>
        </w:tc>
        <w:tc>
          <w:tcPr>
            <w:tcW w:type="dxa" w:w="1440"/>
            <w:shd w:fill="C6EFCE" w:val="clear"/>
          </w:tcPr>
          <w:p>
            <w:r>
              <w:rPr>
                <w:sz w:val="17"/>
              </w:rPr>
              <w:t>43,611</w:t>
            </w:r>
          </w:p>
        </w:tc>
        <w:tc>
          <w:tcPr>
            <w:tcW w:type="dxa" w:w="1440"/>
            <w:shd w:fill="C6EFCE" w:val="clear"/>
          </w:tcPr>
          <w:p>
            <w:r>
              <w:rPr>
                <w:b/>
                <w:color w:val="008000"/>
                <w:sz w:val="17"/>
              </w:rPr>
              <w:t>+6.7%</w:t>
            </w:r>
          </w:p>
        </w:tc>
      </w:tr>
      <w:tr>
        <w:tc>
          <w:tcPr>
            <w:tcW w:type="dxa" w:w="1440"/>
            <w:shd w:fill="C6EFCE" w:val="clear"/>
          </w:tcPr>
          <w:p>
            <w:r>
              <w:rPr>
                <w:sz w:val="17"/>
              </w:rPr>
              <w:t>J+8  Moyenne</w:t>
            </w:r>
          </w:p>
        </w:tc>
        <w:tc>
          <w:tcPr>
            <w:tcW w:type="dxa" w:w="1440"/>
            <w:shd w:fill="C6EFCE" w:val="clear"/>
          </w:tcPr>
          <w:p>
            <w:r>
              <w:rPr>
                <w:sz w:val="17"/>
              </w:rPr>
              <w:t>2026-09-23</w:t>
            </w:r>
          </w:p>
        </w:tc>
        <w:tc>
          <w:tcPr>
            <w:tcW w:type="dxa" w:w="1440"/>
            <w:shd w:fill="C6EFCE" w:val="clear"/>
          </w:tcPr>
          <w:p>
            <w:r>
              <w:rPr>
                <w:sz w:val="17"/>
              </w:rPr>
              <w:t>37,367</w:t>
            </w:r>
          </w:p>
        </w:tc>
        <w:tc>
          <w:tcPr>
            <w:tcW w:type="dxa" w:w="1440"/>
            <w:shd w:fill="C6EFCE" w:val="clear"/>
          </w:tcPr>
          <w:p>
            <w:r>
              <w:rPr>
                <w:b/>
                <w:sz w:val="17"/>
              </w:rPr>
              <w:t>40,767</w:t>
            </w:r>
          </w:p>
        </w:tc>
        <w:tc>
          <w:tcPr>
            <w:tcW w:type="dxa" w:w="1440"/>
            <w:shd w:fill="C6EFCE" w:val="clear"/>
          </w:tcPr>
          <w:p>
            <w:r>
              <w:rPr>
                <w:sz w:val="17"/>
              </w:rPr>
              <w:t>44,167</w:t>
            </w:r>
          </w:p>
        </w:tc>
        <w:tc>
          <w:tcPr>
            <w:tcW w:type="dxa" w:w="1440"/>
            <w:shd w:fill="C6EFCE" w:val="clear"/>
          </w:tcPr>
          <w:p>
            <w:r>
              <w:rPr>
                <w:b/>
                <w:color w:val="008000"/>
                <w:sz w:val="17"/>
              </w:rPr>
              <w:t>+7.6%</w:t>
            </w:r>
          </w:p>
        </w:tc>
      </w:tr>
      <w:tr>
        <w:tc>
          <w:tcPr>
            <w:tcW w:type="dxa" w:w="1440"/>
            <w:shd w:fill="C6EFCE" w:val="clear"/>
          </w:tcPr>
          <w:p>
            <w:r>
              <w:rPr>
                <w:sz w:val="17"/>
              </w:rPr>
              <w:t>J+9  Moyenne</w:t>
            </w:r>
          </w:p>
        </w:tc>
        <w:tc>
          <w:tcPr>
            <w:tcW w:type="dxa" w:w="1440"/>
            <w:shd w:fill="C6EFCE" w:val="clear"/>
          </w:tcPr>
          <w:p>
            <w:r>
              <w:rPr>
                <w:sz w:val="17"/>
              </w:rPr>
              <w:t>2026-09-24</w:t>
            </w:r>
          </w:p>
        </w:tc>
        <w:tc>
          <w:tcPr>
            <w:tcW w:type="dxa" w:w="1440"/>
            <w:shd w:fill="C6EFCE" w:val="clear"/>
          </w:tcPr>
          <w:p>
            <w:r>
              <w:rPr>
                <w:sz w:val="17"/>
              </w:rPr>
              <w:t>37,440</w:t>
            </w:r>
          </w:p>
        </w:tc>
        <w:tc>
          <w:tcPr>
            <w:tcW w:type="dxa" w:w="1440"/>
            <w:shd w:fill="C6EFCE" w:val="clear"/>
          </w:tcPr>
          <w:p>
            <w:r>
              <w:rPr>
                <w:b/>
                <w:sz w:val="17"/>
              </w:rPr>
              <w:t>41,074</w:t>
            </w:r>
          </w:p>
        </w:tc>
        <w:tc>
          <w:tcPr>
            <w:tcW w:type="dxa" w:w="1440"/>
            <w:shd w:fill="C6EFCE" w:val="clear"/>
          </w:tcPr>
          <w:p>
            <w:r>
              <w:rPr>
                <w:sz w:val="17"/>
              </w:rPr>
              <w:t>44,708</w:t>
            </w:r>
          </w:p>
        </w:tc>
        <w:tc>
          <w:tcPr>
            <w:tcW w:type="dxa" w:w="1440"/>
            <w:shd w:fill="C6EFCE" w:val="clear"/>
          </w:tcPr>
          <w:p>
            <w:r>
              <w:rPr>
                <w:b/>
                <w:color w:val="008000"/>
                <w:sz w:val="17"/>
              </w:rPr>
              <w:t>+8.4%</w:t>
            </w:r>
          </w:p>
        </w:tc>
      </w:tr>
      <w:tr>
        <w:tc>
          <w:tcPr>
            <w:tcW w:type="dxa" w:w="1440"/>
            <w:shd w:fill="C6EFCE" w:val="clear"/>
          </w:tcPr>
          <w:p>
            <w:r>
              <w:rPr>
                <w:sz w:val="17"/>
              </w:rPr>
              <w:t>J+10  Moyenne</w:t>
            </w:r>
          </w:p>
        </w:tc>
        <w:tc>
          <w:tcPr>
            <w:tcW w:type="dxa" w:w="1440"/>
            <w:shd w:fill="C6EFCE" w:val="clear"/>
          </w:tcPr>
          <w:p>
            <w:r>
              <w:rPr>
                <w:sz w:val="17"/>
              </w:rPr>
              <w:t>2026-09-25</w:t>
            </w:r>
          </w:p>
        </w:tc>
        <w:tc>
          <w:tcPr>
            <w:tcW w:type="dxa" w:w="1440"/>
            <w:shd w:fill="C6EFCE" w:val="clear"/>
          </w:tcPr>
          <w:p>
            <w:r>
              <w:rPr>
                <w:sz w:val="17"/>
              </w:rPr>
              <w:t>37,519</w:t>
            </w:r>
          </w:p>
        </w:tc>
        <w:tc>
          <w:tcPr>
            <w:tcW w:type="dxa" w:w="1440"/>
            <w:shd w:fill="C6EFCE" w:val="clear"/>
          </w:tcPr>
          <w:p>
            <w:r>
              <w:rPr>
                <w:b/>
                <w:sz w:val="17"/>
              </w:rPr>
              <w:t>41,377</w:t>
            </w:r>
          </w:p>
        </w:tc>
        <w:tc>
          <w:tcPr>
            <w:tcW w:type="dxa" w:w="1440"/>
            <w:shd w:fill="C6EFCE" w:val="clear"/>
          </w:tcPr>
          <w:p>
            <w:r>
              <w:rPr>
                <w:sz w:val="17"/>
              </w:rPr>
              <w:t>45,236</w:t>
            </w:r>
          </w:p>
        </w:tc>
        <w:tc>
          <w:tcPr>
            <w:tcW w:type="dxa" w:w="1440"/>
            <w:shd w:fill="C6EFCE" w:val="clear"/>
          </w:tcPr>
          <w:p>
            <w:r>
              <w:rPr>
                <w:b/>
                <w:color w:val="008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623,95 milliards FCFA, SOLIBRA s'impose comme l'une des toutes premières capitalisations de la BRVM, un poids lourd du compartiment industriel/agroalimentaire qui confère au titre une liquidité relative et une visibilité institutionnelle appréciables. Le BPA de 2 781 FCFA/action signifie que chaque titre génère près de 2 800 FCFA de bénéfice net, un niveau de rentabilité par action remarquable qui traduit la forte profitabilité de l'entreprise. Le PER de 13,6x situe le titre légèrement au-dessus de la moyenne BRVM (~8-12x), mais cette prime reste modérée au regard de la qualité des fondamentaux et du profil de croissance affiché en 2025 ; les investisseurs paient donc un prix raisonnable pour un leader sectoriel. Le P/B de 3,20x indique que le marché valorise SOLIBRA à plus de trois fois sa valeur comptable, une prime de croissance justifiée par un ROE de 23,5% qui dépasse largement le coût des fonds propres. Enfin, l'EV/EBITDA de 7,4x, dans la fourchette raisonnable de 5-10x, montre que la valeur d'entreprise reste cohérente avec la capacité opérationnelle de génération de cash-flows, sans surchauffe spéculative.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totale de -4,76%, avec une quasi-stabilité en dernière séance (+0,01%), ce qui traduit une phase de consolidation plutôt qu'une tendance baissière marquée. Le range de trading s'étend de 35 540 FCFA (plus bas) à 41 500 FCFA (plus haut), soit une amplitude d'environ 16,8% — significative mais contenue pour un titre de cette envergure. La tendance générale est donc légèrement baissière sur la période, le cours actuel (37 905 FCFA) se situant dans la moitié inférieure du range, non loin de la moyenne. Les statistiques descriptives révèlent une moyenne de 38 275 FCFA contre une médiane de 38 000 FCFA et un mode identique à 38 000 FCFA : l'écart très faible entre ces trois mesures centrales indique une distribution quasi-symétrique, confirmée par un skewness de 0,392 (asymétrie légère mais proche de la symétrie). L'écart-type de 944 FCFA avec un coefficient de variation de seulement 2,5% témoigne d'une dispersion très faible du cours autour de sa moyenne — le titre évolue dans un canal étroit, ce qui est rassurant pour la stabilité mais limite les opportunités de trading agressif. Le kurtosis de 0,483 (mésokurtique) suggère une distribution proche de la normale, sans risque majeur de pics extrêmes. La volatilité annualisée de 29,1% positionne SLBC dans la catégorie modérée (15-30%), cohérente avec un titre de grande capitalisation à faible beta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(37 659,5 FCFA) se situe sous la MM50 (38 334,1 FCFA), configuration baissière classique (death cross) qui signale une pression vendeuse de court terme. Le cours actuel (37 905 FCFA) évolue entre ces deux moyennes, ce qui confirme l'absence de direction claire et justifie la décision technique de **Vente** — le titre ne parvient pas à repasser au-dessus de sa MM50, résistance dynamique immédiate.</w:t>
      </w:r>
    </w:p>
    <w:p>
      <w:pPr>
        <w:spacing w:after="120" w:line="276" w:lineRule="auto"/>
      </w:pPr>
      <w:r>
        <w:t>**Bandes de Bollinger** : Le cours (37 905 FCFA) se situe dans la partie médiane-haute du canal, entre la borne inférieure (36 948,6 FCFA) et la borne supérieure (38 370,4 FCFA). L'étroitesse relative des bandes (largeur d'environ 1 422 FCFA) confirme la faible volatilité récente. La décision **Neutre** est cohérente : le titre n'est ni en sur-extension haussière (pas de cassure de la borne supérieure) ni en survente (pas de test de la borne inférieure).</w:t>
      </w:r>
    </w:p>
    <w:p>
      <w:pPr>
        <w:spacing w:after="120" w:line="276" w:lineRule="auto"/>
      </w:pPr>
      <w:r>
        <w:t>**MACD** : La valeur du MACD (-70,996) est supérieure à son signal (-149,829), générant un histogramme positif — configuration haussière de convergence. Le momentum négatif s'amenuise, ce qui traduit un essoufflement de la pression baissière et justifie la décision d'**Achat** technique, bien que le MACD reste en territoire négatif.</w:t>
      </w:r>
    </w:p>
    <w:p>
      <w:pPr>
        <w:spacing w:after="120" w:line="276" w:lineRule="auto"/>
      </w:pPr>
      <w:r>
        <w:t>**RSI** : À 60,714, le RSI se situe en zone neutre-haute (30-70), sans atteindre la zone de surachat (&gt;70). Cela indique que le titre dispose encore d'un potentiel de hausse sans être techniquement sur-acheté. La décision **Neutre** reflète cette position équilibrée, ni signal d'achat fort ni signal de vente.</w:t>
      </w:r>
    </w:p>
    <w:p>
      <w:pPr>
        <w:spacing w:after="120" w:line="276" w:lineRule="auto"/>
      </w:pPr>
      <w:r>
        <w:t>**Stochastique** : Le %K (90,5) et le %D (93,5) sont tous deux en zone de surachat (&gt;80), avec un %K légèrement sous le %D — configuration de possible croisement baissier à venir. Cette position extrême justifie pleinement la décision de **Vente** : le titre a probablement épuisé son potentiel de rebond à court terme.</w:t>
      </w:r>
    </w:p>
    <w:p>
      <w:pPr>
        <w:spacing w:after="120" w:line="276" w:lineRule="auto"/>
      </w:pPr>
      <w:r>
        <w:t>**Conclusion technique** : Les indicateurs sont divergents — le MACD suggère un achat (convergence haussière), tandis que les Moyennes Mobiles et le Stochastique recommandent la vente (surachat et death cross). Le RSI et les Bollinger restent neutres. Cette divergence traduit une phase d'incertitude : le titre sort d'une correction mais bute sur des résistances techniques. La prudence s'impose à court terme, avec une préférence pour l'attente d'un signal directionnel clair (cassure de la MM50 ou retournement du stochastique).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378,123 milliards FCFA, en croissance spectaculaire de +22,1% par rapport aux 309,722 milliards de 2024, portée par une hausse des volumes distribués et un mix prix favorable. Le résultat net s'établit à 45,781 milliards FCFA, plus que doublé (+113%) par rapport aux 21,472 milliards de 2024, avec une marge nette qui passe de 6,9% à 12,1% — une amélioration de 5,2 points qui témoigne d'une maîtrise remarquable des charges (les achats et charges externes n'augmentent que de 12%, bien en deçà de la croissance du CA). Le ROE atteint 23,46% (excellent, &gt;15%) et le ROA 13,48%, confirmant la rentabilité capitalistique exceptionnelle de l'entreprise. La structure financière est saine : autonomie financière de 57,5% (capitaux propres/total bilan), ratio d'endettement de 42,5%, et une trésorerie nette positive de 22,117 milliards FCFA. Concernant le BFR (Besoin en Fonds de Roulement) de 61,587 milliards FCFA, il est positif et en hausse, ce qui est normal pour une entreprise en forte croissance, mais le délai clients de 64,27 jours et la durée de stockage de 117,32 jours méritent une surveillance — le délai fournisseurs de 76,82 jours compense partiellement ce besoin de financement. Le rapport du T1 2026 (publié en 2026) confirme la dynamique : CA de 93,46 milliards FCFA (+7,6%), volume distribué de 1,839 million d'hectolitres (+9,6%), et résultat net de 16,26 milliards FCFA (+4,8%), avec une marge nette de 17,4% — en amélioration continue. Sur la base de ce T1 2026, on peut estimer que l'exercice 2026 devrait afficher une croissance du CA de l'ordre de 8-10% (à 410-415 milliards FCFA) et un résultat net potentiellement supérieur à 50 milliards FCFA si la marge nette se maintient au-dessus de 12%. Le rapport annuel 2025 (analysé en mai 2026) recommande l'ACHAT avec un dividende proposé de 2 127 FCFA/action (rendement d'environ 5,6% au cours actuel), un payout de 76,5% qui signale une politique de distribution très généreuse mais qui pourrait limiter l'autofinancement futur. Les risques identifiés incluent la dépendance aux matières premières (90 milliards FCFA d'achats exposés à la volatilité des prix) et la concentration géographique sur le marché ivoirien. **Recommandation fondamentale : ACHAT** — les fondamentaux sont exceptionnels, la croissance est robuste et la rentabilité s'améliore, mais la vigilance reste de mise sur la soutenabilité de la marge et la gestion du BFR.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 PER de 13,6x légèrement supérieur à la moyenne BRVM mais justifié par un ROE de 23,5%, P/B de 3,20x cohérent avec la prime de croissance, et EV/EBITDA de 7,4x sans surchauffe — le titre n'est ni sous-évalué ni surévalué, mais correctement valorisé pour un leader sectoriel. Le comportement du cours (Partie 1) est préoccupant à court terme : tendance légèrement baissière (-4,76% sur 100 jours), volatilité modérée (29,1%), distribution quasi-normale (kurtosis 0,483, skewness 0,392) sans risque de pics extrêmes, mais le cours évolue dans la moitié inférieure de son range. Les signaux techniques (Partie 2) sont divergents : le MACD est haussier (convergence positive), mais les Moyennes Mobiles (death cross), le Stochastique (surachat à 90,5) et la position du cours sous la MM50 recommandent la prudence — cette divergence traduit une phase d'incertitude directionnelle. Les fondamentaux (Partie 3) sont le point fort incontestable : croissance du CA de +22,1% en 2025, résultat net doublé (+113%), ROE de 23,46%, marge nette en amélioration à 12,1%, et T1 2026 confirmant la dynamique (+7,6% de CA, +4,8% de résultat net) — la solidité financière est exceptionnelle. Les prédictions IA (J+1 à J+10) anticipent une trajectoire haussière de 38 540 FCFA à 39 815 FCFA (+5,0% sur 10 jours), ce qui contredit les signaux techniques baissiers de court terme mais confirme la thèse fondamentale haussière. **Synthèse** : la convergence entre fondamentaux exceptionnels, valorisation raisonnable et prédictions IA haussières l'emporte sur les signaux techniques baissiers de court terme, qui apparaissent comme une consolidation temporaire. **Recommandation finale : ACHAT** — avec un niveau de confiance **Moyen** (les divergences techniques incitent à la prudence sur le timing) et un niveau de risque **Moyen** (volatilité modérée, dépendance aux matières premières, concentration géographique). L'horizon d'investissement optimal est le **moyen terme (3-12 mois)**, le temps que la consolidation technique s'achève et que les fondamentaux continuent de se matérialiser dans les résultats trimestriels, avec un potentiel de rendement total (appréciation + dividende de 2 127 FCFA) attractif pour un investisseur patient.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142.65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1,563 titres</w:t>
            </w:r>
          </w:p>
        </w:tc>
        <w:tc>
          <w:tcPr>
            <w:tcW w:type="dxa" w:w="2268"/>
            <w:shd w:fill="FFF2CC" w:val="clear"/>
          </w:tcPr>
          <w:p>
            <w:r>
              <w:rPr>
                <w:b/>
                <w:color w:val="503200"/>
                <w:sz w:val="16"/>
              </w:rPr>
              <w:t xml:space="preserve">Cours actuel : </w:t>
            </w:r>
            <w:r>
              <w:rPr>
                <w:color w:val="000000"/>
                <w:sz w:val="17"/>
              </w:rPr>
              <w:t>18,300 FCFA</w:t>
            </w:r>
          </w:p>
          <w:p>
            <w:r>
              <w:rPr>
                <w:b/>
                <w:color w:val="503200"/>
                <w:sz w:val="16"/>
              </w:rPr>
              <w:t xml:space="preserve">Var. 100 jours : </w:t>
            </w:r>
            <w:r>
              <w:rPr>
                <w:b/>
                <w:color w:val="007800"/>
                <w:sz w:val="17"/>
              </w:rPr>
              <w:t>+58.65%</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14.02% (Moyenne) — μ=15,238 FCFA, σ=2,136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β=-0.7575 (Contre-cyclique) — Cov=-0.000026, Var(idx)=0.000034, ρ=-0.195,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17,745</w:t>
            </w:r>
          </w:p>
        </w:tc>
        <w:tc>
          <w:tcPr>
            <w:tcW w:type="dxa" w:w="1440"/>
            <w:shd w:fill="FAFAFA" w:val="clear"/>
          </w:tcPr>
          <w:p>
            <w:r>
              <w:rPr>
                <w:b/>
                <w:sz w:val="17"/>
              </w:rPr>
              <w:t>18,169</w:t>
            </w:r>
          </w:p>
        </w:tc>
        <w:tc>
          <w:tcPr>
            <w:tcW w:type="dxa" w:w="1440"/>
            <w:shd w:fill="FAFAFA" w:val="clear"/>
          </w:tcPr>
          <w:p>
            <w:r>
              <w:rPr>
                <w:sz w:val="17"/>
              </w:rPr>
              <w:t>18,592</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17,533</w:t>
            </w:r>
          </w:p>
        </w:tc>
        <w:tc>
          <w:tcPr>
            <w:tcW w:type="dxa" w:w="1440"/>
            <w:shd w:fill="FAFAFA" w:val="clear"/>
          </w:tcPr>
          <w:p>
            <w:r>
              <w:rPr>
                <w:b/>
                <w:sz w:val="17"/>
              </w:rPr>
              <w:t>18,130</w:t>
            </w:r>
          </w:p>
        </w:tc>
        <w:tc>
          <w:tcPr>
            <w:tcW w:type="dxa" w:w="1440"/>
            <w:shd w:fill="FAFAFA" w:val="clear"/>
          </w:tcPr>
          <w:p>
            <w:r>
              <w:rPr>
                <w:sz w:val="17"/>
              </w:rPr>
              <w:t>18,728</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17,361</w:t>
            </w:r>
          </w:p>
        </w:tc>
        <w:tc>
          <w:tcPr>
            <w:tcW w:type="dxa" w:w="1440"/>
            <w:shd w:fill="FAFAFA" w:val="clear"/>
          </w:tcPr>
          <w:p>
            <w:r>
              <w:rPr>
                <w:b/>
                <w:sz w:val="17"/>
              </w:rPr>
              <w:t>18,091</w:t>
            </w:r>
          </w:p>
        </w:tc>
        <w:tc>
          <w:tcPr>
            <w:tcW w:type="dxa" w:w="1440"/>
            <w:shd w:fill="FAFAFA" w:val="clear"/>
          </w:tcPr>
          <w:p>
            <w:r>
              <w:rPr>
                <w:sz w:val="17"/>
              </w:rPr>
              <w:t>18,821</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17,219</w:t>
            </w:r>
          </w:p>
        </w:tc>
        <w:tc>
          <w:tcPr>
            <w:tcW w:type="dxa" w:w="1440"/>
            <w:shd w:fill="FAFAFA" w:val="clear"/>
          </w:tcPr>
          <w:p>
            <w:r>
              <w:rPr>
                <w:b/>
                <w:sz w:val="17"/>
              </w:rPr>
              <w:t>18,061</w:t>
            </w:r>
          </w:p>
        </w:tc>
        <w:tc>
          <w:tcPr>
            <w:tcW w:type="dxa" w:w="1440"/>
            <w:shd w:fill="FAFAFA" w:val="clear"/>
          </w:tcPr>
          <w:p>
            <w:r>
              <w:rPr>
                <w:sz w:val="17"/>
              </w:rPr>
              <w:t>18,902</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17,093</w:t>
            </w:r>
          </w:p>
        </w:tc>
        <w:tc>
          <w:tcPr>
            <w:tcW w:type="dxa" w:w="1440"/>
            <w:shd w:fill="FAFAFA" w:val="clear"/>
          </w:tcPr>
          <w:p>
            <w:r>
              <w:rPr>
                <w:b/>
                <w:sz w:val="17"/>
              </w:rPr>
              <w:t>18,033</w:t>
            </w:r>
          </w:p>
        </w:tc>
        <w:tc>
          <w:tcPr>
            <w:tcW w:type="dxa" w:w="1440"/>
            <w:shd w:fill="FAFAFA" w:val="clear"/>
          </w:tcPr>
          <w:p>
            <w:r>
              <w:rPr>
                <w:sz w:val="17"/>
              </w:rPr>
              <w:t>18,973</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16,978</w:t>
            </w:r>
          </w:p>
        </w:tc>
        <w:tc>
          <w:tcPr>
            <w:tcW w:type="dxa" w:w="1440"/>
            <w:shd w:fill="FAFAFA" w:val="clear"/>
          </w:tcPr>
          <w:p>
            <w:r>
              <w:rPr>
                <w:b/>
                <w:sz w:val="17"/>
              </w:rPr>
              <w:t>18,006</w:t>
            </w:r>
          </w:p>
        </w:tc>
        <w:tc>
          <w:tcPr>
            <w:tcW w:type="dxa" w:w="1440"/>
            <w:shd w:fill="FAFAFA" w:val="clear"/>
          </w:tcPr>
          <w:p>
            <w:r>
              <w:rPr>
                <w:sz w:val="17"/>
              </w:rPr>
              <w:t>19,034</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16,872</w:t>
            </w:r>
          </w:p>
        </w:tc>
        <w:tc>
          <w:tcPr>
            <w:tcW w:type="dxa" w:w="1440"/>
            <w:shd w:fill="FAFAFA" w:val="clear"/>
          </w:tcPr>
          <w:p>
            <w:r>
              <w:rPr>
                <w:b/>
                <w:sz w:val="17"/>
              </w:rPr>
              <w:t>17,980</w:t>
            </w:r>
          </w:p>
        </w:tc>
        <w:tc>
          <w:tcPr>
            <w:tcW w:type="dxa" w:w="1440"/>
            <w:shd w:fill="FAFAFA" w:val="clear"/>
          </w:tcPr>
          <w:p>
            <w:r>
              <w:rPr>
                <w:sz w:val="17"/>
              </w:rPr>
              <w:t>19,089</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16,771</w:t>
            </w:r>
          </w:p>
        </w:tc>
        <w:tc>
          <w:tcPr>
            <w:tcW w:type="dxa" w:w="1440"/>
            <w:shd w:fill="FAFAFA" w:val="clear"/>
          </w:tcPr>
          <w:p>
            <w:r>
              <w:rPr>
                <w:b/>
                <w:sz w:val="17"/>
              </w:rPr>
              <w:t>17,955</w:t>
            </w:r>
          </w:p>
        </w:tc>
        <w:tc>
          <w:tcPr>
            <w:tcW w:type="dxa" w:w="1440"/>
            <w:shd w:fill="FAFAFA" w:val="clear"/>
          </w:tcPr>
          <w:p>
            <w:r>
              <w:rPr>
                <w:sz w:val="17"/>
              </w:rPr>
              <w:t>19,138</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16,676</w:t>
            </w:r>
          </w:p>
        </w:tc>
        <w:tc>
          <w:tcPr>
            <w:tcW w:type="dxa" w:w="1440"/>
            <w:shd w:fill="FFDCE0" w:val="clear"/>
          </w:tcPr>
          <w:p>
            <w:r>
              <w:rPr>
                <w:b/>
                <w:sz w:val="17"/>
              </w:rPr>
              <w:t>17,930</w:t>
            </w:r>
          </w:p>
        </w:tc>
        <w:tc>
          <w:tcPr>
            <w:tcW w:type="dxa" w:w="1440"/>
            <w:shd w:fill="FFDCE0" w:val="clear"/>
          </w:tcPr>
          <w:p>
            <w:r>
              <w:rPr>
                <w:sz w:val="17"/>
              </w:rPr>
              <w:t>19,183</w:t>
            </w:r>
          </w:p>
        </w:tc>
        <w:tc>
          <w:tcPr>
            <w:tcW w:type="dxa" w:w="1440"/>
            <w:shd w:fill="FFDCE0"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16,585</w:t>
            </w:r>
          </w:p>
        </w:tc>
        <w:tc>
          <w:tcPr>
            <w:tcW w:type="dxa" w:w="1440"/>
            <w:shd w:fill="FFDCE0" w:val="clear"/>
          </w:tcPr>
          <w:p>
            <w:r>
              <w:rPr>
                <w:b/>
                <w:sz w:val="17"/>
              </w:rPr>
              <w:t>17,905</w:t>
            </w:r>
          </w:p>
        </w:tc>
        <w:tc>
          <w:tcPr>
            <w:tcW w:type="dxa" w:w="1440"/>
            <w:shd w:fill="FFDCE0" w:val="clear"/>
          </w:tcPr>
          <w:p>
            <w:r>
              <w:rPr>
                <w:sz w:val="17"/>
              </w:rPr>
              <w:t>19,224</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**Marché : BRVM | Secteur : Entreprise industrielle (Bitumes)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SMBC affiche une capitalisation boursière de 142,65 Mds FCFA, un niveau significatif à l'échelle de la BRVM qui positionne le titre parmi les valeurs industrielles de premier plan de la cote. Le BPA s'établit à 1 677 FCFA/action, ce qui signifie que chaque action détenue génère près de 1 677 FCFA de bénéfice net, un niveau de rentabilité par titre appréciable. Le PER de 10,9x se situe dans la fourchette moyenne du marché BRVM (8-12x), indiquant que les investisseurs paient un prix raisonnable pour les bénéfices, sans prime excessive ni décote marquée. Le P/B de 3,32x révèle que le marché valorise l'entreprise à plus de trois fois sa valeur comptable, traduisant une prime de croissance et de qualité accordée par les investisseurs. Enfin, l'EV/EBITDA de 6,9x, dans la fourchette raisonnable de 5-10x, suggère que la valeur totale de l'entreprise (incluant la dette) reste cohérente avec sa capacité opérationnelle à générer des liquidités.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 enregistré une progression spectaculaire de **+58,65%**, portant le cours à 18 300 FCFA, malgré un léger repli de -1,08% lors de la dernière séance. Le titre a évolué dans un range large de 11 450 FCFA (plus bas) à 18 500 FCFA (plus haut), soit une amplitude de plus de 61%, témoignant d'une tendance nettement haussière soutenue par un intérêt croissant des investisseurs. L'analyse statistique révèle une moyenne de 15 238 FCFA contre une médiane de 16 000 FCFA : cet écart signifie que le cours a passé plus de temps au-dessus de la moyenne (asymétrie négative confirmée par le skewness de -0,602), indiquant une dynamique haussière persistante. L'écart-type de 2 147 FCFA (CV=14,1%) traduit une dispersion modérée du cours autour de sa moyenne, tandis que le kurtosis de -1,097 (distribution platykurtique) suggère une faible concentration des variations et un risque de pics extrêmes limité. La volatilité annualisée de 36,1% classe le titre dans la catégorie des valeurs à volatilité **élevée** (&gt;30%), ce qui implique un potentiel de gain attractif mais aussi un risque de correction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(17 198,25 FCFA) et la MM50 (16 750,40 FCFA) se situent toutes deux sous le cours actuel (18 300 FCFA), confirmant une configuration haussière. La MM20 étant supérieure à la MM50, le croisement est positif (golden cross), ce qui justifie la décision d'**Achat**. Le cours évolue au-dessus de ses deux moyennes, signalant une force acheteuse dominante.</w:t>
      </w:r>
    </w:p>
    <w:p>
      <w:pPr>
        <w:spacing w:after="120" w:line="276" w:lineRule="auto"/>
      </w:pPr>
      <w:r>
        <w:t>**Bandes de Bollinger :** Le cours (18 300 FCFA) évolue proche de la borne supérieure (18 428,19 FCFA) tout en restant à distance de la borne inférieure (15 968,31 FCFA). Cette position haute indique une pression acheteuse soutenue, mais la décision est **Neutre** car le cours n'a pas encore franchi la borne supérieure, laissant place à une possible consolidation. La largeur des bandes reflète la volatilité élevée du titre.</w:t>
      </w:r>
    </w:p>
    <w:p>
      <w:pPr>
        <w:spacing w:after="120" w:line="276" w:lineRule="auto"/>
      </w:pPr>
      <w:r>
        <w:t>**MACD :** La valeur du MACD (457,022) est nettement supérieure à son signal (339,604), avec un histogramme positif. Cette divergence positive indique un momentum haussier en cours, justifiant la décision d'**Achat**. La dynamique reste favorable tant que le MACD ne croise pas son signal à la baisse.</w:t>
      </w:r>
    </w:p>
    <w:p>
      <w:pPr>
        <w:spacing w:after="120" w:line="276" w:lineRule="auto"/>
      </w:pPr>
      <w:r>
        <w:t>**RSI :** Le RSI s'établit à 81,818, bien au-dessus du seuil de surachat de 70. Cette lecture signale que le titre est techniquement **suracheté** et qu'une correction ou consolidation est probable à court terme, justifiant la décision de **Vente**. Un RSI aussi élevé après une hausse de +58% appelle à la prudence.</w:t>
      </w:r>
    </w:p>
    <w:p>
      <w:pPr>
        <w:spacing w:after="120" w:line="276" w:lineRule="auto"/>
      </w:pPr>
      <w:r>
        <w:t>**Stochastique :** Le %K (88,235) est inférieur au %D (96,078), avec les deux indicateurs en zone de surachat (&gt;80). Ce croisement baissier (%K sous %D) confirme la décision de **Vente**, indiquant un essoufflement probable de la dynamique haussière à court terme.</w:t>
      </w:r>
    </w:p>
    <w:p>
      <w:pPr>
        <w:spacing w:after="120" w:line="276" w:lineRule="auto"/>
      </w:pPr>
      <w:r>
        <w:t>**Conclusion technique :** Les indicateurs présentent une divergence notable : les moyennes mobiles et le MACD confirment la tendance haussière de fond (Achat), tandis que le RSI et le stochastique signalent un surachat imminent (Vente). Les Bandes de Bollinger restent neutres. Cette configuration suggère que la tendance haussière est intacte mais que le titre approche d'une zone de résistance où une consolidation est probable avant toute nouvelle progression.</w:t>
      </w:r>
    </w:p>
    <w:p>
      <w:pPr>
        <w:spacing w:after="120" w:line="276" w:lineRule="auto"/>
      </w:pPr>
      <w:r>
        <w:t>---</w:t>
      </w:r>
    </w:p>
    <w:p>
      <w:pPr>
        <w:spacing w:after="120" w:line="276" w:lineRule="auto"/>
      </w:pPr>
      <w:r>
        <w:t>## PARTIE 3 : ANALYSE FONDAMENTALE</w:t>
      </w:r>
    </w:p>
    <w:p>
      <w:pPr>
        <w:spacing w:after="120" w:line="276" w:lineRule="auto"/>
      </w:pPr>
      <w:r>
        <w:t>En 2025, SMBC affiche un chiffre d'affaires de 206,740 Mds FCFA, en baisse de -9,74% par rapport à 2024 (229,061 Mds FCFA), reflétant un environnement de marché difficile marqué par la baisse des prix du pétrole et un ralentissement des volumes à l'export. Malgré cette contraction, le résultat net progresse spectaculairement de +50,3% à 13,075 Mds FCFA, porté par une amélioration remarquable de la rentabilité opérationnelle : l'EBE bondit de +41,8% à 18,480 Mds FCFA et la marge nette passe de 3,8% à 6,3%. Le ROE atteint 30,47% (excellent, &gt;15%) et le ROA 7,26%, confirmant une création de valeur actionnariale très solide. En tant qu'entreprise industrielle, SMBC présente un BFR de 1,693 Mds FCFA (positif mais maîtrisé) et une trésorerie nette de 23,988 Mds FCFA, en forte amélioration. Les délais clients (193,75 jours) et fournisseurs (207,07 jours) sont élevés, mais le délai fournisseurs supérieur au délai clients constitue un avantage de trésorerie. L'autonomie financière de 23,84% reste inférieure au seuil sain de 30%, et le ratio d'endettement de 76,16% mérite surveillance, bien que la capacité de remboursement (0,68 an) et la couverture des intérêts (483,41%) soient rassurantes. Les rapports trimestriels 2025 confirment la tendance : au T3 2025 (rapport du 30/09/2025), le CA cumulé s'élève à 155,2 Mds FCFA (-14%) mais le résultat net progresse de +6% à 5,7 Mds FCFA, avec une marge opérationnelle en hausse à 5,4%. Le rapport S1 2025 (30/06/2025) indiquait un CA de 101,9 Mds FCFA (-23%) et un résultat net de 3,9 Mds FCFA (-7%), avec un EBE en hausse de +38%. Sur la base de ces tendances, on estime que l'exercice 2025 devrait confirmer le redressement de la rentabilité malgré la baisse des volumes, la direction anticipant une poursuite de la demande locale (chantiers routiers) et un rebond des exportations vers le Nigeria, le Ghana, le Burkina Faso et le Mali. La recommandation fondamentale est **CONSERVER** avec un biais positif : la solidité opérationnelle et la trésorerie renforcée compensent la baisse du CA, mais l'endettement et la dépendance aux cycles d'infrastructures justifient la prudence.</w:t>
      </w:r>
    </w:p>
    <w:p>
      <w:pPr>
        <w:spacing w:after="120" w:line="276" w:lineRule="auto"/>
      </w:pPr>
      <w:r>
        <w:t>---</w:t>
      </w:r>
    </w:p>
    <w:p>
      <w:pPr>
        <w:spacing w:after="120" w:line="276" w:lineRule="auto"/>
      </w:pPr>
      <w:r>
        <w:t>## PARTIE 4 : CONCLUSION D'INVESTISSEMENT</w:t>
      </w:r>
    </w:p>
    <w:p>
      <w:pPr>
        <w:spacing w:after="120" w:line="276" w:lineRule="auto"/>
      </w:pPr>
      <w:r>
        <w:t>La valorisation de SMBC apparaît raisonnable (PER 10,9x, EV/EBITDA 6,9x) mais le P/B de 3,32x traduit une prime de croissance déjà intégrée, limitant le potentiel de revalorisation immédiate. Le comportement du cours est nettement haussier (+58,65% sur 100 jours) avec une volatilité élevée (36,1%) et une asymétrie négative indiquant une dynamique positive, mais le RSI (81,8) et le stochastique (88,2/96,1) signalent un surachat préoccupant à court terme. Les signaux techniques divergent : MM et MACD confirment la tendance haussière, tandis que RSI et stochastique appellent à la prudence, les Bandes de Bollinger restant neutres. Les fondamentaux sont solides : résultat net en hausse de +50,3% en 2025, ROE de 30,47%, trésorerie nette de 23,988 Mds FCFA, mais le CA recule de -9,74% et l'endettement (76,16%) reste un point de vigilance. Les prédictions IA anticipent une légère correction (18 169 FCFA à J+1, 18 033 FCFA à J+5), confirmant le signal de surachat technique sans remettre en cause la tendance de fond. **Recommandation finale : CONSERVER** — la convergence entre fondamentaux solides et tendance haussière de fond est tempérée par le surachat technique et la baisse du chiffre d'affaires. Le niveau de confiance est **Moyen** et le risque global **Élevé** (volatilité 36,1%, endettement, dépendance sectorielle). L'horizon optimal est le **moyen terme (3-12 mois)**, en attendant une consolidation technique et la confirmation du redressement des volumes avant d'envisager un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3927.50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9,609 titres</w:t>
            </w:r>
          </w:p>
        </w:tc>
        <w:tc>
          <w:tcPr>
            <w:tcW w:type="dxa" w:w="2268"/>
            <w:shd w:fill="FFF2CC" w:val="clear"/>
          </w:tcPr>
          <w:p>
            <w:r>
              <w:rPr>
                <w:b/>
                <w:color w:val="503200"/>
                <w:sz w:val="16"/>
              </w:rPr>
              <w:t xml:space="preserve">Cours actuel : </w:t>
            </w:r>
            <w:r>
              <w:rPr>
                <w:color w:val="000000"/>
                <w:sz w:val="17"/>
              </w:rPr>
              <w:t>39,275 FCFA</w:t>
            </w:r>
          </w:p>
          <w:p>
            <w:r>
              <w:rPr>
                <w:b/>
                <w:color w:val="503200"/>
                <w:sz w:val="16"/>
              </w:rPr>
              <w:t xml:space="preserve">Var. 100 jours : </w:t>
            </w:r>
            <w:r>
              <w:rPr>
                <w:b/>
                <w:color w:val="007800"/>
                <w:sz w:val="17"/>
              </w:rPr>
              <w:t>+37.83%</w:t>
            </w:r>
          </w:p>
          <w:p>
            <w:r>
              <w:rPr>
                <w:b/>
                <w:color w:val="503200"/>
                <w:sz w:val="16"/>
              </w:rPr>
              <w:t xml:space="preserve">Plus haut 100j : </w:t>
            </w:r>
            <w:r>
              <w:rPr>
                <w:color w:val="000000"/>
                <w:sz w:val="17"/>
              </w:rPr>
              <w:t>39,275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25.3/100 → Moyen</w:t>
      </w:r>
    </w:p>
    <w:p>
      <w:pPr>
        <w:spacing w:before="40" w:after="80"/>
      </w:pPr>
      <w:r>
        <w:rPr>
          <w:rFonts w:ascii="Courier New" w:hAnsi="Courier New"/>
          <w:color w:val="825A00"/>
          <w:sz w:val="18"/>
        </w:rPr>
        <w:t>█████░░░░░░░░░░░░░░░  25.3/100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10.28% (Moyenne) — μ=30,928 FCFA, σ=3,180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β=1.8018 (Très agressif) — Cov=0.000062, Var(idx)=0.000034, ρ=0.560,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9,609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37,096</w:t>
            </w:r>
          </w:p>
        </w:tc>
        <w:tc>
          <w:tcPr>
            <w:tcW w:type="dxa" w:w="1440"/>
            <w:shd w:fill="FAFAFA" w:val="clear"/>
          </w:tcPr>
          <w:p>
            <w:r>
              <w:rPr>
                <w:b/>
                <w:sz w:val="17"/>
              </w:rPr>
              <w:t>38,607</w:t>
            </w:r>
          </w:p>
        </w:tc>
        <w:tc>
          <w:tcPr>
            <w:tcW w:type="dxa" w:w="1440"/>
            <w:shd w:fill="FAFAFA" w:val="clear"/>
          </w:tcPr>
          <w:p>
            <w:r>
              <w:rPr>
                <w:sz w:val="17"/>
              </w:rPr>
              <w:t>40,117</w:t>
            </w:r>
          </w:p>
        </w:tc>
        <w:tc>
          <w:tcPr>
            <w:tcW w:type="dxa" w:w="1440"/>
            <w:shd w:fill="FAFAFA" w:val="clear"/>
          </w:tcPr>
          <w:p>
            <w:r>
              <w:rPr>
                <w:b/>
                <w:color w:val="C00000"/>
                <w:sz w:val="17"/>
              </w:rPr>
              <w:t>-1.7%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36,466</w:t>
            </w:r>
          </w:p>
        </w:tc>
        <w:tc>
          <w:tcPr>
            <w:tcW w:type="dxa" w:w="1440"/>
            <w:shd w:fill="FAFAFA" w:val="clear"/>
          </w:tcPr>
          <w:p>
            <w:r>
              <w:rPr>
                <w:b/>
                <w:sz w:val="17"/>
              </w:rPr>
              <w:t>38,602</w:t>
            </w:r>
          </w:p>
        </w:tc>
        <w:tc>
          <w:tcPr>
            <w:tcW w:type="dxa" w:w="1440"/>
            <w:shd w:fill="FAFAFA" w:val="clear"/>
          </w:tcPr>
          <w:p>
            <w:r>
              <w:rPr>
                <w:sz w:val="17"/>
              </w:rPr>
              <w:t>40,738</w:t>
            </w:r>
          </w:p>
        </w:tc>
        <w:tc>
          <w:tcPr>
            <w:tcW w:type="dxa" w:w="1440"/>
            <w:shd w:fill="FAFAFA" w:val="clear"/>
          </w:tcPr>
          <w:p>
            <w:r>
              <w:rPr>
                <w:b/>
                <w:color w:val="C00000"/>
                <w:sz w:val="17"/>
              </w:rPr>
              <w:t>-1.7%</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35,942</w:t>
            </w:r>
          </w:p>
        </w:tc>
        <w:tc>
          <w:tcPr>
            <w:tcW w:type="dxa" w:w="1440"/>
            <w:shd w:fill="FAFAFA" w:val="clear"/>
          </w:tcPr>
          <w:p>
            <w:r>
              <w:rPr>
                <w:b/>
                <w:sz w:val="17"/>
              </w:rPr>
              <w:t>38,554</w:t>
            </w:r>
          </w:p>
        </w:tc>
        <w:tc>
          <w:tcPr>
            <w:tcW w:type="dxa" w:w="1440"/>
            <w:shd w:fill="FAFAFA" w:val="clear"/>
          </w:tcPr>
          <w:p>
            <w:r>
              <w:rPr>
                <w:sz w:val="17"/>
              </w:rPr>
              <w:t>41,167</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35,501</w:t>
            </w:r>
          </w:p>
        </w:tc>
        <w:tc>
          <w:tcPr>
            <w:tcW w:type="dxa" w:w="1440"/>
            <w:shd w:fill="FAFAFA" w:val="clear"/>
          </w:tcPr>
          <w:p>
            <w:r>
              <w:rPr>
                <w:b/>
                <w:sz w:val="17"/>
              </w:rPr>
              <w:t>38,514</w:t>
            </w:r>
          </w:p>
        </w:tc>
        <w:tc>
          <w:tcPr>
            <w:tcW w:type="dxa" w:w="1440"/>
            <w:shd w:fill="FAFAFA" w:val="clear"/>
          </w:tcPr>
          <w:p>
            <w:r>
              <w:rPr>
                <w:sz w:val="17"/>
              </w:rPr>
              <w:t>41,528</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35,117</w:t>
            </w:r>
          </w:p>
        </w:tc>
        <w:tc>
          <w:tcPr>
            <w:tcW w:type="dxa" w:w="1440"/>
            <w:shd w:fill="FFDCE0" w:val="clear"/>
          </w:tcPr>
          <w:p>
            <w:r>
              <w:rPr>
                <w:b/>
                <w:sz w:val="17"/>
              </w:rPr>
              <w:t>38,484</w:t>
            </w:r>
          </w:p>
        </w:tc>
        <w:tc>
          <w:tcPr>
            <w:tcW w:type="dxa" w:w="1440"/>
            <w:shd w:fill="FFDCE0" w:val="clear"/>
          </w:tcPr>
          <w:p>
            <w:r>
              <w:rPr>
                <w:sz w:val="17"/>
              </w:rPr>
              <w:t>41,851</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34,774</w:t>
            </w:r>
          </w:p>
        </w:tc>
        <w:tc>
          <w:tcPr>
            <w:tcW w:type="dxa" w:w="1440"/>
            <w:shd w:fill="FFDCE0" w:val="clear"/>
          </w:tcPr>
          <w:p>
            <w:r>
              <w:rPr>
                <w:b/>
                <w:sz w:val="17"/>
              </w:rPr>
              <w:t>38,460</w:t>
            </w:r>
          </w:p>
        </w:tc>
        <w:tc>
          <w:tcPr>
            <w:tcW w:type="dxa" w:w="1440"/>
            <w:shd w:fill="FFDCE0" w:val="clear"/>
          </w:tcPr>
          <w:p>
            <w:r>
              <w:rPr>
                <w:sz w:val="17"/>
              </w:rPr>
              <w:t>42,146</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34,459</w:t>
            </w:r>
          </w:p>
        </w:tc>
        <w:tc>
          <w:tcPr>
            <w:tcW w:type="dxa" w:w="1440"/>
            <w:shd w:fill="FFDCE0" w:val="clear"/>
          </w:tcPr>
          <w:p>
            <w:r>
              <w:rPr>
                <w:b/>
                <w:sz w:val="17"/>
              </w:rPr>
              <w:t>38,438</w:t>
            </w:r>
          </w:p>
        </w:tc>
        <w:tc>
          <w:tcPr>
            <w:tcW w:type="dxa" w:w="1440"/>
            <w:shd w:fill="FFDCE0" w:val="clear"/>
          </w:tcPr>
          <w:p>
            <w:r>
              <w:rPr>
                <w:sz w:val="17"/>
              </w:rPr>
              <w:t>42,417</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34,166</w:t>
            </w:r>
          </w:p>
        </w:tc>
        <w:tc>
          <w:tcPr>
            <w:tcW w:type="dxa" w:w="1440"/>
            <w:shd w:fill="FFDCE0" w:val="clear"/>
          </w:tcPr>
          <w:p>
            <w:r>
              <w:rPr>
                <w:b/>
                <w:sz w:val="17"/>
              </w:rPr>
              <w:t>38,417</w:t>
            </w:r>
          </w:p>
        </w:tc>
        <w:tc>
          <w:tcPr>
            <w:tcW w:type="dxa" w:w="1440"/>
            <w:shd w:fill="FFDCE0" w:val="clear"/>
          </w:tcPr>
          <w:p>
            <w:r>
              <w:rPr>
                <w:sz w:val="17"/>
              </w:rPr>
              <w:t>42,669</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33,891</w:t>
            </w:r>
          </w:p>
        </w:tc>
        <w:tc>
          <w:tcPr>
            <w:tcW w:type="dxa" w:w="1440"/>
            <w:shd w:fill="FFDCE0" w:val="clear"/>
          </w:tcPr>
          <w:p>
            <w:r>
              <w:rPr>
                <w:b/>
                <w:sz w:val="17"/>
              </w:rPr>
              <w:t>38,398</w:t>
            </w:r>
          </w:p>
        </w:tc>
        <w:tc>
          <w:tcPr>
            <w:tcW w:type="dxa" w:w="1440"/>
            <w:shd w:fill="FFDCE0" w:val="clear"/>
          </w:tcPr>
          <w:p>
            <w:r>
              <w:rPr>
                <w:sz w:val="17"/>
              </w:rPr>
              <w:t>42,905</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33,631</w:t>
            </w:r>
          </w:p>
        </w:tc>
        <w:tc>
          <w:tcPr>
            <w:tcW w:type="dxa" w:w="1440"/>
            <w:shd w:fill="FFDCE0" w:val="clear"/>
          </w:tcPr>
          <w:p>
            <w:r>
              <w:rPr>
                <w:b/>
                <w:sz w:val="17"/>
              </w:rPr>
              <w:t>38,379</w:t>
            </w:r>
          </w:p>
        </w:tc>
        <w:tc>
          <w:tcPr>
            <w:tcW w:type="dxa" w:w="1440"/>
            <w:shd w:fill="FFDCE0" w:val="clear"/>
          </w:tcPr>
          <w:p>
            <w:r>
              <w:rPr>
                <w:sz w:val="17"/>
              </w:rPr>
              <w:t>43,127</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SONATEL (SNTS)</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3 927,50 milliards FCFA, Sonatel confirme son statut de valeur phare de la BRVM, pesant à elle seule une part significative de la capitalisation totale du marché régional. Le BPA de 4 136 FCFA par action signifie que chaque titre génère près de 4 136 FCFA de bénéfice net, un niveau remarquable qui traduit la forte rentabilité de l'opérateur télécoms. Le PER de 9,5x, inférieur à la moyenne BRVM (8-12x) tout en se situant dans le bas de cette fourchette, suggère que le marché ne paie pas cher les bénéfices de Sonatel, laissant entrevoir un potentiel de sous-évaluation. Le P/B de 2,81x indique que le marché valorise l'action à près de trois fois sa valeur comptable, une prime de croissance justifiée par la qualité des actifs et la position dominante du groupe. Enfin, l'EV/EBITDA de 4,1x, très en dessous du seuil de 5x, signale que la valeur d'entreprise (incluant la dette) reste modérée au regard de la capacité opérationnelle de génération de cash-flow, renforçant le diagnostic de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+37,83%, avec une dernière séance en hausse de +0,69%, portant le cours actuel à 39 275 FCFA — soit précisément le plus haut de la période, ce qui témoigne d'une dynamique haussière intacte. Le range de trading s'établit entre 27 160 FCFA (plus bas) et 39 275 FCFA (plus haut), soit une amplitude de plus de 12 000 FCFA qui illustre la vigueur du mouvement acheteur. La moyenne du cours sur la période (30 928 FCFA) se situe nettement au-dessus de la médiane (29 498 FCFA), un écart qui confirme une distribution asymétrique avec une majorité de séances sous la moyenne mais des poussées haussières marquées en fin de période. L'écart-type de 3 196 FCFA, associé à un coefficient de variation de 10,3%, indique une dispersion modérée du cours autour de sa moyenne, tandis que le kurtosis de 0,648 (mésokurtique) suggère une distribution proche de la normale, sans risque excessif de pics extrêmes. Le skewness de 1,315, positif, révèle une asymétrie à droite : les journées de hausse sont plus fréquentes et plus amples que les journées de baisse, un signal favorable pour les détenteurs. La volatilité annualisée de 30,0% place le titre dans la catégorie des valeurs à volatilité modérée à élevée, cohérente avec un marché frontière en pleine réévaluation.</w:t>
      </w:r>
    </w:p>
    <w:p>
      <w:pPr>
        <w:spacing w:after="120" w:line="276" w:lineRule="auto"/>
      </w:pPr>
      <w:r>
        <w:t>---</w:t>
      </w:r>
    </w:p>
    <w:p>
      <w:pPr>
        <w:spacing w:after="120" w:line="276" w:lineRule="auto"/>
      </w:pPr>
      <w:r>
        <w:t>## PARTIE 2 : ANALYSE TECHNIQUE DÉTAILLÉE</w:t>
      </w:r>
    </w:p>
    <w:p>
      <w:pPr>
        <w:spacing w:after="120" w:line="276" w:lineRule="auto"/>
      </w:pPr>
      <w:r>
        <w:t>**Moyennes Mobiles :** La MM20 (36 405,5 FCFA) et la MM50 (33 264,3 FCFA) se situent toutes deux sous le cours actuel (39 275 FCFA), avec une MM20 supérieure à la MM50 — configuration haussière classique en « golden cross ». Le cours évolue au-dessus de ses deux moyennes, confirmant la tendance positive, et la décision technique est à l'**Achat**.</w:t>
      </w:r>
    </w:p>
    <w:p>
      <w:pPr>
        <w:spacing w:after="120" w:line="276" w:lineRule="auto"/>
      </w:pPr>
      <w:r>
        <w:t>**Bandes de Bollinger :** Le cours (39 275 FCFA) se situe entre la borne inférieure (31 605,94 FCFA) et la borne supérieure (41 205,06 FCFA), plus proche de cette dernière, ce qui traduit une pression acheteuse sans surachat extrême. La décision est **Neutre**, le titre n'ayant pas encore franchi la borne supérieure qui constituerait un signal de surachat.</w:t>
      </w:r>
    </w:p>
    <w:p>
      <w:pPr>
        <w:spacing w:after="120" w:line="276" w:lineRule="auto"/>
      </w:pPr>
      <w:r>
        <w:t>**MACD :** Le MACD (1 867,595) est supérieur à son signal (1 721,43), avec un histogramme positif qui indique un momentum haussier en cours. La décision est à l'**Achat**, la divergence positive confirmant la dynamique du cours.</w:t>
      </w:r>
    </w:p>
    <w:p>
      <w:pPr>
        <w:spacing w:after="120" w:line="276" w:lineRule="auto"/>
      </w:pPr>
      <w:r>
        <w:t>**RSI :** À 64,246, le RSI se situe dans la zone neutre haute (30-70), sans atteindre le seuil de surachat de 70. La décision est **Neutre**, le titre conservant un potentiel de hausse résiduel avant saturation.</w:t>
      </w:r>
    </w:p>
    <w:p>
      <w:pPr>
        <w:spacing w:after="120" w:line="276" w:lineRule="auto"/>
      </w:pPr>
      <w:r>
        <w:t>**Stochastique :** Le %K (100,0) est au maximum et domine le %D (95,809), signalant une position de surachat technique extrême. La décision est à la **Vente**, ce qui constitue le principal signal baissier à court terme.</w:t>
      </w:r>
    </w:p>
    <w:p>
      <w:pPr>
        <w:spacing w:after="120" w:line="276" w:lineRule="auto"/>
      </w:pPr>
      <w:r>
        <w:t>**Conclusion technique :** Les indicateurs sont majoritairement haussiers (MM, MACD) ou neutres (Bollinger, RSI), mais le stochastique en zone de surachat extrême (%K=100) appelle à la prudence à très court terme. La convergence des signaux positifs sur les moyennes mobiles et le MACD soutient une tendance de fond haussière, mais une consolidation ou un repli technique pourrait survenir avant une nouvelle jambe de hausse.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 réalisé un chiffre d'affaires consolidé de 1 923,122 milliards FCFA, en croissance de +8,26% par rapport à 2024, porté par la Data mobile, le Fixe Broadband et Orange Money. Le résultat net s'établit à 413,588 milliards FCFA, avec une marge nette de 21,51%, une marge opérationnelle de 34,83% et une marge brute de 67,03%. La rentabilité des fonds propres (ROE) atteint 29,56%, un niveau excellent (&gt;15%), tandis que le ROA de 12,65% confirme l'efficacité de l'utilisation des actifs. La structure financière est saine : autonomie financière de 42,79%, ratio d'endettement de 57,21%, capacité de remboursement de 0,64 an et couverture des intérêts de 2 744,7%. Le BFR est négatif (-284,906 milliards FCFA), un signe très favorable pour une entreprise non bancaire, et le délai fournisseurs élevé (201,39 jours) constitue un levier de trésorerie. Le délai clients de 46,16 jours reste maîtrisé, et la rotation des stocks (14,49 jours) est rapide.</w:t>
      </w:r>
    </w:p>
    <w:p>
      <w:pPr>
        <w:spacing w:after="120" w:line="276" w:lineRule="auto"/>
      </w:pPr>
      <w:r>
        <w:t>**Estimations basées sur les rapports trimestriels :** Le rapport du T3 2025 (publié le 30/09/2025) indique un CA de 1 432,5 milliards FCFA sur 9 mois (+8,6% YoY) et un résultat net de 311 milliards FCFA (+8,0%), avec une marge EBITDAaL de 47,9%. Le rapport du S1 2026 (communiqué du 24/07/2026) confirme l'accélération : CA de 1 049,8 milliards FCFA (+9,3%), EBITDAaL de 510,8 milliards FCFA (+11,6%, marge de 48,7%) et résultat net de 230 milliards FCFA (+10,5%). Sur cette base, on estime que l'exercice 2026 devrait afficher une croissance du CA supérieure à 9%, avec un résultat net consolidé potentiellement proche de 450-460 milliards FCFA, soutenu par la fibre (+23% de clients), la 4G (+19,5%) et l'obtention de licences 5G en Guinée-Bissau et Sierra Leone. La notation financière relevée à AAA (wu) par GCR Ratings en 2026 confirme la solidité exceptionnelle du modèle.</w:t>
      </w:r>
    </w:p>
    <w:p>
      <w:pPr>
        <w:spacing w:after="120" w:line="276" w:lineRule="auto"/>
      </w:pPr>
      <w:r>
        <w:t>**Recommandation fondamentale :** Sonatel présente des fondamentaux très solides, une croissance rentable et une structure financière robuste. Les risques identifiés (pression fiscale et réglementaire, concurrence accrue sur le Mobile Money, instabilité géopolitique au Mali) sont réels mais ne remettent pas en cause la trajectoire de long terme. La politique de dividende attractive (1 933 FCFA brut, soit 1 740 FCFA net, payable le 26/05/2026) renforce l'attrait de la valeur.</w:t>
      </w:r>
    </w:p>
    <w:p>
      <w:pPr>
        <w:spacing w:after="120" w:line="276" w:lineRule="auto"/>
      </w:pPr>
      <w:r>
        <w:t>---</w:t>
      </w:r>
    </w:p>
    <w:p>
      <w:pPr>
        <w:spacing w:after="120" w:line="276" w:lineRule="auto"/>
      </w:pPr>
      <w:r>
        <w:t>## PARTIE 4 : CONCLUSION D'INVESTISSEMENT</w:t>
      </w:r>
    </w:p>
    <w:p>
      <w:pPr>
        <w:spacing w:after="120" w:line="276" w:lineRule="auto"/>
      </w:pPr>
      <w:r>
        <w:t>La valorisation de Sonatel apparaît attractive : PER de 9,5x (bas de fourchette BRVM), EV/EBITDA de 4,1x (très bon marché) et P/B de 2,81x (prime justifiée par la qualité des actifs). Le comportement du cours sur 100 jours est nettement haussier (+37,83%), avec une volatilité modérée (30%) et une asymétrie positive (skewness de 1,315) qui favorise les détenteurs, bien que le stochastique en surachat extrême (%K=100) appelle à la prudence à court terme. Les signaux techniques sont majoritairement haussiers (MM20 &gt; MM50, MACD positif), mais le RSI neutre et le stochastique baissier suggèrent une possible consolidation. Les fondamentaux sont excellents : ROE de 29,56%, marge nette de 21,51%, BFR négatif et croissance du CA de +8,26% en 2025, avec des perspectives 2026 estimées à +9% grâce au S1 2026 (+9,3% de CA, +10,5% de résultat net). Les prédictions IA (J+1 à J+10) anticipent une légère correction vers 38 484-38 607 FCFA, ce qui contredit partiellement le momentum haussier mais confirme la probabilité d'une consolidation technique après le rallye. Sur la base de cette synthèse, la recommandation finale est **ACHAT**, avec un niveau de confiance **Élevé** et un risque global **Moyen**. L'horizon d'investissement optimal est le **moyen terme (3-12 mois)**, afin de capturer la croissance fondamentale et le dividende, tout en laissant passer la consolidation technique à court terme.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6,087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+2.92%</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5.05% (Moyenne) — μ=8,025 FCFA, σ=405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β=0.3854 (Défensif) — Cov=0.000013, Var(idx)=0.000034, ρ=0.089,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7,598</w:t>
            </w:r>
          </w:p>
        </w:tc>
        <w:tc>
          <w:tcPr>
            <w:tcW w:type="dxa" w:w="1440"/>
            <w:shd w:fill="FAFAFA" w:val="clear"/>
          </w:tcPr>
          <w:p>
            <w:r>
              <w:rPr>
                <w:b/>
                <w:sz w:val="17"/>
              </w:rPr>
              <w:t>8,027</w:t>
            </w:r>
          </w:p>
        </w:tc>
        <w:tc>
          <w:tcPr>
            <w:tcW w:type="dxa" w:w="1440"/>
            <w:shd w:fill="FAFAFA" w:val="clear"/>
          </w:tcPr>
          <w:p>
            <w:r>
              <w:rPr>
                <w:sz w:val="17"/>
              </w:rPr>
              <w:t>8,457</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7,411</w:t>
            </w:r>
          </w:p>
        </w:tc>
        <w:tc>
          <w:tcPr>
            <w:tcW w:type="dxa" w:w="1440"/>
            <w:shd w:fill="FAFAFA" w:val="clear"/>
          </w:tcPr>
          <w:p>
            <w:r>
              <w:rPr>
                <w:b/>
                <w:sz w:val="17"/>
              </w:rPr>
              <w:t>8,018</w:t>
            </w:r>
          </w:p>
        </w:tc>
        <w:tc>
          <w:tcPr>
            <w:tcW w:type="dxa" w:w="1440"/>
            <w:shd w:fill="FAFAFA" w:val="clear"/>
          </w:tcPr>
          <w:p>
            <w:r>
              <w:rPr>
                <w:sz w:val="17"/>
              </w:rPr>
              <w:t>8,624</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7,263</w:t>
            </w:r>
          </w:p>
        </w:tc>
        <w:tc>
          <w:tcPr>
            <w:tcW w:type="dxa" w:w="1440"/>
            <w:shd w:fill="FAFAFA" w:val="clear"/>
          </w:tcPr>
          <w:p>
            <w:r>
              <w:rPr>
                <w:b/>
                <w:sz w:val="17"/>
              </w:rPr>
              <w:t>8,004</w:t>
            </w:r>
          </w:p>
        </w:tc>
        <w:tc>
          <w:tcPr>
            <w:tcW w:type="dxa" w:w="1440"/>
            <w:shd w:fill="FAFAFA" w:val="clear"/>
          </w:tcPr>
          <w:p>
            <w:r>
              <w:rPr>
                <w:sz w:val="17"/>
              </w:rPr>
              <w:t>8,746</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7,138</w:t>
            </w:r>
          </w:p>
        </w:tc>
        <w:tc>
          <w:tcPr>
            <w:tcW w:type="dxa" w:w="1440"/>
            <w:shd w:fill="FAFAFA" w:val="clear"/>
          </w:tcPr>
          <w:p>
            <w:r>
              <w:rPr>
                <w:b/>
                <w:sz w:val="17"/>
              </w:rPr>
              <w:t>7,993</w:t>
            </w:r>
          </w:p>
        </w:tc>
        <w:tc>
          <w:tcPr>
            <w:tcW w:type="dxa" w:w="1440"/>
            <w:shd w:fill="FAFAFA" w:val="clear"/>
          </w:tcPr>
          <w:p>
            <w:r>
              <w:rPr>
                <w:sz w:val="17"/>
              </w:rPr>
              <w:t>8,849</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7,029</w:t>
            </w:r>
          </w:p>
        </w:tc>
        <w:tc>
          <w:tcPr>
            <w:tcW w:type="dxa" w:w="1440"/>
            <w:shd w:fill="FAFAFA" w:val="clear"/>
          </w:tcPr>
          <w:p>
            <w:r>
              <w:rPr>
                <w:b/>
                <w:sz w:val="17"/>
              </w:rPr>
              <w:t>7,984</w:t>
            </w:r>
          </w:p>
        </w:tc>
        <w:tc>
          <w:tcPr>
            <w:tcW w:type="dxa" w:w="1440"/>
            <w:shd w:fill="FAFAFA" w:val="clear"/>
          </w:tcPr>
          <w:p>
            <w:r>
              <w:rPr>
                <w:sz w:val="17"/>
              </w:rPr>
              <w:t>8,939</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6,929</w:t>
            </w:r>
          </w:p>
        </w:tc>
        <w:tc>
          <w:tcPr>
            <w:tcW w:type="dxa" w:w="1440"/>
            <w:shd w:fill="FAFAFA" w:val="clear"/>
          </w:tcPr>
          <w:p>
            <w:r>
              <w:rPr>
                <w:b/>
                <w:sz w:val="17"/>
              </w:rPr>
              <w:t>7,974</w:t>
            </w:r>
          </w:p>
        </w:tc>
        <w:tc>
          <w:tcPr>
            <w:tcW w:type="dxa" w:w="1440"/>
            <w:shd w:fill="FAFAFA" w:val="clear"/>
          </w:tcPr>
          <w:p>
            <w:r>
              <w:rPr>
                <w:sz w:val="17"/>
              </w:rPr>
              <w:t>9,019</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6,838</w:t>
            </w:r>
          </w:p>
        </w:tc>
        <w:tc>
          <w:tcPr>
            <w:tcW w:type="dxa" w:w="1440"/>
            <w:shd w:fill="FAFAFA" w:val="clear"/>
          </w:tcPr>
          <w:p>
            <w:r>
              <w:rPr>
                <w:b/>
                <w:sz w:val="17"/>
              </w:rPr>
              <w:t>7,965</w:t>
            </w:r>
          </w:p>
        </w:tc>
        <w:tc>
          <w:tcPr>
            <w:tcW w:type="dxa" w:w="1440"/>
            <w:shd w:fill="FAFAFA" w:val="clear"/>
          </w:tcPr>
          <w:p>
            <w:r>
              <w:rPr>
                <w:sz w:val="17"/>
              </w:rPr>
              <w:t>9,093</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6,752</w:t>
            </w:r>
          </w:p>
        </w:tc>
        <w:tc>
          <w:tcPr>
            <w:tcW w:type="dxa" w:w="1440"/>
            <w:shd w:fill="FAFAFA" w:val="clear"/>
          </w:tcPr>
          <w:p>
            <w:r>
              <w:rPr>
                <w:b/>
                <w:sz w:val="17"/>
              </w:rPr>
              <w:t>7,956</w:t>
            </w:r>
          </w:p>
        </w:tc>
        <w:tc>
          <w:tcPr>
            <w:tcW w:type="dxa" w:w="1440"/>
            <w:shd w:fill="FAFAFA" w:val="clear"/>
          </w:tcPr>
          <w:p>
            <w:r>
              <w:rPr>
                <w:sz w:val="17"/>
              </w:rPr>
              <w:t>9,160</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6,672</w:t>
            </w:r>
          </w:p>
        </w:tc>
        <w:tc>
          <w:tcPr>
            <w:tcW w:type="dxa" w:w="1440"/>
            <w:shd w:fill="FAFAFA" w:val="clear"/>
          </w:tcPr>
          <w:p>
            <w:r>
              <w:rPr>
                <w:b/>
                <w:sz w:val="17"/>
              </w:rPr>
              <w:t>7,948</w:t>
            </w:r>
          </w:p>
        </w:tc>
        <w:tc>
          <w:tcPr>
            <w:tcW w:type="dxa" w:w="1440"/>
            <w:shd w:fill="FAFAFA" w:val="clear"/>
          </w:tcPr>
          <w:p>
            <w:r>
              <w:rPr>
                <w:sz w:val="17"/>
              </w:rPr>
              <w:t>9,223</w:t>
            </w:r>
          </w:p>
        </w:tc>
        <w:tc>
          <w:tcPr>
            <w:tcW w:type="dxa" w:w="1440"/>
            <w:shd w:fill="FAFAFA" w:val="clear"/>
          </w:tcPr>
          <w:p>
            <w:r>
              <w:rPr>
                <w:b/>
                <w:color w:val="C00000"/>
                <w:sz w:val="17"/>
              </w:rPr>
              <w:t>-1.9%</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6,596</w:t>
            </w:r>
          </w:p>
        </w:tc>
        <w:tc>
          <w:tcPr>
            <w:tcW w:type="dxa" w:w="1440"/>
            <w:shd w:fill="FAFAFA" w:val="clear"/>
          </w:tcPr>
          <w:p>
            <w:r>
              <w:rPr>
                <w:b/>
                <w:sz w:val="17"/>
              </w:rPr>
              <w:t>7,939</w:t>
            </w:r>
          </w:p>
        </w:tc>
        <w:tc>
          <w:tcPr>
            <w:tcW w:type="dxa" w:w="1440"/>
            <w:shd w:fill="FAFAFA" w:val="clear"/>
          </w:tcPr>
          <w:p>
            <w:r>
              <w:rPr>
                <w:sz w:val="17"/>
              </w:rPr>
              <w:t>9,282</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(SOGB CI)</w:t>
        <w:br/>
        <w:t>**Bourse Régionale des Valeurs Mobilières (BRVM) — Secteur : Agro-industrie / Hévéa &amp; Palmier à huile**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**174,97 milliards FCFA**, la SOGC s'impose comme une valeur de premier plan du compartiment agro-industriel de la BRVM, ce qui la place parmi les titres les plus liquides et les plus suivis de la cote. Le **BPA de 578 FCFA/action** traduit une rentabilité unitaire solide, chaque titre générant près de 578 FCFA de bénéfice net. Le **PER de 14,0x** situe le titre légèrement au-dessus de la moyenne du marché BRVM (8-12x), ce qui indique que les investisseurs acceptent de payer une prime modérée pour la qualité des bénéfices, sans que cela constitue une surévaluation excessive. Le **P/B de 2,56x** montre que le marché valorise l'entreprise à environ 2,5 fois sa valeur comptable, une prime de croissance justifiée par la solidité du ROE (18,26%) et la générosité du dividende. Enfin, l'**EV/EBITDA de 7,3x**, dans la fourchette raisonnable de 5-10x, confirme que la valeur totale de l'entreprise reste cohérente avec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**variation totale de +2,92%**, avec une dernière séance en hausse de **+1,19%**, portant le cours actuel à **8 100 FCFA**. Le range de trading s'étend de **7 100 FCFA** (plus bas) à **8 875 FCFA** (plus haut), soit une amplitude d'environ 25%, reflétant une tendance générale haussière mais ponctuée de corrections notables. La **moyenne (8 025 FCFA)** est légèrement inférieure à la **médiane (8 145 FCFA)**, ce qui suggère une asymétrie légèrement négative confirmée par le **skewness de -0,421** (distribution symétrique avec une queue gauche plus marquée, c'est-à-dire quelques séances de baisse plus prononcées). L'**écart-type de 408 FCFA** avec un **CV de 5,1%** indique une dispersion modérée du cours autour de sa moyenne, tandis que le **kurtosis de -0,796** (mésokurtique) signale une distribution proche de la normale, sans risque majeur de pics extrêmes. La **volatilité annualisée de 40,5%** classe le titre dans la catégorie des valeurs à volatilité élevée (&gt;30%), ce qui est cohérent avec son exposition aux prix des matières premières agricoles.</w:t>
      </w:r>
    </w:p>
    <w:p>
      <w:pPr>
        <w:spacing w:after="120" w:line="276" w:lineRule="auto"/>
      </w:pPr>
      <w:r>
        <w:t>---</w:t>
      </w:r>
    </w:p>
    <w:p>
      <w:pPr>
        <w:spacing w:after="120" w:line="276" w:lineRule="auto"/>
      </w:pPr>
      <w:r>
        <w:t>## PARTIE 2 : ANALYSE TECHNIQUE DÉTAILLÉE</w:t>
      </w:r>
    </w:p>
    <w:p>
      <w:pPr>
        <w:spacing w:after="120" w:line="276" w:lineRule="auto"/>
      </w:pPr>
      <w:r>
        <w:t>**Moyennes Mobiles :** La MM20 (8 178,5 FCFA) et la MM50 (8 180,8 FCFA) sont quasiment confondues et légèrement supérieures au cours actuel (8 100 FCFA), ce qui place le titre sous ses deux moyennes mobiles. Cette configuration traduit une pression baissière de court terme et justifie la décision technique de **Vente** : le cours évolue sous ses références moyennes, signalant une faiblesse relative.</w:t>
      </w:r>
    </w:p>
    <w:p>
      <w:pPr>
        <w:spacing w:after="120" w:line="276" w:lineRule="auto"/>
      </w:pPr>
      <w:r>
        <w:t>**Bandes de Bollinger :** Le cours (8 100 FCFA) se situe dans la partie médiane de la bande, entre la borne inférieure (7 578,35 FCFA) et la borne supérieure (8 778,65 FCFA). L'absence de contact avec les bornes et la largeur modérée des bandes indiquent une volatilité contenue et une absence de signal directionnel fort, d'où la décision **Neutre**. Le titre n'est ni en situation de survente ni de surachat selon ce critère.</w:t>
      </w:r>
    </w:p>
    <w:p>
      <w:pPr>
        <w:spacing w:after="120" w:line="276" w:lineRule="auto"/>
      </w:pPr>
      <w:r>
        <w:t>**MACD :** La valeur du MACD (-15,262) est nettement inférieure à son signal (20,931), générant un croisement baissier caractéristique. Cet écart négatif important traduit un momentum négatif persistant et justifie la décision de **Vente** : la dynamique de court terme reste défavorable malgré la légère reprise de la dernière séance.</w:t>
      </w:r>
    </w:p>
    <w:p>
      <w:pPr>
        <w:spacing w:after="120" w:line="276" w:lineRule="auto"/>
      </w:pPr>
      <w:r>
        <w:t>**RSI :** À **48,421**, le RSI se situe parfaitement dans la zone neutre (30-70), sans signal de surachat ni de survente. Cette position médiane confirme la décision **Neutre** et suggère que le titre dispose d'une marge de manœuvre dans les deux directions, sans pression acheteuse ou vendeuse dominante.</w:t>
      </w:r>
    </w:p>
    <w:p>
      <w:pPr>
        <w:spacing w:after="120" w:line="276" w:lineRule="auto"/>
      </w:pPr>
      <w:r>
        <w:t>**Stochastique :** Le %K (34,043) est supérieur au %D (22,837), ce qui constitue un croisement haussier naissant en zone basse. Toutefois, les deux courbes restent sous le seuil de 50, indiquant que le titre évolue encore en territoire faible. La décision reste **Neutre**, le signal haussier étant trop précoce pour être validé.</w:t>
      </w:r>
    </w:p>
    <w:p>
      <w:pPr>
        <w:spacing w:after="120" w:line="276" w:lineRule="auto"/>
      </w:pPr>
      <w:r>
        <w:t>**Conclusion technique :** Les indicateurs techniques présentent un tableau mitigé à légèrement baissier. Les moyennes mobiles et le MACD plaident pour la prudence (décision Vente), tandis que le RSI, les Bandes de Bollinger et le Stochastique restent neutres. Le titre évolue dans une zone de consolidation sans direction claire, avec un momentum négatif mais un potentiel de rebond technique naissant (croisement stochastique). La prudence est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SOGC affiche un **chiffre d'affaires de 98,979 milliards FCFA**, en croissance de **+10,70%** par rapport à 2024, portée par la hausse des prix de l'huile de palme (+20%) et de palmiste (+47%) ainsi que par la progression des volumes de caoutchouc (+9%). Le **résultat net s'établit à 12,493 milliards FCFA**, en léger recul de 5% par rapport aux 13,11 milliards de 2024, sous l'effet d'une hausse de 15% des coûts de matières premières (prix du coagulum). La rentabilité reste néanmoins excellente avec un **ROE de 18,26%** (&gt;15%, seuil d'excellence) et un **ROA de 13,84%**, témoignant d'une utilisation efficace des capitaux propres et des actifs. La **marge nette de 12,62%** et la **marge opérationnelle de 17,24%** confirment la solidité opérationnelle, tandis que la **marge brute de 67,93%** illustre la forte valeur ajoutée du modèle agro-industriel.</w:t>
      </w:r>
    </w:p>
    <w:p>
      <w:pPr>
        <w:spacing w:after="120" w:line="276" w:lineRule="auto"/>
      </w:pPr>
      <w:r>
        <w:t>**Analyse sectorielle (entreprise non bancaire) :** La structure financière est remarquablement saine avec une **autonomie financière de 75,79%** (capitaux propres/total bilan), un **ratio d'endettement de 24,21%** et une **solvabilité générale de 413%**. Le **BFR de 7,124 milliards FCFA** est positif mais maîtrisé, et les délais d'exploitation sont équilibrés : **29,60 jours** pour les clients (risque de trésorerie limité), **31,72 jours** pour les fournisseurs (bon pour la trésorerie) et **97,67 jours** de stockage (immobilisation de capital modérée). La **trésorerie nette de 4,575 milliards FCFA** et le **free cash-flow de 16,031 milliards FCFA** confirment une génération de cash robuste.</w:t>
      </w:r>
    </w:p>
    <w:p>
      <w:pPr>
        <w:spacing w:after="120" w:line="276" w:lineRule="auto"/>
      </w:pPr>
      <w:r>
        <w:t>**Estimations basées sur les rapports trimestriels :** Le rapport du **T1 2025 (31/03/2025)** faisait état d'un CA de 31,2 milliards FCFA (+63,1%) et d'un résultat net de 6,0 milliards (+262,9%), tandis que le **S1 2025 (30/06/2025)** affichait un CA de 55,4 milliards (+51,9%) et un résultat net de 10,2 milliards (+151,6%). Le **T3 2025 (30/09/2025)** montrait un ralentissement avec un CA de 75,6 milliards (+21,3%) et un résultat net de 11,5 milliards (+39,5%), confirmant l'alerte de la direction sur un S2 plus difficile (concurrence accrue sur le coagulum, baisse des cours SICOM). Sur cette base, on estime que l'exercice 2025 devait clôturer avec un résultat net autour de 12,5 milliards FCFA, ce qui s'est confirmé avec les **12,493 milliards publiés**. Pour 2026, la dynamique devrait rester positive mais modérée, la société tablant sur des « performances raisonnablement bonnes ».</w:t>
      </w:r>
    </w:p>
    <w:p>
      <w:pPr>
        <w:spacing w:after="120" w:line="276" w:lineRule="auto"/>
      </w:pPr>
      <w:r>
        <w:t>**Évolution pluriannuelle :** Les rapports antérieurs (S1 2021, 9M 2021, exercice 2021) montrent une trajectoire historique de forte croissance (résultat net 2021 : 14,73 milliards, +92,5%), suivie d'une correction en 2023 (5,27 milliards) puis d'un rebond spectaculaire en 2024 (13,11 milliards, +149%). L'exercice 2025 marque une stabilisation à un niveau élevé (12,49 milliards), avec un dividende proposé de **570 FCFA/action** (contre 60 FCFA en 2024), soit un rendement attractif d'environ 7% au cours actuel.</w:t>
      </w:r>
    </w:p>
    <w:p>
      <w:pPr>
        <w:spacing w:after="120" w:line="276" w:lineRule="auto"/>
      </w:pPr>
      <w:r>
        <w:t>**Recommandation fondamentale :** La SOGC présente des fondamentaux solides (ROE &gt;18%, autonomie financière &gt;75%, cash-flow robuste) mais fait face à des vents contraires (hausse des coûts d'achat, volatilité des prix des matières premières, concurrence accrue). Le titre reste un placement de qualité pour un investisseur de long terme recherchant un dividende généreux, avec une recommandation de **Conserver** dans l'attente d'une clarification sur les marges 2026.</w:t>
      </w:r>
    </w:p>
    <w:p>
      <w:pPr>
        <w:spacing w:after="120" w:line="276" w:lineRule="auto"/>
      </w:pPr>
      <w:r>
        <w:t>---</w:t>
      </w:r>
    </w:p>
    <w:p>
      <w:pPr>
        <w:spacing w:after="120" w:line="276" w:lineRule="auto"/>
      </w:pPr>
      <w:r>
        <w:t>## PARTIE 4 : CONCLUSION D'INVESTISSEMENT</w:t>
      </w:r>
    </w:p>
    <w:p>
      <w:pPr>
        <w:spacing w:after="120" w:line="276" w:lineRule="auto"/>
      </w:pPr>
      <w:r>
        <w:t>La valorisation de la SOGC apparaît **raisonnable** : le PER de 14,0x se situe légèrement au-dessus de la moyenne BRVM mais reste justifié par un ROE de 18,26% et un dividende attractif ; le P/B de 2,56x traduit une prime de croissance acceptable, et l'EV/EBITDA de 7,3x confirme l'absence de surévaluation manifeste. Le comportement du cours sur 100 jours est **mitigé** : tendance haussière de +2,92% mais cours sous ses moyennes mobiles, volatilité élevée (40,5%) et distribution proche de la normale (kurtosis -0,796, skewness -0,421) sans risque extrême. Les signaux techniques sont **divergents** : le MACD et les moyennes mobiles plaident pour la vente, tandis que le RSI, les Bandes de Bollinger et le Stochastique restent neutres, avec un croisement stochastique haussier naissant qui pourrait annoncer un rebond. Les fondamentaux sont **solides mais sous pression** : résultat net en léger recul (-5%) en 2025, mais structure financière excellente (autonomie 75,79%, trésorerie nette 4,575 Mds FCFA) et dividende exceptionnel de 570 FCFA/action. Les **prédictions IA** anticipent une légère dérive baissière (8 027 → 7 984 FCFA sur 10 jours), ce qui **contredit** le potentiel de rebond technique mais **confirme** la prudence fondamentale à court terme.</w:t>
      </w:r>
    </w:p>
    <w:p>
      <w:pPr>
        <w:spacing w:after="120" w:line="276" w:lineRule="auto"/>
      </w:pPr>
      <w:r>
        <w:t>**Recommandation finale : CONSERVER**</w:t>
        <w:br/>
        <w:t>**Justification :** La convergence entre une valorisation raisonnable, des fondamentaux solides et un dividende attractif soutient la thèse d'un placement de qualité. Toutefois, la divergence des signaux techniques (MACD baissier vs Stochastique haussier), la pression sur les marges et les prédictions IA baissières à court terme incitent à la prudence. Le titre n'offre pas de signal d'achat fort à court terme, mais ne présente pas non plus de risque de vente précipitée.</w:t>
        <w:br/>
        <w:t>**Niveau de confiance : Moyen** (les signaux sont contradictoires, ce qui limite la visibilité).</w:t>
        <w:br/>
        <w:t>**Niveau de risque global : Moyen** (volatilité élevée de 40,5%, dépendance aux prix des matières premières, mais structure financière très saine).</w:t>
        <w:br/>
        <w:t>**Horizon d'investissement optimal : Moyen à long terme (6 à 18 mois)** — pour capter le dividende de 570 FCFA/action et laisser le temps aux marges de se stabiliser, tout en surveillant l'évolution des cours du caoutchouc (SICOM) et du coagulum.</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212.13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4,436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+13.70%</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10.33% (Moyenne) — μ=7,762 FCFA, σ=802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β=0.9921 (Neutre (suit le marché)) — Cov=0.000034, Var(idx)=0.000034, ρ=0.207,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σ_j=2.81%/j (Stable) — Vol. annualisée≈44.6%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7,700</w:t>
            </w:r>
          </w:p>
        </w:tc>
        <w:tc>
          <w:tcPr>
            <w:tcW w:type="dxa" w:w="1440"/>
            <w:shd w:fill="FAFAFA" w:val="clear"/>
          </w:tcPr>
          <w:p>
            <w:r>
              <w:rPr>
                <w:b/>
                <w:sz w:val="17"/>
              </w:rPr>
              <w:t>8,237</w:t>
            </w:r>
          </w:p>
        </w:tc>
        <w:tc>
          <w:tcPr>
            <w:tcW w:type="dxa" w:w="1440"/>
            <w:shd w:fill="FAFAFA" w:val="clear"/>
          </w:tcPr>
          <w:p>
            <w:r>
              <w:rPr>
                <w:sz w:val="17"/>
              </w:rPr>
              <w:t>8,775</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7,460</w:t>
            </w:r>
          </w:p>
        </w:tc>
        <w:tc>
          <w:tcPr>
            <w:tcW w:type="dxa" w:w="1440"/>
            <w:shd w:fill="FAFAFA" w:val="clear"/>
          </w:tcPr>
          <w:p>
            <w:r>
              <w:rPr>
                <w:b/>
                <w:sz w:val="17"/>
              </w:rPr>
              <w:t>8,219</w:t>
            </w:r>
          </w:p>
        </w:tc>
        <w:tc>
          <w:tcPr>
            <w:tcW w:type="dxa" w:w="1440"/>
            <w:shd w:fill="FAFAFA" w:val="clear"/>
          </w:tcPr>
          <w:p>
            <w:r>
              <w:rPr>
                <w:sz w:val="17"/>
              </w:rPr>
              <w:t>8,977</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7,265</w:t>
            </w:r>
          </w:p>
        </w:tc>
        <w:tc>
          <w:tcPr>
            <w:tcW w:type="dxa" w:w="1440"/>
            <w:shd w:fill="FAFAFA" w:val="clear"/>
          </w:tcPr>
          <w:p>
            <w:r>
              <w:rPr>
                <w:b/>
                <w:sz w:val="17"/>
              </w:rPr>
              <w:t>8,190</w:t>
            </w:r>
          </w:p>
        </w:tc>
        <w:tc>
          <w:tcPr>
            <w:tcW w:type="dxa" w:w="1440"/>
            <w:shd w:fill="FAFAFA" w:val="clear"/>
          </w:tcPr>
          <w:p>
            <w:r>
              <w:rPr>
                <w:sz w:val="17"/>
              </w:rPr>
              <w:t>9,115</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7,096</w:t>
            </w:r>
          </w:p>
        </w:tc>
        <w:tc>
          <w:tcPr>
            <w:tcW w:type="dxa" w:w="1440"/>
            <w:shd w:fill="FAFAFA" w:val="clear"/>
          </w:tcPr>
          <w:p>
            <w:r>
              <w:rPr>
                <w:b/>
                <w:sz w:val="17"/>
              </w:rPr>
              <w:t>8,161</w:t>
            </w:r>
          </w:p>
        </w:tc>
        <w:tc>
          <w:tcPr>
            <w:tcW w:type="dxa" w:w="1440"/>
            <w:shd w:fill="FAFAFA" w:val="clear"/>
          </w:tcPr>
          <w:p>
            <w:r>
              <w:rPr>
                <w:sz w:val="17"/>
              </w:rPr>
              <w:t>9,225</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6,946</w:t>
            </w:r>
          </w:p>
        </w:tc>
        <w:tc>
          <w:tcPr>
            <w:tcW w:type="dxa" w:w="1440"/>
            <w:shd w:fill="FFDCE0" w:val="clear"/>
          </w:tcPr>
          <w:p>
            <w:r>
              <w:rPr>
                <w:b/>
                <w:sz w:val="17"/>
              </w:rPr>
              <w:t>8,133</w:t>
            </w:r>
          </w:p>
        </w:tc>
        <w:tc>
          <w:tcPr>
            <w:tcW w:type="dxa" w:w="1440"/>
            <w:shd w:fill="FFDCE0" w:val="clear"/>
          </w:tcPr>
          <w:p>
            <w:r>
              <w:rPr>
                <w:sz w:val="17"/>
              </w:rPr>
              <w:t>9,319</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6,811</w:t>
            </w:r>
          </w:p>
        </w:tc>
        <w:tc>
          <w:tcPr>
            <w:tcW w:type="dxa" w:w="1440"/>
            <w:shd w:fill="FFDCE0" w:val="clear"/>
          </w:tcPr>
          <w:p>
            <w:r>
              <w:rPr>
                <w:b/>
                <w:sz w:val="17"/>
              </w:rPr>
              <w:t>8,106</w:t>
            </w:r>
          </w:p>
        </w:tc>
        <w:tc>
          <w:tcPr>
            <w:tcW w:type="dxa" w:w="1440"/>
            <w:shd w:fill="FFDCE0" w:val="clear"/>
          </w:tcPr>
          <w:p>
            <w:r>
              <w:rPr>
                <w:sz w:val="17"/>
              </w:rPr>
              <w:t>9,402</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6,686</w:t>
            </w:r>
          </w:p>
        </w:tc>
        <w:tc>
          <w:tcPr>
            <w:tcW w:type="dxa" w:w="1440"/>
            <w:shd w:fill="FFDCE0" w:val="clear"/>
          </w:tcPr>
          <w:p>
            <w:r>
              <w:rPr>
                <w:b/>
                <w:sz w:val="17"/>
              </w:rPr>
              <w:t>8,081</w:t>
            </w:r>
          </w:p>
        </w:tc>
        <w:tc>
          <w:tcPr>
            <w:tcW w:type="dxa" w:w="1440"/>
            <w:shd w:fill="FFDCE0" w:val="clear"/>
          </w:tcPr>
          <w:p>
            <w:r>
              <w:rPr>
                <w:sz w:val="17"/>
              </w:rPr>
              <w:t>9,476</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6,570</w:t>
            </w:r>
          </w:p>
        </w:tc>
        <w:tc>
          <w:tcPr>
            <w:tcW w:type="dxa" w:w="1440"/>
            <w:shd w:fill="FFDCE0" w:val="clear"/>
          </w:tcPr>
          <w:p>
            <w:r>
              <w:rPr>
                <w:b/>
                <w:sz w:val="17"/>
              </w:rPr>
              <w:t>8,056</w:t>
            </w:r>
          </w:p>
        </w:tc>
        <w:tc>
          <w:tcPr>
            <w:tcW w:type="dxa" w:w="1440"/>
            <w:shd w:fill="FFDCE0" w:val="clear"/>
          </w:tcPr>
          <w:p>
            <w:r>
              <w:rPr>
                <w:sz w:val="17"/>
              </w:rPr>
              <w:t>9,543</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6,461</w:t>
            </w:r>
          </w:p>
        </w:tc>
        <w:tc>
          <w:tcPr>
            <w:tcW w:type="dxa" w:w="1440"/>
            <w:shd w:fill="FFDCE0" w:val="clear"/>
          </w:tcPr>
          <w:p>
            <w:r>
              <w:rPr>
                <w:b/>
                <w:sz w:val="17"/>
              </w:rPr>
              <w:t>8,033</w:t>
            </w:r>
          </w:p>
        </w:tc>
        <w:tc>
          <w:tcPr>
            <w:tcW w:type="dxa" w:w="1440"/>
            <w:shd w:fill="FFDCE0" w:val="clear"/>
          </w:tcPr>
          <w:p>
            <w:r>
              <w:rPr>
                <w:sz w:val="17"/>
              </w:rPr>
              <w:t>9,605</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6,358</w:t>
            </w:r>
          </w:p>
        </w:tc>
        <w:tc>
          <w:tcPr>
            <w:tcW w:type="dxa" w:w="1440"/>
            <w:shd w:fill="FFDCE0" w:val="clear"/>
          </w:tcPr>
          <w:p>
            <w:r>
              <w:rPr>
                <w:b/>
                <w:sz w:val="17"/>
              </w:rPr>
              <w:t>8,010</w:t>
            </w:r>
          </w:p>
        </w:tc>
        <w:tc>
          <w:tcPr>
            <w:tcW w:type="dxa" w:w="1440"/>
            <w:shd w:fill="FFDCE0" w:val="clear"/>
          </w:tcPr>
          <w:p>
            <w:r>
              <w:rPr>
                <w:sz w:val="17"/>
              </w:rPr>
              <w:t>9,662</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Secteur : Agro-industrie / Hévéa**</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212,13 milliards FCFA, SPHC s'impose comme l'une des valeurs industrielles de référence de la cote BRVM, ce qui traduit une liquidité et une visibilité institutionnelle certaines. Le BPA de 977 FCFA/action signifie que chaque titre génère près d'un millier de francs de bénéfice net, un niveau de rentabilité par action robuste pour le secteur. Le PER de 8,5x situe le titre nettement sous la moyenne du marché BRVM (8-12x), suggérant une sous-évaluation relative tant que la qualité bénéficiaire se maintient. Le P/B de 1,54x indique que le marché valorise SPHC à une prime modérée de 54% sur sa valeur comptable, ce qui reste raisonnable au regard d'un ROE de 18,1%. Enfin, l'EV/EBITDA de 5,3x (fourchette raisonnable 5-10x) montre que la valeur d'entreprise reste contenue par rapport à la capacité opérationnelle de génération de cash, renforçant le diagnostic de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progression totale de +13,70%, avec une dernière séance particulièrement dynamique (+3,04%), portant le cours à 8 300 FCFA. Le range de trading s'établit entre un plus bas de 6 720 FCFA et un plus haut de 10 300 FCFA, soit une amplitude de 53%, révélant un titre à forte amplitude directionnelle. La tendance générale est haussière mais heurtée, le cours actuel (8 300 FCFA) se situant au-dessus de la moyenne (7 762 FCFA) sans toutefois retrouver ses sommets. Les statistiques descriptives confirment cette asymétrie : la moyenne (7 762 FCFA) dépasse la médiane (7 565 FCFA) et le mode (7 600 FCFA), signe d'une distribution tirée vers le haut par des pics ponctuels. L'écart-type de 806 FCFA (CV = 10,4%) traduit une dispersion modérée du cours autour de sa moyenne, mais le kurtosis de 1,628 (leptokurtique) signale des queues épaisses, donc un risque de mouvements extrêmes plus fréquent qu'une loi normale ne le prédirait. Le skewness positif de 1,496 indique davantage de journées sous la moyenne que de journées exceptionnellement haussières, ce qui nuance l'optimisme de la tendance. Enfin, la volatilité annualisée de 44,6% classe SPHC dans la catégorie des titres à volatilité élevée (&gt;30%), exigeant une tolérance au risque importante.</w:t>
      </w:r>
    </w:p>
    <w:p>
      <w:pPr>
        <w:spacing w:after="120" w:line="276" w:lineRule="auto"/>
      </w:pPr>
      <w:r>
        <w:t>---</w:t>
      </w:r>
    </w:p>
    <w:p>
      <w:pPr>
        <w:spacing w:after="120" w:line="276" w:lineRule="auto"/>
      </w:pPr>
      <w:r>
        <w:t>## PARTIE 2 : ANALYSE TECHNIQUE DÉTAILLÉE</w:t>
      </w:r>
    </w:p>
    <w:p>
      <w:pPr>
        <w:spacing w:after="120" w:line="276" w:lineRule="auto"/>
      </w:pPr>
      <w:r>
        <w:t>**Moyennes Mobiles** — La MM20 (9 125 FCFA) et la MM50 (8 215 FCFA) encadrent le cours actuel (8 300 FCFA) : le titre évolue sous sa moyenne court terme mais au-dessus de sa moyenne moyen terme. La MM20 &gt; MM50 confirme une configuration haussière de fond, mais le repli sous la MM20 traduit une consolidation récente. La décision « Achat » se justifie par le maintien du cours au-dessus de la MM50, support dynamique clé.</w:t>
      </w:r>
    </w:p>
    <w:p>
      <w:pPr>
        <w:spacing w:after="120" w:line="276" w:lineRule="auto"/>
      </w:pPr>
      <w:r>
        <w:t>**Bandes de Bollinger** — Le cours (8 300 FCFA) se situe dans la partie basse du canal, entre la borne inférieure (7 687,74 FCFA) et la borne supérieure (10 562,26 FCFA), sans contact avec les extrêmes. Cette position médiane-basse, combinée à un rétrécissement probable de l'amplitude, suggère une volatilité en compression. La décision « Neutre » reflète l'absence de signal directionnel fort tant que le cours ne teste pas une borne.</w:t>
      </w:r>
    </w:p>
    <w:p>
      <w:pPr>
        <w:spacing w:after="120" w:line="276" w:lineRule="auto"/>
      </w:pPr>
      <w:r>
        <w:t>**MACD** — La valeur du MACD (104,742) est nettement inférieure à son signal (334,299), configuration baissière classique indiquant un momentum négatif persistant. L'écart important entre les deux lignes traduit une perte de vitesse de la tendance haussière antérieure. La décision « Vente » est cohérente avec cette divergence défavorable, bien que le MACD reste en territoire positif.</w:t>
      </w:r>
    </w:p>
    <w:p>
      <w:pPr>
        <w:spacing w:after="120" w:line="276" w:lineRule="auto"/>
      </w:pPr>
      <w:r>
        <w:t>**RSI** — À 35,995, le RSI se situe dans la zone neutre basse (30-70), proche du seuil de survente (30) sans l'atteindre. Cette position indique un essoufflement de la pression vendeuse et un potentiel de rebond technique. La décision « Neutre » est appropriée, le titre n'étant ni survendu ni suracheté.</w:t>
      </w:r>
    </w:p>
    <w:p>
      <w:pPr>
        <w:spacing w:after="120" w:line="276" w:lineRule="auto"/>
      </w:pPr>
      <w:r>
        <w:t>**Stochastique** — Avec %K à 15,433 et %D à 6,836, les deux lignes évoluent en zone de survente profonde (&lt;20), et %K &gt; %D suggère un début de croisement haussier. Cette configuration est typiquement annonciatrice d'un rebond à court terme. La décision « Achat » se justifie par ce signal de retournement précoce.</w:t>
      </w:r>
    </w:p>
    <w:p>
      <w:pPr>
        <w:spacing w:after="120" w:line="276" w:lineRule="auto"/>
      </w:pPr>
      <w:r>
        <w:t>**Conclusion technique** — Les indicateurs sont divergents : les moyennes mobiles et le stochastique plaident pour un achat (support MM50 tenu, survente stochastique), tandis que le MACD et la position basse dans les Bollinger recommandent la prudence. Le RSI neutre-bas confirme un potentiel de rebond mais sans conviction forte. La configuration globale suggère un **rebond technique possible à court terme, mais une tendance de fond fragilisée** nécessitant confirmation par les volumes.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340,831 milliards FCFA, en croissance de 21,97% sur un an, porté par les ventes de produits fabriqués (98,6% du CA). Le résultat net s'établit à 24,972 milliards FCFA, soit une marge nette de 7,33%, en amélioration par rapport aux 6,7% de 2024. Le ROE atteint 18,10% (&gt;15% = excellent) et le ROA 11,06%, confirmant une rentabilité des fonds propres et des actifs solide. La structure financière est saine : autonomie financière de 61,08%, ratio d'endettement maîtrisé à 25,81%, et couverture des intérêts de 1 094,57%. En tant qu'entreprise industrielle, les délais d'exploitation méritent attention : délai clients de 35 jours (modéré) et durée de stockage de 72,33 jours (élevée, immobilisant du capital). Le BFR de 65,389 milliards FCFA et la trésorerie nette négative (-15,413 milliards FCFA) constituent les principaux points de vigilance, bien que le flux opérationnel (37,612 milliards FCFA) reste solide.</w:t>
      </w:r>
    </w:p>
    <w:p>
      <w:pPr>
        <w:spacing w:after="120" w:line="276" w:lineRule="auto"/>
      </w:pPr>
      <w:r>
        <w:t>**Estimations basées sur les rapports trimestriels** — Le rapport T3 2025 (daté du 30/09/2025) confirme la dynamique : CA de 253,7 milliards FCFA (+36%) et résultat net de 23,2 milliards FCFA (+131%), avec une marge nette de 9%. Le rapport S1 2025 (30/06/2025) affichait un CA de 171,4 milliards FCFA (+51%) et un résultat net de 18,1 milliards FCFA (+449%). **Cependant, le rapport T1 2026 (daté 2026) révèle un net retournement** : CA de 71,8 milliards FCFA (-24%) et résultat net de 2,6 milliards FCFA (-78%), pénalisé par la chute des cours mondiaux du caoutchouc (SICOM 20 à 1,91 USD/kg), l'engorgement du port de San Pedro et la concurrence accrue sur l'achat de matière première. On estime donc que l'exercice 2026 devrait afficher une contraction significative des résultats par rapport à 2025, sauf reprise des cours au second semestre.</w:t>
      </w:r>
    </w:p>
    <w:p>
      <w:pPr>
        <w:spacing w:after="120" w:line="276" w:lineRule="auto"/>
      </w:pPr>
      <w:r>
        <w:t>**Évolution pluriannuelle** — De 2022 à 2025, SPHC a connu une transformation remarquable : CA passé de 58,8 à 340,8 milliards FCFA, résultat net de 16,7 à 24,97 milliards FCFA, avec un ROE grimpant de 12,9% à 18,1%. Le dividende proposé pour 2025 est de 489 FCFA brut/action (12,50 milliards FCFA au total), en hausse de 32,7% sur un an, avec un taux de distribution stable à 50,1%.</w:t>
      </w:r>
    </w:p>
    <w:p>
      <w:pPr>
        <w:spacing w:after="120" w:line="276" w:lineRule="auto"/>
      </w:pPr>
      <w:r>
        <w:t>**Recommandation fondamentale** — La solidité du bilan (capitaux propres de 137,9 milliards FCFA, solvabilité de 256,9%) et la politique de dividende attractive soutiennent la valeur. Toutefois, la dépendance sectorielle (98,6% du CA sur un seul segment), la trésorerie négative et surtout **la chute brutale des résultats au T1 2026** imposent une grande prudence. Le titre reste fondamentalement solide mais fait face à un cycle baissier des matières premières.</w:t>
      </w:r>
    </w:p>
    <w:p>
      <w:pPr>
        <w:spacing w:after="120" w:line="276" w:lineRule="auto"/>
      </w:pPr>
      <w:r>
        <w:t>---</w:t>
      </w:r>
    </w:p>
    <w:p>
      <w:pPr>
        <w:spacing w:after="120" w:line="276" w:lineRule="auto"/>
      </w:pPr>
      <w:r>
        <w:t>## PARTIE 4 : CONCLUSION D'INVESTISSEMENT</w:t>
      </w:r>
    </w:p>
    <w:p>
      <w:pPr>
        <w:spacing w:after="120" w:line="276" w:lineRule="auto"/>
      </w:pPr>
      <w:r>
        <w:t>La valorisation (Partie 0) plaide clairement pour une sous-évaluation : PER de 8,5x sous la moyenne BRVM, P/B de 1,54x raisonnable et EV/EBITDA de 5,3x attractif — mais ces ratios sont calculés sur les bénéfices 2025, qui ne reflètent plus la réalité 2026. Le comportement du cours (Partie 1) est ambivalent : tendance haussière sur 100 jours (+13,70%) mais statistiques préoccupantes (kurtosis leptokurtique, skewness positif, volatilité de 44,6%) signalant un risque de pics baissiers. Les signaux techniques (Partie 2) sont divergents : le stochastique en survente et le support MM50 plaident pour un rebond, mais le MACD baissier et la position basse dans les Bollinger tempèrent l'enthousiasme. Les fondamentaux (Partie 3) révèlent un **divorce critique** : excellente performance 2025 (ROE 18,1%, CA +22%) mais effondrement au T1 2026 (résultat net -78%, CA -24%), ce qui remet en cause la soutenabilité du dividende et des ratios de valorisation actuels. Les prédictions IA (J+1 à J+10) anticipent une **dérive baissière progressive** de 8 237 à 8 133 FCFA (-2,0% sur 10 jours), confirmant la pression vendeuse de court terme et contredisant le rebond espéré par le stochastique.</w:t>
      </w:r>
    </w:p>
    <w:p>
      <w:pPr>
        <w:spacing w:after="120" w:line="276" w:lineRule="auto"/>
      </w:pPr>
      <w:r>
        <w:t>**Recommandation finale : CONSERVER** (avec biais baissier à court terme)</w:t>
        <w:br/>
        <w:t>La convergence entre la dégradation fondamentale (T1 2026), le momentum technique négatif (MACD) et les prédictions IA baissières l'emporte sur l'attrait de la valorisation et le signal de survente stochastique. Le titre n'est ni un achat (risque de nouvelle dégradation des résultats) ni une vente (valorisation plancher et dividende attractif si maintenu).</w:t>
      </w:r>
    </w:p>
    <w:p>
      <w:pPr>
        <w:spacing w:after="120" w:line="276" w:lineRule="auto"/>
      </w:pPr>
      <w:r>
        <w:t>- **Niveau de confiance** : Moyen (divergence entre valorisation attractive et détérioration opérationnelle)</w:t>
        <w:br/>
        <w:t>- **Niveau de risque global** : Élevé (volatilité 44,6%, dépendance aux cours du caoutchouc, trésorerie négative)</w:t>
        <w:br/>
        <w:t>- **Horizon optimal** : Moyen terme (3-12 mois), en attendant la confirmation d'une reprise des cours SICOM et la publication des résultats S1 2026. Un retournement haussier durable nécessiterait une stabilisation des cours mondiaux et une clarification sur la politique de dividende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34.61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5,980 titres</w:t>
            </w:r>
          </w:p>
        </w:tc>
        <w:tc>
          <w:tcPr>
            <w:tcW w:type="dxa" w:w="2268"/>
            <w:shd w:fill="FFF2CC" w:val="clear"/>
          </w:tcPr>
          <w:p>
            <w:r>
              <w:rPr>
                <w:b/>
                <w:color w:val="503200"/>
                <w:sz w:val="16"/>
              </w:rPr>
              <w:t xml:space="preserve">Cours actuel : </w:t>
            </w:r>
            <w:r>
              <w:rPr>
                <w:color w:val="000000"/>
                <w:sz w:val="17"/>
              </w:rPr>
              <w:t>2,575 FCFA</w:t>
            </w:r>
          </w:p>
          <w:p>
            <w:r>
              <w:rPr>
                <w:b/>
                <w:color w:val="503200"/>
                <w:sz w:val="16"/>
              </w:rPr>
              <w:t xml:space="preserve">Var. 100 jours : </w:t>
            </w:r>
            <w:r>
              <w:rPr>
                <w:b/>
                <w:color w:val="B40000"/>
                <w:sz w:val="17"/>
              </w:rPr>
              <w:t>-6.53%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2,500 FCFA</w:t>
            </w:r>
          </w:p>
          <w:p>
            <w:r>
              <w:rPr>
                <w:b/>
                <w:color w:val="503200"/>
                <w:sz w:val="16"/>
              </w:rPr>
              <w:t xml:space="preserve">Volatilité ann. : </w:t>
            </w:r>
            <w:r>
              <w:rPr>
                <w:color w:val="000000"/>
                <w:sz w:val="17"/>
              </w:rPr>
              <w:t>57.2%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11.06% (Moyenne) — μ=2,958 FCFA, σ=327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β=-0.8776 (Contre-cyclique) — Cov=-0.000030, Var(idx)=0.000034, ρ=-0.143,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2,464</w:t>
            </w:r>
          </w:p>
        </w:tc>
        <w:tc>
          <w:tcPr>
            <w:tcW w:type="dxa" w:w="1440"/>
            <w:shd w:fill="FAFAFA" w:val="clear"/>
          </w:tcPr>
          <w:p>
            <w:r>
              <w:rPr>
                <w:b/>
                <w:sz w:val="17"/>
              </w:rPr>
              <w:t>2,568</w:t>
            </w:r>
          </w:p>
        </w:tc>
        <w:tc>
          <w:tcPr>
            <w:tcW w:type="dxa" w:w="1440"/>
            <w:shd w:fill="FAFAFA" w:val="clear"/>
          </w:tcPr>
          <w:p>
            <w:r>
              <w:rPr>
                <w:sz w:val="17"/>
              </w:rPr>
              <w:t>2,671</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2,401</w:t>
            </w:r>
          </w:p>
        </w:tc>
        <w:tc>
          <w:tcPr>
            <w:tcW w:type="dxa" w:w="1440"/>
            <w:shd w:fill="FAFAFA" w:val="clear"/>
          </w:tcPr>
          <w:p>
            <w:r>
              <w:rPr>
                <w:b/>
                <w:sz w:val="17"/>
              </w:rPr>
              <w:t>2,547</w:t>
            </w:r>
          </w:p>
        </w:tc>
        <w:tc>
          <w:tcPr>
            <w:tcW w:type="dxa" w:w="1440"/>
            <w:shd w:fill="FAFAFA" w:val="clear"/>
          </w:tcPr>
          <w:p>
            <w:r>
              <w:rPr>
                <w:sz w:val="17"/>
              </w:rPr>
              <w:t>2,693</w:t>
            </w:r>
          </w:p>
        </w:tc>
        <w:tc>
          <w:tcPr>
            <w:tcW w:type="dxa" w:w="1440"/>
            <w:shd w:fill="FAFAFA" w:val="clear"/>
          </w:tcPr>
          <w:p>
            <w:r>
              <w:rPr>
                <w:b/>
                <w:color w:val="C00000"/>
                <w:sz w:val="17"/>
              </w:rPr>
              <w:t>-1.1%</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2,341</w:t>
            </w:r>
          </w:p>
        </w:tc>
        <w:tc>
          <w:tcPr>
            <w:tcW w:type="dxa" w:w="1440"/>
            <w:shd w:fill="FFDCE0" w:val="clear"/>
          </w:tcPr>
          <w:p>
            <w:r>
              <w:rPr>
                <w:b/>
                <w:sz w:val="17"/>
              </w:rPr>
              <w:t>2,518</w:t>
            </w:r>
          </w:p>
        </w:tc>
        <w:tc>
          <w:tcPr>
            <w:tcW w:type="dxa" w:w="1440"/>
            <w:shd w:fill="FFDCE0" w:val="clear"/>
          </w:tcPr>
          <w:p>
            <w:r>
              <w:rPr>
                <w:sz w:val="17"/>
              </w:rPr>
              <w:t>2,694</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2,285</w:t>
            </w:r>
          </w:p>
        </w:tc>
        <w:tc>
          <w:tcPr>
            <w:tcW w:type="dxa" w:w="1440"/>
            <w:shd w:fill="FFDCE0" w:val="clear"/>
          </w:tcPr>
          <w:p>
            <w:r>
              <w:rPr>
                <w:b/>
                <w:sz w:val="17"/>
              </w:rPr>
              <w:t>2,486</w:t>
            </w:r>
          </w:p>
        </w:tc>
        <w:tc>
          <w:tcPr>
            <w:tcW w:type="dxa" w:w="1440"/>
            <w:shd w:fill="FFDCE0" w:val="clear"/>
          </w:tcPr>
          <w:p>
            <w:r>
              <w:rPr>
                <w:sz w:val="17"/>
              </w:rPr>
              <w:t>2,687</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2,233</w:t>
            </w:r>
          </w:p>
        </w:tc>
        <w:tc>
          <w:tcPr>
            <w:tcW w:type="dxa" w:w="1440"/>
            <w:shd w:fill="FFDCE0" w:val="clear"/>
          </w:tcPr>
          <w:p>
            <w:r>
              <w:rPr>
                <w:b/>
                <w:sz w:val="17"/>
              </w:rPr>
              <w:t>2,455</w:t>
            </w:r>
          </w:p>
        </w:tc>
        <w:tc>
          <w:tcPr>
            <w:tcW w:type="dxa" w:w="1440"/>
            <w:shd w:fill="FFDCE0" w:val="clear"/>
          </w:tcPr>
          <w:p>
            <w:r>
              <w:rPr>
                <w:sz w:val="17"/>
              </w:rPr>
              <w:t>2,677</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2,187</w:t>
            </w:r>
          </w:p>
        </w:tc>
        <w:tc>
          <w:tcPr>
            <w:tcW w:type="dxa" w:w="1440"/>
            <w:shd w:fill="FFDCE0" w:val="clear"/>
          </w:tcPr>
          <w:p>
            <w:r>
              <w:rPr>
                <w:b/>
                <w:sz w:val="17"/>
              </w:rPr>
              <w:t>2,427</w:t>
            </w:r>
          </w:p>
        </w:tc>
        <w:tc>
          <w:tcPr>
            <w:tcW w:type="dxa" w:w="1440"/>
            <w:shd w:fill="FFDCE0" w:val="clear"/>
          </w:tcPr>
          <w:p>
            <w:r>
              <w:rPr>
                <w:sz w:val="17"/>
              </w:rPr>
              <w:t>2,668</w:t>
            </w:r>
          </w:p>
        </w:tc>
        <w:tc>
          <w:tcPr>
            <w:tcW w:type="dxa" w:w="1440"/>
            <w:shd w:fill="FFDCE0" w:val="clear"/>
          </w:tcPr>
          <w:p>
            <w:r>
              <w:rPr>
                <w:b/>
                <w:color w:val="C00000"/>
                <w:sz w:val="17"/>
              </w:rPr>
              <w:t>-5.7%</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2,146</w:t>
            </w:r>
          </w:p>
        </w:tc>
        <w:tc>
          <w:tcPr>
            <w:tcW w:type="dxa" w:w="1440"/>
            <w:shd w:fill="FFDCE0" w:val="clear"/>
          </w:tcPr>
          <w:p>
            <w:r>
              <w:rPr>
                <w:b/>
                <w:sz w:val="17"/>
              </w:rPr>
              <w:t>2,403</w:t>
            </w:r>
          </w:p>
        </w:tc>
        <w:tc>
          <w:tcPr>
            <w:tcW w:type="dxa" w:w="1440"/>
            <w:shd w:fill="FFDCE0" w:val="clear"/>
          </w:tcPr>
          <w:p>
            <w:r>
              <w:rPr>
                <w:sz w:val="17"/>
              </w:rPr>
              <w:t>2,660</w:t>
            </w:r>
          </w:p>
        </w:tc>
        <w:tc>
          <w:tcPr>
            <w:tcW w:type="dxa" w:w="1440"/>
            <w:shd w:fill="FFDCE0" w:val="clear"/>
          </w:tcPr>
          <w:p>
            <w:r>
              <w:rPr>
                <w:b/>
                <w:color w:val="C00000"/>
                <w:sz w:val="17"/>
              </w:rPr>
              <w:t>-6.7%</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2,109</w:t>
            </w:r>
          </w:p>
        </w:tc>
        <w:tc>
          <w:tcPr>
            <w:tcW w:type="dxa" w:w="1440"/>
            <w:shd w:fill="FFDCE0" w:val="clear"/>
          </w:tcPr>
          <w:p>
            <w:r>
              <w:rPr>
                <w:b/>
                <w:sz w:val="17"/>
              </w:rPr>
              <w:t>2,381</w:t>
            </w:r>
          </w:p>
        </w:tc>
        <w:tc>
          <w:tcPr>
            <w:tcW w:type="dxa" w:w="1440"/>
            <w:shd w:fill="FFDCE0" w:val="clear"/>
          </w:tcPr>
          <w:p>
            <w:r>
              <w:rPr>
                <w:sz w:val="17"/>
              </w:rPr>
              <w:t>2,653</w:t>
            </w:r>
          </w:p>
        </w:tc>
        <w:tc>
          <w:tcPr>
            <w:tcW w:type="dxa" w:w="1440"/>
            <w:shd w:fill="FFDCE0" w:val="clear"/>
          </w:tcPr>
          <w:p>
            <w:r>
              <w:rPr>
                <w:b/>
                <w:color w:val="C00000"/>
                <w:sz w:val="17"/>
              </w:rPr>
              <w:t>-7.5%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2,076</w:t>
            </w:r>
          </w:p>
        </w:tc>
        <w:tc>
          <w:tcPr>
            <w:tcW w:type="dxa" w:w="1440"/>
            <w:shd w:fill="FFDCE0" w:val="clear"/>
          </w:tcPr>
          <w:p>
            <w:r>
              <w:rPr>
                <w:b/>
                <w:sz w:val="17"/>
              </w:rPr>
              <w:t>2,362</w:t>
            </w:r>
          </w:p>
        </w:tc>
        <w:tc>
          <w:tcPr>
            <w:tcW w:type="dxa" w:w="1440"/>
            <w:shd w:fill="FFDCE0" w:val="clear"/>
          </w:tcPr>
          <w:p>
            <w:r>
              <w:rPr>
                <w:sz w:val="17"/>
              </w:rPr>
              <w:t>2,649</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2,046</w:t>
            </w:r>
          </w:p>
        </w:tc>
        <w:tc>
          <w:tcPr>
            <w:tcW w:type="dxa" w:w="1440"/>
            <w:shd w:fill="FFDCE0" w:val="clear"/>
          </w:tcPr>
          <w:p>
            <w:r>
              <w:rPr>
                <w:b/>
                <w:sz w:val="17"/>
              </w:rPr>
              <w:t>2,346</w:t>
            </w:r>
          </w:p>
        </w:tc>
        <w:tc>
          <w:tcPr>
            <w:tcW w:type="dxa" w:w="1440"/>
            <w:shd w:fill="FFDCE0" w:val="clear"/>
          </w:tcPr>
          <w:p>
            <w:r>
              <w:rPr>
                <w:sz w:val="17"/>
              </w:rPr>
              <w:t>2,646</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STAC (SETAO)</w:t>
        <w:br/>
        <w:t>**Bourse Régionale des Valeurs Mobilières (BRVM) — Secteur : BTP / Études &amp; Travaux**</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s'élève à **34,61 milliards FCFA**, un niveau modeste à l'échelle de la BRVM qui la place parmi les petites capitalisations du compartiment industriel. Le BPA ressort à **-7 FCFA/action**, traduisant une société en perte nette, ce qui rend le PER inexploitable (**-358,4x**, négatif par construction). À titre de comparaison, le PER moyen de la BRVM se situe entre 8x et 12x : STAC est donc hors radar des investisseurs value tant que la rentabilité n'est pas rétablie. Le ratio **P/B de 97,01x** est particulièrement alarmant : le marché valorise l'action à près de 100 fois sa valeur comptable, alors que les capitaux propres ne représentent que **356,75 M FCFA** pour une capitalisation de 34,61 Mds FCFA. Cette décorrélation extrême signale soit une anticipation spéculative de retournement, soit une anomalie de marché. Le ratio EV/EBITDA n'est pas fourni (donnée non pertinente en l'absence d'EBITDA positif), ce qui confirme la difficulté à valoriser la société sur des bases opérationnelles.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-6,53%**, avec une dernière séance en repli de **-0,19%**, confirmant une tendance baissière de fond. Le cours actuel de **2 575 FCFA** se situe dans la moitié basse du range de trading établi entre un plus bas de **2 500 FCFA** et un plus haut de **3 640 FCFA**, soit un écart de 45,6% entre les extrêmes — signe d'une forte amplitude. La moyenne des 100 jours s'établit à **2 958 FCFA**, nettement supérieure à la médiane de **2 892 FCFA**, ce qui traduit une asymétrie positive : les cours élevés ont tiré la moyenne vers le haut, mais la majorité des séances s'est négociée sous ce niveau. L'écart-type de **329 FCFA** avec un coefficient de variation de **11,1%** indique une dispersion modérée autour de la moyenne. Le kurtosis de **-0,828** (mésokurtique) suggère une distribution proche de la normale, sans pics extrêmes marqués, tandis que le skewness de **+0,548** confirme une asymétrie positive avec davantage de journées sous la moyenne. La **volatilité annualisée de 57,2%** classe le titre dans la catégorie des valeurs à volatilité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(2 605 FCFA) est inférieure à la MM50 (2 829,9 FCFA), et le cours actuel (2 575 FCFA) évolue sous les deux moyennes. Cette configuration baissière (cours &lt; MM20 &lt; MM50) justifie pleinement la décision de **Vente** émise par le système. Le croisement des moyennes confirme une pression vendeuse persistante.</w:t>
      </w:r>
    </w:p>
    <w:p>
      <w:pPr>
        <w:spacing w:after="120" w:line="276" w:lineRule="auto"/>
      </w:pPr>
      <w:r>
        <w:t>**Bandes de Bollinger** : Le cours (2 575 FCFA) se situe dans la partie basse de la bande, entre la borne inférieure (2 415,76 FCFA) et la borne supérieure (2 794,24 FCFA), sans franchissement des extrêmes. La décision **Neutre** reflète l'absence de signal de survente ou de surachat, avec une volatilité contenue dans les bandes.</w:t>
      </w:r>
    </w:p>
    <w:p>
      <w:pPr>
        <w:spacing w:after="120" w:line="276" w:lineRule="auto"/>
      </w:pPr>
      <w:r>
        <w:t>**MACD** : La valeur du MACD (-64,6) est supérieure à son signal (-70,575), générant un croisement haussier et une décision d'**Achat**. Cependant, les deux lignes restent en territoire négatif, ce qui limite la portée de ce signal à un simple rebond technique potentiel.</w:t>
      </w:r>
    </w:p>
    <w:p>
      <w:pPr>
        <w:spacing w:after="120" w:line="276" w:lineRule="auto"/>
      </w:pPr>
      <w:r>
        <w:t>**RSI** : À **48,667**, le RSI se situe en zone neutre (30-70), sans divergence notable. La décision **Neutre** est cohérente avec un marché sans direction claire, ni suracheté ni survendu.</w:t>
      </w:r>
    </w:p>
    <w:p>
      <w:pPr>
        <w:spacing w:after="120" w:line="276" w:lineRule="auto"/>
      </w:pPr>
      <w:r>
        <w:t>**Stochastique** : Le %K (22,727) est supérieur au %D (15,657), avec les deux indicateurs en zone basse (proche de la survente). La décision **Neutre** suggère une absence de signal fort, mais la position basse pourrait précéder un rebond technique.</w:t>
      </w:r>
    </w:p>
    <w:p>
      <w:pPr>
        <w:spacing w:after="120" w:line="276" w:lineRule="auto"/>
      </w:pPr>
      <w:r>
        <w:t>**Conclusion technique** : Les indicateurs sont majoritairement baissiers (MM, position du cours), avec un signal haussier isolé du MACD et des zones de survente sur le stochastique. La convergence n'est pas établie : le titre évolue dans un range baissier avec un potentiel rebond technique limité. La prudence reste de mise tant que le cours ne repasse pas au-dessus de la MM20 (2 605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STAC a réalisé un chiffre d'affaires de **3,878 Mds FCFA**, en croissance spectaculaire de **+116,26%** par rapport à 2024 (1,793 Md FCFA), portée par le chantier de l'aéroport d'Abidjan. Cependant, le résultat net reste négatif à **-96,56 M FCFA**, et le ROE s'établit à **-27,07%** (très en deçà du seuil de 15% considéré comme excellent). Le ROA est également négatif à **-1,77%**. La marge nette de **-2,49%** et la marge opérationnelle de **-19,90%** témoignent d'une structure de coûts inadaptée. Le BFR est négatif à **-930,47 M FCFA**, ce qui est favorable (financement par les fournisseurs), mais le flux opérationnel reste négatif à **-2,212 Mds FCFA**, signalant une trésorerie sous tension. L'autonomie financière est critique à **6,55%** (très en dessous du seuil sain de 30%), et le ratio d'endettement atteint **93,45%**, avec une capacité de remboursement de **77,53 années** — un niveau insoutenable.</w:t>
      </w:r>
    </w:p>
    <w:p>
      <w:pPr>
        <w:spacing w:after="120" w:line="276" w:lineRule="auto"/>
      </w:pPr>
      <w:r>
        <w:t>**Estimations basées sur les rapports trimestriels** : Le rapport du **3ème trimestre 2025 (30/09/2025)** indique un CA cumulé de **3 456 M FCFA** (+176% sur 9 mois) et une perte nette réduite de 22% à **-477 M FCFA**. La direction maintient une prévision de CA annuel de **4 Mds FCFA**, ce qui implique un T4 très faible. Le rapport du **1er semestre 2025 (30/06/2025)** faisait état d'un CA de **2 271 M FCFA** (+290%) et d'une perte nette de **-557 M FCFA**. On estime donc que l'exercice 2025 devrait se solder par une perte nette annuelle d'environ **-100 M FCFA** (cohérent avec les -96,56 M FCFA publiés), avec une amélioration progressive mais insuffisante pour retrouver la rentabilité. Les rapports antérieurs (2024) montrent une chute du CA de -80,6% à 1,793 Md FCFA et une perte nette de -348 M FCFA, confirmant la volatilité extrême de l'activité.</w:t>
      </w:r>
    </w:p>
    <w:p>
      <w:pPr>
        <w:spacing w:after="120" w:line="276" w:lineRule="auto"/>
      </w:pPr>
      <w:r>
        <w:t>**Recommandation fondamentale** : La société est en situation de fragilité financière persistante, avec des capitaux propres quasi-inexistants (356,75 M FCFA) et une dépendance à un seul projet (aéroport d'Abidjan). Le retour à la rentabilité reste incertain, et le risque de dilution en cas de recapitalisation est élevé. **Recommandation : VENTE** pour les investisseurs prudents, avec un suivi attentif des annonces de nouveaux contrats.</w:t>
      </w:r>
    </w:p>
    <w:p>
      <w:pPr>
        <w:spacing w:after="120" w:line="276" w:lineRule="auto"/>
      </w:pPr>
      <w:r>
        <w:t>---</w:t>
      </w:r>
    </w:p>
    <w:p>
      <w:pPr>
        <w:spacing w:after="120" w:line="276" w:lineRule="auto"/>
      </w:pPr>
      <w:r>
        <w:t>## PARTIE 4 : CONCLUSION D'INVESTISSEMENT</w:t>
      </w:r>
    </w:p>
    <w:p>
      <w:pPr>
        <w:spacing w:after="120" w:line="276" w:lineRule="auto"/>
      </w:pPr>
      <w:r>
        <w:t>La valorisation de STAC est profondément décorrélée de ses fondamentaux : un PER négatif (-358,4x) et un P/B de 97,01x traduisent une surévaluation manifeste, le marché valorisant près de 100 fois des capitaux propres quasi-inexistants. Le comportement du cours est baissier (-6,53% sur 100 jours), avec une volatilité élevée (57,2%) et une asymétrie positive (skewness +0,548) qui indique une pression vendeuse persistante. Les signaux techniques sont majoritairement baissiers (cours sous MM20 et MM50), avec un MACD haussier isolé et un stochastique en zone de survente, mais sans convergence forte. Les fondamentaux restent préoccupants : malgré une croissance du CA de +116% en 2025, la société demeure déficitaire (-96,56 M FCFA), avec un ROE de -27,07% et une autonomie financière de 6,55%. Les prédictions IA anticipent une poursuite de la baisse (2 455 FCFA à J+10, soit -4,7% depuis le cours actuel), confirmant la tendance baissière. **Recommandation finale : VENTE** — la convergence des signaux négatifs (valorisation extrême, technique baissière, fondamentaux fragiles, prédictions à la baisse) justifie une sortie du titre. Le niveau de confiance est **Élevé** (les données convergent), le risque global est **Élevé** (volatilité, endettement, pertes récurrentes), et l'horizon recommandé est **court terme** (&lt;3 mois) pour limiter l'exposition. Une alternative serait de surveiller un éventuel rebond technique au-dessus de 2 605 FCFA (MM20) pour les investisseurs spéculatifs, mais le profil risque/rendement reste défavorable.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398.60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3,733 titres</w:t>
            </w:r>
          </w:p>
        </w:tc>
        <w:tc>
          <w:tcPr>
            <w:tcW w:type="dxa" w:w="2268"/>
            <w:shd w:fill="FFF2CC" w:val="clear"/>
          </w:tcPr>
          <w:p>
            <w:r>
              <w:rPr>
                <w:b/>
                <w:color w:val="503200"/>
                <w:sz w:val="16"/>
              </w:rPr>
              <w:t xml:space="preserve">Cours actuel : </w:t>
            </w:r>
            <w:r>
              <w:rPr>
                <w:color w:val="000000"/>
                <w:sz w:val="17"/>
              </w:rPr>
              <w:t>22,200 FCFA</w:t>
            </w:r>
          </w:p>
          <w:p>
            <w:r>
              <w:rPr>
                <w:b/>
                <w:color w:val="503200"/>
                <w:sz w:val="16"/>
              </w:rPr>
              <w:t xml:space="preserve">Var. 100 jours : </w:t>
            </w:r>
            <w:r>
              <w:rPr>
                <w:b/>
                <w:color w:val="007800"/>
                <w:sz w:val="17"/>
              </w:rPr>
              <w:t>+8.29%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5.86% (Moyenne) — μ=22,389 FCFA, σ=1,312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β=0.2680 (Défensif) — Cov=0.000009, Var(idx)=0.000034, ρ=0.070,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21,229</w:t>
            </w:r>
          </w:p>
        </w:tc>
        <w:tc>
          <w:tcPr>
            <w:tcW w:type="dxa" w:w="1440"/>
            <w:shd w:fill="FAFAFA" w:val="clear"/>
          </w:tcPr>
          <w:p>
            <w:r>
              <w:rPr>
                <w:b/>
                <w:sz w:val="17"/>
              </w:rPr>
              <w:t>22,294</w:t>
            </w:r>
          </w:p>
        </w:tc>
        <w:tc>
          <w:tcPr>
            <w:tcW w:type="dxa" w:w="1440"/>
            <w:shd w:fill="FAFAFA" w:val="clear"/>
          </w:tcPr>
          <w:p>
            <w:r>
              <w:rPr>
                <w:sz w:val="17"/>
              </w:rPr>
              <w:t>23,359</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20,866</w:t>
            </w:r>
          </w:p>
        </w:tc>
        <w:tc>
          <w:tcPr>
            <w:tcW w:type="dxa" w:w="1440"/>
            <w:shd w:fill="FAFAFA" w:val="clear"/>
          </w:tcPr>
          <w:p>
            <w:r>
              <w:rPr>
                <w:b/>
                <w:sz w:val="17"/>
              </w:rPr>
              <w:t>22,379</w:t>
            </w:r>
          </w:p>
        </w:tc>
        <w:tc>
          <w:tcPr>
            <w:tcW w:type="dxa" w:w="1440"/>
            <w:shd w:fill="FAFAFA" w:val="clear"/>
          </w:tcPr>
          <w:p>
            <w:r>
              <w:rPr>
                <w:sz w:val="17"/>
              </w:rPr>
              <w:t>23,891</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20,632</w:t>
            </w:r>
          </w:p>
        </w:tc>
        <w:tc>
          <w:tcPr>
            <w:tcW w:type="dxa" w:w="1440"/>
            <w:shd w:fill="FAFAFA" w:val="clear"/>
          </w:tcPr>
          <w:p>
            <w:r>
              <w:rPr>
                <w:b/>
                <w:sz w:val="17"/>
              </w:rPr>
              <w:t>22,494</w:t>
            </w:r>
          </w:p>
        </w:tc>
        <w:tc>
          <w:tcPr>
            <w:tcW w:type="dxa" w:w="1440"/>
            <w:shd w:fill="FAFAFA" w:val="clear"/>
          </w:tcPr>
          <w:p>
            <w:r>
              <w:rPr>
                <w:sz w:val="17"/>
              </w:rPr>
              <w:t>24,356</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20,456</w:t>
            </w:r>
          </w:p>
        </w:tc>
        <w:tc>
          <w:tcPr>
            <w:tcW w:type="dxa" w:w="1440"/>
            <w:shd w:fill="FAFAFA" w:val="clear"/>
          </w:tcPr>
          <w:p>
            <w:r>
              <w:rPr>
                <w:b/>
                <w:sz w:val="17"/>
              </w:rPr>
              <w:t>22,617</w:t>
            </w:r>
          </w:p>
        </w:tc>
        <w:tc>
          <w:tcPr>
            <w:tcW w:type="dxa" w:w="1440"/>
            <w:shd w:fill="FAFAFA" w:val="clear"/>
          </w:tcPr>
          <w:p>
            <w:r>
              <w:rPr>
                <w:sz w:val="17"/>
              </w:rPr>
              <w:t>24,779</w:t>
            </w:r>
          </w:p>
        </w:tc>
        <w:tc>
          <w:tcPr>
            <w:tcW w:type="dxa" w:w="1440"/>
            <w:shd w:fill="FAFAFA" w:val="clear"/>
          </w:tcPr>
          <w:p>
            <w:r>
              <w:rPr>
                <w:b/>
                <w:color w:val="008000"/>
                <w:sz w:val="17"/>
              </w:rPr>
              <w:t>+1.9%</w:t>
            </w:r>
          </w:p>
        </w:tc>
      </w:tr>
      <w:tr>
        <w:tc>
          <w:tcPr>
            <w:tcW w:type="dxa" w:w="1440"/>
            <w:shd w:fill="C6EFCE" w:val="clear"/>
          </w:tcPr>
          <w:p>
            <w:r>
              <w:rPr>
                <w:sz w:val="17"/>
              </w:rPr>
              <w:t>J+5  ⭐</w:t>
            </w:r>
          </w:p>
        </w:tc>
        <w:tc>
          <w:tcPr>
            <w:tcW w:type="dxa" w:w="1440"/>
            <w:shd w:fill="C6EFCE" w:val="clear"/>
          </w:tcPr>
          <w:p>
            <w:r>
              <w:rPr>
                <w:sz w:val="17"/>
              </w:rPr>
              <w:t>2026-09-18</w:t>
            </w:r>
          </w:p>
        </w:tc>
        <w:tc>
          <w:tcPr>
            <w:tcW w:type="dxa" w:w="1440"/>
            <w:shd w:fill="C6EFCE" w:val="clear"/>
          </w:tcPr>
          <w:p>
            <w:r>
              <w:rPr>
                <w:sz w:val="17"/>
              </w:rPr>
              <w:t>20,371</w:t>
            </w:r>
          </w:p>
        </w:tc>
        <w:tc>
          <w:tcPr>
            <w:tcW w:type="dxa" w:w="1440"/>
            <w:shd w:fill="C6EFCE" w:val="clear"/>
          </w:tcPr>
          <w:p>
            <w:r>
              <w:rPr>
                <w:b/>
                <w:sz w:val="17"/>
              </w:rPr>
              <w:t>22,809</w:t>
            </w:r>
          </w:p>
        </w:tc>
        <w:tc>
          <w:tcPr>
            <w:tcW w:type="dxa" w:w="1440"/>
            <w:shd w:fill="C6EFCE" w:val="clear"/>
          </w:tcPr>
          <w:p>
            <w:r>
              <w:rPr>
                <w:sz w:val="17"/>
              </w:rPr>
              <w:t>25,246</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20,354</w:t>
            </w:r>
          </w:p>
        </w:tc>
        <w:tc>
          <w:tcPr>
            <w:tcW w:type="dxa" w:w="1440"/>
            <w:shd w:fill="C6EFCE" w:val="clear"/>
          </w:tcPr>
          <w:p>
            <w:r>
              <w:rPr>
                <w:b/>
                <w:sz w:val="17"/>
              </w:rPr>
              <w:t>23,053</w:t>
            </w:r>
          </w:p>
        </w:tc>
        <w:tc>
          <w:tcPr>
            <w:tcW w:type="dxa" w:w="1440"/>
            <w:shd w:fill="C6EFCE" w:val="clear"/>
          </w:tcPr>
          <w:p>
            <w:r>
              <w:rPr>
                <w:sz w:val="17"/>
              </w:rPr>
              <w:t>25,751</w:t>
            </w:r>
          </w:p>
        </w:tc>
        <w:tc>
          <w:tcPr>
            <w:tcW w:type="dxa" w:w="1440"/>
            <w:shd w:fill="C6EFCE" w:val="clear"/>
          </w:tcPr>
          <w:p>
            <w:r>
              <w:rPr>
                <w:b/>
                <w:color w:val="008000"/>
                <w:sz w:val="17"/>
              </w:rPr>
              <w:t>+3.8%</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20,434</w:t>
            </w:r>
          </w:p>
        </w:tc>
        <w:tc>
          <w:tcPr>
            <w:tcW w:type="dxa" w:w="1440"/>
            <w:shd w:fill="C6EFCE" w:val="clear"/>
          </w:tcPr>
          <w:p>
            <w:r>
              <w:rPr>
                <w:b/>
                <w:sz w:val="17"/>
              </w:rPr>
              <w:t>23,391</w:t>
            </w:r>
          </w:p>
        </w:tc>
        <w:tc>
          <w:tcPr>
            <w:tcW w:type="dxa" w:w="1440"/>
            <w:shd w:fill="C6EFCE" w:val="clear"/>
          </w:tcPr>
          <w:p>
            <w:r>
              <w:rPr>
                <w:sz w:val="17"/>
              </w:rPr>
              <w:t>26,348</w:t>
            </w:r>
          </w:p>
        </w:tc>
        <w:tc>
          <w:tcPr>
            <w:tcW w:type="dxa" w:w="1440"/>
            <w:shd w:fill="C6EFCE" w:val="clear"/>
          </w:tcPr>
          <w:p>
            <w:r>
              <w:rPr>
                <w:b/>
                <w:color w:val="008000"/>
                <w:sz w:val="17"/>
              </w:rPr>
              <w:t>+5.4%</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20,474</w:t>
            </w:r>
          </w:p>
        </w:tc>
        <w:tc>
          <w:tcPr>
            <w:tcW w:type="dxa" w:w="1440"/>
            <w:shd w:fill="C6EFCE" w:val="clear"/>
          </w:tcPr>
          <w:p>
            <w:r>
              <w:rPr>
                <w:b/>
                <w:sz w:val="17"/>
              </w:rPr>
              <w:t>23,673</w:t>
            </w:r>
          </w:p>
        </w:tc>
        <w:tc>
          <w:tcPr>
            <w:tcW w:type="dxa" w:w="1440"/>
            <w:shd w:fill="C6EFCE" w:val="clear"/>
          </w:tcPr>
          <w:p>
            <w:r>
              <w:rPr>
                <w:sz w:val="17"/>
              </w:rPr>
              <w:t>26,873</w:t>
            </w:r>
          </w:p>
        </w:tc>
        <w:tc>
          <w:tcPr>
            <w:tcW w:type="dxa" w:w="1440"/>
            <w:shd w:fill="C6EFCE" w:val="clear"/>
          </w:tcPr>
          <w:p>
            <w:r>
              <w:rPr>
                <w:b/>
                <w:color w:val="008000"/>
                <w:sz w:val="17"/>
              </w:rPr>
              <w:t>+6.6%</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20,490</w:t>
            </w:r>
          </w:p>
        </w:tc>
        <w:tc>
          <w:tcPr>
            <w:tcW w:type="dxa" w:w="1440"/>
            <w:shd w:fill="C6EFCE" w:val="clear"/>
          </w:tcPr>
          <w:p>
            <w:r>
              <w:rPr>
                <w:b/>
                <w:sz w:val="17"/>
              </w:rPr>
              <w:t>23,919</w:t>
            </w:r>
          </w:p>
        </w:tc>
        <w:tc>
          <w:tcPr>
            <w:tcW w:type="dxa" w:w="1440"/>
            <w:shd w:fill="C6EFCE" w:val="clear"/>
          </w:tcPr>
          <w:p>
            <w:r>
              <w:rPr>
                <w:sz w:val="17"/>
              </w:rPr>
              <w:t>27,348</w:t>
            </w:r>
          </w:p>
        </w:tc>
        <w:tc>
          <w:tcPr>
            <w:tcW w:type="dxa" w:w="1440"/>
            <w:shd w:fill="C6EFCE" w:val="clear"/>
          </w:tcPr>
          <w:p>
            <w:r>
              <w:rPr>
                <w:b/>
                <w:color w:val="008000"/>
                <w:sz w:val="17"/>
              </w:rPr>
              <w:t>+7.7%</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20,452</w:t>
            </w:r>
          </w:p>
        </w:tc>
        <w:tc>
          <w:tcPr>
            <w:tcW w:type="dxa" w:w="1440"/>
            <w:shd w:fill="C6EFCE" w:val="clear"/>
          </w:tcPr>
          <w:p>
            <w:r>
              <w:rPr>
                <w:b/>
                <w:sz w:val="17"/>
              </w:rPr>
              <w:t>24,093</w:t>
            </w:r>
          </w:p>
        </w:tc>
        <w:tc>
          <w:tcPr>
            <w:tcW w:type="dxa" w:w="1440"/>
            <w:shd w:fill="C6EFCE" w:val="clear"/>
          </w:tcPr>
          <w:p>
            <w:r>
              <w:rPr>
                <w:sz w:val="17"/>
              </w:rPr>
              <w:t>27,733</w:t>
            </w:r>
          </w:p>
        </w:tc>
        <w:tc>
          <w:tcPr>
            <w:tcW w:type="dxa" w:w="1440"/>
            <w:shd w:fill="C6EFCE" w:val="clear"/>
          </w:tcPr>
          <w:p>
            <w:r>
              <w:rPr>
                <w:b/>
                <w:color w:val="008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398,60 milliards FCFA, ce qui en fait une valeur de premier plan et un poids lourd de la BRVM. Avec un bénéfice par action (BPA) solide de 2 014 FCFA, le titre se négocie à un PER modéré de 11,0x, reflétant une valorisation tout à fait raisonnable par rapport aux bénéfices gén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206.51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6,868 titres</w:t>
            </w:r>
          </w:p>
        </w:tc>
        <w:tc>
          <w:tcPr>
            <w:tcW w:type="dxa" w:w="2268"/>
            <w:shd w:fill="FFF2CC" w:val="clear"/>
          </w:tcPr>
          <w:p>
            <w:r>
              <w:rPr>
                <w:b/>
                <w:color w:val="503200"/>
                <w:sz w:val="16"/>
              </w:rPr>
              <w:t xml:space="preserve">Cours actuel : </w:t>
            </w:r>
            <w:r>
              <w:rPr>
                <w:color w:val="000000"/>
                <w:sz w:val="17"/>
              </w:rPr>
              <w:t>3,280 FCFA</w:t>
            </w:r>
          </w:p>
          <w:p>
            <w:r>
              <w:rPr>
                <w:b/>
                <w:color w:val="503200"/>
                <w:sz w:val="16"/>
              </w:rPr>
              <w:t xml:space="preserve">Var. 100 jours : </w:t>
            </w:r>
            <w:r>
              <w:rPr>
                <w:b/>
                <w:color w:val="007800"/>
                <w:sz w:val="17"/>
              </w:rPr>
              <w:t>+17.35%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6.96% (Moyenne) — μ=2,961 FCFA, σ=206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β=-0.4027 (Contre-cyclique) — Cov=-0.000014, Var(idx)=0.000034, ρ=-0.092,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6,868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3,056</w:t>
            </w:r>
          </w:p>
        </w:tc>
        <w:tc>
          <w:tcPr>
            <w:tcW w:type="dxa" w:w="1440"/>
            <w:shd w:fill="FAFAFA" w:val="clear"/>
          </w:tcPr>
          <w:p>
            <w:r>
              <w:rPr>
                <w:b/>
                <w:sz w:val="17"/>
              </w:rPr>
              <w:t>3,238</w:t>
            </w:r>
          </w:p>
        </w:tc>
        <w:tc>
          <w:tcPr>
            <w:tcW w:type="dxa" w:w="1440"/>
            <w:shd w:fill="FAFAFA" w:val="clear"/>
          </w:tcPr>
          <w:p>
            <w:r>
              <w:rPr>
                <w:sz w:val="17"/>
              </w:rPr>
              <w:t>3,421</w:t>
            </w:r>
          </w:p>
        </w:tc>
        <w:tc>
          <w:tcPr>
            <w:tcW w:type="dxa" w:w="1440"/>
            <w:shd w:fill="FAFAFA" w:val="clear"/>
          </w:tcPr>
          <w:p>
            <w:r>
              <w:rPr>
                <w:b/>
                <w:color w:val="C00000"/>
                <w:sz w:val="17"/>
              </w:rPr>
              <w:t>-1.3%</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2,946</w:t>
            </w:r>
          </w:p>
        </w:tc>
        <w:tc>
          <w:tcPr>
            <w:tcW w:type="dxa" w:w="1440"/>
            <w:shd w:fill="FFDCE0" w:val="clear"/>
          </w:tcPr>
          <w:p>
            <w:r>
              <w:rPr>
                <w:b/>
                <w:sz w:val="17"/>
              </w:rPr>
              <w:t>3,202</w:t>
            </w:r>
          </w:p>
        </w:tc>
        <w:tc>
          <w:tcPr>
            <w:tcW w:type="dxa" w:w="1440"/>
            <w:shd w:fill="FFDCE0" w:val="clear"/>
          </w:tcPr>
          <w:p>
            <w:r>
              <w:rPr>
                <w:sz w:val="17"/>
              </w:rPr>
              <w:t>3,457</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2,857</w:t>
            </w:r>
          </w:p>
        </w:tc>
        <w:tc>
          <w:tcPr>
            <w:tcW w:type="dxa" w:w="1440"/>
            <w:shd w:fill="FFDCE0" w:val="clear"/>
          </w:tcPr>
          <w:p>
            <w:r>
              <w:rPr>
                <w:b/>
                <w:sz w:val="17"/>
              </w:rPr>
              <w:t>3,167</w:t>
            </w:r>
          </w:p>
        </w:tc>
        <w:tc>
          <w:tcPr>
            <w:tcW w:type="dxa" w:w="1440"/>
            <w:shd w:fill="FFDCE0" w:val="clear"/>
          </w:tcPr>
          <w:p>
            <w:r>
              <w:rPr>
                <w:sz w:val="17"/>
              </w:rPr>
              <w:t>3,476</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2,781</w:t>
            </w:r>
          </w:p>
        </w:tc>
        <w:tc>
          <w:tcPr>
            <w:tcW w:type="dxa" w:w="1440"/>
            <w:shd w:fill="FFDCE0" w:val="clear"/>
          </w:tcPr>
          <w:p>
            <w:r>
              <w:rPr>
                <w:b/>
                <w:sz w:val="17"/>
              </w:rPr>
              <w:t>3,135</w:t>
            </w:r>
          </w:p>
        </w:tc>
        <w:tc>
          <w:tcPr>
            <w:tcW w:type="dxa" w:w="1440"/>
            <w:shd w:fill="FFDCE0" w:val="clear"/>
          </w:tcPr>
          <w:p>
            <w:r>
              <w:rPr>
                <w:sz w:val="17"/>
              </w:rPr>
              <w:t>3,489</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2,714</w:t>
            </w:r>
          </w:p>
        </w:tc>
        <w:tc>
          <w:tcPr>
            <w:tcW w:type="dxa" w:w="1440"/>
            <w:shd w:fill="FFDCE0" w:val="clear"/>
          </w:tcPr>
          <w:p>
            <w:r>
              <w:rPr>
                <w:b/>
                <w:sz w:val="17"/>
              </w:rPr>
              <w:t>3,106</w:t>
            </w:r>
          </w:p>
        </w:tc>
        <w:tc>
          <w:tcPr>
            <w:tcW w:type="dxa" w:w="1440"/>
            <w:shd w:fill="FFDCE0" w:val="clear"/>
          </w:tcPr>
          <w:p>
            <w:r>
              <w:rPr>
                <w:sz w:val="17"/>
              </w:rPr>
              <w:t>3,498</w:t>
            </w:r>
          </w:p>
        </w:tc>
        <w:tc>
          <w:tcPr>
            <w:tcW w:type="dxa" w:w="1440"/>
            <w:shd w:fill="FFDCE0" w:val="clear"/>
          </w:tcPr>
          <w:p>
            <w:r>
              <w:rPr>
                <w:b/>
                <w:color w:val="C00000"/>
                <w:sz w:val="17"/>
              </w:rPr>
              <w:t>-5.3%</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2,652</w:t>
            </w:r>
          </w:p>
        </w:tc>
        <w:tc>
          <w:tcPr>
            <w:tcW w:type="dxa" w:w="1440"/>
            <w:shd w:fill="FFDCE0" w:val="clear"/>
          </w:tcPr>
          <w:p>
            <w:r>
              <w:rPr>
                <w:b/>
                <w:sz w:val="17"/>
              </w:rPr>
              <w:t>3,078</w:t>
            </w:r>
          </w:p>
        </w:tc>
        <w:tc>
          <w:tcPr>
            <w:tcW w:type="dxa" w:w="1440"/>
            <w:shd w:fill="FFDCE0" w:val="clear"/>
          </w:tcPr>
          <w:p>
            <w:r>
              <w:rPr>
                <w:sz w:val="17"/>
              </w:rPr>
              <w:t>3,503</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2,596</w:t>
            </w:r>
          </w:p>
        </w:tc>
        <w:tc>
          <w:tcPr>
            <w:tcW w:type="dxa" w:w="1440"/>
            <w:shd w:fill="FFDCE0" w:val="clear"/>
          </w:tcPr>
          <w:p>
            <w:r>
              <w:rPr>
                <w:b/>
                <w:sz w:val="17"/>
              </w:rPr>
              <w:t>3,051</w:t>
            </w:r>
          </w:p>
        </w:tc>
        <w:tc>
          <w:tcPr>
            <w:tcW w:type="dxa" w:w="1440"/>
            <w:shd w:fill="FFDCE0" w:val="clear"/>
          </w:tcPr>
          <w:p>
            <w:r>
              <w:rPr>
                <w:sz w:val="17"/>
              </w:rPr>
              <w:t>3,507</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2,543</w:t>
            </w:r>
          </w:p>
        </w:tc>
        <w:tc>
          <w:tcPr>
            <w:tcW w:type="dxa" w:w="1440"/>
            <w:shd w:fill="FFDCE0" w:val="clear"/>
          </w:tcPr>
          <w:p>
            <w:r>
              <w:rPr>
                <w:b/>
                <w:sz w:val="17"/>
              </w:rPr>
              <w:t>3,026</w:t>
            </w:r>
          </w:p>
        </w:tc>
        <w:tc>
          <w:tcPr>
            <w:tcW w:type="dxa" w:w="1440"/>
            <w:shd w:fill="FFDCE0" w:val="clear"/>
          </w:tcPr>
          <w:p>
            <w:r>
              <w:rPr>
                <w:sz w:val="17"/>
              </w:rPr>
              <w:t>3,509</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2,494</w:t>
            </w:r>
          </w:p>
        </w:tc>
        <w:tc>
          <w:tcPr>
            <w:tcW w:type="dxa" w:w="1440"/>
            <w:shd w:fill="FFDCE0" w:val="clear"/>
          </w:tcPr>
          <w:p>
            <w:r>
              <w:rPr>
                <w:b/>
                <w:sz w:val="17"/>
              </w:rPr>
              <w:t>3,002</w:t>
            </w:r>
          </w:p>
        </w:tc>
        <w:tc>
          <w:tcPr>
            <w:tcW w:type="dxa" w:w="1440"/>
            <w:shd w:fill="FFDCE0" w:val="clear"/>
          </w:tcPr>
          <w:p>
            <w:r>
              <w:rPr>
                <w:sz w:val="17"/>
              </w:rPr>
              <w:t>3,510</w:t>
            </w:r>
          </w:p>
        </w:tc>
        <w:tc>
          <w:tcPr>
            <w:tcW w:type="dxa" w:w="1440"/>
            <w:shd w:fill="FFDCE0" w:val="clear"/>
          </w:tcPr>
          <w:p>
            <w:r>
              <w:rPr>
                <w:b/>
                <w:color w:val="C00000"/>
                <w:sz w:val="17"/>
              </w:rPr>
              <w:t>-8.5%</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2,447</w:t>
            </w:r>
          </w:p>
        </w:tc>
        <w:tc>
          <w:tcPr>
            <w:tcW w:type="dxa" w:w="1440"/>
            <w:shd w:fill="FFDCE0" w:val="clear"/>
          </w:tcPr>
          <w:p>
            <w:r>
              <w:rPr>
                <w:b/>
                <w:sz w:val="17"/>
              </w:rPr>
              <w:t>2,978</w:t>
            </w:r>
          </w:p>
        </w:tc>
        <w:tc>
          <w:tcPr>
            <w:tcW w:type="dxa" w:w="1440"/>
            <w:shd w:fill="FFDCE0" w:val="clear"/>
          </w:tcPr>
          <w:p>
            <w:r>
              <w:rPr>
                <w:sz w:val="17"/>
              </w:rPr>
              <w:t>3,510</w:t>
            </w:r>
          </w:p>
        </w:tc>
        <w:tc>
          <w:tcPr>
            <w:tcW w:type="dxa" w:w="1440"/>
            <w:shd w:fill="FFDCE0" w:val="clear"/>
          </w:tcPr>
          <w:p>
            <w:r>
              <w:rPr>
                <w:b/>
                <w:color w:val="C00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TTLC (TotalEnergies Marketing Côte d'Ivoire)**</w:t>
        <w:br/>
        <w:t>**Bourse Régionale des Valeurs Mobilières (BRVM) — Secteur : Distribution pétrolière / Énergie**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206,51 milliards FCFA, TTLC s'impose comme l'une des plus importantes capitalisations de la cote BRVM, ce qui témoigne de sa stature de leader sectoriel et de la confiance des investisseurs régionaux. Le BPA de 144 FCFA/action signifie que chaque titre génère 144 FCFA de bénéfice net, ce qui, rapporté au cours actuel de 3 280 FCFA, aboutit à un PER de 22,7x — nettement supérieur à la moyenne BRVM (8-12x), traduisant soit une anticipation de croissance forte, soit une surévaluation relative du titre. Le P/B de 5,70x confirme cette prime exigeante : le marché valorise l'entreprise à près de six fois sa valeur comptable (capitaux propres de 36,2 Mds FCFA), ce qui n'est justifiable que par la qualité des actifs immatériels (réseau de 182 stations, notoriété de la marque TotalEnergies) et la régularité des cash-flows. Enfin, l'EV/EBITDA de 11,7x situe la valeur d'entreprise (incluant la dette nette) dans la fourchette haute (10-15x), signalant que l'investisseur paie une prime pour la capacité opérationnelle, cohérent avec un dossier de qualité mais peu bon marché.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TTLC affiche une progression totale de +17,35%, avec un cours actuel de 3 280 FCFA et une variation J-1 nulle (+0,00%), signe d'une séance de consolidation sans pression vendeuse. Le range de trading s'étend de 2 650 FCFA (plus bas) à 3 595 FCFA (plus haut), soit une amplitude de 945 FCFA (35,7%), illustrant une tendance nettement haussière ponctuée de corrections. Les statistiques descriptives révèlent une moyenne de 2 961 FCFA supérieure à la médiane et au mode (2 900 FCFA), confirmant un skewness positif de 1,090 — la distribution est asymétrique à droite, avec davantage de journées sous la moyenne mais quelques pics haussiers marqués qui tirent la moyenne vers le haut. L'écart-type de 207 FCFA (CV = 7,0%) indique une dispersion modérée du cours autour de sa moyenne, tandis que le kurtosis de 0,359 (mésokurtique) suggère une distribution proche de la normale, sans risque excessif de pics extrêmes. La volatilité annualisée de 40,8% classe le titre dans la catégorie **élevée** (&gt;30%), ce qui est cohérent avec un marché frontière comme la BRVM et appelle à une gestion prudente du risque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(3 328,5 FCFA) est légèrement au-dessus du cours actuel (3 280 FCFA), tandis que la MM50 (3 089,5 FCFA) reste nettement en-dessous, ce qui maintient une configuration haussière de fond (cours &gt; MM50) malgré une pression court terme (cours &lt; MM20). La décision affichée est **Achat**, justifiée par le maintien du cours au-dessus de la MM50 et la perspective d'un rebond vers la MM20.</w:t>
      </w:r>
    </w:p>
    <w:p>
      <w:pPr>
        <w:spacing w:after="120" w:line="276" w:lineRule="auto"/>
      </w:pPr>
      <w:r>
        <w:t>**Bandes de Bollinger** : Le cours (3 280 FCFA) évolue dans la partie médiane de la bande (borne supérieure 3 530,65 / borne inférieure 3 126,35), sans toucher les extrêmes, ce qui traduit une volatilité en compression et une absence de signal directionnel fort. La décision **Neutre** est cohérente avec cette position centrale, le marché attendant un catalyseur pour choisir sa direction.</w:t>
      </w:r>
    </w:p>
    <w:p>
      <w:pPr>
        <w:spacing w:after="120" w:line="276" w:lineRule="auto"/>
      </w:pPr>
      <w:r>
        <w:t>**MACD** : La valeur du MACD (58,142) est inférieure à son signal (84,998), générant un croisement baissier et une divergence négative qui indique un essoufflement du momentum haussier. La décision **Vente** signale que la dynamique court terme s'affaiblit, bien que le MACD reste en territoire positif.</w:t>
      </w:r>
    </w:p>
    <w:p>
      <w:pPr>
        <w:spacing w:after="120" w:line="276" w:lineRule="auto"/>
      </w:pPr>
      <w:r>
        <w:t>**RSI** : À 42,308, le RSI se situe dans la zone neutre (30-70), légèrement sous le seuil médian de 50, ce qui reflète un léger déséquilibre vendeur sans condition de survente. La décision **Neutre** suggère l'absence de signal extrême, le titre conservant un potentiel de rebond technique.</w:t>
      </w:r>
    </w:p>
    <w:p>
      <w:pPr>
        <w:spacing w:after="120" w:line="276" w:lineRule="auto"/>
      </w:pPr>
      <w:r>
        <w:t>**Stochastique** : Le %K (20,253) et le %D (21,519) évoluent tous deux en zone de survente (&lt;20 pour le %K), avec un %K légèrement sous le %D, ce qui pourrait annoncer un croisement haussier imminent si le %K repasse au-dessus du %D. La décision **Neutre** traduit cette configuration charnière, à surveiller pour un signal d'achat tactique.</w:t>
      </w:r>
    </w:p>
    <w:p>
      <w:pPr>
        <w:spacing w:after="120" w:line="276" w:lineRule="auto"/>
      </w:pPr>
      <w:r>
        <w:t>**Conclusion technique** : Les indicateurs sont **partagés** — les moyennes mobiles et le stochastique plaident pour un rebond (Achat/Neutre), tandis que le MACD signale une pression vendeuse court terme. Le RSI et les Bollinger confirment une phase de consolidation neutre. La convergence des signaux vers une **zone d'indécision** suggère une attente de confirmation, avec un support clé à 3 126 FCFA (borne basse de Bollinger) et une résistance à 3 328 FCFA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TTLC a réalisé un chiffre d'affaires de 588,709 Mds FCFA, en repli de 5,2% sur un an, dans un contexte de baisse des volumes hors réseau. Le résultat net s'établit à 9,087 Mds FCFA (marge nette de 1,54%), en léger recul de 3% par rapport à 2024 (9,374 Mds FCFA), mais la rentabilité opérationnelle s'améliore nettement : l'EBE progresse de 12% à 22,347 Mds FCFA et le résultat d'exploitation bondit de 18% à 12,329 Mds FCFA, preuve d'une meilleure maîtrise des coûts d'approvisionnement et d'un mix produit plus favorable. Le ROE atteint 25,10% (excellent, &gt;15%) et le ROA 4,82%, confirmant la robustesse de la rentabilité des fonds propres malgré un levier financier élevé (ratio d'endettement de 90,23%). **Adapté au secteur ENTREPRISE** : le BFR est négatif (-9,662 Mds FCFA), ce qui est **favorable** car il signifie que les fournisseurs financent une partie du cycle d'exploitation ; le délai fournisseurs de 49,72 jours et la durée de stockage de 13,80 jours traduisent une gestion efficace du besoin en fonds de roulement. Toutefois, la trésorerie nette est négative (-21,926 Mds FCFA) et la liquidité générale (78,77%) reste inférieure à 1, signalant une dépendance aux crédits court terme. **Estimations basées sur les rapports trimestriels** : selon le rapport T1 2026 (publié en 2026), le chiffre d'affaires progresse de 4,3% à 154,392 Mds FCFA et le résultat net de 5,5% à 2,329 Mds FCFA, marquant une **inversion de tendance** après le repli de 2025 ; on estime donc que l'exercice 2026 devrait renouer avec la croissance, porté par l'expansion du réseau (182 stations) et la diversification énergétique. Le rapport annuel 2025 (publié en 2026) confirme un dividende brut de 10 Mds FCFA, soit un **taux de distribution supérieur à 100%** du résultat net, politique généreuse mais potentiellement risquée pour la trésorerie. **Recommandation fondamentale** : dossier solide et leader, mais valorisation exigeante et payout élevé appellent à la **prudence** — recommandation **CONSERVER**.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contrasté**. Sur le plan de la **valorisation (Partie 0)**, les ratios PER (22,7x), P/B (5,70x) et EV/EBITDA (11,7x) indiquent une **surévaluation relative** par rapport aux standards BRVM, le marché intégrant déjà une prime de qualité et des anticipations de croissance. Le **comportement du cours (Partie 1)** est haussier sur 100 jours (+17,35%) mais la volatilité élevée (40,8%) et le skewness positif (1,090) suggèrent une distribution asymétrique avec des pics haussiers ponctuels, ce qui est favorable mais nécessite une gestion active du risque. Les **signaux techniques (Partie 2)** sont **divergents** : les moyennes mobiles et le stochastique plaident pour un rebond, tandis que le MACD signale une pression vendeuse — cette divergence appelle à la prudence court terme. Les **fondamentaux (Partie 3)** sont **solides** : ROE de 25,10%, EBE en hausse de 12%, BFR négatif favorable, et le rapport T1 2026 (CA +4,3%, RN +5,5%) confirme une reprise de la croissance, bien que la trésorerie nette négative (-21,9 Mds FCFA) et le payout &gt;100% constituent des signaux d'alerte. Les **prédictions IA (J+1 à J+10)** anticipent une **correction baissière** de 3 238 FCFA à 3 106 FCFA (-5,2% sur 10 jours), ce qui **contredit** les signaux haussiers des moyennes mobiles mais **confirme** la pression vendeuse du MACD et la surévaluation relative. **Recommandation finale : CONSERVER** — la convergence entre valorisation exigeante, technique mitigée et fondamentaux solides mais perfectibles justifie une position attentiste. Le niveau de confiance est **Moyen** (divergence entre technique et fondamental) et le risque global **Moyen à Élevé** (volatilité 40,8%, trésorerie négative, payout &gt;100%). L'horizon optimal est le **moyen terme (3-12 mois)**, le temps que la reprise du T1 2026 se confirme et que la valorisation se normalise.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126.73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2,635 titres</w:t>
            </w:r>
          </w:p>
        </w:tc>
        <w:tc>
          <w:tcPr>
            <w:tcW w:type="dxa" w:w="2268"/>
            <w:shd w:fill="FFF2CC" w:val="clear"/>
          </w:tcPr>
          <w:p>
            <w:r>
              <w:rPr>
                <w:b/>
                <w:color w:val="503200"/>
                <w:sz w:val="16"/>
              </w:rPr>
              <w:t xml:space="preserve">Cours actuel : </w:t>
            </w:r>
            <w:r>
              <w:rPr>
                <w:color w:val="000000"/>
                <w:sz w:val="17"/>
              </w:rPr>
              <w:t>3,890 FCFA</w:t>
            </w:r>
          </w:p>
          <w:p>
            <w:r>
              <w:rPr>
                <w:b/>
                <w:color w:val="503200"/>
                <w:sz w:val="16"/>
              </w:rPr>
              <w:t xml:space="preserve">Var. 100 jours : </w:t>
            </w:r>
            <w:r>
              <w:rPr>
                <w:b/>
                <w:color w:val="007800"/>
                <w:sz w:val="17"/>
              </w:rPr>
              <w:t>+18.60%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10.24% (Moyenne) — μ=3,568 FCFA, σ=365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β=0.6968 (Défensif) — Cov=0.000024, Var(idx)=0.000034, ρ=0.143,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3,715</w:t>
            </w:r>
          </w:p>
        </w:tc>
        <w:tc>
          <w:tcPr>
            <w:tcW w:type="dxa" w:w="1440"/>
            <w:shd w:fill="FAFAFA" w:val="clear"/>
          </w:tcPr>
          <w:p>
            <w:r>
              <w:rPr>
                <w:b/>
                <w:sz w:val="17"/>
              </w:rPr>
              <w:t>3,861</w:t>
            </w:r>
          </w:p>
        </w:tc>
        <w:tc>
          <w:tcPr>
            <w:tcW w:type="dxa" w:w="1440"/>
            <w:shd w:fill="FAFAFA" w:val="clear"/>
          </w:tcPr>
          <w:p>
            <w:r>
              <w:rPr>
                <w:sz w:val="17"/>
              </w:rPr>
              <w:t>4,007</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3,651</w:t>
            </w:r>
          </w:p>
        </w:tc>
        <w:tc>
          <w:tcPr>
            <w:tcW w:type="dxa" w:w="1440"/>
            <w:shd w:fill="FAFAFA" w:val="clear"/>
          </w:tcPr>
          <w:p>
            <w:r>
              <w:rPr>
                <w:b/>
                <w:sz w:val="17"/>
              </w:rPr>
              <w:t>3,857</w:t>
            </w:r>
          </w:p>
        </w:tc>
        <w:tc>
          <w:tcPr>
            <w:tcW w:type="dxa" w:w="1440"/>
            <w:shd w:fill="FAFAFA" w:val="clear"/>
          </w:tcPr>
          <w:p>
            <w:r>
              <w:rPr>
                <w:sz w:val="17"/>
              </w:rPr>
              <w:t>4,064</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3,602</w:t>
            </w:r>
          </w:p>
        </w:tc>
        <w:tc>
          <w:tcPr>
            <w:tcW w:type="dxa" w:w="1440"/>
            <w:shd w:fill="FAFAFA" w:val="clear"/>
          </w:tcPr>
          <w:p>
            <w:r>
              <w:rPr>
                <w:b/>
                <w:sz w:val="17"/>
              </w:rPr>
              <w:t>3,854</w:t>
            </w:r>
          </w:p>
        </w:tc>
        <w:tc>
          <w:tcPr>
            <w:tcW w:type="dxa" w:w="1440"/>
            <w:shd w:fill="FAFAFA" w:val="clear"/>
          </w:tcPr>
          <w:p>
            <w:r>
              <w:rPr>
                <w:sz w:val="17"/>
              </w:rPr>
              <w:t>4,106</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3,561</w:t>
            </w:r>
          </w:p>
        </w:tc>
        <w:tc>
          <w:tcPr>
            <w:tcW w:type="dxa" w:w="1440"/>
            <w:shd w:fill="FAFAFA" w:val="clear"/>
          </w:tcPr>
          <w:p>
            <w:r>
              <w:rPr>
                <w:b/>
                <w:sz w:val="17"/>
              </w:rPr>
              <w:t>3,852</w:t>
            </w:r>
          </w:p>
        </w:tc>
        <w:tc>
          <w:tcPr>
            <w:tcW w:type="dxa" w:w="1440"/>
            <w:shd w:fill="FAFAFA" w:val="clear"/>
          </w:tcPr>
          <w:p>
            <w:r>
              <w:rPr>
                <w:sz w:val="17"/>
              </w:rPr>
              <w:t>4,143</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3,525</w:t>
            </w:r>
          </w:p>
        </w:tc>
        <w:tc>
          <w:tcPr>
            <w:tcW w:type="dxa" w:w="1440"/>
            <w:shd w:fill="FAFAFA" w:val="clear"/>
          </w:tcPr>
          <w:p>
            <w:r>
              <w:rPr>
                <w:b/>
                <w:sz w:val="17"/>
              </w:rPr>
              <w:t>3,851</w:t>
            </w:r>
          </w:p>
        </w:tc>
        <w:tc>
          <w:tcPr>
            <w:tcW w:type="dxa" w:w="1440"/>
            <w:shd w:fill="FAFAFA" w:val="clear"/>
          </w:tcPr>
          <w:p>
            <w:r>
              <w:rPr>
                <w:sz w:val="17"/>
              </w:rPr>
              <w:t>4,176</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3,493</w:t>
            </w:r>
          </w:p>
        </w:tc>
        <w:tc>
          <w:tcPr>
            <w:tcW w:type="dxa" w:w="1440"/>
            <w:shd w:fill="FAFAFA" w:val="clear"/>
          </w:tcPr>
          <w:p>
            <w:r>
              <w:rPr>
                <w:b/>
                <w:sz w:val="17"/>
              </w:rPr>
              <w:t>3,850</w:t>
            </w:r>
          </w:p>
        </w:tc>
        <w:tc>
          <w:tcPr>
            <w:tcW w:type="dxa" w:w="1440"/>
            <w:shd w:fill="FAFAFA" w:val="clear"/>
          </w:tcPr>
          <w:p>
            <w:r>
              <w:rPr>
                <w:sz w:val="17"/>
              </w:rPr>
              <w:t>4,206</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3,464</w:t>
            </w:r>
          </w:p>
        </w:tc>
        <w:tc>
          <w:tcPr>
            <w:tcW w:type="dxa" w:w="1440"/>
            <w:shd w:fill="FAFAFA" w:val="clear"/>
          </w:tcPr>
          <w:p>
            <w:r>
              <w:rPr>
                <w:b/>
                <w:sz w:val="17"/>
              </w:rPr>
              <w:t>3,849</w:t>
            </w:r>
          </w:p>
        </w:tc>
        <w:tc>
          <w:tcPr>
            <w:tcW w:type="dxa" w:w="1440"/>
            <w:shd w:fill="FAFAFA" w:val="clear"/>
          </w:tcPr>
          <w:p>
            <w:r>
              <w:rPr>
                <w:sz w:val="17"/>
              </w:rPr>
              <w:t>4,234</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3,436</w:t>
            </w:r>
          </w:p>
        </w:tc>
        <w:tc>
          <w:tcPr>
            <w:tcW w:type="dxa" w:w="1440"/>
            <w:shd w:fill="FAFAFA" w:val="clear"/>
          </w:tcPr>
          <w:p>
            <w:r>
              <w:rPr>
                <w:b/>
                <w:sz w:val="17"/>
              </w:rPr>
              <w:t>3,848</w:t>
            </w:r>
          </w:p>
        </w:tc>
        <w:tc>
          <w:tcPr>
            <w:tcW w:type="dxa" w:w="1440"/>
            <w:shd w:fill="FAFAFA" w:val="clear"/>
          </w:tcPr>
          <w:p>
            <w:r>
              <w:rPr>
                <w:sz w:val="17"/>
              </w:rPr>
              <w:t>4,259</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3,410</w:t>
            </w:r>
          </w:p>
        </w:tc>
        <w:tc>
          <w:tcPr>
            <w:tcW w:type="dxa" w:w="1440"/>
            <w:shd w:fill="FAFAFA" w:val="clear"/>
          </w:tcPr>
          <w:p>
            <w:r>
              <w:rPr>
                <w:b/>
                <w:sz w:val="17"/>
              </w:rPr>
              <w:t>3,847</w:t>
            </w:r>
          </w:p>
        </w:tc>
        <w:tc>
          <w:tcPr>
            <w:tcW w:type="dxa" w:w="1440"/>
            <w:shd w:fill="FAFAFA" w:val="clear"/>
          </w:tcPr>
          <w:p>
            <w:r>
              <w:rPr>
                <w:sz w:val="17"/>
              </w:rPr>
              <w:t>4,283</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3,386</w:t>
            </w:r>
          </w:p>
        </w:tc>
        <w:tc>
          <w:tcPr>
            <w:tcW w:type="dxa" w:w="1440"/>
            <w:shd w:fill="FAFAFA" w:val="clear"/>
          </w:tcPr>
          <w:p>
            <w:r>
              <w:rPr>
                <w:b/>
                <w:sz w:val="17"/>
              </w:rPr>
              <w:t>3,846</w:t>
            </w:r>
          </w:p>
        </w:tc>
        <w:tc>
          <w:tcPr>
            <w:tcW w:type="dxa" w:w="1440"/>
            <w:shd w:fill="FAFAFA" w:val="clear"/>
          </w:tcPr>
          <w:p>
            <w:r>
              <w:rPr>
                <w:sz w:val="17"/>
              </w:rPr>
              <w:t>4,306</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126,73 milliards FCFA, TTLS s'impose comme l'une des valeurs les plus importantes de la cote BRVM, témoignant de la solidité de son leadership sur le marché sénégalais des produits pétroliers. Le BPA de 208 FCFA/action indique que chaque titre génère un bénéfice net de 208 FCFA, ce qui, rapporté au cours actuel de 3 890 FCFA, donne un PER de 18,7x — nettement supérieur à la moyenne du marché BRVM (8-12x), signalant que les investisseurs acceptent de payer une prime pour cette valeur défensive. Le P/B de 4,49x confirme cette valorisation exigeante : le marché valorise TTLS à plus de quatre fois sa valeur comptable, ce qui traduit une forte confiance dans la qualité de ses actifs immatériels (réseau de 140 stations, marque TotalEnergies) mais laisse peu de marge de sécurité en cas de dégradation. En revanche, l'EV/EBITDA de 7,9x apparaît raisonnable dans la fourchette 5-10x, suggérant que la valeur d'entreprise reste cohérente avec la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TTLS affiche une performance remarquable de +18,60%, avec une dernière séance en hausse de +1,04%, confirmant un momentum haussier de court terme. Le titre a évolué dans un range de 2 845 FCFA (plus bas) à 4 500 FCFA (plus haut), soit une amplitude de trading de 58%, reflétant une volatilité intra-période significative malgré la tendance générale haussière. Les statistiques descriptives révèlent une moyenne de 3 568 FCFA et une médiane de 3 592 FCFA, très proches l'une de l'autre, ce qui indique une distribution quasi-symétrique du cours sans biais marqué ; le mode à 3 800 FCFA suggère que ce niveau a constitué un point d'équilibre fréquent. L'écart-type de 367 FCFA avec un coefficient de variation de 10,3% traduit une dispersion modérée autour de la moyenne, tandis que le kurtosis de -0,376 (mésokurtique) indique une distribution proche de la normale, sans risque excessif de pics extrêmes. Le skewness de 0,185 confirme cette symétrie avec une très légère asymétrie positive, et la volatilité annualisée de 45,3% positionne le titre dans la catégorie des valeurs à volatilité élevée (&gt;30%), ce qui est cohérent avec son statut de valeur pétrolière exposée aux prix internationaux et aux décisions réglementaires.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(3 807,5 FCFA) et la MM50 (3 845,3 FCFA) se situent toutes deux en dessous du cours actuel (3 890 FCFA), mais la MM20 est inférieure à la MM50, ce qui constitue un croisement baissier (death cross) potentiel. La décision technique est à la Vente, car le cours reste coincé entre ces deux moyennes sans parvenir à les dépasser durablement, signalant une perte de momentum haussier.</w:t>
      </w:r>
    </w:p>
    <w:p>
      <w:pPr>
        <w:spacing w:after="120" w:line="276" w:lineRule="auto"/>
      </w:pPr>
      <w:r>
        <w:t>**Bandes de Bollinger** : Le cours actuel (3 890 FCFA) se situe dans la partie supérieure de la bande, entre la borne inférieure (3 635,5 FCFA) et la borne supérieure (3 979,5 FCFA), sans les toucher. La décision est Neutre, car le cours évolue dans la zone médiane-haute sans signal de surachat ou de survente, et la largeur des bandes suggère une volatilité modérée.</w:t>
      </w:r>
    </w:p>
    <w:p>
      <w:pPr>
        <w:spacing w:after="120" w:line="276" w:lineRule="auto"/>
      </w:pPr>
      <w:r>
        <w:t>**MACD** : La valeur du MACD (29,674) est supérieure à son signal (22,248), avec un histogramme positif, ce qui confirme un momentum haussier en cours. La décision est à l'Achat, car la divergence positive entre MACD et signal indique que la dynamique haussière pourrait se poursuivre à court terme.</w:t>
      </w:r>
    </w:p>
    <w:p>
      <w:pPr>
        <w:spacing w:after="120" w:line="276" w:lineRule="auto"/>
      </w:pPr>
      <w:r>
        <w:t>**RSI** : À 49,091, le RSI se situe exactement dans la zone neutre (30-70), sans signal de surachat (&gt;70) ni de survente (&lt;30). La décision est Neutre, car le titre ne présente ni excès haussier ni excès baissier, laissant la porte ouverte à une consolidation ou une reprise selon les catalyseurs.</w:t>
      </w:r>
    </w:p>
    <w:p>
      <w:pPr>
        <w:spacing w:after="120" w:line="276" w:lineRule="auto"/>
      </w:pPr>
      <w:r>
        <w:t>**Stochastique** : Le %K (100,0) est en zone de surachat extrême, tandis que le %D (77,367) reste élevé mais en dessous du %K. La décision est à la Vente, car le %K à 100 signale que le cours a atteint un sommet de court terme et qu'un retournement baissier est probable, d'autant plus que le croisement %K/%D pourrait se produire prochainement.</w:t>
      </w:r>
    </w:p>
    <w:p>
      <w:pPr>
        <w:spacing w:after="120" w:line="276" w:lineRule="auto"/>
      </w:pPr>
      <w:r>
        <w:t>**Conclusion technique** : Les indicateurs sont divergents — le MACD est haussier, mais les moyennes mobiles et le stochastique sont baissiers, tandis que le RSI et les Bollinger sont neutres. Cette configuration suggère une phase d'incertitude avec un risque de correction à court terme, le stochastique en surachat extrême constituant le signal le plus préoccupant. Une consolidation vers la MM20 (3 807 FCFA) ou la borne inférieure des Bollinger (3 635 FCFA) est envisageable avant une reprise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Sénégal (TTLS) a réalisé un chiffre d'affaires de 455,209 milliards FCFA, en baisse de 6,1% par rapport à 2024 (484,945 milliards FCFA), selon les états financiers annuels 2025. Le résultat net s'établit à 6,779 milliards FCFA (contre 7,140 milliards en 2024, soit -5,1%), avec une marge nette de 1,49% — typique du secteur de distribution pétrolière. Le ROE atteint 24,0%, un niveau excellent (&gt;15%), tandis que le ROA est de 3,95%, reflétant la faible rotation des actifs (265%) et la structure bilancielle lourde. Les points forts incluent un BFR négatif de -36,899 milliards FCFA (favorable), une trésorerie nette positive de 13,941 milliards FCFA, et un ratio de solvabilité générale de 119,7% (&gt;1 = solvable). Cependant, l'autonomie financière est faible (16,4% contre &gt;30% recommandé), et le ratio d'endettement de 52,2% reste élevé. Les délais clients (47,43 jours) et fournisseurs (97,76 jours) sont maîtrisés, mais le délai fournisseurs élevé constitue un levier de trésorerie favorable. Sur la base du rapport T1 2026 (publié le 31 mars 2026), le chiffre d'affaires recule de 10% à 99,9 milliards FCFA, mais le résultat d'exploitation progresse de 28% à 2,623 milliards FCFA et le résultat net de 5% à 1,585 milliards FCFA, grâce à l'amélioration des marges sur les lubrifiants. On estime donc que l'exercice 2026 devrait bénéficier d'une meilleure qualité des bénéfices, malgré la pression réglementaire sur les prix à la pompe. La recommandation fondamentale est de **CONSERVER** : la société est solide, résiliente et génère du cash-flow, mais sa valorisation exigeante et la faiblesse de sa marge nette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(PER 18,7x, P/B 4,49x) indique une surévaluation relative par rapport à la moyenne du marché BRVM, bien que l'EV/EBITDA (7,9x) reste raisonnable. Le comportement du cours sur 100 jours est haussier (+18,60%) avec une volatilité élevée (45,3%) et une distribution symétrique (skewness 0,185, kurtosis -0,376), ce qui est globalement favorable mais expose à des corrections. Les signaux techniques sont divergents : le MACD est haussier, mais les moyennes mobiles et le stochastique (en surachat extrême) sont baissiers, tandis que le RSI et les Bollinger sont neutres — cette configuration suggère une consolidation imminente. Les fondamentaux sont solides (ROE 24%, trésorerie nette positive, BFR négatif) mais montrent une érosion du chiffre d'affaires et une marge nette faible (1,49%), avec des perspectives 2026 améliorées par la hausse des marges sur les lubrifiants (T1 2026 : résultat net +5%). Les prédictions IA pour les 10 prochains jours (3 861 → 3 851 FCFA) anticipent une légère baisse de -1,0%, ce qui contredit le momentum haussier récent et confirme le risque de correction technique. Sur la base de cette synthèse, la recommandation finale est **CONSERVER**, avec un niveau de confiance **Moyen** et un risque global **Moyen**. L'horizon d'investissement optimal est le **moyen terme (3-12 mois)**, en attendant la confirmation d'une reprise durable des volumes et une clarification sur la politique de dividende, qui reste le principal attrait pour les investisseurs de rendement.</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495.90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20 titres</w:t>
            </w:r>
          </w:p>
        </w:tc>
        <w:tc>
          <w:tcPr>
            <w:tcW w:type="dxa" w:w="2268"/>
            <w:shd w:fill="FFF2CC" w:val="clear"/>
          </w:tcPr>
          <w:p>
            <w:r>
              <w:rPr>
                <w:b/>
                <w:color w:val="503200"/>
                <w:sz w:val="16"/>
              </w:rPr>
              <w:t xml:space="preserve">Cours actuel : </w:t>
            </w:r>
            <w:r>
              <w:rPr>
                <w:color w:val="000000"/>
                <w:sz w:val="17"/>
              </w:rPr>
              <w:t>54,000 FCFA</w:t>
            </w:r>
          </w:p>
          <w:p>
            <w:r>
              <w:rPr>
                <w:b/>
                <w:color w:val="503200"/>
                <w:sz w:val="16"/>
              </w:rPr>
              <w:t xml:space="preserve">Var. 100 jours : </w:t>
            </w:r>
            <w:r>
              <w:rPr>
                <w:b/>
                <w:color w:val="B40000"/>
                <w:sz w:val="17"/>
              </w:rPr>
              <w:t>-12.90%</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5.38% (Moyenne) — μ=55,849 FCFA, σ=3,005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β=-0.1613 (Contre-cyclique) — Cov=-0.000006, Var(idx)=0.000035, ρ=-0.026,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20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50,170</w:t>
            </w:r>
          </w:p>
        </w:tc>
        <w:tc>
          <w:tcPr>
            <w:tcW w:type="dxa" w:w="1440"/>
            <w:shd w:fill="FAFAFA" w:val="clear"/>
          </w:tcPr>
          <w:p>
            <w:r>
              <w:rPr>
                <w:b/>
                <w:sz w:val="17"/>
              </w:rPr>
              <w:t>53,478</w:t>
            </w:r>
          </w:p>
        </w:tc>
        <w:tc>
          <w:tcPr>
            <w:tcW w:type="dxa" w:w="1440"/>
            <w:shd w:fill="FAFAFA" w:val="clear"/>
          </w:tcPr>
          <w:p>
            <w:r>
              <w:rPr>
                <w:sz w:val="17"/>
              </w:rPr>
              <w:t>56,787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48,888</w:t>
            </w:r>
          </w:p>
        </w:tc>
        <w:tc>
          <w:tcPr>
            <w:tcW w:type="dxa" w:w="1440"/>
            <w:shd w:fill="FAFAFA" w:val="clear"/>
          </w:tcPr>
          <w:p>
            <w:r>
              <w:rPr>
                <w:b/>
                <w:sz w:val="17"/>
              </w:rPr>
              <w:t>53,575</w:t>
            </w:r>
          </w:p>
        </w:tc>
        <w:tc>
          <w:tcPr>
            <w:tcW w:type="dxa" w:w="1440"/>
            <w:shd w:fill="FAFAFA" w:val="clear"/>
          </w:tcPr>
          <w:p>
            <w:r>
              <w:rPr>
                <w:sz w:val="17"/>
              </w:rPr>
              <w:t>58,263</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47,830</w:t>
            </w:r>
          </w:p>
        </w:tc>
        <w:tc>
          <w:tcPr>
            <w:tcW w:type="dxa" w:w="1440"/>
            <w:shd w:fill="FAFAFA" w:val="clear"/>
          </w:tcPr>
          <w:p>
            <w:r>
              <w:rPr>
                <w:b/>
                <w:sz w:val="17"/>
              </w:rPr>
              <w:t>53,570</w:t>
            </w:r>
          </w:p>
        </w:tc>
        <w:tc>
          <w:tcPr>
            <w:tcW w:type="dxa" w:w="1440"/>
            <w:shd w:fill="FAFAFA" w:val="clear"/>
          </w:tcPr>
          <w:p>
            <w:r>
              <w:rPr>
                <w:sz w:val="17"/>
              </w:rPr>
              <w:t>59,311</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46,913</w:t>
            </w:r>
          </w:p>
        </w:tc>
        <w:tc>
          <w:tcPr>
            <w:tcW w:type="dxa" w:w="1440"/>
            <w:shd w:fill="FAFAFA" w:val="clear"/>
          </w:tcPr>
          <w:p>
            <w:r>
              <w:rPr>
                <w:b/>
                <w:sz w:val="17"/>
              </w:rPr>
              <w:t>53,538</w:t>
            </w:r>
          </w:p>
        </w:tc>
        <w:tc>
          <w:tcPr>
            <w:tcW w:type="dxa" w:w="1440"/>
            <w:shd w:fill="FAFAFA" w:val="clear"/>
          </w:tcPr>
          <w:p>
            <w:r>
              <w:rPr>
                <w:sz w:val="17"/>
              </w:rPr>
              <w:t>60,162</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46,095</w:t>
            </w:r>
          </w:p>
        </w:tc>
        <w:tc>
          <w:tcPr>
            <w:tcW w:type="dxa" w:w="1440"/>
            <w:shd w:fill="FAFAFA" w:val="clear"/>
          </w:tcPr>
          <w:p>
            <w:r>
              <w:rPr>
                <w:b/>
                <w:sz w:val="17"/>
              </w:rPr>
              <w:t>53,495</w:t>
            </w:r>
          </w:p>
        </w:tc>
        <w:tc>
          <w:tcPr>
            <w:tcW w:type="dxa" w:w="1440"/>
            <w:shd w:fill="FAFAFA" w:val="clear"/>
          </w:tcPr>
          <w:p>
            <w:r>
              <w:rPr>
                <w:sz w:val="17"/>
              </w:rPr>
              <w:t>60,895</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45,348</w:t>
            </w:r>
          </w:p>
        </w:tc>
        <w:tc>
          <w:tcPr>
            <w:tcW w:type="dxa" w:w="1440"/>
            <w:shd w:fill="FAFAFA" w:val="clear"/>
          </w:tcPr>
          <w:p>
            <w:r>
              <w:rPr>
                <w:b/>
                <w:sz w:val="17"/>
              </w:rPr>
              <w:t>53,447</w:t>
            </w:r>
          </w:p>
        </w:tc>
        <w:tc>
          <w:tcPr>
            <w:tcW w:type="dxa" w:w="1440"/>
            <w:shd w:fill="FAFAFA" w:val="clear"/>
          </w:tcPr>
          <w:p>
            <w:r>
              <w:rPr>
                <w:sz w:val="17"/>
              </w:rPr>
              <w:t>61,546</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44,657</w:t>
            </w:r>
          </w:p>
        </w:tc>
        <w:tc>
          <w:tcPr>
            <w:tcW w:type="dxa" w:w="1440"/>
            <w:shd w:fill="FAFAFA" w:val="clear"/>
          </w:tcPr>
          <w:p>
            <w:r>
              <w:rPr>
                <w:b/>
                <w:sz w:val="17"/>
              </w:rPr>
              <w:t>53,397</w:t>
            </w:r>
          </w:p>
        </w:tc>
        <w:tc>
          <w:tcPr>
            <w:tcW w:type="dxa" w:w="1440"/>
            <w:shd w:fill="FAFAFA" w:val="clear"/>
          </w:tcPr>
          <w:p>
            <w:r>
              <w:rPr>
                <w:sz w:val="17"/>
              </w:rPr>
              <w:t>62,137</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44,012</w:t>
            </w:r>
          </w:p>
        </w:tc>
        <w:tc>
          <w:tcPr>
            <w:tcW w:type="dxa" w:w="1440"/>
            <w:shd w:fill="FAFAFA" w:val="clear"/>
          </w:tcPr>
          <w:p>
            <w:r>
              <w:rPr>
                <w:b/>
                <w:sz w:val="17"/>
              </w:rPr>
              <w:t>53,347</w:t>
            </w:r>
          </w:p>
        </w:tc>
        <w:tc>
          <w:tcPr>
            <w:tcW w:type="dxa" w:w="1440"/>
            <w:shd w:fill="FAFAFA" w:val="clear"/>
          </w:tcPr>
          <w:p>
            <w:r>
              <w:rPr>
                <w:sz w:val="17"/>
              </w:rPr>
              <w:t>62,681</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43,404</w:t>
            </w:r>
          </w:p>
        </w:tc>
        <w:tc>
          <w:tcPr>
            <w:tcW w:type="dxa" w:w="1440"/>
            <w:shd w:fill="FAFAFA" w:val="clear"/>
          </w:tcPr>
          <w:p>
            <w:r>
              <w:rPr>
                <w:b/>
                <w:sz w:val="17"/>
              </w:rPr>
              <w:t>53,296</w:t>
            </w:r>
          </w:p>
        </w:tc>
        <w:tc>
          <w:tcPr>
            <w:tcW w:type="dxa" w:w="1440"/>
            <w:shd w:fill="FAFAFA" w:val="clear"/>
          </w:tcPr>
          <w:p>
            <w:r>
              <w:rPr>
                <w:sz w:val="17"/>
              </w:rPr>
              <w:t>63,187</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42,828</w:t>
            </w:r>
          </w:p>
        </w:tc>
        <w:tc>
          <w:tcPr>
            <w:tcW w:type="dxa" w:w="1440"/>
            <w:shd w:fill="FAFAFA" w:val="clear"/>
          </w:tcPr>
          <w:p>
            <w:r>
              <w:rPr>
                <w:b/>
                <w:sz w:val="17"/>
              </w:rPr>
              <w:t>53,245</w:t>
            </w:r>
          </w:p>
        </w:tc>
        <w:tc>
          <w:tcPr>
            <w:tcW w:type="dxa" w:w="1440"/>
            <w:shd w:fill="FAFAFA" w:val="clear"/>
          </w:tcPr>
          <w:p>
            <w:r>
              <w:rPr>
                <w:sz w:val="17"/>
              </w:rPr>
              <w:t>63,661</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CÔTE D'IVOIRE (UNLC)</w:t>
        <w:br/>
        <w:t>## BRVM | Analyse complète au 13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**495,90 milliards FCFA**, un niveau qui la place parmi les valeurs les plus importantes de la BRVM, bien que très en deçà des poids lourds comme SONATEL. Les ratios de valorisation boursière (BPA, PER, P/B, EV/EBITDA) ne sont pas calculables en l'état, faute de données financières structurées exploitables dans la base — situation qui s'explique par la publication de rapports financiers anciens (dernier exercice certifié disponible : 2023) et l'absence de consensus bénéficiaire actualisé. À titre indicatif, avec un résultat net 2023 de 640,3 millions FCFA et un nombre d'actions estimé à environ 9,18 millions (capitalisation 495,9 Mds / cours 54 000 FCFA), le BPA ressortirait à environ **70 FCFA**, soit un PER implicite d'environ **771x** — un niveau stratosphérique qui traduit une décorrélation totale entre le prix de marché et la capacité bénéficiaire actuelle de la société. Le marché valorise donc UNLC bien au-dessus de sa valeur comptable (capitaux propres négatifs de -10 658 M FCFA en 2023) et de sa capacité opérationnelle, ce qui constitue un signal de surévaluation manifeste en l'absence de redressement fondamental confirmé.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affiche une **variation totale de -12,90%**, avec une dernière séance en repli de **-0,55%**, portant le cours actuel à **54 000 FCFA**. Le titre a évolué dans un range de **50 000 FCFA (plus bas) à 63 345 FCFA (plus haut)**, soit un écart de plus de 26% entre les extrêmes, traduisant une tendance générale **baissière** malgré quelques rebonds techniques. Les statistiques descriptives révèlent une **moyenne de 55 849 FCFA** quasi identique à la **médiane de 55 838 FCFA**, confirmant une distribution symétrique du cours sur la période, sans biais directionnel marqué. L'**écart-type de 3 020 FCFA** avec un **coefficient de variation de 5,4%** indique une dispersion modérée autour de la moyenne, tandis que le **kurtosis de -0,475 (mésokurtique)** suggère une distribution proche de la normale, sans risque de pics extrêmes significatifs. Le **skewness de 0,181** confirme cette symétrie, avec une très légère asymétrie positive. La **volatilité annualisée de 58,9%** positionne le titre dans la catégorie des valeurs **très volatiles** (seuil &gt;30%), ce qui implique un risque de marché élevé pour l'investisseur, bien que le volume moyen quotidien de seulement **20 titres** révèle une liquidité extrêmement faible, rendant toute sortie de position difficile sans impact sur le cours.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**54 092,75 FCFA** et la MM50 à **53 611,40 FCFA**, toutes deux inférieures au cours actuel de 54 000 FCFA, ce qui place le titre légèrement au-dessus de ses moyennes. Cette configuration (MM20 &gt; MM50 et cours &gt; MM20) est haussière à court terme et justifie la décision **Achat** fournie, bien que l'écart très faible entre les deux moyennes (481 FCFA) traduise une dynamique peu affirmée.</w:t>
      </w:r>
    </w:p>
    <w:p>
      <w:pPr>
        <w:spacing w:after="120" w:line="276" w:lineRule="auto"/>
      </w:pPr>
      <w:r>
        <w:t>**Bandes de Bollinger** : La borne supérieure se situe à **58 336,97 FCFA** et la borne inférieure à **49 848,53 FCFA**, avec un cours actuel de 54 000 FCFA positionné légèrement au-dessus de la bande médiane (moyenne à 20 jours). L'amplitude des bandes (8 488 FCFA) reflète une volatilité significative, et la position du cours dans la partie médiane justifie la décision **Neutre** — ni suracheté, ni survendu.</w:t>
      </w:r>
    </w:p>
    <w:p>
      <w:pPr>
        <w:spacing w:after="120" w:line="276" w:lineRule="auto"/>
      </w:pPr>
      <w:r>
        <w:t>**MACD** : La valeur du MACD est de **-261,275** contre un signal à **-244,291**, soit un MACD inférieur à son signal de 16,98 points. Cette configuration négative indique un **momentum baissier** persistant, bien que l'écart reste modéré, ce qui justifie la décision **Vente** fournie par l'indicateur.</w:t>
      </w:r>
    </w:p>
    <w:p>
      <w:pPr>
        <w:spacing w:after="120" w:line="276" w:lineRule="auto"/>
      </w:pPr>
      <w:r>
        <w:t>**RSI** : À **55,339**, le RSI se situe dans la zone neutre (30-70), sans signal de surachat (&gt;70) ni de survente (&lt;30). Cette valeur médiane traduit un équilibre entre acheteurs et vendeurs, justifiant la décision **Neutre** — le titre ne présente pas de déséquilibre technique exploitable.</w:t>
      </w:r>
    </w:p>
    <w:p>
      <w:pPr>
        <w:spacing w:after="120" w:line="276" w:lineRule="auto"/>
      </w:pPr>
      <w:r>
        <w:t>**Stochastique** : Le %K s'établit à **58,651** et le %D à **54,089**, avec un %K légèrement supérieur au %D, ce qui constitue un signal haussier faible (croisement récent potentiel). Les deux valeurs se situent dans la zone neutre, sans surachat ni survente, justifiant la décision **Neutre**.</w:t>
      </w:r>
    </w:p>
    <w:p>
      <w:pPr>
        <w:spacing w:after="120" w:line="276" w:lineRule="auto"/>
      </w:pPr>
      <w:r>
        <w:t>**Conclusion technique** : Les indicateurs techniques présentent une **divergence notable** : les moyennes mobiles suggèrent un achat (cours &gt; MM20 &gt; MM50) tandis que le MACD confirme une vente (momentum négatif), le RSI et le stochastique restant neutres. Cette configuration mitigée, couplée à une volatilité élevée (58,9%) et une liquidité quasi inexistante (20 titres/jour), plaide pour une **grande prudence** — aucun signal fort ne se dégage, et le risque de faux signaux est amplifié par la faible profondeur du marché.</w:t>
      </w:r>
    </w:p>
    <w:p>
      <w:pPr>
        <w:spacing w:after="120" w:line="276" w:lineRule="auto"/>
      </w:pPr>
      <w:r>
        <w:t>---</w:t>
      </w:r>
    </w:p>
    <w:p>
      <w:pPr>
        <w:spacing w:after="120" w:line="276" w:lineRule="auto"/>
      </w:pPr>
      <w:r>
        <w:t>## 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**En 2023**, UNILEVER Côte d'Ivoire a réalisé un **chiffre d'affaires de 24 336 010 000 FCFA**, stable par rapport à 2022 (même montant), traduisant une **stagnation totale de l'activité**. Le **résultat net 2023 s'élève à 640 334 855 FCFA**, en amélioration spectaculaire par rapport à la **perte nette de 6 908 362 002 FCFA en 2022** (ou -6 382 600 386 FCFA selon le rapport provisoire 2022), mais cette amélioration reste fragile : la **marge nette 2023 n'est que de 2,63%**, très en dessous de la moyenne sectorielle FMCG (5-10%). Le **résultat d'exploitation 2023 est positif à 3 340 M FCFA** (contre -6 258 M FCFA en 2022), grâce à une réduction des charges et une hausse des produits accessoires, mais les **capitaux propres restent négatifs à -10 658 M FCFA** et le **report à nouveau négatif de -35 635 M FCFA** obère toute perspective de dividende à court terme. **En 2022**, le CA s'élevait à 36 174,6 M FCFA (selon un rapport) ou 24 336 M FCFA (selon un autre), la divergence provenant probablement de périmètres différents (activités cédées), avec une **perte nette de -6 382,6 M FCFA** et une **marge nette de -17,6%**. **En 2021**, le CA était de 24 336 M FCFA avec un **résultat net de +6 090,7 M FCFA** (marge nette 25,0%), mais ce bénéfice incluait des produits exceptionnels liés à la cession de la marque Lipton (+16,7 Mds FCFA), sans lesquels la société était en perte opérationnelle. **L'évolution 2021-2023** montre une **dégradation structurelle** : passage d'un bénéfice exceptionnel (2021) à une perte massive (2022) puis à un redressement fragile (2023), avec des **capitaux propres constamment négatifs** et un **endettement financier de 4 379 M FCFA en 2023** (vs 3 827 M FCFA en 2022). Les **ratios ROE et ROA ne sont pas calculables** en raison de capitaux propres négatifs, ce qui constitue en soi un signal d'alerte majeur. La **trésorerie passive de 14 874 M FCFA** (dettes fournisseurs et fiscales) dépasse largement la trésorerie active non communiquée, indiquant un **risque de liquidité élevé**. En synthèse, la situation fondamentale d'UNLC reste **précaire** : absence de croissance du CA, marge nette insignifiante, capitaux propres négatifs, endettement croissant et absence de dividende depuis plusieurs années. Les rapports 2021-2023, bien qu'anciens (plus de 2 ans), révèlent une **fragilité structurelle persistante** qui ne permet pas d'envisager un redressement durable à court terme, malgré les signes d'amélioration opérationnelle de 2023.</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converge vers une **recommandation de VENTE** pour l'action UNLC. **En termes de valorisation (Partie 0)**, la capitalisation de 495,9 Mds FCFA pour un résultat net de 640 M FCFA implique un PER implicite d'environ 771x, soit une **surévaluation extrême** par rapport au PER moyen de la BRVM (8-12x), et les capitaux propres négatifs rendent le P/B ininterprétable — le marché valorise l'action bien au-delà de toute réalité fondamentale. **Le comportement du cours (Partie 1)** révèle une tendance baissière (-12,90% sur 100 jours) avec une volatilité très élevée (58,9%) et une liquidité quasi nulle (20 titres/jour), ce qui constitue un **profil risque-rendement défavorable** ; la distribution symétrique (skewness 0,181) et mésokurtique (kurtosis -0,475) n'offre aucune prime de risque compensatoire. **Les signaux techniques (Partie 2)** sont divergents : les moyennes mobiles suggèrent un achat marginal, mais le MACD confirme une vente, le RSI et le stochastique restant neutres — cette absence de convergence technique, couplée à la faible liquidité, rend les signaux peu fiables. **Les fondamentaux (Partie 3)** demeurent le point le plus préoccupant : stagnation du CA à 24 336 M FCFA en 2023, marge nette de 2,63%, capitaux propres négatifs (-10 658 M FCFA), endettement croissant (4 379 M FCFA) et absence de dividende — la société ne présente aucune perspective de redressement durable à court terme. **Les prédictions IA (J+1 à J+10)** anticipent une trajectoire légèrement baissière, avec un cours passant de 53 478 FCFA (14/09) à 53 495 FCFA (18/09), confirmant la tendance baissière actuelle et contredisant le signal d'achat des moyennes mobiles. **En conséquence, la convergence des signaux — valorisation extrême, fondamentaux dégradés, technique mitigée et prédictions baissières — justifie une recommandation de VENTE**, avec un **niveau de confiance Élevé** (les fondamentaux et la valorisation sont sans ambiguïté), un **niveau de risque Élevé** (volatilité 58,9%, liquidité nulle, capitaux propres négatifs) et un **horizon d'investissement court terme** (les investisseurs détenant le titre devraient envisager une sortie rapide, tandis que les acheteurs potentiels devraient s'abstenir jusqu'à preuve d'un redressement fondamental durable, ce qui n'est pas anticipé avant 2027 au mieux).</w:t>
      </w:r>
    </w:p>
    <w:p>
      <w:pPr>
        <w:spacing w:after="120" w:line="276" w:lineRule="auto"/>
      </w:pPr>
      <w:r>
        <w:t>---</w:t>
      </w:r>
    </w:p>
    <w:p>
      <w:pPr>
        <w:spacing w:after="120" w:line="276" w:lineRule="auto"/>
      </w:pPr>
      <w:r>
        <w:t>*Rapport généré le 13 septembre 2026 — Sources : BRVM, rapports financiers officiels UNLC (exercices 2020-2023), analyses Mistral AI. Les données fondamentales utilisées datent de 2023 (dernier exercice certifié disponible) et doivent être interprétées avec prudence compte tenu de leur ancienneté.*</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13,195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+28.00%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13.86% (Moyenne) — μ=1,941 FCFA, σ=269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β=-0.1438 (Contre-cyclique) — Cov=-0.000005, Var(idx)=0.000034, ρ=-0.027,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13,195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2,270</w:t>
            </w:r>
          </w:p>
        </w:tc>
        <w:tc>
          <w:tcPr>
            <w:tcW w:type="dxa" w:w="1440"/>
            <w:shd w:fill="FAFAFA" w:val="clear"/>
          </w:tcPr>
          <w:p>
            <w:r>
              <w:rPr>
                <w:b/>
                <w:sz w:val="17"/>
              </w:rPr>
              <w:t>2,367</w:t>
            </w:r>
          </w:p>
        </w:tc>
        <w:tc>
          <w:tcPr>
            <w:tcW w:type="dxa" w:w="1440"/>
            <w:shd w:fill="FAFAFA" w:val="clear"/>
          </w:tcPr>
          <w:p>
            <w:r>
              <w:rPr>
                <w:sz w:val="17"/>
              </w:rPr>
              <w:t>2,463</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2,223</w:t>
            </w:r>
          </w:p>
        </w:tc>
        <w:tc>
          <w:tcPr>
            <w:tcW w:type="dxa" w:w="1440"/>
            <w:shd w:fill="FAFAFA" w:val="clear"/>
          </w:tcPr>
          <w:p>
            <w:r>
              <w:rPr>
                <w:b/>
                <w:sz w:val="17"/>
              </w:rPr>
              <w:t>2,359</w:t>
            </w:r>
          </w:p>
        </w:tc>
        <w:tc>
          <w:tcPr>
            <w:tcW w:type="dxa" w:w="1440"/>
            <w:shd w:fill="FAFAFA" w:val="clear"/>
          </w:tcPr>
          <w:p>
            <w:r>
              <w:rPr>
                <w:sz w:val="17"/>
              </w:rPr>
              <w:t>2,495</w:t>
            </w:r>
          </w:p>
        </w:tc>
        <w:tc>
          <w:tcPr>
            <w:tcW w:type="dxa" w:w="1440"/>
            <w:shd w:fill="FAFAFA" w:val="clear"/>
          </w:tcPr>
          <w:p>
            <w:r>
              <w:rPr>
                <w:b/>
                <w:color w:val="C00000"/>
                <w:sz w:val="17"/>
              </w:rPr>
              <w:t>-1.7%</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2,183</w:t>
            </w:r>
          </w:p>
        </w:tc>
        <w:tc>
          <w:tcPr>
            <w:tcW w:type="dxa" w:w="1440"/>
            <w:shd w:fill="FFDCE0" w:val="clear"/>
          </w:tcPr>
          <w:p>
            <w:r>
              <w:rPr>
                <w:b/>
                <w:sz w:val="17"/>
              </w:rPr>
              <w:t>2,349</w:t>
            </w:r>
          </w:p>
        </w:tc>
        <w:tc>
          <w:tcPr>
            <w:tcW w:type="dxa" w:w="1440"/>
            <w:shd w:fill="FFDCE0" w:val="clear"/>
          </w:tcPr>
          <w:p>
            <w:r>
              <w:rPr>
                <w:sz w:val="17"/>
              </w:rPr>
              <w:t>2,514</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2,148</w:t>
            </w:r>
          </w:p>
        </w:tc>
        <w:tc>
          <w:tcPr>
            <w:tcW w:type="dxa" w:w="1440"/>
            <w:shd w:fill="FFDCE0" w:val="clear"/>
          </w:tcPr>
          <w:p>
            <w:r>
              <w:rPr>
                <w:b/>
                <w:sz w:val="17"/>
              </w:rPr>
              <w:t>2,339</w:t>
            </w:r>
          </w:p>
        </w:tc>
        <w:tc>
          <w:tcPr>
            <w:tcW w:type="dxa" w:w="1440"/>
            <w:shd w:fill="FFDCE0" w:val="clear"/>
          </w:tcPr>
          <w:p>
            <w:r>
              <w:rPr>
                <w:sz w:val="17"/>
              </w:rPr>
              <w:t>2,529</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2,117</w:t>
            </w:r>
          </w:p>
        </w:tc>
        <w:tc>
          <w:tcPr>
            <w:tcW w:type="dxa" w:w="1440"/>
            <w:shd w:fill="FFDCE0" w:val="clear"/>
          </w:tcPr>
          <w:p>
            <w:r>
              <w:rPr>
                <w:b/>
                <w:sz w:val="17"/>
              </w:rPr>
              <w:t>2,329</w:t>
            </w:r>
          </w:p>
        </w:tc>
        <w:tc>
          <w:tcPr>
            <w:tcW w:type="dxa" w:w="1440"/>
            <w:shd w:fill="FFDCE0" w:val="clear"/>
          </w:tcPr>
          <w:p>
            <w:r>
              <w:rPr>
                <w:sz w:val="17"/>
              </w:rPr>
              <w:t>2,541</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2,089</w:t>
            </w:r>
          </w:p>
        </w:tc>
        <w:tc>
          <w:tcPr>
            <w:tcW w:type="dxa" w:w="1440"/>
            <w:shd w:fill="FFDCE0" w:val="clear"/>
          </w:tcPr>
          <w:p>
            <w:r>
              <w:rPr>
                <w:b/>
                <w:sz w:val="17"/>
              </w:rPr>
              <w:t>2,320</w:t>
            </w:r>
          </w:p>
        </w:tc>
        <w:tc>
          <w:tcPr>
            <w:tcW w:type="dxa" w:w="1440"/>
            <w:shd w:fill="FFDCE0" w:val="clear"/>
          </w:tcPr>
          <w:p>
            <w:r>
              <w:rPr>
                <w:sz w:val="17"/>
              </w:rPr>
              <w:t>2,551</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2,062</w:t>
            </w:r>
          </w:p>
        </w:tc>
        <w:tc>
          <w:tcPr>
            <w:tcW w:type="dxa" w:w="1440"/>
            <w:shd w:fill="FFDCE0" w:val="clear"/>
          </w:tcPr>
          <w:p>
            <w:r>
              <w:rPr>
                <w:b/>
                <w:sz w:val="17"/>
              </w:rPr>
              <w:t>2,311</w:t>
            </w:r>
          </w:p>
        </w:tc>
        <w:tc>
          <w:tcPr>
            <w:tcW w:type="dxa" w:w="1440"/>
            <w:shd w:fill="FFDCE0" w:val="clear"/>
          </w:tcPr>
          <w:p>
            <w:r>
              <w:rPr>
                <w:sz w:val="17"/>
              </w:rPr>
              <w:t>2,560</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2,037</w:t>
            </w:r>
          </w:p>
        </w:tc>
        <w:tc>
          <w:tcPr>
            <w:tcW w:type="dxa" w:w="1440"/>
            <w:shd w:fill="FFDCE0" w:val="clear"/>
          </w:tcPr>
          <w:p>
            <w:r>
              <w:rPr>
                <w:b/>
                <w:sz w:val="17"/>
              </w:rPr>
              <w:t>2,302</w:t>
            </w:r>
          </w:p>
        </w:tc>
        <w:tc>
          <w:tcPr>
            <w:tcW w:type="dxa" w:w="1440"/>
            <w:shd w:fill="FFDCE0" w:val="clear"/>
          </w:tcPr>
          <w:p>
            <w:r>
              <w:rPr>
                <w:sz w:val="17"/>
              </w:rPr>
              <w:t>2,568</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2,014</w:t>
            </w:r>
          </w:p>
        </w:tc>
        <w:tc>
          <w:tcPr>
            <w:tcW w:type="dxa" w:w="1440"/>
            <w:shd w:fill="FFDCE0" w:val="clear"/>
          </w:tcPr>
          <w:p>
            <w:r>
              <w:rPr>
                <w:b/>
                <w:sz w:val="17"/>
              </w:rPr>
              <w:t>2,294</w:t>
            </w:r>
          </w:p>
        </w:tc>
        <w:tc>
          <w:tcPr>
            <w:tcW w:type="dxa" w:w="1440"/>
            <w:shd w:fill="FFDCE0" w:val="clear"/>
          </w:tcPr>
          <w:p>
            <w:r>
              <w:rPr>
                <w:sz w:val="17"/>
              </w:rPr>
              <w:t>2,574</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1,992</w:t>
            </w:r>
          </w:p>
        </w:tc>
        <w:tc>
          <w:tcPr>
            <w:tcW w:type="dxa" w:w="1440"/>
            <w:shd w:fill="FFDCE0" w:val="clear"/>
          </w:tcPr>
          <w:p>
            <w:r>
              <w:rPr>
                <w:b/>
                <w:sz w:val="17"/>
              </w:rPr>
              <w:t>2,286</w:t>
            </w:r>
          </w:p>
        </w:tc>
        <w:tc>
          <w:tcPr>
            <w:tcW w:type="dxa" w:w="1440"/>
            <w:shd w:fill="FFDCE0" w:val="clear"/>
          </w:tcPr>
          <w:p>
            <w:r>
              <w:rPr>
                <w:sz w:val="17"/>
              </w:rPr>
              <w:t>2,580</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49,80 milliards FCFA, UNXC se positionne comme une valeur de taille moyenne sur le marché BRVM, représentant une capitalisation significative pour le compartiment textile ivoirien. Le BPA ressort à -105 FCFA/action pour l'exercice 2024, traduisant une perte nette de -2,189 milliards FCFA qui rend le PER négatif à -22,8x — un ratio inexploitable en l'état, mais qui signale une société déficitaire dont le cours anticipe un redressement. Le P/B de 3,19x indique que le marché valorise UNXC à plus de trois fois sa valeur comptable (capitaux propres de 15,591 Mds FCFA en 2024), soit une prime de croissance notable qui contraste avec la situation bénéficiaire encore fragile. Le ratio EV/EBITDA n'est pas fourni dans les données disponibles, mais avec un EBE de -352,22 M FCFA en 2024, il serait de toute façon négatif et non pertinent. Cette configuration — PER négatif et P/B élevé — est typique d'une valeur de retournement (turnaround) où le marché price davantage les perspectives de redressement (portées par la cession-bail du terrain et la reprise opérationnelle) que les résultats passés.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performance remarquable de +28,00%, avec un cours actuel de 2 400 FCFA et une variation J-1 nulle (+0,00%), signe d'une stabilisation après le rallye. Le range de trading est particulièrement large, avec un plus haut à 2 495 FCFA et un plus bas à 1 250 FCFA — soit un doublement du cours sur la période, ce qui témoigne d'une tendance nettement haussière portée par l'anticipation du redressement opérationnel et de l'assainissement financier. Les statistiques descriptives révèlent une moyenne de 1 941 FCFA légèrement supérieure à la médiane (1 900 FCFA) et au mode (1 900 FCFA), avec un skewness de 0,218 indiquant une distribution quasi-symétrique, sans biais marqué vers les extrêmes. L'écart-type de 270 FCFA (CV=13,9%) traduit une dispersion modérée du cours autour de sa moyenne, tandis que le kurtosis de 0,404 (mésokurtique) suggère une distribution proche de la normale, sans risque excessif de pics extrêmes. La volatilité annualisée de 50,4% classe UNXC dans la catégorie des titres à volatilité élevée (&gt;30%), ce qui est cohérent avec un profil de valeur de retournement et impose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(2 374,5 FCFA) et la MM50 (1 997,3 FCFA) se situent toutes deux sous le cours actuel (2 400 FCFA), avec la MM20 au-dessus de la MM50 — configuration haussière classique en « golden cross ». Le cours évolue au-dessus de ses deux moyennes, confirmant la dynamique positive, ce qui justifie la décision d'**Achat** fournie par l'indicateur.</w:t>
      </w:r>
    </w:p>
    <w:p>
      <w:pPr>
        <w:spacing w:after="120" w:line="276" w:lineRule="auto"/>
      </w:pPr>
      <w:r>
        <w:t>**Bandes de Bollinger** : Le cours (2 400 FCFA) se situe entre la borne supérieure (2 622,691 FCFA) et la borne inférieure (2 126,309 FCFA), plus proche du milieu de bande, ce qui traduit une volatilité en cours de normalisation après le rallye. La décision **Neutre** reflète l'absence de signal extrême (ni surachat ni survente) et une phase de consolidation probable.</w:t>
      </w:r>
    </w:p>
    <w:p>
      <w:pPr>
        <w:spacing w:after="120" w:line="276" w:lineRule="auto"/>
      </w:pPr>
      <w:r>
        <w:t>**MACD** : La valeur du MACD (100,14) est inférieure à son signal (124,017), générant un croisement baissier qui indique un essoufflement du momentum haussier. Cette divergence négative, bien que le MACD reste en territoire positif, justifie la décision de **Vente** à court terme, signalant une possible correction ou consolidation.</w:t>
      </w:r>
    </w:p>
    <w:p>
      <w:pPr>
        <w:spacing w:after="120" w:line="276" w:lineRule="auto"/>
      </w:pPr>
      <w:r>
        <w:t>**RSI** : À 41,333, le RSI se situe en zone neutre (30-70), sans signal de surachat (&gt;70) ni de survente (&lt;30). Cette position médiane indique que le titre n'est ni surétiré ni survendu, ce qui justifie la décision **Neutre** et suggère un potentiel de rebond comme de repli selon les catalyseurs.</w:t>
      </w:r>
    </w:p>
    <w:p>
      <w:pPr>
        <w:spacing w:after="120" w:line="276" w:lineRule="auto"/>
      </w:pPr>
      <w:r>
        <w:t>**Stochastique** : Le %K (38,71) est supérieur au %D (27,957), avec un croisement récent potentiellement haussier, mais les deux lignes restent en zone basse (proche de 20-40), indiquant une pression vendeuse résiduelle. La décision **Neutre** reflète cette configuration ambiguë, sans signal directionnel fort.</w:t>
      </w:r>
    </w:p>
    <w:p>
      <w:pPr>
        <w:spacing w:after="120" w:line="276" w:lineRule="auto"/>
      </w:pPr>
      <w:r>
        <w:t>**Conclusion technique** : Les indicateurs présentent une divergence notable — les moyennes mobiles confirment la tendance haussière de fond (cours &gt; MM20 &gt; MM50), mais le MACD baissier et le RSI neutre signalent un essoufflement à court terme. Les Bandes de Bollinger et le Stochastique plaident pour une consolidation, voire une correction modérée, avant une reprise éventuelle. La convergence partielle des signaux suggère une phase de digestion du rallye de +28%, avec un support technique à surveiller autour de la MM20 (2 374 FCFA) et une résistance à 2 495 FCFA (plus haut récent).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brossent un tableau contrasté : UNXC affiche un chiffre d'affaires de 27,333 Mds FCFA, en recul de -7,93% par rapport à 2023 (25,6 Mds FCFA selon les rapports historiques), avec un résultat net déficitaire de -2,189 Mds FCFA, une marge nette de -8,01% et un ROE négatif de -14,04%. La structure financière reste néanmoins solide, avec une autonomie financière de 45,53% (capitaux propres de 15,591 Mds FCFA), une liquidité générale de 126,23% et un endettement financier très faible (328,66 M FCFA, soit 2,11% du total bilan). En tant qu'entreprise textile, les délais d'exploitation sont préoccupants : délai clients de 51,03 jours (risque de trésorerie modéré), délai fournisseurs de 267,82 jours (favorable à la trésorerie) et durée de stockage de 254,72 jours (immobilisation de capital élevée). Le BFR de 2,149 Mds FCFA et le fonds de roulement de 4,027 Mds FCFA indiquent une gestion du besoin en fonds de roulement globalement maîtrisée. Les rapports narratifs révèlent une nette amélioration en 2025 : selon le rapport annuel 2025 (publié en 2025), le CA progresse à 29,03 Mds FCFA (+6,2%), l'EBE redevient positif à 1,13 Md FCFA (contre -0,35 Md en 2024) et la perte nette est réduite de 71% à -624 M FCFA. Le rapport S1 2026 (publié en 2026) confirme cette dynamique : CA de 15,752 Mds FCFA (+0,3%), résultat d'exploitation redevenu positif à 771 M FCFA (contre -314 M au S1 2025) et résultat net de 771 M FCFA — bien que ce dernier soit à comparer aux 8,216 Mds FCFA du S1 2025, qui incluaient une plus-value exceptionnelle de cession de près de 10 Mds FCFA. On estime donc que l'exercice 2026 devrait confirmer le retour à une rentabilité opérationnelle positive, portée par l'expansion à l'export (Nigeria, Guinée) et l'amélioration des conditions de marché. La recommandation fondamentale est de **CONSERVER** avec un biais positif : la solidité du bilan, le désendettement massif (dettes fournisseurs ramenées de 14,9 Mds à 5,0 Mds FCFA) et le retour de l'EBE positif constituent des signaux encourageants, mais la durabilité de la rentabilité opérationnelle et l'absence de dividende depuis 2022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atypique : PER négatif (-22,8x) et P/B élevé (3,19x) traduisent une société en perte mais dont le marché anticipe un redressement, ce qui rend l'évaluation difficile sur des bases traditionnelles. Le comportement du cours (Partie 1) est nettement haussier (+28% sur 100 jours) avec une volatilité élevée (50,4%) et une distribution symétrique (skewness 0,218) sans risque excessif de pics (kurtosis 0,404), mais la stabilisation récente (+0,00% J-1) suggère une pause dans le rallye. Les signaux techniques (Partie 2) sont mitigés : les moyennes mobiles confirment la tendance haussière de fond, mais le MACD baissier et le RSI neutre signalent un essoufflement à court terme, plaidant pour une consolidation. Les fondamentaux (Partie 3) montrent une amélioration réelle en 2025 (EBE positif, perte réduite de 71%) et confirmée au S1 2026 (résultat d'exploitation positif à 771 M FCFA), mais la rentabilité reste fragile et dépendante d'éléments non récurrents (cession-bail). Les prédictions IA (J+1 à J+10) anticipent une légère correction de 2 367 FCFA à 2 329 FCFA, soit -2,96% sur 10 jours, ce qui contredit la tendance haussière de fond mais confirme l'essoufflement technique à court terme. Sur la base de cette synthèse, la recommandation finale est **CONSERVER** avec un biais positif : la convergence entre l'amélioration fondamentale (retour à une rentabilité opérationnelle positive) et la solidité du bilan (autonomie financière de 45,53%) soutient une perspective favorable à moyen terme, mais la divergence à court terme (MACD baissier, prédictions IA correctrices) et la volatilité élevée (50,4%) incitent à la prudence. Le niveau de confiance est **Moyen** (les fondamentaux s'améliorent mais la durabilité reste à confirmer), le risque global est **Élevé** (volatilité de 50,4%, société encore en perte nette en 2025, dépendance aux marchés d'export), et l'horizon d'investissement optimal est le **moyen terme (3-12 mois)**, en attendant la confirmation du retour à l'équilibre sur l'exercice 2026 complet et l'annonce éventuelle d'un retour aux dividendes.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47 req | </w:t>
      </w:r>
      <w:r>
        <w:rPr>
          <w:i/>
        </w:rPr>
        <w:t xml:space="preserve">Gemini: 1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