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27/08/2026 à 15:22</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C00000"/>
          <w:sz w:val="19"/>
        </w:rPr>
        <w:t>BAISSIER 📉</w:t>
      </w:r>
    </w:p>
    <w:p>
      <w:pPr>
        <w:spacing w:before="20" w:after="20"/>
        <w:ind w:left="360" w:right="360"/>
        <w:shd w:val="clear" w:color="auto" w:fill="EBF5FB"/>
      </w:pPr>
      <w:r>
        <w:rPr>
          <w:b/>
          <w:sz w:val="19"/>
        </w:rPr>
        <w:t xml:space="preserve">Signaux :  </w:t>
      </w:r>
      <w:r>
        <w:rPr>
          <w:color w:val="0050A0"/>
          <w:sz w:val="19"/>
        </w:rPr>
        <w:t>45 ACHAT  |  2 NEUTRE  |  0 VENTE  (sur 47 sociétés)</w:t>
      </w:r>
    </w:p>
    <w:p>
      <w:pPr>
        <w:spacing w:before="20" w:after="20"/>
        <w:ind w:left="360" w:right="360"/>
        <w:shd w:val="clear" w:color="auto" w:fill="EBF5FB"/>
      </w:pPr>
      <w:r>
        <w:rPr>
          <w:b/>
          <w:sz w:val="19"/>
        </w:rPr>
        <w:t xml:space="preserve">Top opportunité :  </w:t>
      </w:r>
      <w:r>
        <w:rPr>
          <w:color w:val="008000"/>
          <w:sz w:val="19"/>
        </w:rPr>
        <w:t>STAC  (score 78/100)</w:t>
      </w:r>
    </w:p>
    <w:p>
      <w:pPr>
        <w:spacing w:before="20" w:after="20"/>
        <w:ind w:left="360" w:right="360"/>
        <w:shd w:val="clear" w:color="auto" w:fill="EBF5FB"/>
      </w:pPr>
      <w:r>
        <w:rPr>
          <w:b/>
          <w:sz w:val="19"/>
        </w:rPr>
        <w:t xml:space="preserve">Secteur surperformant :  </w:t>
      </w:r>
      <w:r>
        <w:rPr>
          <w:color w:val="008000"/>
          <w:sz w:val="19"/>
        </w:rPr>
        <w:t>SERVICES PUBLICS  (+85.8%)</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8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523.91 points </w:t>
      </w:r>
      <w:r>
        <w:rPr>
          <w:color w:val="C00000"/>
        </w:rPr>
        <w:t>(-1.16%)</w:t>
      </w:r>
      <w:r>
        <w:t xml:space="preserve"> sur la séance. </w:t>
      </w:r>
      <w:r>
        <w:t>La capitalisation globale du marché atteint 2 020,274 milliards FCFA.</w:t>
      </w:r>
    </w:p>
    <w:p/>
    <w:p>
      <w:pPr>
        <w:pStyle w:val="Heading3"/>
      </w:pPr>
      <w:r>
        <w:t>📊 Évolution de l'indice BRVM Composite (100 derniers jours)</w:t>
      </w:r>
    </w:p>
    <w:p>
      <w:r>
        <w:rPr>
          <w:b/>
        </w:rPr>
        <w:t xml:space="preserve">BRVM Composite — </w:t>
      </w:r>
      <w:r>
        <w:t xml:space="preserve">Sur les 100 derniers jours de cotation (2026-03-31 au 2026-08-26), l'indice BRVM Composite a évolué de </w:t>
      </w:r>
      <w:r>
        <w:rPr>
          <w:b/>
          <w:color w:val="008000"/>
        </w:rPr>
        <w:t>+28.33%</w:t>
      </w:r>
      <w:r>
        <w:t>, passant de 408.25 pts à 523.91 pts. Le plus haut atteint est 530.07 pts et le plus bas 397.33 pts. Sur l'ensemble de la période, la moyenne de l'indice s'établit à 445.22 pts, la médiane à 437.12 pts et le mode à 397.33 pts</w:t>
      </w:r>
      <w:r>
        <w:t xml:space="preserve"> (asymétrie positive — plus de jours sous la moyenne). </w:t>
      </w:r>
      <w:r>
        <w:t xml:space="preserve">L'écart-type de 37.03 pts (CV=8.3%) traduit une modérée dispersion des cotations. Le kurtosis de -0.97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-87.17%</w:t>
      </w:r>
      <w:r>
        <w:t xml:space="preserve"> sur la période, passant de 15 740,561 Mds FCFA à 2 020,274 Mds FCFA. Le pic de capitalisation observé est de 19 886,911 Mds FCFA et le plancher de 2 003,618 Mds FCFA. La moyenne de la capitalisation sur la période s'établit à 16 429,302 Mds FCFA, la médiane à 16 816,942 Mds FCFA et le mode à 2 003,618 Mds FCFA</w:t>
      </w:r>
      <w:r>
        <w:t xml:space="preserve"> (asymétrie négative). </w:t>
      </w:r>
      <w:r>
        <w:t>L'écart-type de 3 217,509 Mds FCFA (CV=19.6%) reflète une forte variabilité de la valorisation du marché. Le kurtosis de 13.48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BICB - BIIC BN - Banque internationale pour le commerce du benin</w:t>
      </w:r>
      <w:r>
        <w:t xml:space="preserve"> | Prix: 8500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29100 FCFA | </w:t>
      </w:r>
      <w:r>
        <w:rPr>
          <w:b/>
          <w:color w:val="008000"/>
        </w:rPr>
        <w:t>ACHAT</w:t>
      </w:r>
      <w:r>
        <w:t xml:space="preserve"> | Confiance: Moyen | Risque: Moyen</w:t>
      </w:r>
    </w:p>
    <w:p>
      <w:pPr>
        <w:pStyle w:val="ListNumber"/>
      </w:pPr>
      <w:r>
        <w:rPr>
          <w:b/>
        </w:rPr>
        <w:t>BNBC - BNBC - BERNABE CI</w:t>
      </w:r>
      <w:r>
        <w:t xml:space="preserve"> | Prix: 2135 FCFA | </w:t>
      </w:r>
      <w:r>
        <w:rPr>
          <w:b/>
          <w:color w:val="008000"/>
        </w:rPr>
        <w:t>ACHAT</w:t>
      </w:r>
      <w:r>
        <w:t xml:space="preserve"> | Confiance: Faible | Risque: Moyen</w:t>
      </w:r>
    </w:p>
    <w:p>
      <w:pPr>
        <w:pStyle w:val="ListNumber"/>
      </w:pPr>
      <w:r>
        <w:rPr>
          <w:b/>
        </w:rPr>
        <w:t>BOABF - BANK OF AFRICA BURKINA FASO</w:t>
      </w:r>
      <w:r>
        <w:t xml:space="preserve"> | Prix: 8600 FCFA | </w:t>
      </w:r>
      <w:r>
        <w:rPr>
          <w:b/>
          <w:color w:val="008000"/>
        </w:rPr>
        <w:t>ACHAT</w:t>
      </w:r>
      <w:r>
        <w:t xml:space="preserve"> | Confiance: Faible | Risque: Faible</w:t>
      </w:r>
    </w:p>
    <w:p>
      <w:pPr>
        <w:pStyle w:val="ListNumber"/>
      </w:pPr>
      <w:r>
        <w:rPr>
          <w:b/>
        </w:rPr>
        <w:t>BOAC - BANK OF AFRICA COTE D'IVOIRE</w:t>
      </w:r>
      <w:r>
        <w:t xml:space="preserve"> | Prix: 12860 FCFA | </w:t>
      </w:r>
      <w:r>
        <w:rPr>
          <w:b/>
          <w:color w:val="008000"/>
        </w:rPr>
        <w:t>ACHAT</w:t>
      </w:r>
      <w:r>
        <w:t xml:space="preserve"> | Confiance: Faible | Risque: Faible</w:t>
      </w:r>
    </w:p>
    <w:p>
      <w:pPr>
        <w:pStyle w:val="ListNumber"/>
      </w:pPr>
      <w:r>
        <w:rPr>
          <w:b/>
        </w:rPr>
        <w:t>BOAM - BANK OF AFRICA MALI</w:t>
      </w:r>
      <w:r>
        <w:t xml:space="preserve"> | Prix: 6700 FCFA | </w:t>
      </w:r>
      <w:r>
        <w:rPr>
          <w:b/>
          <w:color w:val="008000"/>
        </w:rPr>
        <w:t>ACHAT</w:t>
      </w:r>
      <w:r>
        <w:t xml:space="preserve"> | Confiance: Moyen | Risque: Faible</w:t>
      </w:r>
    </w:p>
    <w:p>
      <w:pPr>
        <w:pStyle w:val="ListNumber"/>
      </w:pPr>
      <w:r>
        <w:rPr>
          <w:b/>
        </w:rPr>
        <w:t>BOAN - BANK OF AFRICA NIGER</w:t>
      </w:r>
      <w:r>
        <w:t xml:space="preserve"> | Prix: 5355 FCFA | </w:t>
      </w:r>
      <w:r>
        <w:rPr>
          <w:b/>
          <w:color w:val="008000"/>
        </w:rPr>
        <w:t>ACHAT</w:t>
      </w:r>
      <w:r>
        <w:t xml:space="preserve"> | Confiance: Faible | Risque: Moyen</w:t>
      </w:r>
    </w:p>
    <w:p>
      <w:pPr>
        <w:pStyle w:val="ListNumber"/>
      </w:pPr>
      <w:r>
        <w:rPr>
          <w:b/>
        </w:rPr>
        <w:t>BOAS - BANK OF AFRICA SENEGAL</w:t>
      </w:r>
      <w:r>
        <w:t xml:space="preserve"> | Prix: 8500 FCFA | </w:t>
      </w:r>
      <w:r>
        <w:rPr>
          <w:b/>
          <w:color w:val="008000"/>
        </w:rPr>
        <w:t>ACHAT</w:t>
      </w:r>
      <w:r>
        <w:t xml:space="preserve"> | Confiance: Faible | Risque: Faible</w:t>
      </w:r>
    </w:p>
    <w:p>
      <w:pPr>
        <w:pStyle w:val="ListNumber"/>
      </w:pPr>
      <w:r>
        <w:rPr>
          <w:b/>
        </w:rPr>
        <w:t>CABC - CABC - SICABLE COTE D'IVOIRE</w:t>
      </w:r>
      <w:r>
        <w:t xml:space="preserve"> | Prix: 3500 FCFA | </w:t>
      </w:r>
      <w:r>
        <w:rPr>
          <w:b/>
          <w:color w:val="008000"/>
        </w:rPr>
        <w:t>ACHAT</w:t>
      </w:r>
      <w:r>
        <w:t xml:space="preserve"> | Confiance: Élevée | Risque: Moyen</w:t>
      </w:r>
    </w:p>
    <w:p>
      <w:pPr>
        <w:pStyle w:val="ListNumber"/>
      </w:pPr>
      <w:r>
        <w:rPr>
          <w:b/>
        </w:rPr>
        <w:t>CBIBF - CBIBF - CORIS BANK INTERNATIONAL BURKINA FASO</w:t>
      </w:r>
      <w:r>
        <w:t xml:space="preserve"> | Prix: 29390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BOAB - BANK OF AFRICA BENIN</w:t>
      </w:r>
      <w:r>
        <w:t xml:space="preserve"> | Prix: 10350 FCFA | </w:t>
      </w:r>
      <w:r>
        <w:rPr>
          <w:b/>
          <w:color w:val="C00000"/>
        </w:rPr>
        <w:t>CONSERVER ⚠️</w:t>
      </w:r>
      <w:r>
        <w:t xml:space="preserve"> | Confiance: Moyen | Risque: Moyen</w:t>
      </w:r>
    </w:p>
    <w:p>
      <w:pPr>
        <w:pStyle w:val="ListNumber"/>
      </w:pPr>
      <w:r>
        <w:rPr>
          <w:b/>
        </w:rPr>
        <w:t>ABJC - ABJC - SERVAIR ABIDJAN CI</w:t>
      </w:r>
      <w:r>
        <w:t xml:space="preserve"> | Prix: 3650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85.77%</w:t>
      </w:r>
      <w:r>
        <w:t xml:space="preserve">  |  </w:t>
      </w:r>
      <w:r>
        <w:rPr>
          <w:b/>
        </w:rPr>
        <w:t xml:space="preserve">vs BRVM Composite: </w:t>
      </w:r>
      <w:r>
        <w:rPr>
          <w:b/>
          <w:color w:val="008000"/>
        </w:rPr>
        <w:t>+57.44%  🟢 Surperformance</w:t>
      </w:r>
      <w:r>
        <w:br/>
      </w:r>
      <w:r>
        <w:rPr>
          <w:b/>
        </w:rPr>
        <w:t xml:space="preserve">Sentiment général: </w:t>
      </w:r>
      <w:r>
        <w:t xml:space="preserve">ACHAT  |  </w:t>
      </w:r>
      <w:r>
        <w:rPr>
          <w:b/>
        </w:rPr>
        <w:t xml:space="preserve">Risque moyen: </w:t>
      </w:r>
      <w:r>
        <w:t xml:space="preserve">Moyen  |  </w:t>
      </w:r>
      <w:r>
        <w:rPr>
          <w:b/>
        </w:rPr>
        <w:t xml:space="preserve">Prix moyen: </w:t>
      </w:r>
      <w:r>
        <w:t>9730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43.14%</w:t>
      </w:r>
      <w:r>
        <w:t xml:space="preserve">  |  </w:t>
      </w:r>
      <w:r>
        <w:rPr>
          <w:b/>
        </w:rPr>
        <w:t xml:space="preserve">vs BRVM Composite: </w:t>
      </w:r>
      <w:r>
        <w:rPr>
          <w:b/>
          <w:color w:val="008000"/>
        </w:rPr>
        <w:t>+14.81%  🟢 Surperformance</w:t>
      </w:r>
      <w:r>
        <w:br/>
      </w:r>
      <w:r>
        <w:rPr>
          <w:b/>
        </w:rPr>
        <w:t xml:space="preserve">Sentiment général: </w:t>
      </w:r>
      <w:r>
        <w:t xml:space="preserve">ACHAT  |  </w:t>
      </w:r>
      <w:r>
        <w:rPr>
          <w:b/>
        </w:rPr>
        <w:t xml:space="preserve">Risque moyen: </w:t>
      </w:r>
      <w:r>
        <w:t xml:space="preserve">Moyen  |  </w:t>
      </w:r>
      <w:r>
        <w:rPr>
          <w:b/>
        </w:rPr>
        <w:t xml:space="preserve">Prix moyen: </w:t>
      </w:r>
      <w:r>
        <w:t>13442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32.69%</w:t>
      </w:r>
      <w:r>
        <w:t xml:space="preserve">  |  </w:t>
      </w:r>
      <w:r>
        <w:rPr>
          <w:b/>
        </w:rPr>
        <w:t xml:space="preserve">vs BRVM Composite: </w:t>
      </w:r>
      <w:r>
        <w:rPr>
          <w:b/>
          <w:color w:val="008000"/>
        </w:rPr>
        <w:t>+4.36%  🟢 Surperformance</w:t>
      </w:r>
      <w:r>
        <w:br/>
      </w:r>
      <w:r>
        <w:rPr>
          <w:b/>
        </w:rPr>
        <w:t xml:space="preserve">Sentiment général: </w:t>
      </w:r>
      <w:r>
        <w:t xml:space="preserve">ACHAT  |  </w:t>
      </w:r>
      <w:r>
        <w:rPr>
          <w:b/>
        </w:rPr>
        <w:t xml:space="preserve">Risque moyen: </w:t>
      </w:r>
      <w:r>
        <w:t xml:space="preserve">Faible  |  </w:t>
      </w:r>
      <w:r>
        <w:rPr>
          <w:b/>
        </w:rPr>
        <w:t xml:space="preserve">Prix moyen: </w:t>
      </w:r>
      <w:r>
        <w:t>18889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23.22%</w:t>
      </w:r>
      <w:r>
        <w:t xml:space="preserve">  |  </w:t>
      </w:r>
      <w:r>
        <w:rPr>
          <w:b/>
        </w:rPr>
        <w:t xml:space="preserve">vs BRVM Composite: </w:t>
      </w:r>
      <w:r>
        <w:rPr>
          <w:b/>
          <w:color w:val="C00000"/>
        </w:rPr>
        <w:t>-5.11%  🔴 Sous-performance</w:t>
      </w:r>
      <w:r>
        <w:br/>
      </w:r>
      <w:r>
        <w:rPr>
          <w:b/>
        </w:rPr>
        <w:t xml:space="preserve">Sentiment général: </w:t>
      </w:r>
      <w:r>
        <w:t xml:space="preserve">ACHAT  |  </w:t>
      </w:r>
      <w:r>
        <w:rPr>
          <w:b/>
        </w:rPr>
        <w:t xml:space="preserve">Risque moyen: </w:t>
      </w:r>
      <w:r>
        <w:t xml:space="preserve">Moyen  |  </w:t>
      </w:r>
      <w:r>
        <w:rPr>
          <w:b/>
        </w:rPr>
        <w:t xml:space="preserve">Prix moyen: </w:t>
      </w:r>
      <w:r>
        <w:t>6808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21.43%</w:t>
      </w:r>
      <w:r>
        <w:t xml:space="preserve">  |  </w:t>
      </w:r>
      <w:r>
        <w:rPr>
          <w:b/>
        </w:rPr>
        <w:t xml:space="preserve">vs BRVM Composite: </w:t>
      </w:r>
      <w:r>
        <w:rPr>
          <w:b/>
          <w:color w:val="C00000"/>
        </w:rPr>
        <w:t>-6.90%  🔴 Sous-performance</w:t>
      </w:r>
      <w:r>
        <w:br/>
      </w:r>
      <w:r>
        <w:rPr>
          <w:b/>
        </w:rPr>
        <w:t xml:space="preserve">Sentiment général: </w:t>
      </w:r>
      <w:r>
        <w:t xml:space="preserve">ACHAT  |  </w:t>
      </w:r>
      <w:r>
        <w:rPr>
          <w:b/>
        </w:rPr>
        <w:t xml:space="preserve">Risque moyen: </w:t>
      </w:r>
      <w:r>
        <w:t xml:space="preserve">Moyen  |  </w:t>
      </w:r>
      <w:r>
        <w:rPr>
          <w:b/>
        </w:rPr>
        <w:t xml:space="preserve">Prix moyen: </w:t>
      </w:r>
      <w:r>
        <w:t>3037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17.97%</w:t>
      </w:r>
      <w:r>
        <w:t xml:space="preserve">  |  </w:t>
      </w:r>
      <w:r>
        <w:rPr>
          <w:b/>
        </w:rPr>
        <w:t xml:space="preserve">vs BRVM Composite: </w:t>
      </w:r>
      <w:r>
        <w:rPr>
          <w:b/>
          <w:color w:val="C00000"/>
        </w:rPr>
        <w:t>-10.36%  🔴 Sous-performance</w:t>
      </w:r>
      <w:r>
        <w:br/>
      </w:r>
      <w:r>
        <w:rPr>
          <w:b/>
        </w:rPr>
        <w:t xml:space="preserve">Sentiment général: </w:t>
      </w:r>
      <w:r>
        <w:t xml:space="preserve">ACHAT  |  </w:t>
      </w:r>
      <w:r>
        <w:rPr>
          <w:b/>
        </w:rPr>
        <w:t xml:space="preserve">Risque moyen: </w:t>
      </w:r>
      <w:r>
        <w:t xml:space="preserve">Moyen  |  </w:t>
      </w:r>
      <w:r>
        <w:rPr>
          <w:b/>
        </w:rPr>
        <w:t xml:space="preserve">Prix moyen: </w:t>
      </w:r>
      <w:r>
        <w:t>19427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C00000"/>
        </w:rPr>
        <w:t>-3.88%</w:t>
      </w:r>
      <w:r>
        <w:t xml:space="preserve">  |  </w:t>
      </w:r>
      <w:r>
        <w:rPr>
          <w:b/>
        </w:rPr>
        <w:t xml:space="preserve">vs BRVM Composite: </w:t>
      </w:r>
      <w:r>
        <w:rPr>
          <w:b/>
          <w:color w:val="C00000"/>
        </w:rPr>
        <w:t>-32.21%  🔴 Sous-performance</w:t>
      </w:r>
      <w:r>
        <w:br/>
      </w:r>
      <w:r>
        <w:rPr>
          <w:b/>
        </w:rPr>
        <w:t xml:space="preserve">Sentiment général: </w:t>
      </w:r>
      <w:r>
        <w:t xml:space="preserve">ACHAT  |  </w:t>
      </w:r>
      <w:r>
        <w:rPr>
          <w:b/>
        </w:rPr>
        <w:t xml:space="preserve">Risque moyen: </w:t>
      </w:r>
      <w:r>
        <w:t xml:space="preserve">Moyen  |  </w:t>
      </w:r>
      <w:r>
        <w:rPr>
          <w:b/>
        </w:rPr>
        <w:t xml:space="preserve">Prix moyen: </w:t>
      </w:r>
      <w:r>
        <w:t>2438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CABC, CFAC, FTSC, NSBC, PALC, SAFC, SCRC, SEMC, SHEC, SNTS, SPHC, STAC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BICC, BOAM, CBIBF, CIEC, ECOC, ETIT, LNBB, NTLC, ONTBF, ORAC, SDSC, SIBC, SICC, SLBC, STBC,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BNBC, BOABF, BOAC, BOAN, BOAS, NEIC, ORGT, PRSC, SDCC, SGBC, SIVC, SMBC, SOGC, TTLC, UNLC</w:t>
            </w:r>
          </w:p>
        </w:tc>
        <w:tc>
          <w:tcPr>
            <w:tcW w:type="dxa" w:w="2160"/>
            <w:shd w:fill="FFC7CE" w:val="clear"/>
          </w:tcPr>
          <w:p>
            <w:pPr>
              <w:spacing w:before="40" w:after="40"/>
            </w:pPr>
            <w:r/>
            <w:r>
              <w:rPr>
                <w:b w:val="0"/>
                <w:sz w:val="16"/>
              </w:rPr>
              <w:t>ABJC, BOAB</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1746317</w:t>
            </w:r>
          </w:p>
        </w:tc>
        <w:tc>
          <w:tcPr>
            <w:tcW w:type="dxa" w:w="1728"/>
          </w:tcPr>
          <w:p>
            <w:r>
              <w:t>115396295 FCFA</w:t>
            </w:r>
          </w:p>
        </w:tc>
        <w:tc>
          <w:tcPr>
            <w:tcW w:type="dxa" w:w="1728"/>
          </w:tcPr>
          <w:p>
            <w:r>
              <w:t>96.97%</w:t>
            </w:r>
          </w:p>
        </w:tc>
        <w:tc>
          <w:tcPr>
            <w:tcW w:type="dxa" w:w="1728"/>
          </w:tcPr>
          <w:p>
            <w:r>
              <w:t>ACHAT</w:t>
            </w:r>
          </w:p>
        </w:tc>
      </w:tr>
      <w:tr>
        <w:tc>
          <w:tcPr>
            <w:tcW w:type="dxa" w:w="1728"/>
          </w:tcPr>
          <w:p>
            <w:r>
              <w:t>BICB (BIIC BN - Banque internationale pour le commerce du benin)</w:t>
            </w:r>
          </w:p>
        </w:tc>
        <w:tc>
          <w:tcPr>
            <w:tcW w:type="dxa" w:w="1728"/>
          </w:tcPr>
          <w:p>
            <w:r>
              <w:t>19786</w:t>
            </w:r>
          </w:p>
        </w:tc>
        <w:tc>
          <w:tcPr>
            <w:tcW w:type="dxa" w:w="1728"/>
          </w:tcPr>
          <w:p>
            <w:r>
              <w:t>159030191 FCFA</w:t>
            </w:r>
          </w:p>
        </w:tc>
        <w:tc>
          <w:tcPr>
            <w:tcW w:type="dxa" w:w="1728"/>
          </w:tcPr>
          <w:p>
            <w:r>
              <w:t>66.67%</w:t>
            </w:r>
          </w:p>
        </w:tc>
        <w:tc>
          <w:tcPr>
            <w:tcW w:type="dxa" w:w="1728"/>
          </w:tcPr>
          <w:p>
            <w:r>
              <w:t>ACHAT</w:t>
            </w:r>
          </w:p>
        </w:tc>
      </w:tr>
      <w:tr>
        <w:tc>
          <w:tcPr>
            <w:tcW w:type="dxa" w:w="1728"/>
          </w:tcPr>
          <w:p>
            <w:r>
              <w:t>SDSC (SDSC - AFRICA GLOBAL LOGISTICS CI)</w:t>
            </w:r>
          </w:p>
        </w:tc>
        <w:tc>
          <w:tcPr>
            <w:tcW w:type="dxa" w:w="1728"/>
          </w:tcPr>
          <w:p>
            <w:r>
              <w:t>16682</w:t>
            </w:r>
          </w:p>
        </w:tc>
        <w:tc>
          <w:tcPr>
            <w:tcW w:type="dxa" w:w="1728"/>
          </w:tcPr>
          <w:p>
            <w:r>
              <w:t>42691762 FCFA</w:t>
            </w:r>
          </w:p>
        </w:tc>
        <w:tc>
          <w:tcPr>
            <w:tcW w:type="dxa" w:w="1728"/>
          </w:tcPr>
          <w:p>
            <w:r>
              <w:t>33.33%</w:t>
            </w:r>
          </w:p>
        </w:tc>
        <w:tc>
          <w:tcPr>
            <w:tcW w:type="dxa" w:w="1728"/>
          </w:tcPr>
          <w:p>
            <w:r>
              <w:t>ACHAT</w:t>
            </w:r>
          </w:p>
        </w:tc>
      </w:tr>
      <w:tr>
        <w:tc>
          <w:tcPr>
            <w:tcW w:type="dxa" w:w="1728"/>
          </w:tcPr>
          <w:p>
            <w:r>
              <w:t>UNXC (UNXC - UNIWAX COTE D'IVOIRE)</w:t>
            </w:r>
          </w:p>
        </w:tc>
        <w:tc>
          <w:tcPr>
            <w:tcW w:type="dxa" w:w="1728"/>
          </w:tcPr>
          <w:p>
            <w:r>
              <w:t>14003</w:t>
            </w:r>
          </w:p>
        </w:tc>
        <w:tc>
          <w:tcPr>
            <w:tcW w:type="dxa" w:w="1728"/>
          </w:tcPr>
          <w:p>
            <w:r>
              <w:t>30621425 FCFA</w:t>
            </w:r>
          </w:p>
        </w:tc>
        <w:tc>
          <w:tcPr>
            <w:tcW w:type="dxa" w:w="1728"/>
          </w:tcPr>
          <w:p>
            <w:r>
              <w:t>20.00%</w:t>
            </w:r>
          </w:p>
        </w:tc>
        <w:tc>
          <w:tcPr>
            <w:tcW w:type="dxa" w:w="1728"/>
          </w:tcPr>
          <w:p>
            <w:r>
              <w:t>ACHAT</w:t>
            </w:r>
          </w:p>
        </w:tc>
      </w:tr>
      <w:tr>
        <w:tc>
          <w:tcPr>
            <w:tcW w:type="dxa" w:w="1728"/>
          </w:tcPr>
          <w:p>
            <w:r>
              <w:t>SNTS (SNTS - SONATEL SN)</w:t>
            </w:r>
          </w:p>
        </w:tc>
        <w:tc>
          <w:tcPr>
            <w:tcW w:type="dxa" w:w="1728"/>
          </w:tcPr>
          <w:p>
            <w:r>
              <w:t>12883</w:t>
            </w:r>
          </w:p>
        </w:tc>
        <w:tc>
          <w:tcPr>
            <w:tcW w:type="dxa" w:w="1728"/>
          </w:tcPr>
          <w:p>
            <w:r>
              <w:t>411278312 FCFA</w:t>
            </w:r>
          </w:p>
        </w:tc>
        <w:tc>
          <w:tcPr>
            <w:tcW w:type="dxa" w:w="1728"/>
          </w:tcPr>
          <w:p>
            <w:r>
              <w:t>19.31%</w:t>
            </w:r>
          </w:p>
        </w:tc>
        <w:tc>
          <w:tcPr>
            <w:tcW w:type="dxa" w:w="1728"/>
          </w:tcPr>
          <w:p>
            <w:r>
              <w:t>ACHAT</w:t>
            </w:r>
          </w:p>
        </w:tc>
      </w:tr>
      <w:tr>
        <w:tc>
          <w:tcPr>
            <w:tcW w:type="dxa" w:w="1728"/>
          </w:tcPr>
          <w:p>
            <w:r>
              <w:t>BOAS (BANK OF AFRICA SENEGAL)</w:t>
            </w:r>
          </w:p>
        </w:tc>
        <w:tc>
          <w:tcPr>
            <w:tcW w:type="dxa" w:w="1728"/>
          </w:tcPr>
          <w:p>
            <w:r>
              <w:t>10739</w:t>
            </w:r>
          </w:p>
        </w:tc>
        <w:tc>
          <w:tcPr>
            <w:tcW w:type="dxa" w:w="1728"/>
          </w:tcPr>
          <w:p>
            <w:r>
              <w:t>83546449 FCFA</w:t>
            </w:r>
          </w:p>
        </w:tc>
        <w:tc>
          <w:tcPr>
            <w:tcW w:type="dxa" w:w="1728"/>
          </w:tcPr>
          <w:p>
            <w:r>
              <w:t>28.79%</w:t>
            </w:r>
          </w:p>
        </w:tc>
        <w:tc>
          <w:tcPr>
            <w:tcW w:type="dxa" w:w="1728"/>
          </w:tcPr>
          <w:p>
            <w:r>
              <w:t>ACHAT</w:t>
            </w:r>
          </w:p>
        </w:tc>
      </w:tr>
      <w:tr>
        <w:tc>
          <w:tcPr>
            <w:tcW w:type="dxa" w:w="1728"/>
          </w:tcPr>
          <w:p>
            <w:r>
              <w:t>SOGC (SOGC - Société des caoutchoucs de Grand-Béréby)</w:t>
            </w:r>
          </w:p>
        </w:tc>
        <w:tc>
          <w:tcPr>
            <w:tcW w:type="dxa" w:w="1728"/>
          </w:tcPr>
          <w:p>
            <w:r>
              <w:t>10464</w:t>
            </w:r>
          </w:p>
        </w:tc>
        <w:tc>
          <w:tcPr>
            <w:tcW w:type="dxa" w:w="1728"/>
          </w:tcPr>
          <w:p>
            <w:r>
              <w:t>78427397 FCFA</w:t>
            </w:r>
          </w:p>
        </w:tc>
        <w:tc>
          <w:tcPr>
            <w:tcW w:type="dxa" w:w="1728"/>
          </w:tcPr>
          <w:p>
            <w:r>
              <w:t>2.37%</w:t>
            </w:r>
          </w:p>
        </w:tc>
        <w:tc>
          <w:tcPr>
            <w:tcW w:type="dxa" w:w="1728"/>
          </w:tcPr>
          <w:p>
            <w:r>
              <w:t>ACHAT</w:t>
            </w:r>
          </w:p>
        </w:tc>
      </w:tr>
      <w:tr>
        <w:tc>
          <w:tcPr>
            <w:tcW w:type="dxa" w:w="1728"/>
          </w:tcPr>
          <w:p>
            <w:r>
              <w:t>SIBC (SIBC - SOCIETE IVOIRIENNE DE BANQUE)</w:t>
            </w:r>
          </w:p>
        </w:tc>
        <w:tc>
          <w:tcPr>
            <w:tcW w:type="dxa" w:w="1728"/>
          </w:tcPr>
          <w:p>
            <w:r>
              <w:t>9237</w:t>
            </w:r>
          </w:p>
        </w:tc>
        <w:tc>
          <w:tcPr>
            <w:tcW w:type="dxa" w:w="1728"/>
          </w:tcPr>
          <w:p>
            <w:r>
              <w:t>84555688 FCFA</w:t>
            </w:r>
          </w:p>
        </w:tc>
        <w:tc>
          <w:tcPr>
            <w:tcW w:type="dxa" w:w="1728"/>
          </w:tcPr>
          <w:p>
            <w:r>
              <w:t>32.61%</w:t>
            </w:r>
          </w:p>
        </w:tc>
        <w:tc>
          <w:tcPr>
            <w:tcW w:type="dxa" w:w="1728"/>
          </w:tcPr>
          <w:p>
            <w:r>
              <w:t>ACHAT</w:t>
            </w:r>
          </w:p>
        </w:tc>
      </w:tr>
      <w:tr>
        <w:tc>
          <w:tcPr>
            <w:tcW w:type="dxa" w:w="1728"/>
          </w:tcPr>
          <w:p>
            <w:r>
              <w:t>BOAC (BANK OF AFRICA COTE D'IVOIRE)</w:t>
            </w:r>
          </w:p>
        </w:tc>
        <w:tc>
          <w:tcPr>
            <w:tcW w:type="dxa" w:w="1728"/>
          </w:tcPr>
          <w:p>
            <w:r>
              <w:t>9209</w:t>
            </w:r>
          </w:p>
        </w:tc>
        <w:tc>
          <w:tcPr>
            <w:tcW w:type="dxa" w:w="1728"/>
          </w:tcPr>
          <w:p>
            <w:r>
              <w:t>113370464 FCFA</w:t>
            </w:r>
          </w:p>
        </w:tc>
        <w:tc>
          <w:tcPr>
            <w:tcW w:type="dxa" w:w="1728"/>
          </w:tcPr>
          <w:p>
            <w:r>
              <w:t>53.19%</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3335</w:t>
            </w:r>
          </w:p>
        </w:tc>
        <w:tc>
          <w:tcPr>
            <w:tcW w:type="dxa" w:w="1728"/>
          </w:tcPr>
          <w:p>
            <w:r>
              <w:t>7563707 FCFA</w:t>
            </w:r>
          </w:p>
        </w:tc>
        <w:tc>
          <w:tcPr>
            <w:tcW w:type="dxa" w:w="1728"/>
          </w:tcPr>
          <w:p>
            <w:r>
              <w:t>-19.83%</w:t>
            </w:r>
          </w:p>
        </w:tc>
        <w:tc>
          <w:tcPr>
            <w:tcW w:type="dxa" w:w="1728"/>
          </w:tcPr>
          <w:p>
            <w:r>
              <w:t>ACHAT</w:t>
            </w:r>
          </w:p>
        </w:tc>
      </w:tr>
      <w:tr>
        <w:tc>
          <w:tcPr>
            <w:tcW w:type="dxa" w:w="1728"/>
          </w:tcPr>
          <w:p>
            <w:r>
              <w:t>ABJC (ABJC - SERVAIR ABIDJAN CI)</w:t>
            </w:r>
          </w:p>
        </w:tc>
        <w:tc>
          <w:tcPr>
            <w:tcW w:type="dxa" w:w="1728"/>
          </w:tcPr>
          <w:p>
            <w:r>
              <w:t>3137</w:t>
            </w:r>
          </w:p>
        </w:tc>
        <w:tc>
          <w:tcPr>
            <w:tcW w:type="dxa" w:w="1728"/>
          </w:tcPr>
          <w:p>
            <w:r>
              <w:t>10044358 FCFA</w:t>
            </w:r>
          </w:p>
        </w:tc>
        <w:tc>
          <w:tcPr>
            <w:tcW w:type="dxa" w:w="1728"/>
          </w:tcPr>
          <w:p>
            <w:r>
              <w:t>-1.35%</w:t>
            </w:r>
          </w:p>
        </w:tc>
        <w:tc>
          <w:tcPr>
            <w:tcW w:type="dxa" w:w="1728"/>
          </w:tcPr>
          <w:p>
            <w:r>
              <w:t>CONSERVER ⚠️</w:t>
            </w:r>
          </w:p>
        </w:tc>
      </w:tr>
      <w:tr>
        <w:tc>
          <w:tcPr>
            <w:tcW w:type="dxa" w:w="1728"/>
          </w:tcPr>
          <w:p>
            <w:r>
              <w:t>CFAC (CFAC - CFAO MOTORS CI)</w:t>
            </w:r>
          </w:p>
        </w:tc>
        <w:tc>
          <w:tcPr>
            <w:tcW w:type="dxa" w:w="1728"/>
          </w:tcPr>
          <w:p>
            <w:r>
              <w:t>2923</w:t>
            </w:r>
          </w:p>
        </w:tc>
        <w:tc>
          <w:tcPr>
            <w:tcW w:type="dxa" w:w="1728"/>
          </w:tcPr>
          <w:p>
            <w:r>
              <w:t>4899374 FCFA</w:t>
            </w:r>
          </w:p>
        </w:tc>
        <w:tc>
          <w:tcPr>
            <w:tcW w:type="dxa" w:w="1728"/>
          </w:tcPr>
          <w:p>
            <w:r>
              <w:t>8.02%</w:t>
            </w:r>
          </w:p>
        </w:tc>
        <w:tc>
          <w:tcPr>
            <w:tcW w:type="dxa" w:w="1728"/>
          </w:tcPr>
          <w:p>
            <w:r>
              <w:t>ACHAT</w:t>
            </w:r>
          </w:p>
        </w:tc>
      </w:tr>
      <w:tr>
        <w:tc>
          <w:tcPr>
            <w:tcW w:type="dxa" w:w="1728"/>
          </w:tcPr>
          <w:p>
            <w:r>
              <w:t>CABC (CABC - SICABLE COTE D'IVOIRE)</w:t>
            </w:r>
          </w:p>
        </w:tc>
        <w:tc>
          <w:tcPr>
            <w:tcW w:type="dxa" w:w="1728"/>
          </w:tcPr>
          <w:p>
            <w:r>
              <w:t>2883</w:t>
            </w:r>
          </w:p>
        </w:tc>
        <w:tc>
          <w:tcPr>
            <w:tcW w:type="dxa" w:w="1728"/>
          </w:tcPr>
          <w:p>
            <w:r>
              <w:t>10215238 FCFA</w:t>
            </w:r>
          </w:p>
        </w:tc>
        <w:tc>
          <w:tcPr>
            <w:tcW w:type="dxa" w:w="1728"/>
          </w:tcPr>
          <w:p>
            <w:r>
              <w:t>2.94%</w:t>
            </w:r>
          </w:p>
        </w:tc>
        <w:tc>
          <w:tcPr>
            <w:tcW w:type="dxa" w:w="1728"/>
          </w:tcPr>
          <w:p>
            <w:r>
              <w:t>ACHAT</w:t>
            </w:r>
          </w:p>
        </w:tc>
      </w:tr>
      <w:tr>
        <w:tc>
          <w:tcPr>
            <w:tcW w:type="dxa" w:w="1728"/>
          </w:tcPr>
          <w:p>
            <w:r>
              <w:t>PALC (PALC - PALM COTE D'IVOIRE)</w:t>
            </w:r>
          </w:p>
        </w:tc>
        <w:tc>
          <w:tcPr>
            <w:tcW w:type="dxa" w:w="1728"/>
          </w:tcPr>
          <w:p>
            <w:r>
              <w:t>2550</w:t>
            </w:r>
          </w:p>
        </w:tc>
        <w:tc>
          <w:tcPr>
            <w:tcW w:type="dxa" w:w="1728"/>
          </w:tcPr>
          <w:p>
            <w:r>
              <w:t>23294967 FCFA</w:t>
            </w:r>
          </w:p>
        </w:tc>
        <w:tc>
          <w:tcPr>
            <w:tcW w:type="dxa" w:w="1728"/>
          </w:tcPr>
          <w:p>
            <w:r>
              <w:t>14.07%</w:t>
            </w:r>
          </w:p>
        </w:tc>
        <w:tc>
          <w:tcPr>
            <w:tcW w:type="dxa" w:w="1728"/>
          </w:tcPr>
          <w:p>
            <w:r>
              <w:t>ACHAT</w:t>
            </w:r>
          </w:p>
        </w:tc>
      </w:tr>
      <w:tr>
        <w:tc>
          <w:tcPr>
            <w:tcW w:type="dxa" w:w="1728"/>
          </w:tcPr>
          <w:p>
            <w:r>
              <w:t>BNBC (BNBC - BERNABE CI)</w:t>
            </w:r>
          </w:p>
        </w:tc>
        <w:tc>
          <w:tcPr>
            <w:tcW w:type="dxa" w:w="1728"/>
          </w:tcPr>
          <w:p>
            <w:r>
              <w:t>2522</w:t>
            </w:r>
          </w:p>
        </w:tc>
        <w:tc>
          <w:tcPr>
            <w:tcW w:type="dxa" w:w="1728"/>
          </w:tcPr>
          <w:p>
            <w:r>
              <w:t>4952912 FCFA</w:t>
            </w:r>
          </w:p>
        </w:tc>
        <w:tc>
          <w:tcPr>
            <w:tcW w:type="dxa" w:w="1728"/>
          </w:tcPr>
          <w:p>
            <w:r>
              <w:t>34.28%</w:t>
            </w:r>
          </w:p>
        </w:tc>
        <w:tc>
          <w:tcPr>
            <w:tcW w:type="dxa" w:w="1728"/>
          </w:tcPr>
          <w:p>
            <w:r>
              <w:t>ACHAT</w:t>
            </w:r>
          </w:p>
        </w:tc>
      </w:tr>
      <w:tr>
        <w:tc>
          <w:tcPr>
            <w:tcW w:type="dxa" w:w="1728"/>
          </w:tcPr>
          <w:p>
            <w:r>
              <w:t>TTLS (TTLS - TOTAL ENERGIES MARKETING SENEGAL)</w:t>
            </w:r>
          </w:p>
        </w:tc>
        <w:tc>
          <w:tcPr>
            <w:tcW w:type="dxa" w:w="1728"/>
          </w:tcPr>
          <w:p>
            <w:r>
              <w:t>2367</w:t>
            </w:r>
          </w:p>
        </w:tc>
        <w:tc>
          <w:tcPr>
            <w:tcW w:type="dxa" w:w="1728"/>
          </w:tcPr>
          <w:p>
            <w:r>
              <w:t>8720167 FCFA</w:t>
            </w:r>
          </w:p>
        </w:tc>
        <w:tc>
          <w:tcPr>
            <w:tcW w:type="dxa" w:w="1728"/>
          </w:tcPr>
          <w:p>
            <w:r>
              <w:t>16.92%</w:t>
            </w:r>
          </w:p>
        </w:tc>
        <w:tc>
          <w:tcPr>
            <w:tcW w:type="dxa" w:w="1728"/>
          </w:tcPr>
          <w:p>
            <w:r>
              <w:t>ACHAT</w:t>
            </w:r>
          </w:p>
        </w:tc>
      </w:tr>
      <w:tr>
        <w:tc>
          <w:tcPr>
            <w:tcW w:type="dxa" w:w="1728"/>
          </w:tcPr>
          <w:p>
            <w:r>
              <w:t>ORAC (ORAC - ORANGE COTE D'IVOIRE)</w:t>
            </w:r>
          </w:p>
        </w:tc>
        <w:tc>
          <w:tcPr>
            <w:tcW w:type="dxa" w:w="1728"/>
          </w:tcPr>
          <w:p>
            <w:r>
              <w:t>2124</w:t>
            </w:r>
          </w:p>
        </w:tc>
        <w:tc>
          <w:tcPr>
            <w:tcW w:type="dxa" w:w="1728"/>
          </w:tcPr>
          <w:p>
            <w:r>
              <w:t>39860308 FCFA</w:t>
            </w:r>
          </w:p>
        </w:tc>
        <w:tc>
          <w:tcPr>
            <w:tcW w:type="dxa" w:w="1728"/>
          </w:tcPr>
          <w:p>
            <w:r>
              <w:t>36.81%</w:t>
            </w:r>
          </w:p>
        </w:tc>
        <w:tc>
          <w:tcPr>
            <w:tcW w:type="dxa" w:w="1728"/>
          </w:tcPr>
          <w:p>
            <w:r>
              <w:t>ACHAT</w:t>
            </w:r>
          </w:p>
        </w:tc>
      </w:tr>
      <w:tr>
        <w:tc>
          <w:tcPr>
            <w:tcW w:type="dxa" w:w="1728"/>
          </w:tcPr>
          <w:p>
            <w:r>
              <w:t>NSBC (NSBC - NSIA BANQUE COTE D'IVOIRE)</w:t>
            </w:r>
          </w:p>
        </w:tc>
        <w:tc>
          <w:tcPr>
            <w:tcW w:type="dxa" w:w="1728"/>
          </w:tcPr>
          <w:p>
            <w:r>
              <w:t>2116</w:t>
            </w:r>
          </w:p>
        </w:tc>
        <w:tc>
          <w:tcPr>
            <w:tcW w:type="dxa" w:w="1728"/>
          </w:tcPr>
          <w:p>
            <w:r>
              <w:t>49111874 FCFA</w:t>
            </w:r>
          </w:p>
        </w:tc>
        <w:tc>
          <w:tcPr>
            <w:tcW w:type="dxa" w:w="1728"/>
          </w:tcPr>
          <w:p>
            <w:r>
              <w:t>60.99%</w:t>
            </w:r>
          </w:p>
        </w:tc>
        <w:tc>
          <w:tcPr>
            <w:tcW w:type="dxa" w:w="1728"/>
          </w:tcPr>
          <w:p>
            <w:r>
              <w:t>ACHAT</w:t>
            </w:r>
          </w:p>
        </w:tc>
      </w:tr>
      <w:tr>
        <w:tc>
          <w:tcPr>
            <w:tcW w:type="dxa" w:w="1728"/>
          </w:tcPr>
          <w:p>
            <w:r>
              <w:t>SMBC (SMBC - Société Multinationale de Bitumes COTE D'IVOIRE)</w:t>
            </w:r>
          </w:p>
        </w:tc>
        <w:tc>
          <w:tcPr>
            <w:tcW w:type="dxa" w:w="1728"/>
          </w:tcPr>
          <w:p>
            <w:r>
              <w:t>2086</w:t>
            </w:r>
          </w:p>
        </w:tc>
        <w:tc>
          <w:tcPr>
            <w:tcW w:type="dxa" w:w="1728"/>
          </w:tcPr>
          <w:p>
            <w:r>
              <w:t>33777324 FCFA</w:t>
            </w:r>
          </w:p>
        </w:tc>
        <w:tc>
          <w:tcPr>
            <w:tcW w:type="dxa" w:w="1728"/>
          </w:tcPr>
          <w:p>
            <w:r>
              <w:t>39.04%</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SMBC - SMBC - Société Multinationale de Bitumes COTE D'IVOIRE</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BICB - BIIC BN - Banque internationale pour le commerce du benin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3. BOAN - BANK OF AFRICA NIGER</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4. SDCC - SDCC - Société de Distribution d'Eau de Côte d'Ivoire</w:t>
      </w:r>
    </w:p>
    <w:p>
      <w:r>
        <w:rPr>
          <w:b/>
        </w:rPr>
        <w:t xml:space="preserve">Score de divergence: </w:t>
      </w:r>
      <w:r>
        <w:t>5/8</w:t>
        <w:br/>
      </w:r>
      <w:r>
        <w:rPr>
          <w:b/>
        </w:rPr>
        <w:t xml:space="preserve">Description: </w:t>
      </w:r>
      <w:r>
        <w:t>Signaux d'achat: MACD | Signaux de vente: MM, Bollinger, Stochastique | Recommandation finale: ACHAT</w:t>
        <w:br/>
      </w:r>
    </w:p>
    <w:p/>
    <w:p>
      <w:pPr>
        <w:pStyle w:val="Heading3"/>
      </w:pPr>
      <w:r>
        <w:t>5.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6. BNBC - BNBC - BERNABE CI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7. BOABF - BANK OF AFRICA BURKINA FASO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8. BOAC - BANK OF AFRICA COTE D'IVOIRE</w:t>
      </w:r>
    </w:p>
    <w:p>
      <w:r>
        <w:rPr>
          <w:b/>
        </w:rPr>
        <w:t xml:space="preserve">Score de divergence: </w:t>
      </w:r>
      <w:r>
        <w:t>4/8</w:t>
        <w:br/>
      </w:r>
      <w:r>
        <w:rPr>
          <w:b/>
        </w:rPr>
        <w:t xml:space="preserve">Description: </w:t>
      </w:r>
      <w:r>
        <w:t>Signaux d'achat: MM | Signaux de vente: MACD, RSI | Recommandation finale: ACHAT</w:t>
        <w:br/>
      </w:r>
    </w:p>
    <w:p/>
    <w:p>
      <w:pPr>
        <w:pStyle w:val="Heading3"/>
      </w:pPr>
      <w:r>
        <w:t>9. BOAS - BANK OF AFRICA SENEGAL</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10. NEIC - NEIC - NEI-CEDA CI</w:t>
      </w:r>
    </w:p>
    <w:p>
      <w:r>
        <w:rPr>
          <w:b/>
        </w:rPr>
        <w:t xml:space="preserve">Score de divergence: </w:t>
      </w:r>
      <w:r>
        <w:t>4/8</w:t>
        <w:br/>
      </w:r>
      <w:r>
        <w:rPr>
          <w:b/>
        </w:rPr>
        <w:t xml:space="preserve">Description: </w:t>
      </w:r>
      <w:r>
        <w:t>Signaux d'achat: MM, MACD | Signaux de vente: Bollinger, RSI,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20</w:t>
            </w:r>
          </w:p>
        </w:tc>
        <w:tc>
          <w:tcPr>
            <w:tcW w:type="dxa" w:w="2160"/>
          </w:tcPr>
          <w:p>
            <w:r>
              <w:t>0</w:t>
            </w:r>
          </w:p>
        </w:tc>
      </w:tr>
      <w:tr>
        <w:tc>
          <w:tcPr>
            <w:tcW w:type="dxa" w:w="2160"/>
          </w:tcPr>
          <w:p>
            <w:r>
              <w:t>Risque Moyen</w:t>
            </w:r>
          </w:p>
        </w:tc>
        <w:tc>
          <w:tcPr>
            <w:tcW w:type="dxa" w:w="2160"/>
          </w:tcPr>
          <w:p>
            <w:r>
              <w:t>0</w:t>
            </w:r>
          </w:p>
        </w:tc>
        <w:tc>
          <w:tcPr>
            <w:tcW w:type="dxa" w:w="2160"/>
          </w:tcPr>
          <w:p>
            <w:r>
              <w:t>27</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TTLC (TTLC - TOTAL ENERGIES MARKETING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CABC (CABC - SICABLE COTE D'IVOIRE)</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STBC (STBC - SITAB COTE D'IVOIRE)</w:t>
      </w:r>
    </w:p>
    <w:p>
      <w:pPr>
        <w:pStyle w:val="ListBullet"/>
      </w:pPr>
      <w:r>
        <w:t>• TTLS (TTLS - TOTAL ENERGIES MARKETING SENEGAL)</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spacing w:before="20" w:after="40"/>
        <w:ind w:left="0"/>
      </w:pPr>
      <w:r>
        <w:rPr>
          <w:sz w:val="18"/>
        </w:rPr>
        <w:t>**RAPPORT D'ANALYSE MACROÉCONOMIQUE - BRVM**</w:t>
      </w:r>
    </w:p>
    <w:p>
      <w:pPr>
        <w:spacing w:before="20" w:after="40"/>
        <w:ind w:left="0"/>
      </w:pPr>
      <w:r>
        <w:rPr>
          <w:sz w:val="18"/>
        </w:rPr>
        <w:t>**Date : 27 août 2026**</w:t>
      </w:r>
    </w:p>
    <w:p>
      <w:pPr>
        <w:spacing w:before="20" w:after="40"/>
        <w:ind w:left="0"/>
      </w:pPr>
      <w:r>
        <w:rPr>
          <w:sz w:val="18"/>
        </w:rPr>
        <w:t>**Indice BRVM Composite : 523.91 points**</w:t>
      </w:r>
    </w:p>
    <w:p>
      <w:pPr>
        <w:spacing w:before="20" w:after="40"/>
        <w:ind w:left="0"/>
      </w:pPr>
      <w:r>
        <w:rPr>
          <w:sz w:val="18"/>
        </w:rPr>
        <w:t>---</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tensions géopolitiques au Moyen-Orient alimentent une hausse des prix du pétrole et des matières premières (emballages plastiques), ravivant les craintes inflationnistes à l'échelle mondiale. Parallèlement, la Banque centrale européenne (BCE) envisage une nouvelle hausse de ses taux directeurs pour freiner cette inflation persistante, ce qui pourrait resserrer les conditions financières globales. Enfin, les États-Unis ont annoncé un "jour J économique" contre l'Iran, ajoutant une couche d'incertitude sur le commerce international et les chaînes d'approvisionnement.</w:t>
      </w:r>
    </w:p>
    <w:p>
      <w:pPr>
        <w:pStyle w:val="Heading3"/>
      </w:pPr>
      <w:r>
        <w:rPr>
          <w:color w:val="500050"/>
        </w:rPr>
        <w:t>⚡ Impact estimé sur la BRVM</w:t>
      </w:r>
    </w:p>
    <w:p>
      <w:pPr>
        <w:spacing w:before="20" w:after="40"/>
        <w:ind w:left="280"/>
      </w:pPr>
      <w:r>
        <w:rPr>
          <w:i/>
          <w:sz w:val="18"/>
        </w:rPr>
        <w:t>La hausse des prix du pétrole impacte directement **SHEC (Énergie)**, qui pourrait voir ses coûts d'approvisionnement augmenter, mais aussi bénéficier de la hausse des prix de vente. Le renchérissement des matières premières (plastiques) pèse sur les coûts de production des industriels comme **STAC** et **CABC**. La politique monétaire restrictive de la BCE pourrait réduire l'appétit pour le risque des investisseurs internationaux vis-à-vis des marchés émergents, y compris la BRVM.</w:t>
      </w:r>
    </w:p>
    <w:p>
      <w:pPr>
        <w:pStyle w:val="Heading2"/>
      </w:pPr>
      <w:r>
        <w:rPr>
          <w:color w:val="006E32"/>
        </w:rPr>
        <w:t>🌍 Plan Africain</w:t>
      </w:r>
    </w:p>
    <w:p>
      <w:pPr>
        <w:spacing w:before="20" w:after="40"/>
        <w:ind w:left="0"/>
      </w:pPr>
      <w:r>
        <w:rPr>
          <w:sz w:val="18"/>
        </w:rPr>
        <w:t>Les secteurs porteurs en Afrique (infrastructures, agro-industrie, énergies renouvelables) sont identifiés comme des cibles d'investissement privilégiées, selon Bpifrance. Parallèlement, l'investissement dans l'économie des soins est présenté comme un levier de croissance stratégique, notamment au Sénégal. Enfin, la Senelec a émis avec succès 108 milliards de FCFA de dette verte à la Bourse de Luxembourg, démontrant l'intérêt des marchés internationaux pour les projets durables africains.</w:t>
      </w:r>
    </w:p>
    <w:p>
      <w:pPr>
        <w:pStyle w:val="Heading3"/>
      </w:pPr>
      <w:r>
        <w:rPr>
          <w:color w:val="500050"/>
        </w:rPr>
        <w:t>⚡ Impact estimé sur la BRVM</w:t>
      </w:r>
    </w:p>
    <w:p>
      <w:pPr>
        <w:spacing w:before="20" w:after="40"/>
        <w:ind w:left="280"/>
      </w:pPr>
      <w:r>
        <w:rPr>
          <w:i/>
          <w:sz w:val="18"/>
        </w:rPr>
        <w:t>Les secteurs identifiés comme porteurs en Afrique (agro-industrie, énergie) sont directement représentés sur la BRVM via **PALC**, **SCRC** (agroalimentaire) et **SHEC** (énergie). L'émission de dette verte de la Senelec pourrait inspirer d'autres entreprises de la zone UEMOA à recourir aux marchés de capitaux, augmentant potentiellement l'offre de titres. L'intérêt pour l'économie des soins pourrait indirectement bénéficier aux banques de la place (**NSBC**, **BOABF**, **BOAM**, **BOAS**) via le financement de ce secteur.</w:t>
      </w:r>
    </w:p>
    <w:p>
      <w:pPr>
        <w:pStyle w:val="Heading2"/>
      </w:pPr>
      <w:r>
        <w:rPr>
          <w:color w:val="145A28"/>
        </w:rPr>
        <w:t>🌍 Plan Afrique de l'Ouest</w:t>
      </w:r>
    </w:p>
    <w:p>
      <w:pPr>
        <w:spacing w:before="20" w:after="40"/>
        <w:ind w:left="0"/>
      </w:pPr>
      <w:r>
        <w:rPr>
          <w:sz w:val="18"/>
        </w:rPr>
        <w:t>La CEDEAO a annoncé des actions coordonnées pour soutenir l'économie et la santé dans la région, visant à atténuer les effets des chocs exogènes. Par ailleurs, la croissance économique du Libéria est estimée à 5% pour 2026, reflétant une dynamique positive dans la sous-région. Ces initiatives régionales visent à renforcer la résilience économique face aux défis mondiaux.</w:t>
      </w:r>
    </w:p>
    <w:p>
      <w:pPr>
        <w:pStyle w:val="Heading3"/>
      </w:pPr>
      <w:r>
        <w:rPr>
          <w:color w:val="500050"/>
        </w:rPr>
        <w:t>⚡ Impact estimé sur la BRVM</w:t>
      </w:r>
    </w:p>
    <w:p>
      <w:pPr>
        <w:spacing w:before="20" w:after="40"/>
        <w:ind w:left="280"/>
      </w:pPr>
      <w:r>
        <w:rPr>
          <w:i/>
          <w:sz w:val="18"/>
        </w:rPr>
        <w:t>Les actions de soutien de la CEDEAO sont positives pour l'activité économique régionale, ce qui pourrait soutenir la croissance des revenus des sociétés cotées opérant dans plusieurs pays de la zone, comme les banques **BOABF** (Burkina), **BOAM** (Mali) et **BOAS** (Sénégal). Une dynamique de croissance régionale renforce la confiance des investisseurs et pourrait attirer des capitaux vers la BRVM.</w:t>
      </w:r>
    </w:p>
    <w:p>
      <w:pPr>
        <w:pStyle w:val="Heading2"/>
      </w:pPr>
      <w:r>
        <w:rPr>
          <w:color w:val="8C4600"/>
        </w:rPr>
        <w:t>🏦 Plan UEMOA / Zone Franc</w:t>
      </w:r>
    </w:p>
    <w:p>
      <w:pPr>
        <w:spacing w:before="20" w:after="40"/>
        <w:ind w:left="0"/>
      </w:pPr>
      <w:r>
        <w:rPr>
          <w:sz w:val="18"/>
        </w:rPr>
        <w:t>Les OPCVM actions de l'UEMOA affichent des performances remarquables en 2026, avec des gains atteignant jusqu'à 40,5%, témoignant d'un appétit pour le risque soutenu dans la zone. Cependant, une crise politique potentielle au Sénégal (possibilité de se retrouver sans gouvernement) pourrait créer de l'incertitude dans un pays clé de l'Union. Par ailleurs, la visite du Vice-Premier ministre belge au Burkina Faso pour consolider la coopération est un signe positif pour les relations économiques.</w:t>
      </w:r>
    </w:p>
    <w:p>
      <w:pPr>
        <w:pStyle w:val="Heading3"/>
      </w:pPr>
      <w:r>
        <w:rPr>
          <w:color w:val="500050"/>
        </w:rPr>
        <w:t>⚡ Impact estimé sur la BRVM</w:t>
      </w:r>
    </w:p>
    <w:p>
      <w:pPr>
        <w:spacing w:before="20" w:after="40"/>
        <w:ind w:left="280"/>
      </w:pPr>
      <w:r>
        <w:rPr>
          <w:i/>
          <w:sz w:val="18"/>
        </w:rPr>
        <w:t>La performance exceptionnelle des OPCVM actions de l'UEMOA est un signal fort de la vigueur du marché actions régional, dont la BRVM est le principal moteur. Cela pourrait attirer de nouveaux flux vers les valeurs bancaires (**BNBC**, **CFAC**) et industrielles. L'incertitude politique au Sénégal pourrait toutefois peser sur les valeurs ayant une forte exposition au pays, comme **BOAS** et **SNTS**, et créer de la volatilité à court terme.</w:t>
      </w:r>
    </w:p>
    <w:p>
      <w:pPr>
        <w:pStyle w:val="Heading2"/>
      </w:pPr>
      <w:r>
        <w:rPr>
          <w:color w:val="003366"/>
        </w:rPr>
        <w:t>📈 Plan BRVM</w:t>
      </w:r>
    </w:p>
    <w:p>
      <w:pPr>
        <w:spacing w:before="20" w:after="40"/>
        <w:ind w:left="0"/>
      </w:pPr>
      <w:r>
        <w:rPr>
          <w:sz w:val="18"/>
        </w:rPr>
        <w:t>Les résultats encourageants des sociétés cotées ivoiriennes à la BRVM ont été mis en avant en juin 2026, soutenant la tendance positive du marché. L'indice BRVM Composite se situe à 523.91 points. La dynamique des OPCVM actions de l'UEMOA (+40,5%) suggère un fort intérêt pour les actions de la région, ce qui profite directement à la BRVM.</w:t>
      </w:r>
    </w:p>
    <w:p>
      <w:pPr>
        <w:pStyle w:val="Heading3"/>
      </w:pPr>
      <w:r>
        <w:rPr>
          <w:color w:val="500050"/>
        </w:rPr>
        <w:t>⚡ Impact estimé sur la BRVM</w:t>
      </w:r>
    </w:p>
    <w:p>
      <w:pPr>
        <w:spacing w:before="20" w:after="40"/>
        <w:ind w:left="280"/>
      </w:pPr>
      <w:r>
        <w:rPr>
          <w:i/>
          <w:sz w:val="18"/>
        </w:rPr>
        <w:t>La tendance est positive pour les valeurs bancaires et industrielles ivoiriennes, soutenue par de bons résultats. Les secteurs de la consommation (**UNXC**, **BNBC**, **CFAC**) et des télécommunications (**ORAC**, **SNTS**) pourraient continuer à bénéficier de cet élan. Les investisseurs devraient surveiller les valeurs comme **SGBC**, **BICB**, **PALC**, **SOGC**, **ETIT**, **NTLC**, **SIVC** et **ONTBF** pour des opportunités d'achat, tout en restant attentifs à la volatilité potentielle liée aux crises politiques régionales.</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tensions géopolitiques sont vives, avec le "jour J économique" américain contre l'Iran et l'escalade des conflits au Moyen-Orient, qui alimentent l'inflation via la hausse des prix du pétrole. Ces événements créent un climat d'incertitude mondiale et pourraient détourner les flux d'investissement vers des valeurs refuges.</w:t>
      </w:r>
    </w:p>
    <w:p>
      <w:pPr>
        <w:pStyle w:val="Heading3"/>
      </w:pPr>
      <w:r>
        <w:rPr>
          <w:color w:val="500050"/>
        </w:rPr>
        <w:t>⚡ Impact estimé sur la BRVM</w:t>
      </w:r>
    </w:p>
    <w:p>
      <w:pPr>
        <w:spacing w:before="20" w:after="40"/>
        <w:ind w:left="280"/>
      </w:pPr>
      <w:r>
        <w:rPr>
          <w:i/>
          <w:sz w:val="18"/>
        </w:rPr>
        <w:t>L'instabilité géopolitique mondiale accroît la volatilité sur les marchés financiers. Les investisseurs de la BRVM pourraient adopter une attitude plus prudente, mais la région, relativement épargnée par ces conflits, pourrait être perçue comme une valeur refuge au sein des marchés émergents, attirant des capitaux en quête de rendement.</w:t>
      </w:r>
    </w:p>
    <w:p>
      <w:pPr>
        <w:pStyle w:val="Heading2"/>
      </w:pPr>
      <w:r>
        <w:rPr>
          <w:color w:val="006E32"/>
        </w:rPr>
        <w:t>🌍 Plan Africain</w:t>
      </w:r>
    </w:p>
    <w:p>
      <w:pPr>
        <w:spacing w:before="20" w:after="40"/>
        <w:ind w:left="0"/>
      </w:pPr>
      <w:r>
        <w:rPr>
          <w:sz w:val="18"/>
        </w:rPr>
        <w:t>Les actualités politiques africaines sont dominées par les initiatives de coopération et de soutien économique, comme la visite du Vice-Premier ministre belge au Burkina Faso. La CEDEAO coordonne des actions de soutien à l'économie et à la santé. Aucun événement politique majeur déstabilisant n'est signalé sur le continent.</w:t>
      </w:r>
    </w:p>
    <w:p>
      <w:pPr>
        <w:pStyle w:val="Heading3"/>
      </w:pPr>
      <w:r>
        <w:rPr>
          <w:color w:val="500050"/>
        </w:rPr>
        <w:t>⚡ Impact estimé sur la BRVM</w:t>
      </w:r>
    </w:p>
    <w:p>
      <w:pPr>
        <w:spacing w:before="20" w:after="40"/>
        <w:ind w:left="280"/>
      </w:pPr>
      <w:r>
        <w:rPr>
          <w:i/>
          <w:sz w:val="18"/>
        </w:rPr>
        <w:t>La relative stabilité politique en Afrique de l'Ouest, comparée à d'autres régions, est un facteur de confiance pour les investisseurs. Les initiatives de coopération internationale (comme la Belgique-Burkina) sont positives pour le climat des affaires et pourraient soutenir les flux de capitaux vers les marchés financiers de la région, dont la BRVM.</w:t>
      </w:r>
    </w:p>
    <w:p>
      <w:pPr>
        <w:pStyle w:val="Heading2"/>
      </w:pPr>
      <w:r>
        <w:rPr>
          <w:color w:val="145A28"/>
        </w:rPr>
        <w:t>🌍 Plan Afrique de l'Ouest</w:t>
      </w:r>
    </w:p>
    <w:p>
      <w:pPr>
        <w:spacing w:before="20" w:after="40"/>
        <w:ind w:left="0"/>
      </w:pPr>
      <w:r>
        <w:rPr>
          <w:sz w:val="18"/>
        </w:rPr>
        <w:t>La CEDEAO est active dans le soutien économique et sanitaire de la région. La croissance positive du Libéria (5% en 2026) est un indicateur encourageant. Cependant, la situation politique au Sénégal, qui pourrait se retrouver sans gouvernement, est un point de vigilance majeur pour la stabilité de la sous-région.</w:t>
      </w:r>
    </w:p>
    <w:p>
      <w:pPr>
        <w:pStyle w:val="Heading3"/>
      </w:pPr>
      <w:r>
        <w:rPr>
          <w:color w:val="500050"/>
        </w:rPr>
        <w:t>⚡ Impact estimé sur la BRVM</w:t>
      </w:r>
    </w:p>
    <w:p>
      <w:pPr>
        <w:spacing w:before="20" w:after="40"/>
        <w:ind w:left="280"/>
      </w:pPr>
      <w:r>
        <w:rPr>
          <w:i/>
          <w:sz w:val="18"/>
        </w:rPr>
        <w:t>La crise politique potentielle au Sénégal représente un risque spécifique pour les sociétés cotées ayant une forte présence dans ce pays, notamment **BOAS** (banque) et **SNTS** (télécoms). Une instabilité prolongée pourrait affecter leur activité et leur rentabilité, créant une pression à la baisse sur leurs cours. Les autres valeurs de la BRVM pourraient être relativement épargnées.</w:t>
      </w:r>
    </w:p>
    <w:p>
      <w:pPr>
        <w:pStyle w:val="Heading2"/>
      </w:pPr>
      <w:r>
        <w:rPr>
          <w:color w:val="8C4600"/>
        </w:rPr>
        <w:t>🏦 Plan UEMOA / Zone Franc</w:t>
      </w:r>
    </w:p>
    <w:p>
      <w:pPr>
        <w:spacing w:before="20" w:after="40"/>
        <w:ind w:left="0"/>
      </w:pPr>
      <w:r>
        <w:rPr>
          <w:sz w:val="18"/>
        </w:rPr>
        <w:t>La situation politique dans les pays membres est globalement stable, à l'exception des incertitudes au Sénégal. Les réformes institutionnelles et les actions de coopération, comme la visite belge au Burkina Faso, sont en cours. Le climat politique général reste propice aux affaires, mais la crise sénégalaise doit être surveillée de près.</w:t>
      </w:r>
    </w:p>
    <w:p>
      <w:pPr>
        <w:pStyle w:val="Heading3"/>
      </w:pPr>
      <w:r>
        <w:rPr>
          <w:color w:val="500050"/>
        </w:rPr>
        <w:t>⚡ Impact estimé sur la BRVM</w:t>
      </w:r>
    </w:p>
    <w:p>
      <w:pPr>
        <w:spacing w:before="20" w:after="40"/>
        <w:ind w:left="280"/>
      </w:pPr>
      <w:r>
        <w:rPr>
          <w:i/>
          <w:sz w:val="18"/>
        </w:rPr>
        <w:t>Le principal risque politique pour la BRVM est la crise sénégalaise. Elle pourrait affecter la confiance des investisseurs régionaux et avoir un impact négatif sur les valeurs exposées au Sénégal. En dehors de ce cas, l'environnement politique de l'UEMOA reste favorable au développement du marché financier régional.</w:t>
      </w:r>
    </w:p>
    <w:p>
      <w:pPr>
        <w:pStyle w:val="Heading2"/>
      </w:pPr>
      <w:r>
        <w:rPr>
          <w:color w:val="003366"/>
        </w:rPr>
        <w:t>📈 Plan BRVM</w:t>
      </w:r>
    </w:p>
    <w:p>
      <w:pPr>
        <w:spacing w:before="20" w:after="40"/>
        <w:ind w:left="0"/>
      </w:pPr>
      <w:r>
        <w:rPr>
          <w:sz w:val="18"/>
        </w:rPr>
        <w:t>Données insuffisantes.</w:t>
      </w:r>
    </w:p>
    <w:p>
      <w:pPr>
        <w:pStyle w:val="Heading3"/>
      </w:pPr>
      <w:r>
        <w:rPr>
          <w:color w:val="500050"/>
        </w:rPr>
        <w:t>⚡ Impact estimé sur la BRVM</w:t>
      </w:r>
    </w:p>
    <w:p>
      <w:pPr>
        <w:spacing w:before="20" w:after="40"/>
        <w:ind w:left="280"/>
      </w:pPr>
      <w:r>
        <w:rPr>
          <w:i/>
          <w:sz w:val="18"/>
        </w:rPr>
        <w:t>Données insuffisantes.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La BCE envisage une nouvelle hausse de ses taux pour freiner l'inflation, ce qui pourrait renforcer l'euro et le dollar, et avoir un impact sur les flux de capitaux vers les marchés émergents. La hausse des prix du pétrole liée aux conflits au Moyen-Orient est un facteur d'inquiétude pour l'inflation mondiale.</w:t>
      </w:r>
    </w:p>
    <w:p>
      <w:pPr>
        <w:pStyle w:val="Heading3"/>
      </w:pPr>
      <w:r>
        <w:rPr>
          <w:color w:val="500050"/>
        </w:rPr>
        <w:t>⚡ Impact estimé sur la BRVM</w:t>
      </w:r>
    </w:p>
    <w:p>
      <w:pPr>
        <w:spacing w:before="20" w:after="40"/>
        <w:ind w:left="280"/>
      </w:pPr>
      <w:r>
        <w:rPr>
          <w:i/>
          <w:sz w:val="18"/>
        </w:rPr>
        <w:t>Un resserrement monétaire dans les pays développés peut réduire la liquidité globale et l'appétit pour le risque, affectant les marchés émergents comme la BRVM. Cependant, la BRVM est moins corrélée aux marchés mondiaux et pourrait être moins impactée. La hausse du pétrole pourrait profiter au secteur de l'énergie (**SHEC**) mais pénaliser les industries consommatrices d'énergie.</w:t>
      </w:r>
    </w:p>
    <w:p>
      <w:pPr>
        <w:pStyle w:val="Heading2"/>
      </w:pPr>
      <w:r>
        <w:rPr>
          <w:color w:val="006E32"/>
        </w:rPr>
        <w:t>🌍 Plan Africain</w:t>
      </w:r>
    </w:p>
    <w:p>
      <w:pPr>
        <w:spacing w:before="20" w:after="40"/>
        <w:ind w:left="0"/>
      </w:pPr>
      <w:r>
        <w:rPr>
          <w:sz w:val="18"/>
        </w:rPr>
        <w:t>Les OPCVM actions de l'UEMOA affichent des gains allant jusqu'à 40,5% en 2026, démontrant une forte performance des marchés actions de la région. L'émission de dette verte de la Senelec (108 milliards FCFA) à Luxembourg montre l'accès des entités africaines aux marchés internationaux de capitaux.</w:t>
      </w:r>
    </w:p>
    <w:p>
      <w:pPr>
        <w:pStyle w:val="Heading3"/>
      </w:pPr>
      <w:r>
        <w:rPr>
          <w:color w:val="500050"/>
        </w:rPr>
        <w:t>⚡ Impact estimé sur la BRVM</w:t>
      </w:r>
    </w:p>
    <w:p>
      <w:pPr>
        <w:spacing w:before="20" w:after="40"/>
        <w:ind w:left="280"/>
      </w:pPr>
      <w:r>
        <w:rPr>
          <w:i/>
          <w:sz w:val="18"/>
        </w:rPr>
        <w:t>La performance des OPCVM actions de l'UEMOA est un signal très positif pour la BRVM, qui est le principal marché de la zone. Cela pourrait attirer davantage d'investisseurs et de capitaux. L'émission de la Senelec pourrait inspirer d'autres émetteurs, mais aussi créer une concurrence pour les capitaux disponibles.</w:t>
      </w:r>
    </w:p>
    <w:p>
      <w:pPr>
        <w:pStyle w:val="Heading2"/>
      </w:pPr>
      <w:r>
        <w:rPr>
          <w:color w:val="145A28"/>
        </w:rPr>
        <w:t>🌍 Plan Afrique de l'Ouest</w:t>
      </w:r>
    </w:p>
    <w:p>
      <w:pPr>
        <w:spacing w:before="20" w:after="40"/>
        <w:ind w:left="0"/>
      </w:pPr>
      <w:r>
        <w:rPr>
          <w:sz w:val="18"/>
        </w:rPr>
        <w:t>Les actions coordonnées de la CEDEAO pour soutenir l'économie sont un facteur de stabilité et de confiance pour les investisseurs de la sous-région. La croissance économique positive au Libéria est un signe de dynamisme régional.</w:t>
      </w:r>
    </w:p>
    <w:p>
      <w:pPr>
        <w:pStyle w:val="Heading3"/>
      </w:pPr>
      <w:r>
        <w:rPr>
          <w:color w:val="500050"/>
        </w:rPr>
        <w:t>⚡ Impact estimé sur la BRVM</w:t>
      </w:r>
    </w:p>
    <w:p>
      <w:pPr>
        <w:spacing w:before="20" w:after="40"/>
        <w:ind w:left="280"/>
      </w:pPr>
      <w:r>
        <w:rPr>
          <w:i/>
          <w:sz w:val="18"/>
        </w:rPr>
        <w:t>Un environnement économique soutenu par la CEDEAO est favorable à la croissance des entreprises cotées et à l'attractivité de la BRVM. La BRVM se positionne comme la place financière de référence de la sous-région, bénéficiant de la dynamique positive de l'Afrique de l'Ouest.</w:t>
      </w:r>
    </w:p>
    <w:p>
      <w:pPr>
        <w:pStyle w:val="Heading2"/>
      </w:pPr>
      <w:r>
        <w:rPr>
          <w:color w:val="8C4600"/>
        </w:rPr>
        <w:t>🏦 Plan UEMOA / Zone Franc</w:t>
      </w:r>
    </w:p>
    <w:p>
      <w:pPr>
        <w:spacing w:before="20" w:after="40"/>
        <w:ind w:left="0"/>
      </w:pPr>
      <w:r>
        <w:rPr>
          <w:sz w:val="18"/>
        </w:rPr>
        <w:t>Le marché des titres publics de l'UEMOA est actif, avec des émissions comme celle de la Senelec. La liquidité bancaire est influencée par les décisions de la BCEAO. La performance des OPCVM actions (+40,5%) montre un appétit pour le risque actions dans la zone.</w:t>
      </w:r>
    </w:p>
    <w:p>
      <w:pPr>
        <w:pStyle w:val="Heading3"/>
      </w:pPr>
      <w:r>
        <w:rPr>
          <w:color w:val="500050"/>
        </w:rPr>
        <w:t>⚡ Impact estimé sur la BRVM</w:t>
      </w:r>
    </w:p>
    <w:p>
      <w:pPr>
        <w:spacing w:before="20" w:after="40"/>
        <w:ind w:left="280"/>
      </w:pPr>
      <w:r>
        <w:rPr>
          <w:i/>
          <w:sz w:val="18"/>
        </w:rPr>
        <w:t>L'arbitrage entre les titres publics (considérés comme sûrs) et les actions BRVM (plus risquées mais plus rentables) est un facteur clé. La forte performance des actions en 2026 pourrait inciter les investisseurs à se tourner vers la BRVM, au détriment des titres publics. Une liquidité bancaire abondante pourrait également soutenir la demande d'actions.</w:t>
      </w:r>
    </w:p>
    <w:p>
      <w:pPr>
        <w:pStyle w:val="Heading2"/>
      </w:pPr>
      <w:r>
        <w:rPr>
          <w:color w:val="003366"/>
        </w:rPr>
        <w:t>📈 Plan BRVM</w:t>
      </w:r>
    </w:p>
    <w:p>
      <w:pPr>
        <w:spacing w:before="20" w:after="40"/>
        <w:ind w:left="0"/>
      </w:pPr>
      <w:r>
        <w:rPr>
          <w:sz w:val="18"/>
        </w:rPr>
        <w:t>L'indice BRVM Composite est à 523.91 points. Les résultats encourageants des sociétés cotées ivoiriennes soutiennent la tendance. Le marché est dynamique, porté par la performance des OPCVM actions de la zone.</w:t>
      </w:r>
    </w:p>
    <w:p>
      <w:pPr>
        <w:pStyle w:val="Heading3"/>
      </w:pPr>
      <w:r>
        <w:rPr>
          <w:color w:val="500050"/>
        </w:rPr>
        <w:t>⚡ Impact estimé sur la BRVM</w:t>
      </w:r>
    </w:p>
    <w:p>
      <w:pPr>
        <w:spacing w:before="20" w:after="40"/>
        <w:ind w:left="280"/>
      </w:pPr>
      <w:r>
        <w:rPr>
          <w:i/>
          <w:sz w:val="18"/>
        </w:rPr>
        <w:t>Les valeurs bancaires (**NSBC**, **BNBC**, **BOABF**, **BOAM**, **BOAS**, **SGBC**, **BICB**) et industrielles (**STAC**, **CABC**, **FTSC**) semblent bien orientées. Les valeurs de consommation (**UNXC**, **CFAC**, **PALC**, **SCRC**) et de télécommunications (**ORAC**, **SNTS**) pourraient également profiter de la dynamique positive. Il est recommandé de surveiller les opportunités d'achat sur les titres comme **ETIT**, **NTLC**, **SIVC**, **ONTBF** et **SOGC**, tout en restant prudent sur les valeurs exposées au risque politique sénégalais (**BOAS**, **SNTS**).</w:t>
      </w:r>
    </w:p>
    <w:p>
      <w:pPr>
        <w:spacing w:before="20" w:after="40"/>
        <w:ind w:left="280"/>
      </w:pPr>
      <w:r>
        <w:rPr>
          <w:i/>
          <w:sz w:val="18"/>
        </w:rPr>
        <w:t>---</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marché de la BRVM évolue dans un environnement contrasté. D'un côté, la performance exceptionnelle des OPCVM actions de l'UEMOA (+40,5%) et les résultats encourageants des sociétés cotées ivoiriennes témoignent d'une dynamique interne positive et d'un fort appétit pour le risque. De l'autre, les tensions géopolitiques mondiales (Moyen-Orient), la hausse des prix du pétrole et la perspective d'un resserrement monétaire en Europe créent des incertitudes externes. Le principal risque régional est l'instabilité politique potentielle au Sénégal, qui pourrait affecter les valeurs exposées à ce pays.</w:t>
      </w:r>
    </w:p>
    <w:p>
      <w:pPr>
        <w:spacing w:before="20" w:after="40"/>
        <w:ind w:left="0"/>
      </w:pPr>
      <w:r>
        <w:rPr>
          <w:sz w:val="18"/>
        </w:rPr>
        <w:t>**Recommandation :** Les investisseurs peuvent maintenir une position constructive sur la BRVM, en privilégiant les valeurs bancaires et industrielles ivoiriennes, soutenues par de bons fondamentaux. Il est conseillé de surveiller de près l'évolution de la crise politique sénégalaise et d'adopter une approche sélective, en réduisant temporairement l'exposition aux titres comme **BOAS** et **SNTS**. L'opportunité d'achat sur les valeurs de consommation et télécommunications reste valable, mais avec une gestion du risque accrue.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Les États-Unis dévoilent leur “jour J économique” pour faire plier 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2026-08-27</w:t>
            </w:r>
          </w:p>
        </w:tc>
        <w:tc>
          <w:tcPr>
            <w:tcW w:type="dxa" w:w="1728"/>
          </w:tcPr>
          <w:p>
            <w:r>
              <w:rPr>
                <w:sz w:val="14"/>
              </w:rPr>
              <w:t>Conflits au Moyen-Orient : l'envolée du prix du pétrole et des emballa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BCE-Une nouvelle hausse des taux est probable pour freiner l'inflation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2026-08-25</w:t>
            </w:r>
          </w:p>
        </w:tc>
        <w:tc>
          <w:tcPr>
            <w:tcW w:type="dxa" w:w="1728"/>
          </w:tcPr>
          <w:p>
            <w:r>
              <w:rPr>
                <w:sz w:val="14"/>
              </w:rPr>
              <w:t>Les inquiétudes liées à une offre plus souple ont provoqué un renverse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2026-08-26</w:t>
            </w:r>
          </w:p>
        </w:tc>
        <w:tc>
          <w:tcPr>
            <w:tcW w:type="dxa" w:w="1728"/>
          </w:tcPr>
          <w:p>
            <w:r>
              <w:rPr>
                <w:sz w:val="14"/>
              </w:rPr>
              <w:t>La BCE pourrait relever ses taux d'intérêt en septembre. - Vietnam.vn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2026-08-25</w:t>
            </w:r>
          </w:p>
        </w:tc>
        <w:tc>
          <w:tcPr>
            <w:tcW w:type="dxa" w:w="1728"/>
          </w:tcPr>
          <w:p>
            <w:r>
              <w:rPr>
                <w:sz w:val="14"/>
              </w:rPr>
              <w:t>Les doutes s'accumulent sur la trajectoire des Bourses européennes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Russie-CEDEAO : Lavrov annonce un mémorandum de coopération - Yeni Şaf</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Burkina Faso : le Vice-Premier ministre belge à Ouagadougou pour conso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 xml:space="preserve">Les OPCVM actions de l’UEMOA affichent jusqu’à 40,5 % de gain en 2026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2026-08-26</w:t>
            </w:r>
          </w:p>
        </w:tc>
        <w:tc>
          <w:tcPr>
            <w:tcW w:type="dxa" w:w="1728"/>
          </w:tcPr>
          <w:p>
            <w:r>
              <w:rPr>
                <w:sz w:val="14"/>
              </w:rPr>
              <w:t>Comment le Sénégal pourrait se retrouver sans gouvernement le 1er sept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2026-08-27</w:t>
            </w:r>
          </w:p>
        </w:tc>
        <w:tc>
          <w:tcPr>
            <w:tcW w:type="dxa" w:w="1728"/>
          </w:tcPr>
          <w:p>
            <w:r>
              <w:rPr>
                <w:sz w:val="14"/>
              </w:rPr>
              <w:t>Togo : compte rendu du conseil des ministres du 26 août 2026 - 24heure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2026-08-26</w:t>
            </w:r>
          </w:p>
        </w:tc>
        <w:tc>
          <w:tcPr>
            <w:tcW w:type="dxa" w:w="1728"/>
          </w:tcPr>
          <w:p>
            <w:r>
              <w:rPr>
                <w:sz w:val="14"/>
              </w:rPr>
              <w:t xml:space="preserve">Sénégal : Le PM Ahmadou Al Aminou Lo présentera sa politique générale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2026-08-26</w:t>
            </w:r>
          </w:p>
        </w:tc>
        <w:tc>
          <w:tcPr>
            <w:tcW w:type="dxa" w:w="1728"/>
          </w:tcPr>
          <w:p>
            <w:r>
              <w:rPr>
                <w:sz w:val="14"/>
              </w:rPr>
              <w:t>VIDÉO. Sénégal: Saint-Louis, un héritage colonial menacé de disparitio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Les États-Unis dévoilent leur “jour J économique” pour faire plier 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2026-08-27</w:t>
            </w:r>
          </w:p>
        </w:tc>
        <w:tc>
          <w:tcPr>
            <w:tcW w:type="dxa" w:w="1728"/>
          </w:tcPr>
          <w:p>
            <w:r>
              <w:rPr>
                <w:sz w:val="14"/>
              </w:rPr>
              <w:t>Conflits au Moyen-Orient : l'envolée du prix du pétrole et des emballa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BCE-Une nouvelle hausse des taux est probable pour freiner l'inflation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Burkina Faso : le Vice-Premier ministre belge à Ouagadougou pour conso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Les inquiétudes liées à une offre plus souple ont provoqué un renverse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Les États-Unis dévoilent leur “jour J économique” pour faire plier 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2026-08-27</w:t>
            </w:r>
          </w:p>
        </w:tc>
        <w:tc>
          <w:tcPr>
            <w:tcW w:type="dxa" w:w="1728"/>
          </w:tcPr>
          <w:p>
            <w:r>
              <w:rPr>
                <w:sz w:val="14"/>
              </w:rPr>
              <w:t>Conflits au Moyen-Orient : l'envolée du prix du pétrole et des emballa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Burkina Faso : le Vice-Premier ministre belge à Ouagadougou pour conso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2026-08-26</w:t>
            </w:r>
          </w:p>
        </w:tc>
        <w:tc>
          <w:tcPr>
            <w:tcW w:type="dxa" w:w="1728"/>
          </w:tcPr>
          <w:p>
            <w:r>
              <w:rPr>
                <w:sz w:val="14"/>
              </w:rPr>
              <w:t>La BCE pourrait relever ses taux d'intérêt en septembre. - Vietnam.vn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Les États-Unis dévoilent leur “jour J économique” pour faire plier 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2026-08-27</w:t>
            </w:r>
          </w:p>
        </w:tc>
        <w:tc>
          <w:tcPr>
            <w:tcW w:type="dxa" w:w="1728"/>
          </w:tcPr>
          <w:p>
            <w:r>
              <w:rPr>
                <w:sz w:val="14"/>
              </w:rPr>
              <w:t>Conflits au Moyen-Orient : l'envolée du prix du pétrole et des emballa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Burkina Faso : le Vice-Premier ministre belge à Ouagadougou pour conso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2026-08-26</w:t>
            </w:r>
          </w:p>
        </w:tc>
        <w:tc>
          <w:tcPr>
            <w:tcW w:type="dxa" w:w="1728"/>
          </w:tcPr>
          <w:p>
            <w:r>
              <w:rPr>
                <w:sz w:val="14"/>
              </w:rPr>
              <w:t>La BCE pourrait relever ses taux d'intérêt en septembre. - Vietnam.vn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Les États-Unis dévoilent leur “jour J économique” pour faire plier 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2026-08-27</w:t>
            </w:r>
          </w:p>
        </w:tc>
        <w:tc>
          <w:tcPr>
            <w:tcW w:type="dxa" w:w="1728"/>
          </w:tcPr>
          <w:p>
            <w:r>
              <w:rPr>
                <w:sz w:val="14"/>
              </w:rPr>
              <w:t>Conflits au Moyen-Orient : l'envolée du prix du pétrole et des emballa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BCE-Une nouvelle hausse des taux est probable pour freiner l'inflation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Burkina Faso : le Vice-Premier ministre belge à Ouagadougou pour conso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 xml:space="preserve">Les OPCVM actions de l’UEMOA affichent jusqu’à 40,5 % de gain en 2026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Les États-Unis dévoilent leur “jour J économique” pour faire plier 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2026-08-27</w:t>
            </w:r>
          </w:p>
        </w:tc>
        <w:tc>
          <w:tcPr>
            <w:tcW w:type="dxa" w:w="1728"/>
          </w:tcPr>
          <w:p>
            <w:r>
              <w:rPr>
                <w:sz w:val="14"/>
              </w:rPr>
              <w:t>Conflits au Moyen-Orient : l'envolée du prix du pétrole et des emballa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Burkina Faso : le Vice-Premier ministre belge à Ouagadougou pour conso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 xml:space="preserve">Les OPCVM actions de l’UEMOA affichent jusqu’à 40,5 % de gain en 2026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2026-08-26</w:t>
            </w:r>
          </w:p>
        </w:tc>
        <w:tc>
          <w:tcPr>
            <w:tcW w:type="dxa" w:w="1728"/>
          </w:tcPr>
          <w:p>
            <w:r>
              <w:rPr>
                <w:sz w:val="14"/>
              </w:rPr>
              <w:t>La BCE pourrait relever ses taux d'intérêt en septembre. - Vietnam.vn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Conflits au Moyen-Orient : l'envolée du prix du pétrole et des emballa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BCE-Une nouvelle hausse des taux est probable pour freiner l'inflation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 xml:space="preserve">Les OPCVM actions de l’UEMOA affichent jusqu’à 40,5 % de gain en 2026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2026-08-25</w:t>
            </w:r>
          </w:p>
        </w:tc>
        <w:tc>
          <w:tcPr>
            <w:tcW w:type="dxa" w:w="1728"/>
          </w:tcPr>
          <w:p>
            <w:r>
              <w:rPr>
                <w:sz w:val="14"/>
              </w:rPr>
              <w:t>Les inquiétudes liées à une offre plus souple ont provoqué un renverse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BCE-Une nouvelle hausse des taux est probable pour freiner l'inflation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 xml:space="preserve">Les OPCVM actions de l’UEMOA affichent jusqu’à 40,5 % de gain en 2026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2026-08-26</w:t>
            </w:r>
          </w:p>
        </w:tc>
        <w:tc>
          <w:tcPr>
            <w:tcW w:type="dxa" w:w="1728"/>
          </w:tcPr>
          <w:p>
            <w:r>
              <w:rPr>
                <w:sz w:val="14"/>
              </w:rPr>
              <w:t>La BCE pourrait relever ses taux d'intérêt en septembre. - Vietnam.vn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2026-08-26</w:t>
            </w:r>
          </w:p>
        </w:tc>
        <w:tc>
          <w:tcPr>
            <w:tcW w:type="dxa" w:w="1728"/>
          </w:tcPr>
          <w:p>
            <w:r>
              <w:rPr>
                <w:sz w:val="14"/>
              </w:rPr>
              <w:t>VIDÉO. Sénégal: Saint-Louis, un héritage colonial menacé de disparitio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BCE-Une nouvelle hausse des taux est probable pour freiner l'inflation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 xml:space="preserve">Les OPCVM actions de l’UEMOA affichent jusqu’à 40,5 % de gain en 2026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2026-08-26</w:t>
            </w:r>
          </w:p>
        </w:tc>
        <w:tc>
          <w:tcPr>
            <w:tcW w:type="dxa" w:w="1728"/>
          </w:tcPr>
          <w:p>
            <w:r>
              <w:rPr>
                <w:sz w:val="14"/>
              </w:rPr>
              <w:t>La BCE pourrait relever ses taux d'intérêt en septembre. - Vietnam.vn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2026-08-26</w:t>
            </w:r>
          </w:p>
        </w:tc>
        <w:tc>
          <w:tcPr>
            <w:tcW w:type="dxa" w:w="1728"/>
          </w:tcPr>
          <w:p>
            <w:r>
              <w:rPr>
                <w:sz w:val="14"/>
              </w:rPr>
              <w:t>VIDÉO. Sénégal: Saint-Louis, un héritage colonial menacé de disparitio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BCE-Une nouvelle hausse des taux est probable pour freiner l'inflation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Burkina Faso : le Vice-Premier ministre belge à Ouagadougou pour conso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2026-08-24</w:t>
            </w:r>
          </w:p>
        </w:tc>
        <w:tc>
          <w:tcPr>
            <w:tcW w:type="dxa" w:w="1728"/>
          </w:tcPr>
          <w:p>
            <w:r>
              <w:rPr>
                <w:sz w:val="14"/>
              </w:rPr>
              <w:t xml:space="preserve">Les OPCVM actions de l’UEMOA affichent jusqu’à 40,5 % de gain en 2026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2026-08-26</w:t>
            </w:r>
          </w:p>
        </w:tc>
        <w:tc>
          <w:tcPr>
            <w:tcW w:type="dxa" w:w="1728"/>
          </w:tcPr>
          <w:p>
            <w:r>
              <w:rPr>
                <w:sz w:val="14"/>
              </w:rPr>
              <w:t>La BCE pourrait relever ses taux d'intérêt en septembre. - Vietnam.vn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BCE-Une nouvelle hausse des taux est probable pour freiner l'inflation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 xml:space="preserve">Les OPCVM actions de l’UEMOA affichent jusqu’à 40,5 % de gain en 2026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2026-08-26</w:t>
            </w:r>
          </w:p>
        </w:tc>
        <w:tc>
          <w:tcPr>
            <w:tcW w:type="dxa" w:w="1728"/>
          </w:tcPr>
          <w:p>
            <w:r>
              <w:rPr>
                <w:sz w:val="14"/>
              </w:rPr>
              <w:t>La BCE pourrait relever ses taux d'intérêt en septembre. - Vietnam.vn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2026-08-26</w:t>
            </w:r>
          </w:p>
        </w:tc>
        <w:tc>
          <w:tcPr>
            <w:tcW w:type="dxa" w:w="1728"/>
          </w:tcPr>
          <w:p>
            <w:r>
              <w:rPr>
                <w:sz w:val="14"/>
              </w:rPr>
              <w:t>VIDÉO. Sénégal: Saint-Louis, un héritage colonial menacé de disparitio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matieres_premieres  (4 alerte(s))</w:t>
      </w:r>
    </w:p>
    <w:p>
      <w:pPr>
        <w:spacing w:before="40" w:after="40"/>
        <w:ind w:left="360"/>
      </w:pPr>
      <w:r>
        <w:rPr>
          <w:color w:val="646464"/>
          <w:sz w:val="17"/>
        </w:rPr>
        <w:t xml:space="preserve">[27/08/2026] 🔴  </w:t>
      </w:r>
      <w:r>
        <w:rPr>
          <w:b/>
          <w:color w:val="C00000"/>
          <w:sz w:val="18"/>
        </w:rPr>
        <w:t>Conflits au Moyen-Orient : l'envolée du prix du pétrole et des emballages plastiques alimente l'inflation en rayon - rci</w:t>
      </w:r>
      <w:r>
        <w:rPr>
          <w:color w:val="787878"/>
          <w:sz w:val="15"/>
        </w:rPr>
        <w:t xml:space="preserve">  [matieres_premieres]</w:t>
      </w:r>
      <w:r>
        <w:rPr>
          <w:color w:val="B47800"/>
          <w:sz w:val="16"/>
        </w:rPr>
        <w:t xml:space="preserve">  ★ 50/10</w:t>
      </w:r>
    </w:p>
    <w:p>
      <w:pPr>
        <w:spacing w:before="0" w:after="20"/>
        <w:ind w:left="600"/>
      </w:pPr>
      <w:r>
        <w:rPr>
          <w:color w:val="323232"/>
          <w:sz w:val="17"/>
        </w:rPr>
        <w:t>Les conflits au Moyen-Orient entraînent une hausse des prix du pétrole, ce qui augmente le coût des matières premières comme les emballages plastiques. Cette augmentation des coûts se répercute sur les prix des produits en rayon, alimentant ainsi l'inflation. Pour les économies importatrices de pétrole, cela représente une pression inflationniste s</w:t>
      </w:r>
    </w:p>
    <w:p>
      <w:pPr>
        <w:spacing w:before="0" w:after="40"/>
        <w:ind w:left="600"/>
      </w:pPr>
      <w:r>
        <w:rPr>
          <w:color w:val="00643C"/>
          <w:sz w:val="16"/>
        </w:rPr>
        <w:t>Points clés : Hausse des prix du pétrole due aux tensions géopolitiques au Moyen-Orient.  •  Augmentation des coûts des emballages plastiques, répercutée sur les prix de détail.  •  Risque d'inflation importée pour les pays dépendants des importations de pétrole.</w:t>
      </w:r>
    </w:p>
    <w:p>
      <w:pPr>
        <w:spacing w:before="0" w:after="60"/>
        <w:ind w:left="600"/>
      </w:pPr>
      <w:r>
        <w:rPr>
          <w:color w:val="0064B4"/>
          <w:sz w:val="15"/>
        </w:rPr>
        <w:t>Source : https://news.google.com/rss/articles/CBMivAFBVV95cUxQRzJHU3JZTmh2SDNSSzRhVTEtMkJ</w:t>
      </w:r>
    </w:p>
    <w:p>
      <w:pPr>
        <w:spacing w:before="40" w:after="40"/>
        <w:ind w:left="360"/>
      </w:pPr>
      <w:r>
        <w:rPr>
          <w:color w:val="646464"/>
          <w:sz w:val="17"/>
        </w:rPr>
        <w:t xml:space="preserve">[25/08/2026] ⚪  </w:t>
      </w:r>
      <w:r>
        <w:rPr>
          <w:b/>
          <w:color w:val="505050"/>
          <w:sz w:val="18"/>
        </w:rPr>
        <w:t>Marché des matières premières : l'indice MXV inverse sa tendance et recule légèrement.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prix des matières premières, a inversé sa tendance haussière récente et a enregistré un léger recul. Cette évolution reflète une certaine volatilité sur les marchés internationaux des matières premières. Les investisseurs surveillent de près ces fluctuations, qui peuvent influencer les coûts des intrants pour les entrepri</w:t>
      </w:r>
    </w:p>
    <w:p>
      <w:pPr>
        <w:spacing w:before="0" w:after="40"/>
        <w:ind w:left="600"/>
      </w:pPr>
      <w:r>
        <w:rPr>
          <w:color w:val="00643C"/>
          <w:sz w:val="16"/>
        </w:rPr>
        <w:t>Points clés : L'indice MXV a inversé sa tendance et recule légèrement.  •  Le recul est modeste, mais signale une volatilité sur les marchés de matières premières.</w:t>
      </w:r>
    </w:p>
    <w:p>
      <w:pPr>
        <w:spacing w:before="0" w:after="60"/>
        <w:ind w:left="600"/>
      </w:pPr>
      <w:r>
        <w:rPr>
          <w:color w:val="0064B4"/>
          <w:sz w:val="15"/>
        </w:rPr>
        <w:t>Source : https://news.google.com/rss/articles/CBMifkFVX3lxTE9WanBXSWZRd0tTMGlsTklTY3pqako</w:t>
      </w:r>
    </w:p>
    <w:p>
      <w:pPr>
        <w:spacing w:before="40" w:after="40"/>
        <w:ind w:left="360"/>
      </w:pPr>
      <w:r>
        <w:rPr>
          <w:color w:val="646464"/>
          <w:sz w:val="17"/>
        </w:rPr>
        <w:t xml:space="preserve">[25/08/2026] 🔴  </w:t>
      </w:r>
      <w:r>
        <w:rPr>
          <w:b/>
          <w:color w:val="C00000"/>
          <w:sz w:val="18"/>
        </w:rPr>
        <w:t>Les inquiétudes liées à une offre plus souple ont provoqué un renversement de tendance et un affaiblissement des prix du</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subi un renversement de tendance et se sont affaiblis en raison des inquiétudes concernant une offre plus souple sur le marché. Cette évolution reflète les craintes des investisseurs quant à un excédent d'offre, ce qui pèse sur les cours. Le marché pétrolier reste sous pression, avec des perspectives incertaines pour l'équil</w:t>
      </w:r>
    </w:p>
    <w:p>
      <w:pPr>
        <w:spacing w:before="0" w:after="40"/>
        <w:ind w:left="600"/>
      </w:pPr>
      <w:r>
        <w:rPr>
          <w:color w:val="00643C"/>
          <w:sz w:val="16"/>
        </w:rPr>
        <w:t>Points clés : Renversement de tendance des prix du pétrole  •  Affaiblissement des prix dû aux inquiétudes sur une offre plus souple</w:t>
      </w:r>
    </w:p>
    <w:p>
      <w:pPr>
        <w:spacing w:before="0" w:after="60"/>
        <w:ind w:left="600"/>
      </w:pPr>
      <w:r>
        <w:rPr>
          <w:color w:val="0064B4"/>
          <w:sz w:val="15"/>
        </w:rPr>
        <w:t>Source : https://news.google.com/rss/articles/CBMihAFBVV95cUxQSUdXNFVSYVRIVWhBUXJ2b0N4cXV</w:t>
      </w:r>
    </w:p>
    <w:p>
      <w:pPr>
        <w:spacing w:before="40" w:after="40"/>
        <w:ind w:left="360"/>
      </w:pPr>
      <w:r>
        <w:rPr>
          <w:color w:val="646464"/>
          <w:sz w:val="17"/>
        </w:rPr>
        <w:t xml:space="preserve">[25/08/2026] ⚪  </w:t>
      </w:r>
      <w:r>
        <w:rPr>
          <w:b/>
          <w:color w:val="505050"/>
          <w:sz w:val="18"/>
        </w:rPr>
        <w:t>Les prix du pétrole s'effondrent, ceux du café grimpent de plus de 5 %.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chuté de manière significative, tandis que ceux du café ont bondi de plus de 5 %. Cette évolution des matières premières est susceptible d'affecter les économies dépendantes du pétrole et les producteurs de café. L'article, provenant de Vietnam.vn, met en lumière une volatilité marquée sur les marchés internationaux.</w:t>
      </w:r>
    </w:p>
    <w:p>
      <w:pPr>
        <w:spacing w:before="0" w:after="40"/>
        <w:ind w:left="600"/>
      </w:pPr>
      <w:r>
        <w:rPr>
          <w:color w:val="00643C"/>
          <w:sz w:val="16"/>
        </w:rPr>
        <w:t>Points clés : Chute des prix du pétrole  •  Hausse de plus de 5 % des prix du café</w:t>
      </w:r>
    </w:p>
    <w:p>
      <w:pPr>
        <w:spacing w:before="0" w:after="60"/>
        <w:ind w:left="600"/>
      </w:pPr>
      <w:r>
        <w:rPr>
          <w:color w:val="0064B4"/>
          <w:sz w:val="15"/>
        </w:rPr>
        <w:t>Source : https://news.google.com/rss/articles/CBMic0FVX3lxTE43N3R3NzkweFlNUG0zaTJHSFpxY2N</w:t>
      </w:r>
    </w:p>
    <w:p>
      <w:pPr>
        <w:spacing w:before="120" w:after="40"/>
      </w:pPr>
      <w:r>
        <w:rPr>
          <w:b/>
          <w:color w:val="00467F"/>
          <w:sz w:val="20"/>
        </w:rPr>
        <w:t>🔑 politique_monetaire  (2 alerte(s))</w:t>
      </w:r>
    </w:p>
    <w:p>
      <w:pPr>
        <w:spacing w:before="40" w:after="40"/>
        <w:ind w:left="360"/>
      </w:pPr>
      <w:r>
        <w:rPr>
          <w:color w:val="646464"/>
          <w:sz w:val="17"/>
        </w:rPr>
        <w:t xml:space="preserve">[27/08/2026] ⚪  </w:t>
      </w:r>
      <w:r>
        <w:rPr>
          <w:b/>
          <w:color w:val="505050"/>
          <w:sz w:val="18"/>
        </w:rPr>
        <w:t>BCE-Une nouvelle hausse des taux est probable pour freiner l'inflation - compte-rendu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envisage une nouvelle hausse de ses taux d'intérêt afin de freiner l'inflation persistante, selon un compte-rendu. Cette décision, bien que non encore officielle, reflète une orientation monétaire restrictive. Elle pourrait avoir des répercussions sur les marchés financiers mondiaux, y compris ceux de la zone UEM</w:t>
      </w:r>
    </w:p>
    <w:p>
      <w:pPr>
        <w:spacing w:before="0" w:after="40"/>
        <w:ind w:left="600"/>
      </w:pPr>
      <w:r>
        <w:rPr>
          <w:color w:val="00643C"/>
          <w:sz w:val="16"/>
        </w:rPr>
        <w:t>Points clés : La BCE pourrait augmenter ses taux pour lutter contre l'inflation.  •  Cette politique monétaire restrictive pourrait affecter les flux de capitaux vers les marchés émergents.</w:t>
      </w:r>
    </w:p>
    <w:p>
      <w:pPr>
        <w:spacing w:before="0" w:after="60"/>
        <w:ind w:left="600"/>
      </w:pPr>
      <w:r>
        <w:rPr>
          <w:color w:val="0064B4"/>
          <w:sz w:val="15"/>
        </w:rPr>
        <w:t>Source : https://news.google.com/rss/articles/CBMiiwJBVV95cUxQajR0aDVBN2Q4a2VYR09wdXZ2cWF</w:t>
      </w:r>
    </w:p>
    <w:p>
      <w:pPr>
        <w:spacing w:before="40" w:after="40"/>
        <w:ind w:left="360"/>
      </w:pPr>
      <w:r>
        <w:rPr>
          <w:color w:val="646464"/>
          <w:sz w:val="17"/>
        </w:rPr>
        <w:t xml:space="preserve">[26/08/2026] ⚪  </w:t>
      </w:r>
      <w:r>
        <w:rPr>
          <w:b/>
          <w:color w:val="505050"/>
          <w:sz w:val="18"/>
        </w:rPr>
        <w:t>La BCE pourrait relever ses taux d'intérêt en septembre. - Vietnam.vn</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envisage une nouvelle hausse de ses taux d'intérêt lors de sa réunion de septembre. Cette décision vise à lutter contre l'inflation persistante dans la zone euro. Une telle mesure pourrait renforcer l'euro et influencer les flux de capitaux vers les marchés émergents, dont la BRVM. Les investisseurs de la BRVM do</w:t>
      </w:r>
    </w:p>
    <w:p>
      <w:pPr>
        <w:spacing w:before="0" w:after="40"/>
        <w:ind w:left="600"/>
      </w:pPr>
      <w:r>
        <w:rPr>
          <w:color w:val="00643C"/>
          <w:sz w:val="16"/>
        </w:rPr>
        <w:t>Points clés : La BCE pourrait relever ses taux en septembre pour combattre l'inflation.  •  Cette hausse pourrait affecter les taux d'intérêt mondiaux et les flux de capitaux vers les marchés émergents.</w:t>
      </w:r>
    </w:p>
    <w:p>
      <w:pPr>
        <w:spacing w:before="0" w:after="60"/>
        <w:ind w:left="600"/>
      </w:pPr>
      <w:r>
        <w:rPr>
          <w:color w:val="0064B4"/>
          <w:sz w:val="15"/>
        </w:rPr>
        <w:t>Source : https://news.google.com/rss/articles/CBMib0FVX3lxTE1pUVZ2VUlpdnFfNlBhTUNjOGFZWE1</w:t>
      </w:r>
    </w:p>
    <w:p>
      <w:pPr>
        <w:spacing w:before="120" w:after="40"/>
      </w:pPr>
      <w:r>
        <w:rPr>
          <w:b/>
          <w:color w:val="00467F"/>
          <w:sz w:val="20"/>
        </w:rPr>
        <w:t>🔑 politique  (12 alerte(s))</w:t>
      </w:r>
    </w:p>
    <w:p>
      <w:pPr>
        <w:spacing w:before="40" w:after="40"/>
        <w:ind w:left="360"/>
      </w:pPr>
      <w:r>
        <w:rPr>
          <w:color w:val="646464"/>
          <w:sz w:val="17"/>
        </w:rPr>
        <w:t xml:space="preserve">[27/08/2026] 🟢  </w:t>
      </w:r>
      <w:r>
        <w:rPr>
          <w:b/>
          <w:color w:val="008000"/>
          <w:sz w:val="18"/>
        </w:rPr>
        <w:t>Burkina Faso : le Vice-Premier ministre belge à Ouagadougou pour consolider une coopération - koaci.com</w:t>
      </w:r>
      <w:r>
        <w:rPr>
          <w:color w:val="787878"/>
          <w:sz w:val="15"/>
        </w:rPr>
        <w:t xml:space="preserve">  [politique]</w:t>
      </w:r>
      <w:r>
        <w:rPr>
          <w:color w:val="B47800"/>
          <w:sz w:val="16"/>
        </w:rPr>
        <w:t xml:space="preserve">  ★ 50/10</w:t>
      </w:r>
    </w:p>
    <w:p>
      <w:pPr>
        <w:spacing w:before="0" w:after="20"/>
        <w:ind w:left="600"/>
      </w:pPr>
      <w:r>
        <w:rPr>
          <w:color w:val="323232"/>
          <w:sz w:val="17"/>
        </w:rPr>
        <w:t>Le Vice-Premier ministre belge s'est rendu à Ouagadougou pour renforcer la coopération bilatérale entre la Belgique et le Burkina Faso. Cette visite vise à consolider les liens économiques et politiques entre les deux pays. Elle s'inscrit dans un contexte de rapprochement diplomatique et de soutien au développement. La coopération pourrait ouvrir d</w:t>
      </w:r>
    </w:p>
    <w:p>
      <w:pPr>
        <w:spacing w:before="0" w:after="40"/>
        <w:ind w:left="600"/>
      </w:pPr>
      <w:r>
        <w:rPr>
          <w:color w:val="00643C"/>
          <w:sz w:val="16"/>
        </w:rPr>
        <w:t>Points clés : Renforcement de la coopération bilatérale Belgique-Burkina Faso  •  Visite officielle du Vice-Premier ministre belge à Ouagadougou</w:t>
      </w:r>
    </w:p>
    <w:p>
      <w:pPr>
        <w:spacing w:before="0" w:after="60"/>
        <w:ind w:left="600"/>
      </w:pPr>
      <w:r>
        <w:rPr>
          <w:color w:val="0064B4"/>
          <w:sz w:val="15"/>
        </w:rPr>
        <w:t>Source : https://news.google.com/rss/articles/CBMi-AFBVV95cUxNbG9tYWJTLUdPYmJWaUJYMDVsWXp</w:t>
      </w:r>
    </w:p>
    <w:p>
      <w:pPr>
        <w:spacing w:before="40" w:after="40"/>
        <w:ind w:left="360"/>
      </w:pPr>
      <w:r>
        <w:rPr>
          <w:color w:val="646464"/>
          <w:sz w:val="17"/>
        </w:rPr>
        <w:t xml:space="preserve">[27/08/2026] ⚪  </w:t>
      </w:r>
      <w:r>
        <w:rPr>
          <w:b/>
          <w:color w:val="505050"/>
          <w:sz w:val="18"/>
        </w:rPr>
        <w:t>Togo : compte rendu du conseil des ministres du 26 août 2026 - 24heureinfo.com</w:t>
      </w:r>
      <w:r>
        <w:rPr>
          <w:color w:val="787878"/>
          <w:sz w:val="15"/>
        </w:rPr>
        <w:t xml:space="preserve">  [politique]</w:t>
      </w:r>
      <w:r>
        <w:rPr>
          <w:color w:val="B47800"/>
          <w:sz w:val="16"/>
        </w:rPr>
        <w:t xml:space="preserve">  ★ 50/10</w:t>
      </w:r>
    </w:p>
    <w:p>
      <w:pPr>
        <w:spacing w:before="0" w:after="20"/>
        <w:ind w:left="600"/>
      </w:pPr>
      <w:r>
        <w:rPr>
          <w:color w:val="323232"/>
          <w:sz w:val="17"/>
        </w:rPr>
        <w:t>Le conseil des ministres du Togo s'est tenu le 26 août 2026, selon le compte rendu publié par 24heureinfo.com. Les décisions prises lors de cette réunion concernent principalement des sujets politiques et administratifs, sans détails spécifiques sur des mesures économiques ou financières. L'article ne fournit pas d'informations précises sur les réf</w:t>
      </w:r>
    </w:p>
    <w:p>
      <w:pPr>
        <w:spacing w:before="0" w:after="40"/>
        <w:ind w:left="600"/>
      </w:pPr>
      <w:r>
        <w:rPr>
          <w:color w:val="00643C"/>
          <w:sz w:val="16"/>
        </w:rPr>
        <w:t>Points clés : Réunion du conseil des ministres au Togo le 26 août 2026.  •  Aucune mesure économique ou financière spécifique mentionnée dans l'article.</w:t>
      </w:r>
    </w:p>
    <w:p>
      <w:pPr>
        <w:spacing w:before="0" w:after="60"/>
        <w:ind w:left="600"/>
      </w:pPr>
      <w:r>
        <w:rPr>
          <w:color w:val="0064B4"/>
          <w:sz w:val="15"/>
        </w:rPr>
        <w:t>Source : https://news.google.com/rss/articles/CBMimAFBVV95cUxOTHVqRXpROFQwVHhaX194RE5Ta2J</w:t>
      </w:r>
    </w:p>
    <w:p>
      <w:pPr>
        <w:spacing w:before="40" w:after="40"/>
        <w:ind w:left="360"/>
      </w:pPr>
      <w:r>
        <w:rPr>
          <w:color w:val="646464"/>
          <w:sz w:val="17"/>
        </w:rPr>
        <w:t xml:space="preserve">[26/08/2026] ⚪  </w:t>
      </w:r>
      <w:r>
        <w:rPr>
          <w:b/>
          <w:color w:val="505050"/>
          <w:sz w:val="18"/>
        </w:rPr>
        <w:t>Sénégal : Le PM Ahmadou Al Aminou Lo présentera sa politique générale le 1er septembre - koaci.com</w:t>
      </w:r>
      <w:r>
        <w:rPr>
          <w:color w:val="787878"/>
          <w:sz w:val="15"/>
        </w:rPr>
        <w:t xml:space="preserve">  [politique]</w:t>
      </w:r>
      <w:r>
        <w:rPr>
          <w:color w:val="B47800"/>
          <w:sz w:val="16"/>
        </w:rPr>
        <w:t xml:space="preserve">  ★ 50/10</w:t>
      </w:r>
    </w:p>
    <w:p>
      <w:pPr>
        <w:spacing w:before="0" w:after="20"/>
        <w:ind w:left="600"/>
      </w:pPr>
      <w:r>
        <w:rPr>
          <w:color w:val="323232"/>
          <w:sz w:val="17"/>
        </w:rPr>
        <w:t>Le Premier ministre sénégalais Ahmadou Al Aminou Lo présentera sa déclaration de politique générale devant l'Assemblée nationale le 1er septembre. Cette annonce intervient dans un contexte politique où le nouveau gouvernement doit exposer ses priorités économiques et sociales. La présentation de cette politique générale est un moment clé pour rassu</w:t>
      </w:r>
    </w:p>
    <w:p>
      <w:pPr>
        <w:spacing w:before="0" w:after="40"/>
        <w:ind w:left="600"/>
      </w:pPr>
      <w:r>
        <w:rPr>
          <w:color w:val="00643C"/>
          <w:sz w:val="16"/>
        </w:rPr>
        <w:t>Points clés : Présentation de la politique générale du PM le 1er septembre  •  Contexte politique et économique au Sénégal  •  Attentes des investisseurs et partenaires</w:t>
      </w:r>
    </w:p>
    <w:p>
      <w:pPr>
        <w:spacing w:before="0" w:after="60"/>
        <w:ind w:left="600"/>
      </w:pPr>
      <w:r>
        <w:rPr>
          <w:color w:val="0064B4"/>
          <w:sz w:val="15"/>
        </w:rPr>
        <w:t>Source : https://news.google.com/rss/articles/CBMi6wFBVV95cUxOMVlkemZtcFlWZ21FRHliME95THR</w:t>
      </w:r>
    </w:p>
    <w:p>
      <w:pPr>
        <w:spacing w:before="40" w:after="40"/>
        <w:ind w:left="360"/>
      </w:pPr>
      <w:r>
        <w:rPr>
          <w:color w:val="646464"/>
          <w:sz w:val="17"/>
        </w:rPr>
        <w:t xml:space="preserve">[26/08/2026] 🟢  </w:t>
      </w:r>
      <w:r>
        <w:rPr>
          <w:b/>
          <w:color w:val="008000"/>
          <w:sz w:val="18"/>
        </w:rPr>
        <w:t>Au Sahel, l'Algérie et le Mali veulent "tourner la page des tensions" - France 24</w:t>
      </w:r>
      <w:r>
        <w:rPr>
          <w:color w:val="787878"/>
          <w:sz w:val="15"/>
        </w:rPr>
        <w:t xml:space="preserve">  [politique]</w:t>
      </w:r>
      <w:r>
        <w:rPr>
          <w:color w:val="B47800"/>
          <w:sz w:val="16"/>
        </w:rPr>
        <w:t xml:space="preserve">  ★ 50/10</w:t>
      </w:r>
    </w:p>
    <w:p>
      <w:pPr>
        <w:spacing w:before="0" w:after="20"/>
        <w:ind w:left="600"/>
      </w:pPr>
      <w:r>
        <w:rPr>
          <w:color w:val="323232"/>
          <w:sz w:val="17"/>
        </w:rPr>
        <w:t xml:space="preserve">L'Algérie et le Mali ont exprimé leur volonté de surmonter les tensions diplomatiques récentes, notamment liées à la question du Sahara occidental et à la situation sécuritaire au Sahel. Cette déclaration intervient dans un contexte de coopération régionale renforcée pour lutter contre le terrorisme et stabiliser la région. Les deux pays cherchent </w:t>
      </w:r>
    </w:p>
    <w:p>
      <w:pPr>
        <w:spacing w:before="0" w:after="40"/>
        <w:ind w:left="600"/>
      </w:pPr>
      <w:r>
        <w:rPr>
          <w:color w:val="00643C"/>
          <w:sz w:val="16"/>
        </w:rPr>
        <w:t>Points clés : Volonté commune de l'Algérie et du Mali de normaliser leurs relations diplomatiques.  •  Contexte de lutte contre le terrorisme et de stabilisation de la région du Sahel.</w:t>
      </w:r>
    </w:p>
    <w:p>
      <w:pPr>
        <w:spacing w:before="0" w:after="60"/>
        <w:ind w:left="600"/>
      </w:pPr>
      <w:r>
        <w:rPr>
          <w:color w:val="0064B4"/>
          <w:sz w:val="15"/>
        </w:rPr>
        <w:t>Source : https://news.google.com/rss/articles/CBMiywFBVV95cUxPV094S1dMM0llWUJ3N3ZDeWFleFR</w:t>
      </w:r>
    </w:p>
    <w:p>
      <w:pPr>
        <w:spacing w:before="40" w:after="40"/>
        <w:ind w:left="360"/>
      </w:pPr>
      <w:r>
        <w:rPr>
          <w:color w:val="646464"/>
          <w:sz w:val="17"/>
        </w:rPr>
        <w:t xml:space="preserve">[26/08/2026] 🔴  </w:t>
      </w:r>
      <w:r>
        <w:rPr>
          <w:b/>
          <w:color w:val="C00000"/>
          <w:sz w:val="18"/>
        </w:rPr>
        <w:t>Comment le Sénégal pourrait se retrouver sans gouvernement le 1er septembre prochain - SeneNews</w:t>
      </w:r>
      <w:r>
        <w:rPr>
          <w:color w:val="787878"/>
          <w:sz w:val="15"/>
        </w:rPr>
        <w:t xml:space="preserve">  [politique]</w:t>
      </w:r>
      <w:r>
        <w:rPr>
          <w:color w:val="B47800"/>
          <w:sz w:val="16"/>
        </w:rPr>
        <w:t xml:space="preserve">  ★ 50/10</w:t>
      </w:r>
    </w:p>
    <w:p>
      <w:pPr>
        <w:spacing w:before="0" w:after="20"/>
        <w:ind w:left="600"/>
      </w:pPr>
      <w:r>
        <w:rPr>
          <w:color w:val="323232"/>
          <w:sz w:val="17"/>
        </w:rPr>
        <w:t>L'article de SeneNews évoque la possibilité que le Sénégal se retrouve sans gouvernement à partir du 1er septembre prochain, en raison d'une crise politique potentielle. Cette situation pourrait découler de blocages institutionnels ou de tensions entre les pouvoirs exécutif et législatif. Une telle éventualité créerait une incertitude politique maj</w:t>
      </w:r>
    </w:p>
    <w:p>
      <w:pPr>
        <w:spacing w:before="0" w:after="40"/>
        <w:ind w:left="600"/>
      </w:pPr>
      <w:r>
        <w:rPr>
          <w:color w:val="00643C"/>
          <w:sz w:val="16"/>
        </w:rPr>
        <w:t>Points clés : Risque de vacance du pouvoir au Sénégal à partir du 1er septembre.  •  Incertitude politique susceptible d'affecter la confiance des investisseurs.  •  Impact potentiel sur la stabilité macroéconomique de l'UEMOA.</w:t>
      </w:r>
    </w:p>
    <w:p>
      <w:pPr>
        <w:spacing w:before="0" w:after="60"/>
        <w:ind w:left="600"/>
      </w:pPr>
      <w:r>
        <w:rPr>
          <w:color w:val="0064B4"/>
          <w:sz w:val="15"/>
        </w:rPr>
        <w:t>Source : https://news.google.com/rss/articles/CBMizAFBVV95cUxQdmhvUkxna2RWUHJSTUFzd0VhUm9</w:t>
      </w:r>
    </w:p>
    <w:p>
      <w:pPr>
        <w:spacing w:before="120" w:after="40"/>
      </w:pPr>
      <w:r>
        <w:rPr>
          <w:b/>
          <w:color w:val="00467F"/>
          <w:sz w:val="20"/>
        </w:rPr>
        <w:t>🔑 marche_financier  (2 alerte(s))</w:t>
      </w:r>
    </w:p>
    <w:p>
      <w:pPr>
        <w:spacing w:before="40" w:after="40"/>
        <w:ind w:left="360"/>
      </w:pPr>
      <w:r>
        <w:rPr>
          <w:color w:val="646464"/>
          <w:sz w:val="17"/>
        </w:rPr>
        <w:t xml:space="preserve">[25/08/2026] 🔴  </w:t>
      </w:r>
      <w:r>
        <w:rPr>
          <w:b/>
          <w:color w:val="C00000"/>
          <w:sz w:val="18"/>
        </w:rPr>
        <w:t>Les doutes s'accumulent sur la trajectoire des Bourses européennes - Les Echos</w:t>
      </w:r>
      <w:r>
        <w:rPr>
          <w:color w:val="787878"/>
          <w:sz w:val="15"/>
        </w:rPr>
        <w:t xml:space="preserve">  [marche_financier]</w:t>
      </w:r>
      <w:r>
        <w:rPr>
          <w:color w:val="B47800"/>
          <w:sz w:val="16"/>
        </w:rPr>
        <w:t xml:space="preserve">  ★ 50/10</w:t>
      </w:r>
    </w:p>
    <w:p>
      <w:pPr>
        <w:spacing w:before="0" w:after="20"/>
        <w:ind w:left="600"/>
      </w:pPr>
      <w:r>
        <w:rPr>
          <w:color w:val="323232"/>
          <w:sz w:val="17"/>
        </w:rPr>
        <w:t>L'article des Echos met en évidence les incertitudes croissantes qui pèsent sur les marchés boursiers européens, notamment en raison de la politique monétaire restrictive, des risques géopolitiques et de la faiblesse de la croissance économique. Les investisseurs s'interrogent sur la capacité des entreprises à maintenir leurs marges et sur la durab</w:t>
      </w:r>
    </w:p>
    <w:p>
      <w:pPr>
        <w:spacing w:before="0" w:after="40"/>
        <w:ind w:left="600"/>
      </w:pPr>
      <w:r>
        <w:rPr>
          <w:color w:val="00643C"/>
          <w:sz w:val="16"/>
        </w:rPr>
        <w:t>Points clés : Accumulation de doutes sur la trajectoire des Bourses européennes.  •  Facteurs de risque : politique monétaire, géopolitique, croissance faible.  •  Incertitude sur les bénéfices des entreprises et la valorisation des actions.</w:t>
      </w:r>
    </w:p>
    <w:p>
      <w:pPr>
        <w:spacing w:before="0" w:after="60"/>
        <w:ind w:left="600"/>
      </w:pPr>
      <w:r>
        <w:rPr>
          <w:color w:val="0064B4"/>
          <w:sz w:val="15"/>
        </w:rPr>
        <w:t>Source : https://news.google.com/rss/articles/CBMizAFBVV95cUxNVU5kX0RkQUFzSUhzV2d3S0dMejh</w:t>
      </w:r>
    </w:p>
    <w:p>
      <w:pPr>
        <w:spacing w:before="40" w:after="40"/>
        <w:ind w:left="360"/>
      </w:pPr>
      <w:r>
        <w:rPr>
          <w:color w:val="646464"/>
          <w:sz w:val="17"/>
        </w:rPr>
        <w:t xml:space="preserve">[25/08/2026] 🟢  </w:t>
      </w:r>
      <w:r>
        <w:rPr>
          <w:b/>
          <w:color w:val="008000"/>
          <w:sz w:val="18"/>
        </w:rPr>
        <w:t>BRVM et Ghana Stock Exchange: les champions africains de la performance depuis le 1er janvier - Capmad</w:t>
      </w:r>
      <w:r>
        <w:rPr>
          <w:color w:val="787878"/>
          <w:sz w:val="15"/>
        </w:rPr>
        <w:t xml:space="preserve">  [marche_financier]</w:t>
      </w:r>
      <w:r>
        <w:rPr>
          <w:color w:val="B47800"/>
          <w:sz w:val="16"/>
        </w:rPr>
        <w:t xml:space="preserve">  ★ 50/10</w:t>
      </w:r>
    </w:p>
    <w:p>
      <w:pPr>
        <w:spacing w:before="0" w:after="20"/>
        <w:ind w:left="600"/>
      </w:pPr>
      <w:r>
        <w:rPr>
          <w:color w:val="323232"/>
          <w:sz w:val="17"/>
        </w:rPr>
        <w:t>Depuis le 1er janvier, la BRVM et le Ghana Stock Exchange se distinguent comme les marchés boursiers les plus performants d'Afrique, affichant des gains notables. Cette performance est attribuée à une combinaison de facteurs macroéconomiques favorables, d'afflux d'investisseurs étrangers et de réformes locales. La BRVM, en particulier, bénéficie d'</w:t>
      </w:r>
    </w:p>
    <w:p>
      <w:pPr>
        <w:spacing w:before="0" w:after="40"/>
        <w:ind w:left="600"/>
      </w:pPr>
      <w:r>
        <w:rPr>
          <w:color w:val="00643C"/>
          <w:sz w:val="16"/>
        </w:rPr>
        <w:t>Points clés : La BRVM et le Ghana Stock Exchange sont les meilleurs marchés africains en termes de performance depuis janvier.  •  Les gains sont soutenus par des flux d'investissement étrangers et des fondamentaux économiques solides.  •  La BRVM tire sa force des secteurs bancaire et des télécommunications.  •  Cette performance renforce l'attractivité de la zone UEMOA pour les investisseurs.</w:t>
      </w:r>
    </w:p>
    <w:p>
      <w:pPr>
        <w:spacing w:before="0" w:after="60"/>
        <w:ind w:left="600"/>
      </w:pPr>
      <w:r>
        <w:rPr>
          <w:color w:val="0064B4"/>
          <w:sz w:val="15"/>
        </w:rPr>
        <w:t>Source : https://news.google.com/rss/articles/CBMiwAFBVV95cUxQTG5pSzd0SlQyNnR1b3g2cDJ4Uzg</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2,550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22,700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3,375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2,135</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8,600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6,700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8,500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3,500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1,750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20,795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9,240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2,455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34,600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9,220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STBC</w:t>
            </w:r>
          </w:p>
        </w:tc>
        <w:tc>
          <w:tcPr>
            <w:tcW w:type="dxa" w:w="1080"/>
            <w:shd w:fill="C6EFCE" w:val="clear"/>
          </w:tcPr>
          <w:p>
            <w:r>
              <w:rPr>
                <w:sz w:val="16"/>
              </w:rPr>
              <w:t>CONSOMMATION DE BA</w:t>
            </w:r>
          </w:p>
        </w:tc>
        <w:tc>
          <w:tcPr>
            <w:tcW w:type="dxa" w:w="1080"/>
            <w:shd w:fill="C6EFCE" w:val="clear"/>
          </w:tcPr>
          <w:p>
            <w:r>
              <w:rPr>
                <w:sz w:val="16"/>
              </w:rPr>
              <w:t>21,205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3,595</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2,680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5,900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12,860</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6,970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8,500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5,355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16,700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2,885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2,560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37,750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8,200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3,195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9,150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2,365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17,380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12,490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29,390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38,000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29,100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10,350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NEUTRE</w:t>
            </w:r>
          </w:p>
        </w:tc>
        <w:tc>
          <w:tcPr>
            <w:tcW w:type="dxa" w:w="1080"/>
            <w:shd w:fill="EBF5FB" w:val="clear"/>
          </w:tcPr>
          <w:p>
            <w:r>
              <w:rPr>
                <w:sz w:val="16"/>
              </w:rPr>
              <w:t>CONSERVER ⚠️</w:t>
            </w:r>
          </w:p>
        </w:tc>
      </w:tr>
      <w:tr>
        <w:tc>
          <w:tcPr>
            <w:tcW w:type="dxa" w:w="1080"/>
            <w:shd w:fill="EBF5FB" w:val="clear"/>
          </w:tcPr>
          <w:p>
            <w:r>
              <w:rPr>
                <w:sz w:val="16"/>
              </w:rPr>
              <w:t>44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4,550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7,995</w:t>
            </w:r>
          </w:p>
        </w:tc>
        <w:tc>
          <w:tcPr>
            <w:tcW w:type="dxa" w:w="1080"/>
            <w:shd w:fill="EBF5FB" w:val="clear"/>
          </w:tcPr>
          <w:p>
            <w:r>
              <w:rPr>
                <w:b/>
                <w:sz w:val="16"/>
              </w:rPr>
              <w:t>58/100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46</w:t>
            </w:r>
          </w:p>
        </w:tc>
        <w:tc>
          <w:tcPr>
            <w:tcW w:type="dxa" w:w="1080"/>
            <w:shd w:fill="FEFEFE" w:val="clear"/>
          </w:tcPr>
          <w:p>
            <w:r>
              <w:rPr>
                <w:sz w:val="16"/>
              </w:rPr>
              <w:t>ABJC</w:t>
            </w:r>
          </w:p>
        </w:tc>
        <w:tc>
          <w:tcPr>
            <w:tcW w:type="dxa" w:w="1080"/>
            <w:shd w:fill="FEFEFE" w:val="clear"/>
          </w:tcPr>
          <w:p>
            <w:r>
              <w:rPr>
                <w:sz w:val="16"/>
              </w:rPr>
              <w:t>CONSOMMATION DISCR</w:t>
            </w:r>
          </w:p>
        </w:tc>
        <w:tc>
          <w:tcPr>
            <w:tcW w:type="dxa" w:w="1080"/>
            <w:shd w:fill="FEFEFE" w:val="clear"/>
          </w:tcPr>
          <w:p>
            <w:r>
              <w:rPr>
                <w:sz w:val="16"/>
              </w:rPr>
              <w:t>3,650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56,115</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BOABF</w:t>
            </w:r>
          </w:p>
        </w:tc>
        <w:tc>
          <w:tcPr>
            <w:tcW w:type="dxa" w:w="1728"/>
            <w:shd w:fill="DEEAF1" w:val="clear"/>
          </w:tcPr>
          <w:p>
            <w:r>
              <w:rPr>
                <w:sz w:val="17"/>
              </w:rPr>
              <w:t>BANK OF AFRICA BURKINA FASO</w:t>
            </w:r>
          </w:p>
        </w:tc>
        <w:tc>
          <w:tcPr>
            <w:tcW w:type="dxa" w:w="1728"/>
            <w:shd w:fill="DEEAF1" w:val="clear"/>
          </w:tcPr>
          <w:p>
            <w:r>
              <w:rPr>
                <w:sz w:val="17"/>
              </w:rPr>
              <w:t>8,600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6,700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8,500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2,150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PALC</w:t>
            </w:r>
          </w:p>
        </w:tc>
        <w:tc>
          <w:tcPr>
            <w:tcW w:type="dxa" w:w="1728"/>
            <w:shd w:fill="DEEAF1" w:val="clear"/>
          </w:tcPr>
          <w:p>
            <w:r>
              <w:rPr>
                <w:sz w:val="17"/>
              </w:rPr>
              <w:t>PALC - PALM COTE D'IVOIRE</w:t>
            </w:r>
          </w:p>
        </w:tc>
        <w:tc>
          <w:tcPr>
            <w:tcW w:type="dxa" w:w="1728"/>
            <w:shd w:fill="DEEAF1" w:val="clear"/>
          </w:tcPr>
          <w:p>
            <w:r>
              <w:rPr>
                <w:sz w:val="17"/>
              </w:rPr>
              <w:t>9,240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2,455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9,220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3,595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STAC</w:t>
            </w:r>
          </w:p>
        </w:tc>
        <w:tc>
          <w:tcPr>
            <w:tcW w:type="dxa" w:w="1728"/>
            <w:shd w:fill="E2EFDA" w:val="clear"/>
          </w:tcPr>
          <w:p>
            <w:r>
              <w:rPr>
                <w:sz w:val="17"/>
              </w:rPr>
              <w:t>STAC - SETAO COTE D'IVOIRE</w:t>
            </w:r>
          </w:p>
        </w:tc>
        <w:tc>
          <w:tcPr>
            <w:tcW w:type="dxa" w:w="1728"/>
            <w:shd w:fill="E2EFDA" w:val="clear"/>
          </w:tcPr>
          <w:p>
            <w:r>
              <w:rPr>
                <w:sz w:val="17"/>
              </w:rPr>
              <w:t>2,550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NSBC</w:t>
            </w:r>
          </w:p>
        </w:tc>
        <w:tc>
          <w:tcPr>
            <w:tcW w:type="dxa" w:w="1728"/>
            <w:shd w:fill="E2EFDA" w:val="clear"/>
          </w:tcPr>
          <w:p>
            <w:r>
              <w:rPr>
                <w:sz w:val="17"/>
              </w:rPr>
              <w:t>NSBC - NSIA BANQUE COTE D'IV</w:t>
            </w:r>
          </w:p>
        </w:tc>
        <w:tc>
          <w:tcPr>
            <w:tcW w:type="dxa" w:w="1728"/>
            <w:shd w:fill="E2EFDA" w:val="clear"/>
          </w:tcPr>
          <w:p>
            <w:r>
              <w:rPr>
                <w:sz w:val="17"/>
              </w:rPr>
              <w:t>22,700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3,375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2,135</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BOABF</w:t>
            </w:r>
          </w:p>
        </w:tc>
        <w:tc>
          <w:tcPr>
            <w:tcW w:type="dxa" w:w="1728"/>
            <w:shd w:fill="E2EFDA" w:val="clear"/>
          </w:tcPr>
          <w:p>
            <w:r>
              <w:rPr>
                <w:sz w:val="17"/>
              </w:rPr>
              <w:t>BANK OF AFRICA BURKINA FASO</w:t>
            </w:r>
          </w:p>
        </w:tc>
        <w:tc>
          <w:tcPr>
            <w:tcW w:type="dxa" w:w="1728"/>
            <w:shd w:fill="E2EFDA" w:val="clear"/>
          </w:tcPr>
          <w:p>
            <w:r>
              <w:rPr>
                <w:sz w:val="17"/>
              </w:rPr>
              <w:t>8,600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BOAM</w:t>
            </w:r>
          </w:p>
        </w:tc>
        <w:tc>
          <w:tcPr>
            <w:tcW w:type="dxa" w:w="1728"/>
            <w:shd w:fill="E2EFDA" w:val="clear"/>
          </w:tcPr>
          <w:p>
            <w:r>
              <w:rPr>
                <w:sz w:val="17"/>
              </w:rPr>
              <w:t>BANK OF AFRICA MALI</w:t>
            </w:r>
          </w:p>
        </w:tc>
        <w:tc>
          <w:tcPr>
            <w:tcW w:type="dxa" w:w="1728"/>
            <w:shd w:fill="E2EFDA" w:val="clear"/>
          </w:tcPr>
          <w:p>
            <w:r>
              <w:rPr>
                <w:sz w:val="17"/>
              </w:rPr>
              <w:t>6,700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8,500</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STAC</w:t>
            </w:r>
          </w:p>
        </w:tc>
        <w:tc>
          <w:tcPr>
            <w:tcW w:type="dxa" w:w="1728"/>
            <w:shd w:fill="FCE4D6" w:val="clear"/>
          </w:tcPr>
          <w:p>
            <w:r>
              <w:rPr>
                <w:sz w:val="17"/>
              </w:rPr>
              <w:t>STAC - SETAO COTE D'IVOIRE</w:t>
            </w:r>
          </w:p>
        </w:tc>
        <w:tc>
          <w:tcPr>
            <w:tcW w:type="dxa" w:w="1728"/>
            <w:shd w:fill="FCE4D6" w:val="clear"/>
          </w:tcPr>
          <w:p>
            <w:r>
              <w:rPr>
                <w:sz w:val="17"/>
              </w:rPr>
              <w:t>2,550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NSBC</w:t>
            </w:r>
          </w:p>
        </w:tc>
        <w:tc>
          <w:tcPr>
            <w:tcW w:type="dxa" w:w="1728"/>
            <w:shd w:fill="FCE4D6" w:val="clear"/>
          </w:tcPr>
          <w:p>
            <w:r>
              <w:rPr>
                <w:sz w:val="17"/>
              </w:rPr>
              <w:t>NSBC - NSIA BANQUE COTE D'IV</w:t>
            </w:r>
          </w:p>
        </w:tc>
        <w:tc>
          <w:tcPr>
            <w:tcW w:type="dxa" w:w="1728"/>
            <w:shd w:fill="FCE4D6" w:val="clear"/>
          </w:tcPr>
          <w:p>
            <w:r>
              <w:rPr>
                <w:sz w:val="17"/>
              </w:rPr>
              <w:t>22,700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3,375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2,135</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BOABF</w:t>
            </w:r>
          </w:p>
        </w:tc>
        <w:tc>
          <w:tcPr>
            <w:tcW w:type="dxa" w:w="1728"/>
            <w:shd w:fill="FCE4D6" w:val="clear"/>
          </w:tcPr>
          <w:p>
            <w:r>
              <w:rPr>
                <w:sz w:val="17"/>
              </w:rPr>
              <w:t>BANK OF AFRICA BURKINA FASO</w:t>
            </w:r>
          </w:p>
        </w:tc>
        <w:tc>
          <w:tcPr>
            <w:tcW w:type="dxa" w:w="1728"/>
            <w:shd w:fill="FCE4D6" w:val="clear"/>
          </w:tcPr>
          <w:p>
            <w:r>
              <w:rPr>
                <w:sz w:val="17"/>
              </w:rPr>
              <w:t>8,600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BOAM</w:t>
            </w:r>
          </w:p>
        </w:tc>
        <w:tc>
          <w:tcPr>
            <w:tcW w:type="dxa" w:w="1728"/>
            <w:shd w:fill="FCE4D6" w:val="clear"/>
          </w:tcPr>
          <w:p>
            <w:r>
              <w:rPr>
                <w:sz w:val="17"/>
              </w:rPr>
              <w:t>BANK OF AFRICA MALI</w:t>
            </w:r>
          </w:p>
        </w:tc>
        <w:tc>
          <w:tcPr>
            <w:tcW w:type="dxa" w:w="1728"/>
            <w:shd w:fill="FCE4D6" w:val="clear"/>
          </w:tcPr>
          <w:p>
            <w:r>
              <w:rPr>
                <w:sz w:val="17"/>
              </w:rPr>
              <w:t>6,700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8,500</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(70.1 &gt; 70) — risque de correction</w:t>
      </w:r>
    </w:p>
    <w:p>
      <w:pPr>
        <w:pStyle w:val="ListBullet"/>
        <w:spacing w:before="20"/>
        <w:ind w:left="400"/>
      </w:pPr>
      <w:r>
        <w:rPr>
          <w:sz w:val="18"/>
        </w:rPr>
        <w:t>⚠️ Cours à 0.0% du plus haut 100j (8,500 FCFA)</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RSI surachat (83.6 &gt; 70) — risque de correction</w:t>
      </w:r>
    </w:p>
    <w:p>
      <w:pPr>
        <w:pStyle w:val="ListBullet"/>
        <w:spacing w:before="20"/>
        <w:ind w:left="400"/>
      </w:pPr>
      <w:r>
        <w:rPr>
          <w:sz w:val="18"/>
        </w:rPr>
        <w:t>⚠️ Cours à 0.0% du plus haut 100j (2,135 FCFA)</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RSI surachat (84.1 &gt; 70) — risque de correction</w:t>
      </w:r>
    </w:p>
    <w:p>
      <w:pPr>
        <w:pStyle w:val="ListBullet"/>
        <w:spacing w:before="20"/>
        <w:ind w:left="400"/>
      </w:pPr>
      <w:r>
        <w:rPr>
          <w:sz w:val="18"/>
        </w:rPr>
        <w:t>⚠️ Cours à 0.0% du plus haut 100j (10,350 FCFA)</w:t>
      </w:r>
    </w:p>
    <w:p>
      <w:pPr>
        <w:pStyle w:val="ListBullet"/>
        <w:spacing w:before="20"/>
        <w:ind w:left="400"/>
      </w:pPr>
      <w:r>
        <w:rPr>
          <w:sz w:val="18"/>
        </w:rPr>
        <w:t>🟠 Divergence tech(VENTE) / fond(NEUTRE) — recommandation ajustée à CONSERVER ⚠️</w:t>
      </w:r>
    </w:p>
    <w:p>
      <w:pPr>
        <w:spacing w:before="120"/>
      </w:pPr>
      <w:r>
        <w:rPr>
          <w:b/>
          <w:color w:val="0050A0"/>
          <w:sz w:val="20"/>
        </w:rPr>
        <w:t>BOABF — BANK OF AFRICA BURKINA FASO</w:t>
      </w:r>
    </w:p>
    <w:p>
      <w:pPr>
        <w:pStyle w:val="ListBullet"/>
        <w:spacing w:before="20"/>
        <w:ind w:left="400"/>
      </w:pPr>
      <w:r>
        <w:rPr>
          <w:sz w:val="18"/>
        </w:rPr>
        <w:t>🔴 RSI surachat (85.0 &gt; 70) — risque de correction</w:t>
      </w:r>
    </w:p>
    <w:p>
      <w:pPr>
        <w:pStyle w:val="ListBullet"/>
        <w:spacing w:before="20"/>
        <w:ind w:left="400"/>
      </w:pPr>
      <w:r>
        <w:rPr>
          <w:sz w:val="18"/>
        </w:rPr>
        <w:t>⚠️ Cours à 0.0% du plus haut 100j (8,600 FCFA)</w:t>
      </w:r>
    </w:p>
    <w:p>
      <w:pPr>
        <w:pStyle w:val="ListBullet"/>
        <w:spacing w:before="20"/>
        <w:ind w:left="400"/>
      </w:pPr>
      <w:r>
        <w:rPr>
          <w:sz w:val="18"/>
        </w:rPr>
        <w:t>🟠 Divergence tech(VENTE) / fond(ACHAT) — recommandation ajustée à ACHAT</w:t>
      </w:r>
    </w:p>
    <w:p>
      <w:pPr>
        <w:spacing w:before="120"/>
      </w:pPr>
      <w:r>
        <w:rPr>
          <w:b/>
          <w:color w:val="0050A0"/>
          <w:sz w:val="20"/>
        </w:rPr>
        <w:t>BOAN — BANK OF AFRICA NIGER</w:t>
      </w:r>
    </w:p>
    <w:p>
      <w:pPr>
        <w:pStyle w:val="ListBullet"/>
        <w:spacing w:before="20"/>
        <w:ind w:left="400"/>
      </w:pPr>
      <w:r>
        <w:rPr>
          <w:sz w:val="18"/>
        </w:rPr>
        <w:t>🔴 RSI surachat (75.2 &gt; 70) — risque de correction</w:t>
      </w:r>
    </w:p>
    <w:p>
      <w:pPr>
        <w:pStyle w:val="ListBullet"/>
        <w:spacing w:before="20"/>
        <w:ind w:left="400"/>
      </w:pPr>
      <w:r>
        <w:rPr>
          <w:sz w:val="18"/>
        </w:rPr>
        <w:t>⚠️ Cours à 0.8% du plus haut 100j (5,400 FCFA)</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RSI surachat (85.7 &gt; 70) — risque de correction</w:t>
      </w:r>
    </w:p>
    <w:p>
      <w:pPr>
        <w:pStyle w:val="ListBullet"/>
        <w:spacing w:before="20"/>
        <w:ind w:left="400"/>
      </w:pPr>
      <w:r>
        <w:rPr>
          <w:sz w:val="18"/>
        </w:rPr>
        <w:t>⚠️ Cours à 0.0% du plus haut 100j (8,500 FCFA)</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surachat (73.6 &gt; 70) — risque de correction</w:t>
      </w:r>
    </w:p>
    <w:p>
      <w:pPr>
        <w:pStyle w:val="ListBullet"/>
        <w:spacing w:before="20"/>
        <w:ind w:left="400"/>
      </w:pPr>
      <w:r>
        <w:rPr>
          <w:sz w:val="18"/>
        </w:rPr>
        <w:t>⚠️ Cours à 0.0% du plus haut 100j (2,680 FCFA)</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surachat (88.0 &gt; 70) — risque de correction</w:t>
      </w:r>
    </w:p>
    <w:p>
      <w:pPr>
        <w:pStyle w:val="ListBullet"/>
        <w:spacing w:before="20"/>
        <w:ind w:left="400"/>
      </w:pPr>
      <w:r>
        <w:rPr>
          <w:sz w:val="18"/>
        </w:rPr>
        <w:t>⚠️ Cours à 2.0% du plus haut 100j (17,735 FCFA)</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RSI surachat (77.2 &gt; 70) — risque de correction</w:t>
      </w:r>
    </w:p>
    <w:p>
      <w:pPr>
        <w:pStyle w:val="ListBullet"/>
        <w:spacing w:before="20"/>
        <w:ind w:left="400"/>
      </w:pPr>
      <w:r>
        <w:rPr>
          <w:sz w:val="18"/>
        </w:rPr>
        <w:t>⚠️ Cours à 0.0% du plus haut 100j (3,595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(77.3 &gt; 70) — risque de correction</w:t>
      </w:r>
    </w:p>
    <w:p>
      <w:pPr>
        <w:pStyle w:val="ListBullet"/>
        <w:spacing w:before="20"/>
        <w:ind w:left="400"/>
      </w:pPr>
      <w:r>
        <w:rPr>
          <w:sz w:val="18"/>
        </w:rPr>
        <w:t>🟠 Divergence tech(VENTE) / fond(NEUTRE) — recommandation ajustée à CONSERVER ⚠️</w:t>
      </w:r>
    </w:p>
    <w:p>
      <w:pPr>
        <w:spacing w:before="120"/>
      </w:pPr>
      <w:r>
        <w:rPr>
          <w:b/>
          <w:color w:val="0050A0"/>
          <w:sz w:val="20"/>
        </w:rPr>
        <w:t>BOAC — BANK OF AFRICA COTE D'IVOIRE</w:t>
      </w:r>
    </w:p>
    <w:p>
      <w:pPr>
        <w:pStyle w:val="ListBullet"/>
        <w:spacing w:before="20"/>
        <w:ind w:left="400"/>
      </w:pPr>
      <w:r>
        <w:rPr>
          <w:sz w:val="18"/>
        </w:rPr>
        <w:t>🔴 RSI surachat (75.8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RSI surachat (95.5 &gt; 70) — risque de correction</w:t>
      </w:r>
    </w:p>
    <w:p>
      <w:pPr>
        <w:pStyle w:val="ListBullet"/>
        <w:spacing w:before="20"/>
        <w:ind w:left="400"/>
      </w:pPr>
      <w:r>
        <w:rPr>
          <w:sz w:val="18"/>
        </w:rPr>
        <w:t>⚠️ Cours à 0.0% du plus haut 100j (6,700 FCFA)</w:t>
      </w:r>
    </w:p>
    <w:p>
      <w:pPr>
        <w:spacing w:before="120"/>
      </w:pPr>
      <w:r>
        <w:rPr>
          <w:b/>
          <w:color w:val="0050A0"/>
          <w:sz w:val="20"/>
        </w:rPr>
        <w:t>ORAC — ORAC - ORANGE COTE D'IVOIRE</w:t>
      </w:r>
    </w:p>
    <w:p>
      <w:pPr>
        <w:pStyle w:val="ListBullet"/>
        <w:spacing w:before="20"/>
        <w:ind w:left="400"/>
      </w:pPr>
      <w:r>
        <w:rPr>
          <w:sz w:val="18"/>
        </w:rPr>
        <w:t>🔴 RSI surachat (88.3 &gt; 70) — risque de correction</w:t>
      </w:r>
    </w:p>
    <w:p>
      <w:pPr>
        <w:pStyle w:val="ListBullet"/>
        <w:spacing w:before="20"/>
        <w:ind w:left="400"/>
      </w:pPr>
      <w:r>
        <w:rPr>
          <w:sz w:val="18"/>
        </w:rPr>
        <w:t>⚠️ Cours à 1.9% du plus haut 100j (21,200 FCFA)</w:t>
      </w:r>
    </w:p>
    <w:p>
      <w:pPr>
        <w:spacing w:before="120"/>
      </w:pPr>
      <w:r>
        <w:rPr>
          <w:b/>
          <w:color w:val="0050A0"/>
          <w:sz w:val="20"/>
        </w:rPr>
        <w:t>SDCC — SDCC - Société de Distribution d'Eau de Côte d'Ivoire</w:t>
      </w:r>
    </w:p>
    <w:p>
      <w:pPr>
        <w:pStyle w:val="ListBullet"/>
        <w:spacing w:before="20"/>
        <w:ind w:left="400"/>
      </w:pPr>
      <w:r>
        <w:rPr>
          <w:sz w:val="18"/>
        </w:rPr>
        <w:t>⚠️ Cours à 0.0% du plus haut 100j (12,490 FCFA)</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RSI survente (21.6 &lt; 30) — opportunité potentielle</w:t>
      </w:r>
    </w:p>
    <w:p>
      <w:pPr>
        <w:pStyle w:val="ListBullet"/>
        <w:spacing w:before="20"/>
        <w:ind w:left="400"/>
      </w:pPr>
      <w:r>
        <w:rPr>
          <w:sz w:val="18"/>
        </w:rPr>
        <w:t>⚠️ Cours à 1.4% du plus bas 100j (2,515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1.3% du plus haut 100j (29,490 FCFA)</w:t>
      </w:r>
    </w:p>
    <w:p>
      <w:pPr>
        <w:spacing w:before="120"/>
      </w:pPr>
      <w:r>
        <w:rPr>
          <w:b/>
          <w:color w:val="0050A0"/>
          <w:sz w:val="20"/>
        </w:rPr>
        <w:t>CBIBF — CBIBF - CORIS BANK INTERNATIONAL BURKINA FASO</w:t>
      </w:r>
    </w:p>
    <w:p>
      <w:pPr>
        <w:pStyle w:val="ListBullet"/>
        <w:spacing w:before="20"/>
        <w:ind w:left="400"/>
      </w:pPr>
      <w:r>
        <w:rPr>
          <w:sz w:val="18"/>
        </w:rPr>
        <w:t>⚠️ Cours à 2.0% du plus haut 100j (30,005 FCFA)</w:t>
      </w:r>
    </w:p>
    <w:p>
      <w:pPr>
        <w:spacing w:before="120"/>
      </w:pPr>
      <w:r>
        <w:rPr>
          <w:b/>
          <w:color w:val="0050A0"/>
          <w:sz w:val="20"/>
        </w:rPr>
        <w:t>CIEC — CIEC - Compagnie Ivoirienne d'Electricité</w:t>
      </w:r>
    </w:p>
    <w:p>
      <w:pPr>
        <w:pStyle w:val="ListBullet"/>
        <w:spacing w:before="20"/>
        <w:ind w:left="400"/>
      </w:pPr>
      <w:r>
        <w:rPr>
          <w:sz w:val="18"/>
        </w:rPr>
        <w:t>🔴 RSI surachat (88.7 &gt; 70) — risque de correction</w:t>
      </w:r>
    </w:p>
    <w:p>
      <w:pPr>
        <w:spacing w:before="120"/>
      </w:pPr>
      <w:r>
        <w:rPr>
          <w:b/>
          <w:color w:val="0050A0"/>
          <w:sz w:val="20"/>
        </w:rPr>
        <w:t>FTSC — FTSC - FILTISAC COTE D'IVOIRE</w:t>
      </w:r>
    </w:p>
    <w:p>
      <w:pPr>
        <w:pStyle w:val="ListBullet"/>
        <w:spacing w:before="20"/>
        <w:ind w:left="400"/>
      </w:pPr>
      <w:r>
        <w:rPr>
          <w:sz w:val="18"/>
        </w:rPr>
        <w:t>🔴 RSI surachat (73.7 &gt; 70) — risque de correction</w:t>
      </w:r>
    </w:p>
    <w:p>
      <w:pPr>
        <w:spacing w:before="120"/>
      </w:pPr>
      <w:r>
        <w:rPr>
          <w:b/>
          <w:color w:val="0050A0"/>
          <w:sz w:val="20"/>
        </w:rPr>
        <w:t>NSBC — NSBC - NSIA BANQUE COTE D'IVOIRE</w:t>
      </w:r>
    </w:p>
    <w:p>
      <w:pPr>
        <w:pStyle w:val="ListBullet"/>
        <w:spacing w:before="20"/>
        <w:ind w:left="400"/>
      </w:pPr>
      <w:r>
        <w:rPr>
          <w:sz w:val="18"/>
        </w:rPr>
        <w:t>🟢 RSI survente (16.6 &lt; 30) — opportunité potentielle</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Cours à 1.0% du plus haut 100j (2,480 FCFA)</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(73.3 &gt; 70) — risque de correction</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surachat (82.7 &gt; 70) — risque de correction</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20 société(s) (43%)</w:t>
            </w:r>
          </w:p>
        </w:tc>
        <w:tc>
          <w:tcPr>
            <w:tcW w:type="dxa" w:w="1644"/>
            <w:shd w:fill="FFEB9C" w:val="clear"/>
          </w:tcPr>
          <w:p>
            <w:r>
              <w:rPr>
                <w:b/>
                <w:color w:val="825A00"/>
                <w:sz w:val="19"/>
              </w:rPr>
              <w:t>27 société(s) (57%)</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21.5/100</w:t>
            </w:r>
          </w:p>
        </w:tc>
        <w:tc>
          <w:tcPr>
            <w:tcW w:type="dxa" w:w="1644"/>
            <w:shd w:fill="DEEAF1" w:val="clear"/>
          </w:tcPr>
          <w:p>
            <w:r>
              <w:rPr>
                <w:b/>
                <w:color w:val="000000"/>
                <w:sz w:val="19"/>
              </w:rPr>
              <w:t>20.6/100</w:t>
            </w:r>
          </w:p>
        </w:tc>
      </w:tr>
    </w:tbl>
    <w:p/>
    <w:p>
      <w:r>
        <w:rPr>
          <w:i/>
          <w:color w:val="006400"/>
          <w:sz w:val="18"/>
        </w:rPr>
        <w:t>✅ Le marché BRVM présente globalement un profil de risque FAIBLE (score moyen 21.5/100).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34.6/100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CIEC (34.6/100 — Moyen) : </w:t>
      </w:r>
      <w:r>
        <w:rPr>
          <w:sz w:val="17"/>
        </w:rPr>
        <w:t>Volatilité=Élevée | Bêta=Agressif | Liquidité=Bonne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17.3/100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34.6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29.6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25.0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22.0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21.6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18.3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-12.44%  |  Médiane : -6.98%</w:t>
            </w:r>
          </w:p>
        </w:tc>
      </w:tr>
      <w:tr>
        <w:tc>
          <w:tcPr>
            <w:tcW w:type="dxa" w:w="2835"/>
            <w:shd w:fill="DEEAF1" w:val="clear"/>
          </w:tcPr>
          <w:p>
            <w:r>
              <w:rPr>
                <w:b/>
                <w:sz w:val="18"/>
              </w:rPr>
              <w:t>Répartition</w:t>
            </w:r>
          </w:p>
        </w:tc>
        <w:tc>
          <w:tcPr>
            <w:tcW w:type="dxa" w:w="7370"/>
          </w:tcPr>
          <w:p>
            <w:r>
              <w:rPr>
                <w:b/>
                <w:sz w:val="18"/>
              </w:rPr>
              <w:t>📈 7 sociétés en hausse (&gt;+1%)   📉 40 en baisse (&lt;-1%)   ➡️ 0 neutres</w:t>
            </w:r>
          </w:p>
        </w:tc>
      </w:tr>
      <w:tr>
        <w:tc>
          <w:tcPr>
            <w:tcW w:type="dxa" w:w="2835"/>
            <w:shd w:fill="DEEAF1" w:val="clear"/>
          </w:tcPr>
          <w:p>
            <w:r>
              <w:rPr>
                <w:b/>
                <w:sz w:val="18"/>
              </w:rPr>
              <w:t>Confiance globale</w:t>
            </w:r>
          </w:p>
        </w:tc>
        <w:tc>
          <w:tcPr>
            <w:tcW w:type="dxa" w:w="7370"/>
          </w:tcPr>
          <w:p>
            <w:r>
              <w:rPr>
                <w:b/>
                <w:sz w:val="18"/>
              </w:rPr>
              <w:t>Élevée : 0 sociétés (0%)   Moyenne : 14   Faible : 33 (70%)   → Confiance dominante : Faible</w:t>
            </w:r>
          </w:p>
        </w:tc>
      </w:tr>
    </w:tbl>
    <w:p/>
    <w:p>
      <w:r>
        <w:rPr>
          <w:i/>
          <w:color w:val="282828"/>
          <w:sz w:val="18"/>
        </w:rPr>
        <w:t>📝 Analyse : Les modèles anticipent une correction généralisée. 40 sociétés sur 47 sont orientées à la baisse avec une variation moyenne de -12.44%.</w:t>
      </w:r>
    </w:p>
    <w:p>
      <w:r>
        <w:rPr>
          <w:i/>
          <w:color w:val="282828"/>
          <w:sz w:val="18"/>
        </w:rPr>
        <w:t>🎯 Fiabilité : ⚠️ La confiance est globalement FAIBLE (70%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3,500 FCFA</w:t>
            </w:r>
          </w:p>
        </w:tc>
        <w:tc>
          <w:tcPr>
            <w:tcW w:type="dxa" w:w="1417"/>
            <w:shd w:fill="FFFFFF" w:val="clear"/>
          </w:tcPr>
          <w:p>
            <w:r>
              <w:rPr>
                <w:sz w:val="16"/>
              </w:rPr>
              <w:t>6,143 FCFA</w:t>
            </w:r>
          </w:p>
        </w:tc>
        <w:tc>
          <w:tcPr>
            <w:tcW w:type="dxa" w:w="1134"/>
            <w:shd w:fill="C6EFCE" w:val="clear"/>
          </w:tcPr>
          <w:p>
            <w:r>
              <w:rPr>
                <w:b/>
                <w:color w:val="007800"/>
                <w:sz w:val="16"/>
              </w:rPr>
              <w:t>+75.51%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22,700 FCFA</w:t>
            </w:r>
          </w:p>
        </w:tc>
        <w:tc>
          <w:tcPr>
            <w:tcW w:type="dxa" w:w="1417"/>
            <w:shd w:fill="FFFFFF" w:val="clear"/>
          </w:tcPr>
          <w:p>
            <w:r>
              <w:rPr>
                <w:sz w:val="16"/>
              </w:rPr>
              <w:t>26,816 FCFA</w:t>
            </w:r>
          </w:p>
        </w:tc>
        <w:tc>
          <w:tcPr>
            <w:tcW w:type="dxa" w:w="1134"/>
            <w:shd w:fill="C6EFCE" w:val="clear"/>
          </w:tcPr>
          <w:p>
            <w:r>
              <w:rPr>
                <w:b/>
                <w:color w:val="007800"/>
                <w:sz w:val="16"/>
              </w:rPr>
              <w:t>+18.13%</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21,205 FCFA</w:t>
            </w:r>
          </w:p>
        </w:tc>
        <w:tc>
          <w:tcPr>
            <w:tcW w:type="dxa" w:w="1417"/>
            <w:shd w:fill="FFFFFF" w:val="clear"/>
          </w:tcPr>
          <w:p>
            <w:r>
              <w:rPr>
                <w:sz w:val="16"/>
              </w:rPr>
              <w:t>24,228 FCFA</w:t>
            </w:r>
          </w:p>
        </w:tc>
        <w:tc>
          <w:tcPr>
            <w:tcW w:type="dxa" w:w="1134"/>
            <w:shd w:fill="C6EFCE" w:val="clear"/>
          </w:tcPr>
          <w:p>
            <w:r>
              <w:rPr>
                <w:b/>
                <w:color w:val="007800"/>
                <w:sz w:val="16"/>
              </w:rPr>
              <w:t>+14.26%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56,115 FCFA</w:t>
            </w:r>
          </w:p>
        </w:tc>
        <w:tc>
          <w:tcPr>
            <w:tcW w:type="dxa" w:w="1417"/>
            <w:shd w:fill="FFFFFF" w:val="clear"/>
          </w:tcPr>
          <w:p>
            <w:r>
              <w:rPr>
                <w:sz w:val="16"/>
              </w:rPr>
              <w:t>60,816 FCFA</w:t>
            </w:r>
          </w:p>
        </w:tc>
        <w:tc>
          <w:tcPr>
            <w:tcW w:type="dxa" w:w="1134"/>
            <w:shd w:fill="C6EFCE" w:val="clear"/>
          </w:tcPr>
          <w:p>
            <w:r>
              <w:rPr>
                <w:b/>
                <w:color w:val="007800"/>
                <w:sz w:val="16"/>
              </w:rPr>
              <w:t>+8.38%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2,150 FCFA</w:t>
            </w:r>
          </w:p>
        </w:tc>
        <w:tc>
          <w:tcPr>
            <w:tcW w:type="dxa" w:w="1417"/>
            <w:shd w:fill="FFFFFF" w:val="clear"/>
          </w:tcPr>
          <w:p>
            <w:r>
              <w:rPr>
                <w:sz w:val="16"/>
              </w:rPr>
              <w:t>2,248 FCFA</w:t>
            </w:r>
          </w:p>
        </w:tc>
        <w:tc>
          <w:tcPr>
            <w:tcW w:type="dxa" w:w="1134"/>
            <w:shd w:fill="C6EFCE" w:val="clear"/>
          </w:tcPr>
          <w:p>
            <w:r>
              <w:rPr>
                <w:b/>
                <w:color w:val="007800"/>
                <w:sz w:val="16"/>
              </w:rPr>
              <w:t>+4.54%</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(+75.5%) — signal potentiellement excessif, à croiser avec l'analyse technique. Trajectoire : 📈 Hausse continue. Cours actuel : 3,500 FCFA → prédit J+10 : 6,143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(+18.1%) — potentiel de revalorisation notable. Trajectoire : 📈 Hausse continue. Cours actuel : 22,700 FCFA → prédit J+10 : 26,816 FCFA. ⚠️ Confiance limitée — volatilité élevée ou données insuffisantes. Résultat indicatif uniquement.</w:t>
      </w:r>
    </w:p>
    <w:p>
      <w:pPr>
        <w:pStyle w:val="ListBullet"/>
      </w:pPr>
      <w:r>
        <w:rPr>
          <w:b/>
          <w:color w:val="006400"/>
          <w:sz w:val="18"/>
        </w:rPr>
        <w:t xml:space="preserve">#3 STBC </w:t>
      </w:r>
      <w:r>
        <w:rPr>
          <w:sz w:val="17"/>
        </w:rPr>
        <w:t>(STBC - SITAB COTE D'IVOIRE) — hausse significative (+14.3%) — potentiel de revalorisation notable. Trajectoire : 📈 Hausse continue. Cours actuel : 21,205 FCFA → prédit J+10 : 24,228 FCFA. ⚠️ Confiance limitée — volatilité élevée ou données insuffisantes. Résultat indicatif uniquement.</w:t>
      </w:r>
    </w:p>
    <w:p>
      <w:pPr>
        <w:pStyle w:val="ListBullet"/>
      </w:pPr>
      <w:r>
        <w:rPr>
          <w:b/>
          <w:color w:val="006400"/>
          <w:sz w:val="18"/>
        </w:rPr>
        <w:t xml:space="preserve">#4 UNLC </w:t>
      </w:r>
      <w:r>
        <w:rPr>
          <w:sz w:val="17"/>
        </w:rPr>
        <w:t>(UNLC - UNILEVER COTE D'IVOIRE) — hausse modérée (+8.4%) — signal raisonnable et crédible. Trajectoire : 📈 Hausse continue. Cours actuel : 56,115 FCFA → prédit J+10 : 60,816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(+4.5%) — progression graduelle attendue. Trajectoire : 📈 Hausse continue. Cours actuel : 2,150 FCFA → prédit J+10 : 2,248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5,900 FCFA</w:t>
            </w:r>
          </w:p>
        </w:tc>
        <w:tc>
          <w:tcPr>
            <w:tcW w:type="dxa" w:w="1417"/>
            <w:shd w:fill="FFFFFF" w:val="clear"/>
          </w:tcPr>
          <w:p>
            <w:r>
              <w:rPr>
                <w:sz w:val="16"/>
              </w:rPr>
              <w:t>2,706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3,375 FCFA</w:t>
            </w:r>
          </w:p>
        </w:tc>
        <w:tc>
          <w:tcPr>
            <w:tcW w:type="dxa" w:w="1417"/>
            <w:shd w:fill="FFFFFF" w:val="clear"/>
          </w:tcPr>
          <w:p>
            <w:r>
              <w:rPr>
                <w:sz w:val="16"/>
              </w:rPr>
              <w:t>1,548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65 FCFA</w:t>
            </w:r>
          </w:p>
        </w:tc>
        <w:tc>
          <w:tcPr>
            <w:tcW w:type="dxa" w:w="1417"/>
            <w:shd w:fill="FFFFFF" w:val="clear"/>
          </w:tcPr>
          <w:p>
            <w:r>
              <w:rPr>
                <w:sz w:val="16"/>
              </w:rPr>
              <w:t>30 FCFA</w:t>
            </w:r>
          </w:p>
        </w:tc>
        <w:tc>
          <w:tcPr>
            <w:tcW w:type="dxa" w:w="1134"/>
            <w:shd w:fill="FFC7CE" w:val="clear"/>
          </w:tcPr>
          <w:p>
            <w:r>
              <w:rPr>
                <w:b/>
                <w:color w:val="B40000"/>
                <w:sz w:val="16"/>
              </w:rPr>
              <w:t>-54.09%</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6,970 FCFA</w:t>
            </w:r>
          </w:p>
        </w:tc>
        <w:tc>
          <w:tcPr>
            <w:tcW w:type="dxa" w:w="1417"/>
            <w:shd w:fill="FFFFFF" w:val="clear"/>
          </w:tcPr>
          <w:p>
            <w:r>
              <w:rPr>
                <w:sz w:val="16"/>
              </w:rPr>
              <w:t>3,273 FCFA</w:t>
            </w:r>
          </w:p>
        </w:tc>
        <w:tc>
          <w:tcPr>
            <w:tcW w:type="dxa" w:w="1134"/>
            <w:shd w:fill="FFC7CE" w:val="clear"/>
          </w:tcPr>
          <w:p>
            <w:r>
              <w:rPr>
                <w:b/>
                <w:color w:val="B40000"/>
                <w:sz w:val="16"/>
              </w:rPr>
              <w:t>-53.04%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2,680 FCFA</w:t>
            </w:r>
          </w:p>
        </w:tc>
        <w:tc>
          <w:tcPr>
            <w:tcW w:type="dxa" w:w="1417"/>
            <w:shd w:fill="FFFFFF" w:val="clear"/>
          </w:tcPr>
          <w:p>
            <w:r>
              <w:rPr>
                <w:sz w:val="16"/>
              </w:rPr>
              <w:t>1,448 FCFA</w:t>
            </w:r>
          </w:p>
        </w:tc>
        <w:tc>
          <w:tcPr>
            <w:tcW w:type="dxa" w:w="1134"/>
            <w:shd w:fill="FFC7CE" w:val="clear"/>
          </w:tcPr>
          <w:p>
            <w:r>
              <w:rPr>
                <w:b/>
                <w:color w:val="B40000"/>
                <w:sz w:val="16"/>
              </w:rPr>
              <w:t>-45.99%</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5,900 FCFA → prédit J+10 : 2,706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3,375 FCFA → prédit J+10 : 1,548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65 FCFA → prédit J+10 : 30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(-53.0%) — amplitude potentiellement surestimée par le modèle. Trajectoire : 📉 Baisse continue. Cours actuel : 6,970 FCFA → prédit J+10 : 3,273 FCFA. ⚠️ Confiance limitée — volatilité élevée. Ne pas agir sur ce seul signal.</w:t>
      </w:r>
    </w:p>
    <w:p>
      <w:pPr>
        <w:pStyle w:val="ListBullet"/>
      </w:pPr>
      <w:r>
        <w:rPr>
          <w:b/>
          <w:color w:val="B40000"/>
          <w:sz w:val="18"/>
        </w:rPr>
        <w:t xml:space="preserve">#5 NEIC </w:t>
      </w:r>
      <w:r>
        <w:rPr>
          <w:sz w:val="17"/>
        </w:rPr>
        <w:t>(NEIC - NEI-CEDA CI) — baisse très forte (-46.0%) — amplitude potentiellement surestimée par le modèle. Trajectoire : 📉 Baisse continue. Cours actuel : 2,680 FCFA → prédit J+10 : 1,448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6,143</w:t>
            </w:r>
          </w:p>
        </w:tc>
        <w:tc>
          <w:tcPr>
            <w:tcW w:type="dxa" w:w="1134"/>
            <w:shd w:fill="C6EFCE" w:val="clear"/>
          </w:tcPr>
          <w:p>
            <w:r>
              <w:rPr>
                <w:b/>
                <w:color w:val="007800"/>
                <w:sz w:val="16"/>
              </w:rPr>
              <w:t>+75.51%</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22,700</w:t>
            </w:r>
          </w:p>
        </w:tc>
        <w:tc>
          <w:tcPr>
            <w:tcW w:type="dxa" w:w="1417"/>
            <w:shd w:fill="FFFFFF" w:val="clear"/>
          </w:tcPr>
          <w:p>
            <w:r>
              <w:rPr>
                <w:sz w:val="16"/>
              </w:rPr>
              <w:t>26,816</w:t>
            </w:r>
          </w:p>
        </w:tc>
        <w:tc>
          <w:tcPr>
            <w:tcW w:type="dxa" w:w="1134"/>
            <w:shd w:fill="C6EFCE" w:val="clear"/>
          </w:tcPr>
          <w:p>
            <w:r>
              <w:rPr>
                <w:b/>
                <w:color w:val="007800"/>
                <w:sz w:val="16"/>
              </w:rPr>
              <w:t>+18.13%</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21,205</w:t>
            </w:r>
          </w:p>
        </w:tc>
        <w:tc>
          <w:tcPr>
            <w:tcW w:type="dxa" w:w="1417"/>
            <w:shd w:fill="FFFFFF" w:val="clear"/>
          </w:tcPr>
          <w:p>
            <w:r>
              <w:rPr>
                <w:sz w:val="16"/>
              </w:rPr>
              <w:t>24,228</w:t>
            </w:r>
          </w:p>
        </w:tc>
        <w:tc>
          <w:tcPr>
            <w:tcW w:type="dxa" w:w="1134"/>
            <w:shd w:fill="C6EFCE" w:val="clear"/>
          </w:tcPr>
          <w:p>
            <w:r>
              <w:rPr>
                <w:b/>
                <w:color w:val="007800"/>
                <w:sz w:val="16"/>
              </w:rPr>
              <w:t>+14.26%</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56,115</w:t>
            </w:r>
          </w:p>
        </w:tc>
        <w:tc>
          <w:tcPr>
            <w:tcW w:type="dxa" w:w="1417"/>
            <w:shd w:fill="FFFFFF" w:val="clear"/>
          </w:tcPr>
          <w:p>
            <w:r>
              <w:rPr>
                <w:sz w:val="16"/>
              </w:rPr>
              <w:t>60,816</w:t>
            </w:r>
          </w:p>
        </w:tc>
        <w:tc>
          <w:tcPr>
            <w:tcW w:type="dxa" w:w="1134"/>
            <w:shd w:fill="C6EFCE" w:val="clear"/>
          </w:tcPr>
          <w:p>
            <w:r>
              <w:rPr>
                <w:b/>
                <w:color w:val="007800"/>
                <w:sz w:val="16"/>
              </w:rPr>
              <w:t>+8.38%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2,150</w:t>
            </w:r>
          </w:p>
        </w:tc>
        <w:tc>
          <w:tcPr>
            <w:tcW w:type="dxa" w:w="1417"/>
            <w:shd w:fill="FFFFFF" w:val="clear"/>
          </w:tcPr>
          <w:p>
            <w:r>
              <w:rPr>
                <w:sz w:val="16"/>
              </w:rPr>
              <w:t>2,248</w:t>
            </w:r>
          </w:p>
        </w:tc>
        <w:tc>
          <w:tcPr>
            <w:tcW w:type="dxa" w:w="1134"/>
            <w:shd w:fill="C6EFCE" w:val="clear"/>
          </w:tcPr>
          <w:p>
            <w:r>
              <w:rPr>
                <w:b/>
                <w:color w:val="007800"/>
                <w:sz w:val="16"/>
              </w:rPr>
              <w:t>+4.54%</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9,240</w:t>
            </w:r>
          </w:p>
        </w:tc>
        <w:tc>
          <w:tcPr>
            <w:tcW w:type="dxa" w:w="1417"/>
            <w:shd w:fill="FFFFFF" w:val="clear"/>
          </w:tcPr>
          <w:p>
            <w:r>
              <w:rPr>
                <w:sz w:val="16"/>
              </w:rPr>
              <w:t>9,643</w:t>
            </w:r>
          </w:p>
        </w:tc>
        <w:tc>
          <w:tcPr>
            <w:tcW w:type="dxa" w:w="1134"/>
            <w:shd w:fill="C6EFCE" w:val="clear"/>
          </w:tcPr>
          <w:p>
            <w:r>
              <w:rPr>
                <w:b/>
                <w:color w:val="007800"/>
                <w:sz w:val="16"/>
              </w:rPr>
              <w:t>+4.37%</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8,200</w:t>
            </w:r>
          </w:p>
        </w:tc>
        <w:tc>
          <w:tcPr>
            <w:tcW w:type="dxa" w:w="1417"/>
            <w:shd w:fill="FFFFFF" w:val="clear"/>
          </w:tcPr>
          <w:p>
            <w:r>
              <w:rPr>
                <w:sz w:val="16"/>
              </w:rPr>
              <w:t>8,325</w:t>
            </w:r>
          </w:p>
        </w:tc>
        <w:tc>
          <w:tcPr>
            <w:tcW w:type="dxa" w:w="1134"/>
            <w:shd w:fill="C6EFCE" w:val="clear"/>
          </w:tcPr>
          <w:p>
            <w:r>
              <w:rPr>
                <w:b/>
                <w:color w:val="007800"/>
                <w:sz w:val="16"/>
              </w:rPr>
              <w:t>+1.52%</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16,700</w:t>
            </w:r>
          </w:p>
        </w:tc>
        <w:tc>
          <w:tcPr>
            <w:tcW w:type="dxa" w:w="1417"/>
            <w:shd w:fill="FFFFFF" w:val="clear"/>
          </w:tcPr>
          <w:p>
            <w:r>
              <w:rPr>
                <w:sz w:val="16"/>
              </w:rPr>
              <w:t>16,505</w:t>
            </w:r>
          </w:p>
        </w:tc>
        <w:tc>
          <w:tcPr>
            <w:tcW w:type="dxa" w:w="1134"/>
            <w:shd w:fill="FFC7CE" w:val="clear"/>
          </w:tcPr>
          <w:p>
            <w:r>
              <w:rPr>
                <w:b/>
                <w:color w:val="B40000"/>
                <w:sz w:val="16"/>
              </w:rPr>
              <w:t>-1.17%</w:t>
            </w:r>
          </w:p>
        </w:tc>
        <w:tc>
          <w:tcPr>
            <w:tcW w:type="dxa" w:w="1134"/>
            <w:shd w:fill="FFEB9C" w:val="clear"/>
          </w:tcPr>
          <w:p>
            <w:r>
              <w:rPr>
                <w:sz w:val="16"/>
              </w:rPr>
              <w:t>Moyenne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38,000</w:t>
            </w:r>
          </w:p>
        </w:tc>
        <w:tc>
          <w:tcPr>
            <w:tcW w:type="dxa" w:w="1417"/>
            <w:shd w:fill="FFFFFF" w:val="clear"/>
          </w:tcPr>
          <w:p>
            <w:r>
              <w:rPr>
                <w:sz w:val="16"/>
              </w:rPr>
              <w:t>37,554</w:t>
            </w:r>
          </w:p>
        </w:tc>
        <w:tc>
          <w:tcPr>
            <w:tcW w:type="dxa" w:w="1134"/>
            <w:shd w:fill="FFC7CE" w:val="clear"/>
          </w:tcPr>
          <w:p>
            <w:r>
              <w:rPr>
                <w:b/>
                <w:color w:val="B40000"/>
                <w:sz w:val="16"/>
              </w:rPr>
              <w:t>-1.17%</w:t>
            </w:r>
          </w:p>
        </w:tc>
        <w:tc>
          <w:tcPr>
            <w:tcW w:type="dxa" w:w="1134"/>
            <w:shd w:fill="FFEB9C" w:val="clear"/>
          </w:tcPr>
          <w:p>
            <w:r>
              <w:rPr>
                <w:sz w:val="16"/>
              </w:rPr>
              <w:t>Moyenne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37,750</w:t>
            </w:r>
          </w:p>
        </w:tc>
        <w:tc>
          <w:tcPr>
            <w:tcW w:type="dxa" w:w="1417"/>
            <w:shd w:fill="FFFFFF" w:val="clear"/>
          </w:tcPr>
          <w:p>
            <w:r>
              <w:rPr>
                <w:sz w:val="16"/>
              </w:rPr>
              <w:t>37,243</w:t>
            </w:r>
          </w:p>
        </w:tc>
        <w:tc>
          <w:tcPr>
            <w:tcW w:type="dxa" w:w="1134"/>
            <w:shd w:fill="FFC7CE" w:val="clear"/>
          </w:tcPr>
          <w:p>
            <w:r>
              <w:rPr>
                <w:b/>
                <w:color w:val="B40000"/>
                <w:sz w:val="16"/>
              </w:rPr>
              <w:t>-1.34%</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34,600</w:t>
            </w:r>
          </w:p>
        </w:tc>
        <w:tc>
          <w:tcPr>
            <w:tcW w:type="dxa" w:w="1417"/>
            <w:shd w:fill="FFFFFF" w:val="clear"/>
          </w:tcPr>
          <w:p>
            <w:r>
              <w:rPr>
                <w:sz w:val="16"/>
              </w:rPr>
              <w:t>34,052</w:t>
            </w:r>
          </w:p>
        </w:tc>
        <w:tc>
          <w:tcPr>
            <w:tcW w:type="dxa" w:w="1134"/>
            <w:shd w:fill="FFC7CE" w:val="clear"/>
          </w:tcPr>
          <w:p>
            <w:r>
              <w:rPr>
                <w:b/>
                <w:color w:val="B40000"/>
                <w:sz w:val="16"/>
              </w:rPr>
              <w:t>-1.58%</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3,195</w:t>
            </w:r>
          </w:p>
        </w:tc>
        <w:tc>
          <w:tcPr>
            <w:tcW w:type="dxa" w:w="1417"/>
            <w:shd w:fill="FFFFFF" w:val="clear"/>
          </w:tcPr>
          <w:p>
            <w:r>
              <w:rPr>
                <w:sz w:val="16"/>
              </w:rPr>
              <w:t>3,134</w:t>
            </w:r>
          </w:p>
        </w:tc>
        <w:tc>
          <w:tcPr>
            <w:tcW w:type="dxa" w:w="1134"/>
            <w:shd w:fill="FFC7CE" w:val="clear"/>
          </w:tcPr>
          <w:p>
            <w:r>
              <w:rPr>
                <w:b/>
                <w:color w:val="B40000"/>
                <w:sz w:val="16"/>
              </w:rPr>
              <w:t>-1.91%</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2,885</w:t>
            </w:r>
          </w:p>
        </w:tc>
        <w:tc>
          <w:tcPr>
            <w:tcW w:type="dxa" w:w="1417"/>
            <w:shd w:fill="FFFFFF" w:val="clear"/>
          </w:tcPr>
          <w:p>
            <w:r>
              <w:rPr>
                <w:sz w:val="16"/>
              </w:rPr>
              <w:t>2,828</w:t>
            </w:r>
          </w:p>
        </w:tc>
        <w:tc>
          <w:tcPr>
            <w:tcW w:type="dxa" w:w="1134"/>
            <w:shd w:fill="FFC7CE" w:val="clear"/>
          </w:tcPr>
          <w:p>
            <w:r>
              <w:rPr>
                <w:b/>
                <w:color w:val="B40000"/>
                <w:sz w:val="16"/>
              </w:rPr>
              <w:t>-1.97%</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5,355</w:t>
            </w:r>
          </w:p>
        </w:tc>
        <w:tc>
          <w:tcPr>
            <w:tcW w:type="dxa" w:w="1417"/>
            <w:shd w:fill="FFFFFF" w:val="clear"/>
          </w:tcPr>
          <w:p>
            <w:r>
              <w:rPr>
                <w:sz w:val="16"/>
              </w:rPr>
              <w:t>5,221</w:t>
            </w:r>
          </w:p>
        </w:tc>
        <w:tc>
          <w:tcPr>
            <w:tcW w:type="dxa" w:w="1134"/>
            <w:shd w:fill="FFC7CE" w:val="clear"/>
          </w:tcPr>
          <w:p>
            <w:r>
              <w:rPr>
                <w:b/>
                <w:color w:val="B40000"/>
                <w:sz w:val="16"/>
              </w:rPr>
              <w:t>-2.50%</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4,095</w:t>
            </w:r>
          </w:p>
        </w:tc>
        <w:tc>
          <w:tcPr>
            <w:tcW w:type="dxa" w:w="1417"/>
            <w:shd w:fill="FFFFFF" w:val="clear"/>
          </w:tcPr>
          <w:p>
            <w:r>
              <w:rPr>
                <w:sz w:val="16"/>
              </w:rPr>
              <w:t>3,968</w:t>
            </w:r>
          </w:p>
        </w:tc>
        <w:tc>
          <w:tcPr>
            <w:tcW w:type="dxa" w:w="1134"/>
            <w:shd w:fill="FFC7CE" w:val="clear"/>
          </w:tcPr>
          <w:p>
            <w:r>
              <w:rPr>
                <w:b/>
                <w:color w:val="B40000"/>
                <w:sz w:val="16"/>
              </w:rPr>
              <w:t>-3.11%</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16,900</w:t>
            </w:r>
          </w:p>
        </w:tc>
        <w:tc>
          <w:tcPr>
            <w:tcW w:type="dxa" w:w="1417"/>
            <w:shd w:fill="FFFFFF" w:val="clear"/>
          </w:tcPr>
          <w:p>
            <w:r>
              <w:rPr>
                <w:sz w:val="16"/>
              </w:rPr>
              <w:t>16,332</w:t>
            </w:r>
          </w:p>
        </w:tc>
        <w:tc>
          <w:tcPr>
            <w:tcW w:type="dxa" w:w="1134"/>
            <w:shd w:fill="FFC7CE" w:val="clear"/>
          </w:tcPr>
          <w:p>
            <w:r>
              <w:rPr>
                <w:b/>
                <w:color w:val="B40000"/>
                <w:sz w:val="16"/>
              </w:rPr>
              <w:t>-3.36%</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2,135</w:t>
            </w:r>
          </w:p>
        </w:tc>
        <w:tc>
          <w:tcPr>
            <w:tcW w:type="dxa" w:w="1417"/>
            <w:shd w:fill="FFFFFF" w:val="clear"/>
          </w:tcPr>
          <w:p>
            <w:r>
              <w:rPr>
                <w:sz w:val="16"/>
              </w:rPr>
              <w:t>2,051</w:t>
            </w:r>
          </w:p>
        </w:tc>
        <w:tc>
          <w:tcPr>
            <w:tcW w:type="dxa" w:w="1134"/>
            <w:shd w:fill="FFC7CE" w:val="clear"/>
          </w:tcPr>
          <w:p>
            <w:r>
              <w:rPr>
                <w:b/>
                <w:color w:val="B40000"/>
                <w:sz w:val="16"/>
              </w:rPr>
              <w:t>-3.95%</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9,220</w:t>
            </w:r>
          </w:p>
        </w:tc>
        <w:tc>
          <w:tcPr>
            <w:tcW w:type="dxa" w:w="1417"/>
            <w:shd w:fill="FFFFFF" w:val="clear"/>
          </w:tcPr>
          <w:p>
            <w:r>
              <w:rPr>
                <w:sz w:val="16"/>
              </w:rPr>
              <w:t>8,820</w:t>
            </w:r>
          </w:p>
        </w:tc>
        <w:tc>
          <w:tcPr>
            <w:tcW w:type="dxa" w:w="1134"/>
            <w:shd w:fill="FFC7CE" w:val="clear"/>
          </w:tcPr>
          <w:p>
            <w:r>
              <w:rPr>
                <w:b/>
                <w:color w:val="B40000"/>
                <w:sz w:val="16"/>
              </w:rPr>
              <w:t>-4.34%</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2,560</w:t>
            </w:r>
          </w:p>
        </w:tc>
        <w:tc>
          <w:tcPr>
            <w:tcW w:type="dxa" w:w="1417"/>
            <w:shd w:fill="FFFFFF" w:val="clear"/>
          </w:tcPr>
          <w:p>
            <w:r>
              <w:rPr>
                <w:sz w:val="16"/>
              </w:rPr>
              <w:t>2,431</w:t>
            </w:r>
          </w:p>
        </w:tc>
        <w:tc>
          <w:tcPr>
            <w:tcW w:type="dxa" w:w="1134"/>
            <w:shd w:fill="FFC7CE" w:val="clear"/>
          </w:tcPr>
          <w:p>
            <w:r>
              <w:rPr>
                <w:b/>
                <w:color w:val="B40000"/>
                <w:sz w:val="16"/>
              </w:rPr>
              <w:t>-5.03%</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3,595</w:t>
            </w:r>
          </w:p>
        </w:tc>
        <w:tc>
          <w:tcPr>
            <w:tcW w:type="dxa" w:w="1417"/>
            <w:shd w:fill="FFFFFF" w:val="clear"/>
          </w:tcPr>
          <w:p>
            <w:r>
              <w:rPr>
                <w:sz w:val="16"/>
              </w:rPr>
              <w:t>3,404</w:t>
            </w:r>
          </w:p>
        </w:tc>
        <w:tc>
          <w:tcPr>
            <w:tcW w:type="dxa" w:w="1134"/>
            <w:shd w:fill="FFC7CE" w:val="clear"/>
          </w:tcPr>
          <w:p>
            <w:r>
              <w:rPr>
                <w:b/>
                <w:color w:val="B40000"/>
                <w:sz w:val="16"/>
              </w:rPr>
              <w:t>-5.32%</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4,550</w:t>
            </w:r>
          </w:p>
        </w:tc>
        <w:tc>
          <w:tcPr>
            <w:tcW w:type="dxa" w:w="1417"/>
            <w:shd w:fill="FFFFFF" w:val="clear"/>
          </w:tcPr>
          <w:p>
            <w:r>
              <w:rPr>
                <w:sz w:val="16"/>
              </w:rPr>
              <w:t>4,288</w:t>
            </w:r>
          </w:p>
        </w:tc>
        <w:tc>
          <w:tcPr>
            <w:tcW w:type="dxa" w:w="1134"/>
            <w:shd w:fill="FFC7CE" w:val="clear"/>
          </w:tcPr>
          <w:p>
            <w:r>
              <w:rPr>
                <w:b/>
                <w:color w:val="B40000"/>
                <w:sz w:val="16"/>
              </w:rPr>
              <w:t>-5.75%</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2,400</w:t>
            </w:r>
          </w:p>
        </w:tc>
        <w:tc>
          <w:tcPr>
            <w:tcW w:type="dxa" w:w="1417"/>
            <w:shd w:fill="FFFFFF" w:val="clear"/>
          </w:tcPr>
          <w:p>
            <w:r>
              <w:rPr>
                <w:sz w:val="16"/>
              </w:rPr>
              <w:t>2,261</w:t>
            </w:r>
          </w:p>
        </w:tc>
        <w:tc>
          <w:tcPr>
            <w:tcW w:type="dxa" w:w="1134"/>
            <w:shd w:fill="FFC7CE" w:val="clear"/>
          </w:tcPr>
          <w:p>
            <w:r>
              <w:rPr>
                <w:b/>
                <w:color w:val="B40000"/>
                <w:sz w:val="16"/>
              </w:rPr>
              <w:t>-5.79%</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17,380</w:t>
            </w:r>
          </w:p>
        </w:tc>
        <w:tc>
          <w:tcPr>
            <w:tcW w:type="dxa" w:w="1417"/>
            <w:shd w:fill="FFFFFF" w:val="clear"/>
          </w:tcPr>
          <w:p>
            <w:r>
              <w:rPr>
                <w:sz w:val="16"/>
              </w:rPr>
              <w:t>16,323</w:t>
            </w:r>
          </w:p>
        </w:tc>
        <w:tc>
          <w:tcPr>
            <w:tcW w:type="dxa" w:w="1134"/>
            <w:shd w:fill="FFC7CE" w:val="clear"/>
          </w:tcPr>
          <w:p>
            <w:r>
              <w:rPr>
                <w:b/>
                <w:color w:val="B40000"/>
                <w:sz w:val="16"/>
              </w:rPr>
              <w:t>-6.08%</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20,795</w:t>
            </w:r>
          </w:p>
        </w:tc>
        <w:tc>
          <w:tcPr>
            <w:tcW w:type="dxa" w:w="1417"/>
            <w:shd w:fill="FFFFFF" w:val="clear"/>
          </w:tcPr>
          <w:p>
            <w:r>
              <w:rPr>
                <w:sz w:val="16"/>
              </w:rPr>
              <w:t>19,343</w:t>
            </w:r>
          </w:p>
        </w:tc>
        <w:tc>
          <w:tcPr>
            <w:tcW w:type="dxa" w:w="1134"/>
            <w:shd w:fill="FFC7CE" w:val="clear"/>
          </w:tcPr>
          <w:p>
            <w:r>
              <w:rPr>
                <w:b/>
                <w:color w:val="B40000"/>
                <w:sz w:val="16"/>
              </w:rPr>
              <w:t>-6.98%</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1,500</w:t>
            </w:r>
          </w:p>
        </w:tc>
        <w:tc>
          <w:tcPr>
            <w:tcW w:type="dxa" w:w="1417"/>
            <w:shd w:fill="FFFFFF" w:val="clear"/>
          </w:tcPr>
          <w:p>
            <w:r>
              <w:rPr>
                <w:sz w:val="16"/>
              </w:rPr>
              <w:t>1,369</w:t>
            </w:r>
          </w:p>
        </w:tc>
        <w:tc>
          <w:tcPr>
            <w:tcW w:type="dxa" w:w="1134"/>
            <w:shd w:fill="FFC7CE" w:val="clear"/>
          </w:tcPr>
          <w:p>
            <w:r>
              <w:rPr>
                <w:b/>
                <w:color w:val="B40000"/>
                <w:sz w:val="16"/>
              </w:rPr>
              <w:t>-8.71%</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29,100</w:t>
            </w:r>
          </w:p>
        </w:tc>
        <w:tc>
          <w:tcPr>
            <w:tcW w:type="dxa" w:w="1417"/>
            <w:shd w:fill="FFFFFF" w:val="clear"/>
          </w:tcPr>
          <w:p>
            <w:r>
              <w:rPr>
                <w:sz w:val="16"/>
              </w:rPr>
              <w:t>26,143</w:t>
            </w:r>
          </w:p>
        </w:tc>
        <w:tc>
          <w:tcPr>
            <w:tcW w:type="dxa" w:w="1134"/>
            <w:shd w:fill="FFC7CE" w:val="clear"/>
          </w:tcPr>
          <w:p>
            <w:r>
              <w:rPr>
                <w:b/>
                <w:color w:val="B40000"/>
                <w:sz w:val="16"/>
              </w:rPr>
              <w:t>-10.16%</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12,490</w:t>
            </w:r>
          </w:p>
        </w:tc>
        <w:tc>
          <w:tcPr>
            <w:tcW w:type="dxa" w:w="1417"/>
            <w:shd w:fill="FFFFFF" w:val="clear"/>
          </w:tcPr>
          <w:p>
            <w:r>
              <w:rPr>
                <w:sz w:val="16"/>
              </w:rPr>
              <w:t>10,992</w:t>
            </w:r>
          </w:p>
        </w:tc>
        <w:tc>
          <w:tcPr>
            <w:tcW w:type="dxa" w:w="1134"/>
            <w:shd w:fill="FFC7CE" w:val="clear"/>
          </w:tcPr>
          <w:p>
            <w:r>
              <w:rPr>
                <w:b/>
                <w:color w:val="B40000"/>
                <w:sz w:val="16"/>
              </w:rPr>
              <w:t>-11.99%</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3,800</w:t>
            </w:r>
          </w:p>
        </w:tc>
        <w:tc>
          <w:tcPr>
            <w:tcW w:type="dxa" w:w="1417"/>
            <w:shd w:fill="FFFFFF" w:val="clear"/>
          </w:tcPr>
          <w:p>
            <w:r>
              <w:rPr>
                <w:sz w:val="16"/>
              </w:rPr>
              <w:t>3,275</w:t>
            </w:r>
          </w:p>
        </w:tc>
        <w:tc>
          <w:tcPr>
            <w:tcW w:type="dxa" w:w="1134"/>
            <w:shd w:fill="FFC7CE" w:val="clear"/>
          </w:tcPr>
          <w:p>
            <w:r>
              <w:rPr>
                <w:b/>
                <w:color w:val="B40000"/>
                <w:sz w:val="16"/>
              </w:rPr>
              <w:t>-13.81%</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1,750</w:t>
            </w:r>
          </w:p>
        </w:tc>
        <w:tc>
          <w:tcPr>
            <w:tcW w:type="dxa" w:w="1417"/>
            <w:shd w:fill="FFFFFF" w:val="clear"/>
          </w:tcPr>
          <w:p>
            <w:r>
              <w:rPr>
                <w:sz w:val="16"/>
              </w:rPr>
              <w:t>1,492</w:t>
            </w:r>
          </w:p>
        </w:tc>
        <w:tc>
          <w:tcPr>
            <w:tcW w:type="dxa" w:w="1134"/>
            <w:shd w:fill="FFC7CE" w:val="clear"/>
          </w:tcPr>
          <w:p>
            <w:r>
              <w:rPr>
                <w:b/>
                <w:color w:val="B40000"/>
                <w:sz w:val="16"/>
              </w:rPr>
              <w:t>-14.72%</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3,650</w:t>
            </w:r>
          </w:p>
        </w:tc>
        <w:tc>
          <w:tcPr>
            <w:tcW w:type="dxa" w:w="1417"/>
            <w:shd w:fill="FFFFFF" w:val="clear"/>
          </w:tcPr>
          <w:p>
            <w:r>
              <w:rPr>
                <w:sz w:val="16"/>
              </w:rPr>
              <w:t>3,058</w:t>
            </w:r>
          </w:p>
        </w:tc>
        <w:tc>
          <w:tcPr>
            <w:tcW w:type="dxa" w:w="1134"/>
            <w:shd w:fill="FFC7CE" w:val="clear"/>
          </w:tcPr>
          <w:p>
            <w:r>
              <w:rPr>
                <w:b/>
                <w:color w:val="B40000"/>
                <w:sz w:val="16"/>
              </w:rPr>
              <w:t>-16.21%</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8,500</w:t>
            </w:r>
          </w:p>
        </w:tc>
        <w:tc>
          <w:tcPr>
            <w:tcW w:type="dxa" w:w="1417"/>
            <w:shd w:fill="FFFFFF" w:val="clear"/>
          </w:tcPr>
          <w:p>
            <w:r>
              <w:rPr>
                <w:sz w:val="16"/>
              </w:rPr>
              <w:t>7,113</w:t>
            </w:r>
          </w:p>
        </w:tc>
        <w:tc>
          <w:tcPr>
            <w:tcW w:type="dxa" w:w="1134"/>
            <w:shd w:fill="FFC7CE" w:val="clear"/>
          </w:tcPr>
          <w:p>
            <w:r>
              <w:rPr>
                <w:b/>
                <w:color w:val="B40000"/>
                <w:sz w:val="16"/>
              </w:rPr>
              <w:t>-16.31%</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6,700</w:t>
            </w:r>
          </w:p>
        </w:tc>
        <w:tc>
          <w:tcPr>
            <w:tcW w:type="dxa" w:w="1417"/>
            <w:shd w:fill="FFFFFF" w:val="clear"/>
          </w:tcPr>
          <w:p>
            <w:r>
              <w:rPr>
                <w:sz w:val="16"/>
              </w:rPr>
              <w:t>5,548</w:t>
            </w:r>
          </w:p>
        </w:tc>
        <w:tc>
          <w:tcPr>
            <w:tcW w:type="dxa" w:w="1134"/>
            <w:shd w:fill="FFC7CE" w:val="clear"/>
          </w:tcPr>
          <w:p>
            <w:r>
              <w:rPr>
                <w:b/>
                <w:color w:val="B40000"/>
                <w:sz w:val="16"/>
              </w:rPr>
              <w:t>-17.19%</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8,600</w:t>
            </w:r>
          </w:p>
        </w:tc>
        <w:tc>
          <w:tcPr>
            <w:tcW w:type="dxa" w:w="1417"/>
            <w:shd w:fill="FFFFFF" w:val="clear"/>
          </w:tcPr>
          <w:p>
            <w:r>
              <w:rPr>
                <w:sz w:val="16"/>
              </w:rPr>
              <w:t>6,995</w:t>
            </w:r>
          </w:p>
        </w:tc>
        <w:tc>
          <w:tcPr>
            <w:tcW w:type="dxa" w:w="1134"/>
            <w:shd w:fill="FFC7CE" w:val="clear"/>
          </w:tcPr>
          <w:p>
            <w:r>
              <w:rPr>
                <w:b/>
                <w:color w:val="B40000"/>
                <w:sz w:val="16"/>
              </w:rPr>
              <w:t>-18.66%</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10,350</w:t>
            </w:r>
          </w:p>
        </w:tc>
        <w:tc>
          <w:tcPr>
            <w:tcW w:type="dxa" w:w="1417"/>
            <w:shd w:fill="FFFFFF" w:val="clear"/>
          </w:tcPr>
          <w:p>
            <w:r>
              <w:rPr>
                <w:sz w:val="16"/>
              </w:rPr>
              <w:t>8,323</w:t>
            </w:r>
          </w:p>
        </w:tc>
        <w:tc>
          <w:tcPr>
            <w:tcW w:type="dxa" w:w="1134"/>
            <w:shd w:fill="FFC7CE" w:val="clear"/>
          </w:tcPr>
          <w:p>
            <w:r>
              <w:rPr>
                <w:b/>
                <w:color w:val="B40000"/>
                <w:sz w:val="16"/>
              </w:rPr>
              <w:t>-19.58%</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9,150</w:t>
            </w:r>
          </w:p>
        </w:tc>
        <w:tc>
          <w:tcPr>
            <w:tcW w:type="dxa" w:w="1417"/>
            <w:shd w:fill="FFFFFF" w:val="clear"/>
          </w:tcPr>
          <w:p>
            <w:r>
              <w:rPr>
                <w:sz w:val="16"/>
              </w:rPr>
              <w:t>7,202</w:t>
            </w:r>
          </w:p>
        </w:tc>
        <w:tc>
          <w:tcPr>
            <w:tcW w:type="dxa" w:w="1134"/>
            <w:shd w:fill="FFC7CE" w:val="clear"/>
          </w:tcPr>
          <w:p>
            <w:r>
              <w:rPr>
                <w:b/>
                <w:color w:val="B40000"/>
                <w:sz w:val="16"/>
              </w:rPr>
              <w:t>-21.28%</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7,995</w:t>
            </w:r>
          </w:p>
        </w:tc>
        <w:tc>
          <w:tcPr>
            <w:tcW w:type="dxa" w:w="1417"/>
            <w:shd w:fill="FFFFFF" w:val="clear"/>
          </w:tcPr>
          <w:p>
            <w:r>
              <w:rPr>
                <w:sz w:val="16"/>
              </w:rPr>
              <w:t>6,261</w:t>
            </w:r>
          </w:p>
        </w:tc>
        <w:tc>
          <w:tcPr>
            <w:tcW w:type="dxa" w:w="1134"/>
            <w:shd w:fill="FFC7CE" w:val="clear"/>
          </w:tcPr>
          <w:p>
            <w:r>
              <w:rPr>
                <w:b/>
                <w:color w:val="B40000"/>
                <w:sz w:val="16"/>
              </w:rPr>
              <w:t>-21.69%</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2,365</w:t>
            </w:r>
          </w:p>
        </w:tc>
        <w:tc>
          <w:tcPr>
            <w:tcW w:type="dxa" w:w="1417"/>
            <w:shd w:fill="FFFFFF" w:val="clear"/>
          </w:tcPr>
          <w:p>
            <w:r>
              <w:rPr>
                <w:sz w:val="16"/>
              </w:rPr>
              <w:t>1,829</w:t>
            </w:r>
          </w:p>
        </w:tc>
        <w:tc>
          <w:tcPr>
            <w:tcW w:type="dxa" w:w="1134"/>
            <w:shd w:fill="FFC7CE" w:val="clear"/>
          </w:tcPr>
          <w:p>
            <w:r>
              <w:rPr>
                <w:b/>
                <w:color w:val="B40000"/>
                <w:sz w:val="16"/>
              </w:rPr>
              <w:t>-22.68%</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2,455</w:t>
            </w:r>
          </w:p>
        </w:tc>
        <w:tc>
          <w:tcPr>
            <w:tcW w:type="dxa" w:w="1417"/>
            <w:shd w:fill="FFFFFF" w:val="clear"/>
          </w:tcPr>
          <w:p>
            <w:r>
              <w:rPr>
                <w:sz w:val="16"/>
              </w:rPr>
              <w:t>1,701</w:t>
            </w:r>
          </w:p>
        </w:tc>
        <w:tc>
          <w:tcPr>
            <w:tcW w:type="dxa" w:w="1134"/>
            <w:shd w:fill="FFC7CE" w:val="clear"/>
          </w:tcPr>
          <w:p>
            <w:r>
              <w:rPr>
                <w:b/>
                <w:color w:val="B40000"/>
                <w:sz w:val="16"/>
              </w:rPr>
              <w:t>-30.70%</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12,860</w:t>
            </w:r>
          </w:p>
        </w:tc>
        <w:tc>
          <w:tcPr>
            <w:tcW w:type="dxa" w:w="1417"/>
            <w:shd w:fill="FFFFFF" w:val="clear"/>
          </w:tcPr>
          <w:p>
            <w:r>
              <w:rPr>
                <w:sz w:val="16"/>
              </w:rPr>
              <w:t>8,821</w:t>
            </w:r>
          </w:p>
        </w:tc>
        <w:tc>
          <w:tcPr>
            <w:tcW w:type="dxa" w:w="1134"/>
            <w:shd w:fill="FFC7CE" w:val="clear"/>
          </w:tcPr>
          <w:p>
            <w:r>
              <w:rPr>
                <w:b/>
                <w:color w:val="B40000"/>
                <w:sz w:val="16"/>
              </w:rPr>
              <w:t>-31.41%</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8,500</w:t>
            </w:r>
          </w:p>
        </w:tc>
        <w:tc>
          <w:tcPr>
            <w:tcW w:type="dxa" w:w="1417"/>
            <w:shd w:fill="FFFFFF" w:val="clear"/>
          </w:tcPr>
          <w:p>
            <w:r>
              <w:rPr>
                <w:sz w:val="16"/>
              </w:rPr>
              <w:t>5,510</w:t>
            </w:r>
          </w:p>
        </w:tc>
        <w:tc>
          <w:tcPr>
            <w:tcW w:type="dxa" w:w="1134"/>
            <w:shd w:fill="FFC7CE" w:val="clear"/>
          </w:tcPr>
          <w:p>
            <w:r>
              <w:rPr>
                <w:b/>
                <w:color w:val="B40000"/>
                <w:sz w:val="16"/>
              </w:rPr>
              <w:t>-35.18%</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2,550</w:t>
            </w:r>
          </w:p>
        </w:tc>
        <w:tc>
          <w:tcPr>
            <w:tcW w:type="dxa" w:w="1417"/>
            <w:shd w:fill="FFFFFF" w:val="clear"/>
          </w:tcPr>
          <w:p>
            <w:r>
              <w:rPr>
                <w:sz w:val="16"/>
              </w:rPr>
              <w:t>1,583</w:t>
            </w:r>
          </w:p>
        </w:tc>
        <w:tc>
          <w:tcPr>
            <w:tcW w:type="dxa" w:w="1134"/>
            <w:shd w:fill="FFC7CE" w:val="clear"/>
          </w:tcPr>
          <w:p>
            <w:r>
              <w:rPr>
                <w:b/>
                <w:color w:val="B40000"/>
                <w:sz w:val="16"/>
              </w:rPr>
              <w:t>-37.91%</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29,390</w:t>
            </w:r>
          </w:p>
        </w:tc>
        <w:tc>
          <w:tcPr>
            <w:tcW w:type="dxa" w:w="1417"/>
            <w:shd w:fill="FFFFFF" w:val="clear"/>
          </w:tcPr>
          <w:p>
            <w:r>
              <w:rPr>
                <w:sz w:val="16"/>
              </w:rPr>
              <w:t>17,467</w:t>
            </w:r>
          </w:p>
        </w:tc>
        <w:tc>
          <w:tcPr>
            <w:tcW w:type="dxa" w:w="1134"/>
            <w:shd w:fill="FFC7CE" w:val="clear"/>
          </w:tcPr>
          <w:p>
            <w:r>
              <w:rPr>
                <w:b/>
                <w:color w:val="B40000"/>
                <w:sz w:val="16"/>
              </w:rPr>
              <w:t>-40.57%</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2,680</w:t>
            </w:r>
          </w:p>
        </w:tc>
        <w:tc>
          <w:tcPr>
            <w:tcW w:type="dxa" w:w="1417"/>
            <w:shd w:fill="FFFFFF" w:val="clear"/>
          </w:tcPr>
          <w:p>
            <w:r>
              <w:rPr>
                <w:sz w:val="16"/>
              </w:rPr>
              <w:t>1,448</w:t>
            </w:r>
          </w:p>
        </w:tc>
        <w:tc>
          <w:tcPr>
            <w:tcW w:type="dxa" w:w="1134"/>
            <w:shd w:fill="FFC7CE" w:val="clear"/>
          </w:tcPr>
          <w:p>
            <w:r>
              <w:rPr>
                <w:b/>
                <w:color w:val="B40000"/>
                <w:sz w:val="16"/>
              </w:rPr>
              <w:t>-45.99%</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6,970</w:t>
            </w:r>
          </w:p>
        </w:tc>
        <w:tc>
          <w:tcPr>
            <w:tcW w:type="dxa" w:w="1417"/>
            <w:shd w:fill="FFFFFF" w:val="clear"/>
          </w:tcPr>
          <w:p>
            <w:r>
              <w:rPr>
                <w:sz w:val="16"/>
              </w:rPr>
              <w:t>3,273</w:t>
            </w:r>
          </w:p>
        </w:tc>
        <w:tc>
          <w:tcPr>
            <w:tcW w:type="dxa" w:w="1134"/>
            <w:shd w:fill="FFC7CE" w:val="clear"/>
          </w:tcPr>
          <w:p>
            <w:r>
              <w:rPr>
                <w:b/>
                <w:color w:val="B40000"/>
                <w:sz w:val="16"/>
              </w:rPr>
              <w:t>-53.04%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30</w:t>
            </w:r>
          </w:p>
        </w:tc>
        <w:tc>
          <w:tcPr>
            <w:tcW w:type="dxa" w:w="1134"/>
            <w:shd w:fill="FFC7CE" w:val="clear"/>
          </w:tcPr>
          <w:p>
            <w:r>
              <w:rPr>
                <w:b/>
                <w:color w:val="B40000"/>
                <w:sz w:val="16"/>
              </w:rPr>
              <w:t>-54.09%</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3,375</w:t>
            </w:r>
          </w:p>
        </w:tc>
        <w:tc>
          <w:tcPr>
            <w:tcW w:type="dxa" w:w="1417"/>
            <w:shd w:fill="FFFFFF" w:val="clear"/>
          </w:tcPr>
          <w:p>
            <w:r>
              <w:rPr>
                <w:sz w:val="16"/>
              </w:rPr>
              <w:t>1,548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5,900</w:t>
            </w:r>
          </w:p>
        </w:tc>
        <w:tc>
          <w:tcPr>
            <w:tcW w:type="dxa" w:w="1417"/>
            <w:shd w:fill="FFFFFF" w:val="clear"/>
          </w:tcPr>
          <w:p>
            <w:r>
              <w:rPr>
                <w:sz w:val="16"/>
              </w:rPr>
              <w:t>2,706</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39.83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3,227 titres</w:t>
            </w:r>
          </w:p>
        </w:tc>
        <w:tc>
          <w:tcPr>
            <w:tcW w:type="dxa" w:w="2268"/>
            <w:shd w:fill="FFF2CC" w:val="clear"/>
          </w:tcPr>
          <w:p>
            <w:r>
              <w:rPr>
                <w:b/>
                <w:color w:val="503200"/>
                <w:sz w:val="16"/>
              </w:rPr>
              <w:t xml:space="preserve">Cours actuel : </w:t>
            </w:r>
            <w:r>
              <w:rPr>
                <w:color w:val="000000"/>
                <w:sz w:val="17"/>
              </w:rPr>
              <w:t>3,650 FCFA</w:t>
            </w:r>
          </w:p>
          <w:p>
            <w:r>
              <w:rPr>
                <w:b/>
                <w:color w:val="503200"/>
                <w:sz w:val="16"/>
              </w:rPr>
              <w:t xml:space="preserve">Var. 100 jours : </w:t>
            </w:r>
            <w:r>
              <w:rPr>
                <w:b/>
                <w:color w:val="B40000"/>
                <w:sz w:val="17"/>
              </w:rPr>
              <w:t>-1.35%</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49.3%</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7.20% (Moyenne) — μ=3,209 FCFA, σ=231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β=0.3146 (Défensif) — Cov=0.000011, Var(idx)=0.000033, ρ=0.058,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σ_j=3.11%/j (Modérée) — Vol. annualisée≈49.3%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3,365</w:t>
            </w:r>
          </w:p>
        </w:tc>
        <w:tc>
          <w:tcPr>
            <w:tcW w:type="dxa" w:w="1440"/>
            <w:shd w:fill="FFDCE0" w:val="clear"/>
          </w:tcPr>
          <w:p>
            <w:r>
              <w:rPr>
                <w:b/>
                <w:sz w:val="17"/>
              </w:rPr>
              <w:t>3,552</w:t>
            </w:r>
          </w:p>
        </w:tc>
        <w:tc>
          <w:tcPr>
            <w:tcW w:type="dxa" w:w="1440"/>
            <w:shd w:fill="FFDCE0" w:val="clear"/>
          </w:tcPr>
          <w:p>
            <w:r>
              <w:rPr>
                <w:sz w:val="17"/>
              </w:rPr>
              <w:t>3,738</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3,223</w:t>
            </w:r>
          </w:p>
        </w:tc>
        <w:tc>
          <w:tcPr>
            <w:tcW w:type="dxa" w:w="1440"/>
            <w:shd w:fill="FFDCE0" w:val="clear"/>
          </w:tcPr>
          <w:p>
            <w:r>
              <w:rPr>
                <w:b/>
                <w:sz w:val="17"/>
              </w:rPr>
              <w:t>3,482</w:t>
            </w:r>
          </w:p>
        </w:tc>
        <w:tc>
          <w:tcPr>
            <w:tcW w:type="dxa" w:w="1440"/>
            <w:shd w:fill="FFDCE0" w:val="clear"/>
          </w:tcPr>
          <w:p>
            <w:r>
              <w:rPr>
                <w:sz w:val="17"/>
              </w:rPr>
              <w:t>3,741</w:t>
            </w:r>
          </w:p>
        </w:tc>
        <w:tc>
          <w:tcPr>
            <w:tcW w:type="dxa" w:w="1440"/>
            <w:shd w:fill="FFDCE0" w:val="clear"/>
          </w:tcPr>
          <w:p>
            <w:r>
              <w:rPr>
                <w:b/>
                <w:color w:val="C00000"/>
                <w:sz w:val="17"/>
              </w:rPr>
              <w:t>-4.6%</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3,094</w:t>
            </w:r>
          </w:p>
        </w:tc>
        <w:tc>
          <w:tcPr>
            <w:tcW w:type="dxa" w:w="1440"/>
            <w:shd w:fill="FFDCE0" w:val="clear"/>
          </w:tcPr>
          <w:p>
            <w:r>
              <w:rPr>
                <w:b/>
                <w:sz w:val="17"/>
              </w:rPr>
              <w:t>3,403</w:t>
            </w:r>
          </w:p>
        </w:tc>
        <w:tc>
          <w:tcPr>
            <w:tcW w:type="dxa" w:w="1440"/>
            <w:shd w:fill="FFDCE0" w:val="clear"/>
          </w:tcPr>
          <w:p>
            <w:r>
              <w:rPr>
                <w:sz w:val="17"/>
              </w:rPr>
              <w:t>3,713</w:t>
            </w:r>
          </w:p>
        </w:tc>
        <w:tc>
          <w:tcPr>
            <w:tcW w:type="dxa" w:w="1440"/>
            <w:shd w:fill="FFDCE0" w:val="clear"/>
          </w:tcPr>
          <w:p>
            <w:r>
              <w:rPr>
                <w:b/>
                <w:color w:val="C00000"/>
                <w:sz w:val="17"/>
              </w:rPr>
              <w:t>-6.8%</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2,988</w:t>
            </w:r>
          </w:p>
        </w:tc>
        <w:tc>
          <w:tcPr>
            <w:tcW w:type="dxa" w:w="1440"/>
            <w:shd w:fill="FFDCE0" w:val="clear"/>
          </w:tcPr>
          <w:p>
            <w:r>
              <w:rPr>
                <w:b/>
                <w:sz w:val="17"/>
              </w:rPr>
              <w:t>3,339</w:t>
            </w:r>
          </w:p>
        </w:tc>
        <w:tc>
          <w:tcPr>
            <w:tcW w:type="dxa" w:w="1440"/>
            <w:shd w:fill="FFDCE0" w:val="clear"/>
          </w:tcPr>
          <w:p>
            <w:r>
              <w:rPr>
                <w:sz w:val="17"/>
              </w:rPr>
              <w:t>3,690</w:t>
            </w:r>
          </w:p>
        </w:tc>
        <w:tc>
          <w:tcPr>
            <w:tcW w:type="dxa" w:w="1440"/>
            <w:shd w:fill="FFDCE0" w:val="clear"/>
          </w:tcPr>
          <w:p>
            <w:r>
              <w:rPr>
                <w:b/>
                <w:color w:val="C00000"/>
                <w:sz w:val="17"/>
              </w:rPr>
              <w:t>-8.5%</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2,897</w:t>
            </w:r>
          </w:p>
        </w:tc>
        <w:tc>
          <w:tcPr>
            <w:tcW w:type="dxa" w:w="1440"/>
            <w:shd w:fill="FFDCE0" w:val="clear"/>
          </w:tcPr>
          <w:p>
            <w:r>
              <w:rPr>
                <w:b/>
                <w:sz w:val="17"/>
              </w:rPr>
              <w:t>3,283</w:t>
            </w:r>
          </w:p>
        </w:tc>
        <w:tc>
          <w:tcPr>
            <w:tcW w:type="dxa" w:w="1440"/>
            <w:shd w:fill="FFDCE0" w:val="clear"/>
          </w:tcPr>
          <w:p>
            <w:r>
              <w:rPr>
                <w:sz w:val="17"/>
              </w:rPr>
              <w:t>3,669</w:t>
            </w:r>
          </w:p>
        </w:tc>
        <w:tc>
          <w:tcPr>
            <w:tcW w:type="dxa" w:w="1440"/>
            <w:shd w:fill="FFDCE0" w:val="clear"/>
          </w:tcPr>
          <w:p>
            <w:r>
              <w:rPr>
                <w:b/>
                <w:color w:val="C00000"/>
                <w:sz w:val="17"/>
              </w:rPr>
              <w:t>-10.1%</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2,816</w:t>
            </w:r>
          </w:p>
        </w:tc>
        <w:tc>
          <w:tcPr>
            <w:tcW w:type="dxa" w:w="1440"/>
            <w:shd w:fill="FFDCE0" w:val="clear"/>
          </w:tcPr>
          <w:p>
            <w:r>
              <w:rPr>
                <w:b/>
                <w:sz w:val="17"/>
              </w:rPr>
              <w:t>3,232</w:t>
            </w:r>
          </w:p>
        </w:tc>
        <w:tc>
          <w:tcPr>
            <w:tcW w:type="dxa" w:w="1440"/>
            <w:shd w:fill="FFDCE0" w:val="clear"/>
          </w:tcPr>
          <w:p>
            <w:r>
              <w:rPr>
                <w:sz w:val="17"/>
              </w:rPr>
              <w:t>3,648</w:t>
            </w:r>
          </w:p>
        </w:tc>
        <w:tc>
          <w:tcPr>
            <w:tcW w:type="dxa" w:w="1440"/>
            <w:shd w:fill="FFDCE0" w:val="clear"/>
          </w:tcPr>
          <w:p>
            <w:r>
              <w:rPr>
                <w:b/>
                <w:color w:val="C00000"/>
                <w:sz w:val="17"/>
              </w:rPr>
              <w:t>-11.5%</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2,742</w:t>
            </w:r>
          </w:p>
        </w:tc>
        <w:tc>
          <w:tcPr>
            <w:tcW w:type="dxa" w:w="1440"/>
            <w:shd w:fill="FFDCE0" w:val="clear"/>
          </w:tcPr>
          <w:p>
            <w:r>
              <w:rPr>
                <w:b/>
                <w:sz w:val="17"/>
              </w:rPr>
              <w:t>3,185</w:t>
            </w:r>
          </w:p>
        </w:tc>
        <w:tc>
          <w:tcPr>
            <w:tcW w:type="dxa" w:w="1440"/>
            <w:shd w:fill="FFDCE0" w:val="clear"/>
          </w:tcPr>
          <w:p>
            <w:r>
              <w:rPr>
                <w:sz w:val="17"/>
              </w:rPr>
              <w:t>3,628</w:t>
            </w:r>
          </w:p>
        </w:tc>
        <w:tc>
          <w:tcPr>
            <w:tcW w:type="dxa" w:w="1440"/>
            <w:shd w:fill="FFDCE0" w:val="clear"/>
          </w:tcPr>
          <w:p>
            <w:r>
              <w:rPr>
                <w:b/>
                <w:color w:val="C00000"/>
                <w:sz w:val="17"/>
              </w:rPr>
              <w:t>-12.7%</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2,673</w:t>
            </w:r>
          </w:p>
        </w:tc>
        <w:tc>
          <w:tcPr>
            <w:tcW w:type="dxa" w:w="1440"/>
            <w:shd w:fill="FFDCE0" w:val="clear"/>
          </w:tcPr>
          <w:p>
            <w:r>
              <w:rPr>
                <w:b/>
                <w:sz w:val="17"/>
              </w:rPr>
              <w:t>3,140</w:t>
            </w:r>
          </w:p>
        </w:tc>
        <w:tc>
          <w:tcPr>
            <w:tcW w:type="dxa" w:w="1440"/>
            <w:shd w:fill="FFDCE0" w:val="clear"/>
          </w:tcPr>
          <w:p>
            <w:r>
              <w:rPr>
                <w:sz w:val="17"/>
              </w:rPr>
              <w:t>3,607</w:t>
            </w:r>
          </w:p>
        </w:tc>
        <w:tc>
          <w:tcPr>
            <w:tcW w:type="dxa" w:w="1440"/>
            <w:shd w:fill="FFDCE0" w:val="clear"/>
          </w:tcPr>
          <w:p>
            <w:r>
              <w:rPr>
                <w:b/>
                <w:color w:val="C00000"/>
                <w:sz w:val="17"/>
              </w:rPr>
              <w:t>-14.0%</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2,609</w:t>
            </w:r>
          </w:p>
        </w:tc>
        <w:tc>
          <w:tcPr>
            <w:tcW w:type="dxa" w:w="1440"/>
            <w:shd w:fill="FFDCE0" w:val="clear"/>
          </w:tcPr>
          <w:p>
            <w:r>
              <w:rPr>
                <w:b/>
                <w:sz w:val="17"/>
              </w:rPr>
              <w:t>3,098</w:t>
            </w:r>
          </w:p>
        </w:tc>
        <w:tc>
          <w:tcPr>
            <w:tcW w:type="dxa" w:w="1440"/>
            <w:shd w:fill="FFDCE0" w:val="clear"/>
          </w:tcPr>
          <w:p>
            <w:r>
              <w:rPr>
                <w:sz w:val="17"/>
              </w:rPr>
              <w:t>3,587</w:t>
            </w:r>
          </w:p>
        </w:tc>
        <w:tc>
          <w:tcPr>
            <w:tcW w:type="dxa" w:w="1440"/>
            <w:shd w:fill="FFDCE0" w:val="clear"/>
          </w:tcPr>
          <w:p>
            <w:r>
              <w:rPr>
                <w:b/>
                <w:color w:val="C00000"/>
                <w:sz w:val="17"/>
              </w:rPr>
              <w:t>-15.1%</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2,550</w:t>
            </w:r>
          </w:p>
        </w:tc>
        <w:tc>
          <w:tcPr>
            <w:tcW w:type="dxa" w:w="1440"/>
            <w:shd w:fill="FFDCE0" w:val="clear"/>
          </w:tcPr>
          <w:p>
            <w:r>
              <w:rPr>
                <w:b/>
                <w:sz w:val="17"/>
              </w:rPr>
              <w:t>3,058</w:t>
            </w:r>
          </w:p>
        </w:tc>
        <w:tc>
          <w:tcPr>
            <w:tcW w:type="dxa" w:w="1440"/>
            <w:shd w:fill="FFDCE0" w:val="clear"/>
          </w:tcPr>
          <w:p>
            <w:r>
              <w:rPr>
                <w:sz w:val="17"/>
              </w:rPr>
              <w:t>3,567</w:t>
            </w:r>
          </w:p>
        </w:tc>
        <w:tc>
          <w:tcPr>
            <w:tcW w:type="dxa" w:w="1440"/>
            <w:shd w:fill="FFDCE0" w:val="clear"/>
          </w:tcPr>
          <w:p>
            <w:r>
              <w:rPr>
                <w:b/>
                <w:color w:val="C00000"/>
                <w:sz w:val="17"/>
              </w:rPr>
              <w:t>-16.2%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39,83 milliards FCFA, un niveau significatif pour le compartiment des services de la BRVM. Avec un BPA de 124 FCFA, le titre se paie actuellement 29,5 fois ses bénéfices (PER). Ce ratio est extrêmement élevé par rapport à la moyenne historique du marché BRVM (8-12x), suggérant que le marché intègre des perspectives de croissance future très optimistes, ou une prime de rareté. Le P/B de 7,72x confirme cette valorisation exigeante, le marché valorisant le titre bien au-delà de sa valeur comptable (7,7 fois les fonds propres). Enfin, l'EV/EBITDA de 15,1x indique que la valeur totale de l'entreprise (dette incluse) représente plus de 15 fois son potentiel opérationnel brut, un niveau qui laisse peu de marge de sécurité pour un 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affiche une variation totale de -1,35%, mais a rebondi de +1,39% lors de la dernière séance pour clôturer à 3 650 FCFA. Le titre a évolué dans une fourchette de 2 800 à 3 780 FCFA, montrant une amplitude de plus de 35%. La moyenne (3 209 FCFA) et la médiane (3 182 FCFA) sont très proches, indiquant une distribution des prix relativement symétrique, confirmée par un skewness de 0,285. L'écart-type de 232 FCFA (CV=7,2%) révèle une dispersion modérée autour de la moyenne. Le kurtosis négatif (-0,690) indique une distribution mésokurtique, avec un risque de mouvements extrêmes plus faible que la normale. Cependant, la volatilité annualisée de 49,3% classe le titre dans la catégorie des actifs à très forte volatilité, signalant un risque de prix élevé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(3 650 FCFA) est nettement au-dessus de la MM20 (3 184 FCFA) et de la MM50 (3 203 FCFA). Bien que le prix soit en tendance haussière à court terme, le signal global reste "Vente", probablement car la cassure des moyennes est récente et pourrait être un faux signal après une période de consolidation.</w:t>
      </w:r>
    </w:p>
    <w:p>
      <w:pPr>
        <w:spacing w:after="120" w:line="276" w:lineRule="auto"/>
      </w:pPr>
      <w:r>
        <w:t>**Bandes de Bollinger**: Le prix à 3 650 FCFA se situe au-dessus de la borne supérieure (3 629 FCFA), ce qui est un signal classique de surachat. Cette sortie de bande indique une extension excessive du mouvement haussier, suggérant un risque de retournement ou de consolidation à court terme. La décision est "Vente".</w:t>
      </w:r>
    </w:p>
    <w:p>
      <w:pPr>
        <w:spacing w:after="120" w:line="276" w:lineRule="auto"/>
      </w:pPr>
      <w:r>
        <w:t>**MACD**: Le MACD (112,6) est nettement supérieur à son signal (54,2), avec un écart positif important. Cette configuration indique un momentum haussier très fort et une dynamique positive des prix. Le signal est "Achat", reflétant la vigueur du mouvement actuel.</w:t>
      </w:r>
    </w:p>
    <w:p>
      <w:pPr>
        <w:spacing w:after="120" w:line="276" w:lineRule="auto"/>
      </w:pPr>
      <w:r>
        <w:t>**RSI**: Le RSI à 77,3 est en zone de surachat (&gt;70). Cela indique que les acheteurs ont été très actifs et que le titre est techniquement surévalué à court terme. Un tel niveau précède souvent une correction ou une phase de consolidation. Le signal est "Vente".</w:t>
      </w:r>
    </w:p>
    <w:p>
      <w:pPr>
        <w:spacing w:after="120" w:line="276" w:lineRule="auto"/>
      </w:pPr>
      <w:r>
        <w:t>**Stochastique**: Le %K (100) et le %D (97,2) sont tous deux à des niveaux extrêmes de surachat. Le %K est à sa valeur maximale, ce qui est un signal très fort de surachat. La décision est "Vente".</w:t>
      </w:r>
    </w:p>
    <w:p>
      <w:pPr>
        <w:spacing w:after="120" w:line="276" w:lineRule="auto"/>
      </w:pPr>
      <w:r>
        <w:t>**Conclusion technique**: La majorité des indicateurs (Bollinger, RSI, Stochastique) sont en zone de surachat extrême, tandis que le MACD confirme un momentum haussier puissant. Cette configuration suggère que le titre est en forte tendance haussière, mais qu'un essoufflement technique est probable à très court terme. Le signal global est donc un "Achat" avec une prudence accrue, ou un "Conserver" pour les positions existantes.</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ABJC a réalisé un chiffre d'affaires de 13,298 milliards FCFA, en hausse de 6,67%. Le résultat net s'établit à 1,351 milliard FCFA, soit une marge nette de 10,16%. La rentabilité des fonds propres (ROE) est excellente à 26,18%, et le ROA est de 14,64%. La structure financière est saine avec une autonomie financière de 55,92% et une trésorerie nette de 4,035 milliards FCFA. Le BFR est positif (257,45 M FCFA), mais le délai de paiement des clients (70 jours) est partiellement compensé par un délai fournisseurs de 92 jours. **Cependant**, les rapports narratifs de 2025 (T1 et T3) montrent une année contrastée : le T1 2025 était marqué par un litige avec la BCEAO et une baisse du résultat net (-6,8%), tandis que le T3 2025 a montré un fort redressement (+17,1% de résultat net). **Le rapport T1 2026** (daté de 2026) révèle une forte dégradation : le résultat net chute de 35,6% à 222,6 millions FCFA, impacté par les ajustements de redevances aéroportuaires. On estime que l'exercice 2026 pourrait voir une baisse significative de la rentabilité si cette tendance se poursuit. La solidité du bilan et la croissance du CA en 2025 sont des points positifs, mais la pression sur les marges et l'environnement réglementaire restent des risques majeurs.</w:t>
      </w:r>
    </w:p>
    <w:p>
      <w:pPr>
        <w:spacing w:after="120" w:line="276" w:lineRule="auto"/>
      </w:pPr>
      <w:r>
        <w:t>---</w:t>
      </w:r>
    </w:p>
    <w:p>
      <w:pPr>
        <w:spacing w:after="120" w:line="276" w:lineRule="auto"/>
      </w:pPr>
      <w:r>
        <w:t>### PARTIE 4 : CONCLUSION D'INVESTISSEMENT</w:t>
      </w:r>
    </w:p>
    <w:p>
      <w:pPr>
        <w:spacing w:after="120" w:line="276" w:lineRule="auto"/>
      </w:pPr>
      <w:r>
        <w:t>La valorisation d'ABJC est extrêmement exigeante (PER de 29,5x, P/B de 7,7x), signalant une surévaluation par rapport aux fondamentaux actuels et à la moyenne du marché. Le comportement du cours est marqué par une très forte volatilité (49,3%) et des statistiques de distribution normales, mais le titre est actuellement en pleine phase de surachat technique (RSI, Stochastique, Bollinger), ce qui suggère un risque de correction à court terme. Les fondamentaux montrent une entreprise rentable (ROE de 26%) et solide, mais la dégradation récente de la rentabilité au T1 2026 (-35,6% de résultat net) et les incertitudes réglementaires constituent des signaux d'alerte. Les prédictions IA (J+1 à J+10) anticipent une baisse progressive du cours vers 3 283 FCFA, contredisant le momentum haussier actuel et confirmant le risque de correction technique. **En synthèse, la convergence des signaux de valorisation (surévaluation), technique (surachat) et des prédictions IA (baisse) l'emporte sur la solidité fondamentale. Recommandation : VENTE. Niveau de confiance : Moyen. Risque global : Élevé. Horizon d'investissement : Court terme (&lt;3 mois), dans l'attente d'un point d'entrée plus favorable.**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490.96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11,341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+66.67%</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18.11% (Élevée) — μ=6,108 FCFA, σ=1,106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β=0.2660 (Défensif) — Cov=0.000009, Var(idx)=0.000033, ρ=0.079,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11,341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7,521</w:t>
            </w:r>
          </w:p>
        </w:tc>
        <w:tc>
          <w:tcPr>
            <w:tcW w:type="dxa" w:w="1440"/>
            <w:shd w:fill="FFDCE0" w:val="clear"/>
          </w:tcPr>
          <w:p>
            <w:r>
              <w:rPr>
                <w:b/>
                <w:sz w:val="17"/>
              </w:rPr>
              <w:t>7,862</w:t>
            </w:r>
          </w:p>
        </w:tc>
        <w:tc>
          <w:tcPr>
            <w:tcW w:type="dxa" w:w="1440"/>
            <w:shd w:fill="FFDCE0" w:val="clear"/>
          </w:tcPr>
          <w:p>
            <w:r>
              <w:rPr>
                <w:sz w:val="17"/>
              </w:rPr>
              <w:t>8,204</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6,826</w:t>
            </w:r>
          </w:p>
        </w:tc>
        <w:tc>
          <w:tcPr>
            <w:tcW w:type="dxa" w:w="1440"/>
            <w:shd w:fill="FFDCE0" w:val="clear"/>
          </w:tcPr>
          <w:p>
            <w:r>
              <w:rPr>
                <w:b/>
                <w:sz w:val="17"/>
              </w:rPr>
              <w:t>7,273</w:t>
            </w:r>
          </w:p>
        </w:tc>
        <w:tc>
          <w:tcPr>
            <w:tcW w:type="dxa" w:w="1440"/>
            <w:shd w:fill="FFDCE0" w:val="clear"/>
          </w:tcPr>
          <w:p>
            <w:r>
              <w:rPr>
                <w:sz w:val="17"/>
              </w:rPr>
              <w:t>7,720</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6,221</w:t>
            </w:r>
          </w:p>
        </w:tc>
        <w:tc>
          <w:tcPr>
            <w:tcW w:type="dxa" w:w="1440"/>
            <w:shd w:fill="FFDCE0" w:val="clear"/>
          </w:tcPr>
          <w:p>
            <w:r>
              <w:rPr>
                <w:b/>
                <w:sz w:val="17"/>
              </w:rPr>
              <w:t>6,727</w:t>
            </w:r>
          </w:p>
        </w:tc>
        <w:tc>
          <w:tcPr>
            <w:tcW w:type="dxa" w:w="1440"/>
            <w:shd w:fill="FFDCE0" w:val="clear"/>
          </w:tcPr>
          <w:p>
            <w:r>
              <w:rPr>
                <w:sz w:val="17"/>
              </w:rPr>
              <w:t>7,233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5,691</w:t>
            </w:r>
          </w:p>
        </w:tc>
        <w:tc>
          <w:tcPr>
            <w:tcW w:type="dxa" w:w="1440"/>
            <w:shd w:fill="FFDCE0" w:val="clear"/>
          </w:tcPr>
          <w:p>
            <w:r>
              <w:rPr>
                <w:b/>
                <w:sz w:val="17"/>
              </w:rPr>
              <w:t>6,232</w:t>
            </w:r>
          </w:p>
        </w:tc>
        <w:tc>
          <w:tcPr>
            <w:tcW w:type="dxa" w:w="1440"/>
            <w:shd w:fill="FFDCE0" w:val="clear"/>
          </w:tcPr>
          <w:p>
            <w:r>
              <w:rPr>
                <w:sz w:val="17"/>
              </w:rPr>
              <w:t>6,773</w:t>
            </w:r>
          </w:p>
        </w:tc>
        <w:tc>
          <w:tcPr>
            <w:tcW w:type="dxa" w:w="1440"/>
            <w:shd w:fill="FFDCE0" w:val="clear"/>
          </w:tcPr>
          <w:p>
            <w:r>
              <w:rPr>
                <w:b/>
                <w:color w:val="C00000"/>
                <w:sz w:val="17"/>
              </w:rPr>
              <w:t>-26.7%</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5,476</w:t>
            </w:r>
          </w:p>
        </w:tc>
        <w:tc>
          <w:tcPr>
            <w:tcW w:type="dxa" w:w="1440"/>
            <w:shd w:fill="FFDCE0" w:val="clear"/>
          </w:tcPr>
          <w:p>
            <w:r>
              <w:rPr>
                <w:b/>
                <w:sz w:val="17"/>
              </w:rPr>
              <w:t>6,065</w:t>
            </w:r>
          </w:p>
        </w:tc>
        <w:tc>
          <w:tcPr>
            <w:tcW w:type="dxa" w:w="1440"/>
            <w:shd w:fill="FFDCE0" w:val="clear"/>
          </w:tcPr>
          <w:p>
            <w:r>
              <w:rPr>
                <w:sz w:val="17"/>
              </w:rPr>
              <w:t>6,654</w:t>
            </w:r>
          </w:p>
        </w:tc>
        <w:tc>
          <w:tcPr>
            <w:tcW w:type="dxa" w:w="1440"/>
            <w:shd w:fill="FFDCE0" w:val="clear"/>
          </w:tcPr>
          <w:p>
            <w:r>
              <w:rPr>
                <w:b/>
                <w:color w:val="C00000"/>
                <w:sz w:val="17"/>
              </w:rPr>
              <w:t>-28.6%</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5,290</w:t>
            </w:r>
          </w:p>
        </w:tc>
        <w:tc>
          <w:tcPr>
            <w:tcW w:type="dxa" w:w="1440"/>
            <w:shd w:fill="FFDCE0" w:val="clear"/>
          </w:tcPr>
          <w:p>
            <w:r>
              <w:rPr>
                <w:b/>
                <w:sz w:val="17"/>
              </w:rPr>
              <w:t>5,920</w:t>
            </w:r>
          </w:p>
        </w:tc>
        <w:tc>
          <w:tcPr>
            <w:tcW w:type="dxa" w:w="1440"/>
            <w:shd w:fill="FFDCE0" w:val="clear"/>
          </w:tcPr>
          <w:p>
            <w:r>
              <w:rPr>
                <w:sz w:val="17"/>
              </w:rPr>
              <w:t>6,550</w:t>
            </w:r>
          </w:p>
        </w:tc>
        <w:tc>
          <w:tcPr>
            <w:tcW w:type="dxa" w:w="1440"/>
            <w:shd w:fill="FFDCE0" w:val="clear"/>
          </w:tcPr>
          <w:p>
            <w:r>
              <w:rPr>
                <w:b/>
                <w:color w:val="C00000"/>
                <w:sz w:val="17"/>
              </w:rPr>
              <w:t>-30.4%</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5,128</w:t>
            </w:r>
          </w:p>
        </w:tc>
        <w:tc>
          <w:tcPr>
            <w:tcW w:type="dxa" w:w="1440"/>
            <w:shd w:fill="FFDCE0" w:val="clear"/>
          </w:tcPr>
          <w:p>
            <w:r>
              <w:rPr>
                <w:b/>
                <w:sz w:val="17"/>
              </w:rPr>
              <w:t>5,794</w:t>
            </w:r>
          </w:p>
        </w:tc>
        <w:tc>
          <w:tcPr>
            <w:tcW w:type="dxa" w:w="1440"/>
            <w:shd w:fill="FFDCE0" w:val="clear"/>
          </w:tcPr>
          <w:p>
            <w:r>
              <w:rPr>
                <w:sz w:val="17"/>
              </w:rPr>
              <w:t>6,460</w:t>
            </w:r>
          </w:p>
        </w:tc>
        <w:tc>
          <w:tcPr>
            <w:tcW w:type="dxa" w:w="1440"/>
            <w:shd w:fill="FFDCE0" w:val="clear"/>
          </w:tcPr>
          <w:p>
            <w:r>
              <w:rPr>
                <w:b/>
                <w:color w:val="C00000"/>
                <w:sz w:val="17"/>
              </w:rPr>
              <w:t>-31.8%</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4,987</w:t>
            </w:r>
          </w:p>
        </w:tc>
        <w:tc>
          <w:tcPr>
            <w:tcW w:type="dxa" w:w="1440"/>
            <w:shd w:fill="FFDCE0" w:val="clear"/>
          </w:tcPr>
          <w:p>
            <w:r>
              <w:rPr>
                <w:b/>
                <w:sz w:val="17"/>
              </w:rPr>
              <w:t>5,685</w:t>
            </w:r>
          </w:p>
        </w:tc>
        <w:tc>
          <w:tcPr>
            <w:tcW w:type="dxa" w:w="1440"/>
            <w:shd w:fill="FFDCE0" w:val="clear"/>
          </w:tcPr>
          <w:p>
            <w:r>
              <w:rPr>
                <w:sz w:val="17"/>
              </w:rPr>
              <w:t>6,384</w:t>
            </w:r>
          </w:p>
        </w:tc>
        <w:tc>
          <w:tcPr>
            <w:tcW w:type="dxa" w:w="1440"/>
            <w:shd w:fill="FFDCE0" w:val="clear"/>
          </w:tcPr>
          <w:p>
            <w:r>
              <w:rPr>
                <w:b/>
                <w:color w:val="C00000"/>
                <w:sz w:val="17"/>
              </w:rPr>
              <w:t>-33.1%</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4,863</w:t>
            </w:r>
          </w:p>
        </w:tc>
        <w:tc>
          <w:tcPr>
            <w:tcW w:type="dxa" w:w="1440"/>
            <w:shd w:fill="FFDCE0" w:val="clear"/>
          </w:tcPr>
          <w:p>
            <w:r>
              <w:rPr>
                <w:b/>
                <w:sz w:val="17"/>
              </w:rPr>
              <w:t>5,591</w:t>
            </w:r>
          </w:p>
        </w:tc>
        <w:tc>
          <w:tcPr>
            <w:tcW w:type="dxa" w:w="1440"/>
            <w:shd w:fill="FFDCE0" w:val="clear"/>
          </w:tcPr>
          <w:p>
            <w:r>
              <w:rPr>
                <w:sz w:val="17"/>
              </w:rPr>
              <w:t>6,320</w:t>
            </w:r>
          </w:p>
        </w:tc>
        <w:tc>
          <w:tcPr>
            <w:tcW w:type="dxa" w:w="1440"/>
            <w:shd w:fill="FFDCE0" w:val="clear"/>
          </w:tcPr>
          <w:p>
            <w:r>
              <w:rPr>
                <w:b/>
                <w:color w:val="C00000"/>
                <w:sz w:val="17"/>
              </w:rPr>
              <w:t>-34.2%</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4,753</w:t>
            </w:r>
          </w:p>
        </w:tc>
        <w:tc>
          <w:tcPr>
            <w:tcW w:type="dxa" w:w="1440"/>
            <w:shd w:fill="FFDCE0" w:val="clear"/>
          </w:tcPr>
          <w:p>
            <w:r>
              <w:rPr>
                <w:b/>
                <w:sz w:val="17"/>
              </w:rPr>
              <w:t>5,510</w:t>
            </w:r>
          </w:p>
        </w:tc>
        <w:tc>
          <w:tcPr>
            <w:tcW w:type="dxa" w:w="1440"/>
            <w:shd w:fill="FFDCE0" w:val="clear"/>
          </w:tcPr>
          <w:p>
            <w:r>
              <w:rPr>
                <w:sz w:val="17"/>
              </w:rPr>
              <w:t>6,267</w:t>
            </w:r>
          </w:p>
        </w:tc>
        <w:tc>
          <w:tcPr>
            <w:tcW w:type="dxa" w:w="1440"/>
            <w:shd w:fill="FFDCE0" w:val="clear"/>
          </w:tcPr>
          <w:p>
            <w:r>
              <w:rPr>
                <w:b/>
                <w:color w:val="C00000"/>
                <w:sz w:val="17"/>
              </w:rPr>
              <w:t>-35.2%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de l'analyse : 26 août 2026**</w:t>
        <w:br/>
        <w:t>**Cours de référence : 8 500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490,96 milliards FCFA, un niveau qui la positionne parmi les valeurs moyennes à grandes capitalisations de la BRVM, lui conférant une liquidité et une visibilité appréciables. Avec un BPA de 627 FCFA, chaque action génère un bénéfice substantiel, justifiant un PER de 13,5x. Ce ratio est supérieur à la moyenne historique de la place (~8-12x), indiquant que le marché accorde une prime de croissance à la banque, mais sans excès spéculatif. Le P/B de 3,63x confirme cette prime, le marché valorisant l'actif net comptable bien au-delà de sa valeur, signe de confiance dans la création de valeur future. Enfin, l'EV/EBITDA de 24,1x est le signal le plus exigeant, suggérant que la valeur totale de l'entreprise (dette incluse) est élevée par rapport à sa capacité opérationnelle brute, un point de vigilance pour les investisseurs à la recherche de décotes.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progression spectaculaire de +66,67%, avec une dernière séance quasi stable (+0,06%), témoignant d'un momentum haussier très puissant. Le cours a évolué dans une fourchette large de 5 100 FCFA (plus bas) à 8 500 FCFA (plus haut, également le cours actuel), démontrant une tendance haussière soutenue. La moyenne (6 108 FCFA) étant nettement supérieure à la médiane (5 650 FCFA), la distribution des prix est asymétrique, avec une concentration des cotations dans la partie basse de la fourchette avant une accélération récente. L'écart-type de 1 112 FCFA (CV=18,2%) indique une dispersion modérée, tandis que le kurtosis négatif (-0,472) suggère une distribution mésokurtique, sans risque de variations extrêmes. Le skewness positif (0,970) confirme la prédominance de journées sous la moyenne, typique d'un rallye récent. La volatilité annualisée de 30,6% classe le titre comme à risque élevé, nécessitant une gestion active.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(8 500 FCFA) évolue nettement au-dessus de sa MM20 (8 009,5 FCFA) et de sa MM50 (6 965,1 FCFA), dans une configuration de tendance haussière claire. L'écart important entre les deux moyennes et le prix confirme la vigueur du mouvement, justifiant la décision d'**Achat**.</w:t>
      </w:r>
    </w:p>
    <w:p>
      <w:pPr>
        <w:spacing w:after="120" w:line="276" w:lineRule="auto"/>
      </w:pPr>
      <w:r>
        <w:t>**Bandes de Bollinger :** Le prix se situe à 8 500 FCFA, proche de la borne supérieure (8 828,5 FCFA), indiquant une pression acheteuse forte. La largeur des bandes (écart de 1 638 FCFA) reflète une volatilité élevée. Le fait que le prix ne soit pas sorti des bandes suggère une poursuite possible, mais avec un risque de consolidation. La décision est **Neutre**.</w:t>
      </w:r>
    </w:p>
    <w:p>
      <w:pPr>
        <w:spacing w:after="120" w:line="276" w:lineRule="auto"/>
      </w:pPr>
      <w:r>
        <w:t>**MACD :** La valeur du MACD (442,5) est légèrement inférieure à son signal (462,1), indiquant un affaiblissement du momentum haussier à court terme. Cette divergence négative, bien que modérée, suggère une possible correction ou une phase de consolidation après la forte hausse. La décision est **Vente**.</w:t>
      </w:r>
    </w:p>
    <w:p>
      <w:pPr>
        <w:spacing w:after="120" w:line="276" w:lineRule="auto"/>
      </w:pPr>
      <w:r>
        <w:t>**RSI :** À 70,15, le RSI entre en zone de surachat, signalant que le titre est techniquement surévalué à court terme. Ce niveau indique une pression d'achat excessive qui pourrait s'essouffler, augmentant le risque de retournement. La décision est **Vente**.</w:t>
      </w:r>
    </w:p>
    <w:p>
      <w:pPr>
        <w:spacing w:after="120" w:line="276" w:lineRule="auto"/>
      </w:pPr>
      <w:r>
        <w:t>**Stochastique :** Le %K (100,0) et le %D (89,8) sont tous deux en zone de surachat extrême, avec un %K au maximum. Cette configuration signale une condition de marché extrêmement survendue, suggérant un risque élevé de correction technique imminente. La décision est **Vente**.</w:t>
      </w:r>
    </w:p>
    <w:p>
      <w:pPr>
        <w:spacing w:after="120" w:line="276" w:lineRule="auto"/>
      </w:pPr>
      <w:r>
        <w:t>**Conclusion technique :** Les indicateurs de tendance (MM) sont positifs, mais les oscillateurs de momentum (RSI, Stochastique) et le MACD sont en territoire de surachat ou de divergence. Cette divergence entre la tendance et le momentum indique une possible phase de consolidation ou de correction à court terme, malgré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la BICB affiche des performances financières solides avec un Produit Net Bancaire (PNB) de 52,8 milliards FCFA, en hausse de 16,5%, et un résultat net de 36,2 milliards FCFA, en progression de 24,7%. La banque démontre une excellente rentabilité avec un ROE de 26,8% et un ROA de 2,0%. Son coefficient d'exploitation de 31,1% est remarquable, indiquant une gestion très efficace des charges. Cependant, le coût du risque de 9,6% reste un point de vigilance, reflétant une politique de provisionnement prudente. Les rapports trimestriels de 2025 montrent une croissance commerciale vigoureuse (crédits +30% au T3), mais avec un résultat net en recul (-9% au T3) en raison du renforcement des provisions. Le rapport du T1 2026 est très encourageant, avec un PNB en hausse de 35% et un résultat net en progression de 48%, suggérant une amélioration de la qualité du portefeuille. On estime que l'exercice 2026 pourrait voir une normalisation du coût du risque et une poursuite de la croissance, soutenue par la dynamique commerciale et l'adoption des normes IFRS qui améliorent la transparence.</w:t>
      </w:r>
    </w:p>
    <w:p>
      <w:pPr>
        <w:spacing w:after="120" w:line="276" w:lineRule="auto"/>
      </w:pPr>
      <w:r>
        <w:t>---</w:t>
      </w:r>
    </w:p>
    <w:p>
      <w:pPr>
        <w:spacing w:after="120" w:line="276" w:lineRule="auto"/>
      </w:pPr>
      <w:r>
        <w:t>### PARTIE 4 : CONCLUSION D'INVESTISSEMENT</w:t>
      </w:r>
    </w:p>
    <w:p>
      <w:pPr>
        <w:spacing w:after="120" w:line="276" w:lineRule="auto"/>
      </w:pPr>
      <w:r>
        <w:t>La valorisation de BICB (PER 13,5x, P/B 3,63x) est exigeante mais justifiée par une croissance et une rentabilité supérieures à la moyenne du marché, bien que l'EV/EBITDA de 24,1x appelle à la prudence. Le comportement du cours montre une tendance haussière très forte, mais avec une volatilité élevée (30,6%) et des statistiques (skewness positif) indiquant un rallye récent. Les signaux techniques sont mitigés : la tendance (MM) est positive, mais les oscillateurs (RSI, Stochastique) sont en surachat, suggérant un risque de correction à court terme. Les fondamentaux sont solides, avec une banque efficace et rentable, et les perspectives 2026 sont positives. Cependant, les prédictions IA pour les 10 prochains jours (chute de 8 500 à 6 065 FCFA) confirment le scénario de correction technique. En synthèse, la convergence entre les signaux techniques de surachat et les prédictions IA suggère une pause dans la hausse. La recommandation finale est **CONSERVER** avec un niveau de confiance **Moyen** et un risque global **Élevé**. L'horizon d'investissement optimal est le **moyen terme (3-12 mois)**, en attendant une consolidation du cours pour renforcer la position, ou une confirmation de la solidité des résultats semestriels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485.00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672 titres</w:t>
            </w:r>
          </w:p>
        </w:tc>
        <w:tc>
          <w:tcPr>
            <w:tcW w:type="dxa" w:w="2268"/>
            <w:shd w:fill="FFF2CC" w:val="clear"/>
          </w:tcPr>
          <w:p>
            <w:r>
              <w:rPr>
                <w:b/>
                <w:color w:val="503200"/>
                <w:sz w:val="16"/>
              </w:rPr>
              <w:t xml:space="preserve">Cours actuel : </w:t>
            </w:r>
            <w:r>
              <w:rPr>
                <w:color w:val="000000"/>
                <w:sz w:val="17"/>
              </w:rPr>
              <w:t>29,100 FCFA</w:t>
            </w:r>
          </w:p>
          <w:p>
            <w:r>
              <w:rPr>
                <w:b/>
                <w:color w:val="503200"/>
                <w:sz w:val="16"/>
              </w:rPr>
              <w:t xml:space="preserve">Var. 100 jours : </w:t>
            </w:r>
            <w:r>
              <w:rPr>
                <w:b/>
                <w:color w:val="007800"/>
                <w:sz w:val="17"/>
              </w:rPr>
              <w:t>+14.57%</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7.33% (Moyenne) — μ=27,242 FCFA, σ=1,997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β=0.3133 (Défensif) — Cov=0.000010, Var(idx)=0.000033, ρ=0.103,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672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27,720</w:t>
            </w:r>
          </w:p>
        </w:tc>
        <w:tc>
          <w:tcPr>
            <w:tcW w:type="dxa" w:w="1440"/>
            <w:shd w:fill="FFDCE0" w:val="clear"/>
          </w:tcPr>
          <w:p>
            <w:r>
              <w:rPr>
                <w:b/>
                <w:sz w:val="17"/>
              </w:rPr>
              <w:t>28,239</w:t>
            </w:r>
          </w:p>
        </w:tc>
        <w:tc>
          <w:tcPr>
            <w:tcW w:type="dxa" w:w="1440"/>
            <w:shd w:fill="FFDCE0" w:val="clear"/>
          </w:tcPr>
          <w:p>
            <w:r>
              <w:rPr>
                <w:sz w:val="17"/>
              </w:rPr>
              <w:t>28,758</w:t>
            </w:r>
          </w:p>
        </w:tc>
        <w:tc>
          <w:tcPr>
            <w:tcW w:type="dxa" w:w="1440"/>
            <w:shd w:fill="FFDCE0" w:val="clear"/>
          </w:tcPr>
          <w:p>
            <w:r>
              <w:rPr>
                <w:b/>
                <w:color w:val="C00000"/>
                <w:sz w:val="17"/>
              </w:rPr>
              <w:t>-3.0%</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27,291</w:t>
            </w:r>
          </w:p>
        </w:tc>
        <w:tc>
          <w:tcPr>
            <w:tcW w:type="dxa" w:w="1440"/>
            <w:shd w:fill="FFDCE0" w:val="clear"/>
          </w:tcPr>
          <w:p>
            <w:r>
              <w:rPr>
                <w:b/>
                <w:sz w:val="17"/>
              </w:rPr>
              <w:t>28,019</w:t>
            </w:r>
          </w:p>
        </w:tc>
        <w:tc>
          <w:tcPr>
            <w:tcW w:type="dxa" w:w="1440"/>
            <w:shd w:fill="FFDCE0" w:val="clear"/>
          </w:tcPr>
          <w:p>
            <w:r>
              <w:rPr>
                <w:sz w:val="17"/>
              </w:rPr>
              <w:t>28,747</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26,854</w:t>
            </w:r>
          </w:p>
        </w:tc>
        <w:tc>
          <w:tcPr>
            <w:tcW w:type="dxa" w:w="1440"/>
            <w:shd w:fill="FFDCE0" w:val="clear"/>
          </w:tcPr>
          <w:p>
            <w:r>
              <w:rPr>
                <w:b/>
                <w:sz w:val="17"/>
              </w:rPr>
              <w:t>27,737</w:t>
            </w:r>
          </w:p>
        </w:tc>
        <w:tc>
          <w:tcPr>
            <w:tcW w:type="dxa" w:w="1440"/>
            <w:shd w:fill="FFDCE0" w:val="clear"/>
          </w:tcPr>
          <w:p>
            <w:r>
              <w:rPr>
                <w:sz w:val="17"/>
              </w:rPr>
              <w:t>28,619</w:t>
            </w:r>
          </w:p>
        </w:tc>
        <w:tc>
          <w:tcPr>
            <w:tcW w:type="dxa" w:w="1440"/>
            <w:shd w:fill="FFDCE0" w:val="clear"/>
          </w:tcPr>
          <w:p>
            <w:r>
              <w:rPr>
                <w:b/>
                <w:color w:val="C00000"/>
                <w:sz w:val="17"/>
              </w:rPr>
              <w:t>-4.7%</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26,461</w:t>
            </w:r>
          </w:p>
        </w:tc>
        <w:tc>
          <w:tcPr>
            <w:tcW w:type="dxa" w:w="1440"/>
            <w:shd w:fill="FFDCE0" w:val="clear"/>
          </w:tcPr>
          <w:p>
            <w:r>
              <w:rPr>
                <w:b/>
                <w:sz w:val="17"/>
              </w:rPr>
              <w:t>27,470</w:t>
            </w:r>
          </w:p>
        </w:tc>
        <w:tc>
          <w:tcPr>
            <w:tcW w:type="dxa" w:w="1440"/>
            <w:shd w:fill="FFDCE0" w:val="clear"/>
          </w:tcPr>
          <w:p>
            <w:r>
              <w:rPr>
                <w:sz w:val="17"/>
              </w:rPr>
              <w:t>28,479</w:t>
            </w:r>
          </w:p>
        </w:tc>
        <w:tc>
          <w:tcPr>
            <w:tcW w:type="dxa" w:w="1440"/>
            <w:shd w:fill="FFDCE0" w:val="clear"/>
          </w:tcPr>
          <w:p>
            <w:r>
              <w:rPr>
                <w:b/>
                <w:color w:val="C00000"/>
                <w:sz w:val="17"/>
              </w:rPr>
              <w:t>-5.6%</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26,106</w:t>
            </w:r>
          </w:p>
        </w:tc>
        <w:tc>
          <w:tcPr>
            <w:tcW w:type="dxa" w:w="1440"/>
            <w:shd w:fill="FFDCE0" w:val="clear"/>
          </w:tcPr>
          <w:p>
            <w:r>
              <w:rPr>
                <w:b/>
                <w:sz w:val="17"/>
              </w:rPr>
              <w:t>27,224</w:t>
            </w:r>
          </w:p>
        </w:tc>
        <w:tc>
          <w:tcPr>
            <w:tcW w:type="dxa" w:w="1440"/>
            <w:shd w:fill="FFDCE0" w:val="clear"/>
          </w:tcPr>
          <w:p>
            <w:r>
              <w:rPr>
                <w:sz w:val="17"/>
              </w:rPr>
              <w:t>28,342</w:t>
            </w:r>
          </w:p>
        </w:tc>
        <w:tc>
          <w:tcPr>
            <w:tcW w:type="dxa" w:w="1440"/>
            <w:shd w:fill="FFDCE0" w:val="clear"/>
          </w:tcPr>
          <w:p>
            <w:r>
              <w:rPr>
                <w:b/>
                <w:color w:val="C00000"/>
                <w:sz w:val="17"/>
              </w:rPr>
              <w:t>-6.4%</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25,777</w:t>
            </w:r>
          </w:p>
        </w:tc>
        <w:tc>
          <w:tcPr>
            <w:tcW w:type="dxa" w:w="1440"/>
            <w:shd w:fill="FFDCE0" w:val="clear"/>
          </w:tcPr>
          <w:p>
            <w:r>
              <w:rPr>
                <w:b/>
                <w:sz w:val="17"/>
              </w:rPr>
              <w:t>26,991</w:t>
            </w:r>
          </w:p>
        </w:tc>
        <w:tc>
          <w:tcPr>
            <w:tcW w:type="dxa" w:w="1440"/>
            <w:shd w:fill="FFDCE0" w:val="clear"/>
          </w:tcPr>
          <w:p>
            <w:r>
              <w:rPr>
                <w:sz w:val="17"/>
              </w:rPr>
              <w:t>28,206</w:t>
            </w:r>
          </w:p>
        </w:tc>
        <w:tc>
          <w:tcPr>
            <w:tcW w:type="dxa" w:w="1440"/>
            <w:shd w:fill="FFDCE0" w:val="clear"/>
          </w:tcPr>
          <w:p>
            <w:r>
              <w:rPr>
                <w:b/>
                <w:color w:val="C00000"/>
                <w:sz w:val="17"/>
              </w:rPr>
              <w:t>-7.2%</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25,467</w:t>
            </w:r>
          </w:p>
        </w:tc>
        <w:tc>
          <w:tcPr>
            <w:tcW w:type="dxa" w:w="1440"/>
            <w:shd w:fill="FFDCE0" w:val="clear"/>
          </w:tcPr>
          <w:p>
            <w:r>
              <w:rPr>
                <w:b/>
                <w:sz w:val="17"/>
              </w:rPr>
              <w:t>26,768</w:t>
            </w:r>
          </w:p>
        </w:tc>
        <w:tc>
          <w:tcPr>
            <w:tcW w:type="dxa" w:w="1440"/>
            <w:shd w:fill="FFDCE0" w:val="clear"/>
          </w:tcPr>
          <w:p>
            <w:r>
              <w:rPr>
                <w:sz w:val="17"/>
              </w:rPr>
              <w:t>28,069</w:t>
            </w:r>
          </w:p>
        </w:tc>
        <w:tc>
          <w:tcPr>
            <w:tcW w:type="dxa" w:w="1440"/>
            <w:shd w:fill="FFDCE0" w:val="clear"/>
          </w:tcPr>
          <w:p>
            <w:r>
              <w:rPr>
                <w:b/>
                <w:color w:val="C00000"/>
                <w:sz w:val="17"/>
              </w:rPr>
              <w:t>-8.0%</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25,172</w:t>
            </w:r>
          </w:p>
        </w:tc>
        <w:tc>
          <w:tcPr>
            <w:tcW w:type="dxa" w:w="1440"/>
            <w:shd w:fill="FFDCE0" w:val="clear"/>
          </w:tcPr>
          <w:p>
            <w:r>
              <w:rPr>
                <w:b/>
                <w:sz w:val="17"/>
              </w:rPr>
              <w:t>26,552</w:t>
            </w:r>
          </w:p>
        </w:tc>
        <w:tc>
          <w:tcPr>
            <w:tcW w:type="dxa" w:w="1440"/>
            <w:shd w:fill="FFDCE0" w:val="clear"/>
          </w:tcPr>
          <w:p>
            <w:r>
              <w:rPr>
                <w:sz w:val="17"/>
              </w:rPr>
              <w:t>27,931</w:t>
            </w:r>
          </w:p>
        </w:tc>
        <w:tc>
          <w:tcPr>
            <w:tcW w:type="dxa" w:w="1440"/>
            <w:shd w:fill="FFDCE0" w:val="clear"/>
          </w:tcPr>
          <w:p>
            <w:r>
              <w:rPr>
                <w:b/>
                <w:color w:val="C00000"/>
                <w:sz w:val="17"/>
              </w:rPr>
              <w:t>-8.8%</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24,892</w:t>
            </w:r>
          </w:p>
        </w:tc>
        <w:tc>
          <w:tcPr>
            <w:tcW w:type="dxa" w:w="1440"/>
            <w:shd w:fill="FFDCE0" w:val="clear"/>
          </w:tcPr>
          <w:p>
            <w:r>
              <w:rPr>
                <w:b/>
                <w:sz w:val="17"/>
              </w:rPr>
              <w:t>26,344</w:t>
            </w:r>
          </w:p>
        </w:tc>
        <w:tc>
          <w:tcPr>
            <w:tcW w:type="dxa" w:w="1440"/>
            <w:shd w:fill="FFDCE0" w:val="clear"/>
          </w:tcPr>
          <w:p>
            <w:r>
              <w:rPr>
                <w:sz w:val="17"/>
              </w:rPr>
              <w:t>27,796</w:t>
            </w:r>
          </w:p>
        </w:tc>
        <w:tc>
          <w:tcPr>
            <w:tcW w:type="dxa" w:w="1440"/>
            <w:shd w:fill="FFDCE0" w:val="clear"/>
          </w:tcPr>
          <w:p>
            <w:r>
              <w:rPr>
                <w:b/>
                <w:color w:val="C00000"/>
                <w:sz w:val="17"/>
              </w:rPr>
              <w:t>-9.5%</w:t>
            </w:r>
          </w:p>
        </w:tc>
      </w:tr>
      <w:tr>
        <w:tc>
          <w:tcPr>
            <w:tcW w:type="dxa" w:w="1440"/>
            <w:shd w:fill="FFDCE0" w:val="clear"/>
          </w:tcPr>
          <w:p>
            <w:r>
              <w:rPr>
                <w:sz w:val="17"/>
              </w:rPr>
              <w:t>J+10  Moyenne</w:t>
            </w:r>
          </w:p>
        </w:tc>
        <w:tc>
          <w:tcPr>
            <w:tcW w:type="dxa" w:w="1440"/>
            <w:shd w:fill="FFDCE0" w:val="clear"/>
          </w:tcPr>
          <w:p>
            <w:r>
              <w:rPr>
                <w:sz w:val="17"/>
              </w:rPr>
              <w:t>2026-09-09</w:t>
            </w:r>
          </w:p>
        </w:tc>
        <w:tc>
          <w:tcPr>
            <w:tcW w:type="dxa" w:w="1440"/>
            <w:shd w:fill="FFDCE0" w:val="clear"/>
          </w:tcPr>
          <w:p>
            <w:r>
              <w:rPr>
                <w:sz w:val="17"/>
              </w:rPr>
              <w:t>24,624</w:t>
            </w:r>
          </w:p>
        </w:tc>
        <w:tc>
          <w:tcPr>
            <w:tcW w:type="dxa" w:w="1440"/>
            <w:shd w:fill="FFDCE0" w:val="clear"/>
          </w:tcPr>
          <w:p>
            <w:r>
              <w:rPr>
                <w:b/>
                <w:sz w:val="17"/>
              </w:rPr>
              <w:t>26,143</w:t>
            </w:r>
          </w:p>
        </w:tc>
        <w:tc>
          <w:tcPr>
            <w:tcW w:type="dxa" w:w="1440"/>
            <w:shd w:fill="FFDCE0" w:val="clear"/>
          </w:tcPr>
          <w:p>
            <w:r>
              <w:rPr>
                <w:sz w:val="17"/>
              </w:rPr>
              <w:t>27,662</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485 milliards FCFA, ce qui en fait l'une des valeurs les plus significatives de la BRVM, reflétant la confiance des investisseurs dans le secteur bancaire ivoirien. Avec un BPA de 2 191 FCFA, chaque action génère un bénéfice substantiel, justifiant un PER de 13,3x, légèrement supérieur à la moyenne historique de la place (~8-12x), indiquant que le marché valorise déjà une partie de la croissance future. Le P/B de 4,02x est particulièrement exigeant, signifiant que les investisseurs paient une prime de plus de 300% par rapport à la valeur comptable des actifs, ce qui reflète une anticipation de rentabilité future élevée. Enfin, l'EV/EBITDA de 9,3x se situe dans la fourchette raisonnable (5-10x), suggérant que la valorisation globale de l'entreprise, dette incluse,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affiche une progression remarquable de +14,57%, avec une dernière séance en hausse de +1,75% à 29 100 FCFA, confirmant une dynamique haussière soutenue. Le titre a évolué dans une fourchette de 22 500 FCFA (plus bas) à 29 490 FCFA (plus haut), démontrant une amplitude de trading de près de 31%, signe d'un intérêt marqué des investisseurs. La moyenne du cours (27 242 FCFA) est inférieure à la médiane (28 200 FCFA), ce qui, combiné à un skewness négatif de -0,847, indique que le titre a passé plus de journées au-dessus de sa moyenne, avec des épisodes de forte hausse plus fréquents que les baisses. L'écart-type de 2 008 FCFA (CV=7,4%) révèle une dispersion modérée autour de la moyenne, tandis que le kurtosis de -0,773 (mésokurtique) suggère une distribution proche de la normale, sans risque extrême de pics de volatilité. La volatilité annualisée de 27,8% classe le titre dans la catégorie "modérée à élevée", ce qui implique des fluctuations notables mais gérables pour un investisseur averti.</w:t>
      </w:r>
    </w:p>
    <w:p>
      <w:pPr>
        <w:spacing w:after="120" w:line="276" w:lineRule="auto" w:before="240"/>
      </w:pPr>
      <w:r>
        <w:rPr>
          <w:b/>
          <w:color w:val="003366"/>
          <w:sz w:val="24"/>
        </w:rPr>
        <w:t>**PARTIE 2 : ANALYSE TECHNIQUE DÉTAILLÉE**</w:t>
      </w:r>
    </w:p>
    <w:p>
      <w:pPr>
        <w:spacing w:after="120" w:line="276" w:lineRule="auto"/>
      </w:pPr>
      <w:r>
        <w:t>**Moyennes Mobiles** : Le cours actuel (29 100 FCFA) se positionne au-dessus de la MM20 (28 975,5 FCFA) et de la MM50 (28 621,5 FCFA), confirmant une tendance haussière de court et moyen terme. La configuration des MM (MM20 &gt; MM50) valide un signal d'achat, indiquant que la dynamique positive est soutenue par les volumes et l'intérêt des investisseurs.</w:t>
      </w:r>
    </w:p>
    <w:p>
      <w:pPr>
        <w:spacing w:after="120" w:line="276" w:lineRule="auto"/>
      </w:pPr>
      <w:r>
        <w:t>**Bandes de Bollinger** : Le prix se situe à 29 100 FCFA, proche de la borne supérieure (29 336,7 FCFA), ce qui témoigne d'une pression acheteuse soutenue. La largeur des bandes (écart de 722 FCFA) reflète une volatilité modérée, et la décision "Neutre" suggère que le titre n'est pas encore en zone de surachat extrême, laissant potentiellement de la place pour une poursuite de la hausse.</w:t>
      </w:r>
    </w:p>
    <w:p>
      <w:pPr>
        <w:spacing w:after="120" w:line="276" w:lineRule="auto"/>
      </w:pPr>
      <w:r>
        <w:t>**MACD** : La valeur du MACD (122,194) est inférieure à son signal (153,774), indiquant un momentum baissier à court terme malgré la tendance haussière globale. Cette divergence suggère un possible ralentissement de la dynamique haussière, justifiant la décision "Vente" comme signal de prudence pour les traders à court terme.</w:t>
      </w:r>
    </w:p>
    <w:p>
      <w:pPr>
        <w:spacing w:after="120" w:line="276" w:lineRule="auto"/>
      </w:pPr>
      <w:r>
        <w:t>**RSI** : Avec une valeur de 52,033, le RSI se situe en zone neutre (30-70), indiquant que le titre n'est ni suracheté ni survendu. Cette position offre une flexibilité pour les mouvements futurs, sans signal directionnel fort, justifiant la décision "Neutre".</w:t>
      </w:r>
    </w:p>
    <w:p>
      <w:pPr>
        <w:spacing w:after="120" w:line="276" w:lineRule="auto"/>
      </w:pPr>
      <w:r>
        <w:t>**Stochastique** : Le %K (76,923) est nettement supérieur au %D (33,112), indiquant une dynamique haussière récente, mais le croisement n'est pas encore confirmé. La décision "Neutre" suggère que le marché attend une confirmation avant de valider un signal d'achat plus fort.</w:t>
      </w:r>
    </w:p>
    <w:p>
      <w:pPr>
        <w:spacing w:after="120" w:line="276" w:lineRule="auto"/>
      </w:pPr>
      <w:r>
        <w:t>**Conclusion technique** : La tendance de fond reste haussière, soutenue par les moyennes mobiles et la position du cours dans les bandes de Bollinger. Cependant, le MACD en divergence et le RSI neutre indiquent un possible essoufflement à court terme. Les signaux sont donc mitigés, avec une prédominance haussière à moyen terme mais une prudence nécessaire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BICC révèlent une performance financière robuste : le Produit Net Bancaire (PNB) s'établit à 79,563 milliards FCFA, en croissance de 16,9% par rapport à l'exercice précédent, porté par une augmentation des intérêts perçus (62,121 Mds FCFA) et des commissions (30,883 Mds FCFA). Le résultat net atteint 36,520 milliards FCFA, avec une marge nette exceptionnelle de 45,9%, un ROE de 30,3% (largement supérieur au seuil d'excellence de 15%) et un ROA de 3,24%, témoignant d'une gestion très efficace des actifs. Le coefficient d'exploitation de 50,8% confirme une banque particulièrement efficiente (seuil d'excellence &lt;60%), tandis que le coût du risque de -12,1% indique une bonne maîtrise du portefeuille de crédits, malgré un ratio de dépendance financière élevé (89,3%) typique du secteur bancaire. Les dépôts clientèle (952,872 Mds FCFA) représentent 1,8 fois les créances sur la clientèle (524,439 Mds FCFA), démontrant une forte capacité de transformation et une liquidité abondante. Les rapports trimestriels confirment cette dynamique : au T1 2025, le PNB progressait de 9,3% à 18,130 Mds FCFA, puis au S1 2025 de 16,6% à 37,146 Mds FCFA, et au T3 2025 de 16,4% à 58,119 Mds FCFA, avec un résultat net cumulé de 27,402 Mds FCFA (+50,8%). Sur la base du rapport T1 2026 (PNB de 21,214 Mds FCFA, +17,0% et résultat net de 10,387 Mds FCFA, +29,7%), on estime que l'exercice 2026 devrait dépasser les 85 Mds FCFA de PNB et atteindre un résultat net supérieur à 40 Mds FCFA, confirmant la trajectoire ascendante de la banque. La solidité financière est renforcée par des capitaux propres de 120,570 Mds FCFA et une capacité d'autofinancement de 42,713 Mds FCFA, offrant une marge de manœuvre substantielle pour la croissance future.</w:t>
      </w:r>
    </w:p>
    <w:p>
      <w:pPr>
        <w:spacing w:after="120" w:line="276" w:lineRule="auto" w:before="240"/>
      </w:pPr>
      <w:r>
        <w:rPr>
          <w:b/>
          <w:color w:val="003366"/>
          <w:sz w:val="24"/>
        </w:rPr>
        <w:t>**PARTIE 4 : CONCLUSION D'INVESTISSEMENT**</w:t>
      </w:r>
    </w:p>
    <w:p>
      <w:pPr>
        <w:spacing w:after="120" w:line="276" w:lineRule="auto"/>
      </w:pPr>
      <w:r>
        <w:t>La valorisation de BICC (PER 13,3x, P/B 4,02x) indique que le marché intègre déjà une croissance future, mais cette prime est justifiée par des fondamentaux exceptionnels : ROE de 30,3%, marge nette de 45,9% et croissance soutenue du PNB. Le comportement du cours (+14,57% sur 100 jours, skewness négatif) montre une tendance haussière solide, avec une volatilité modérée (27,8%) et une distribution normale des rendements, sans risque extrême. Les signaux techniques sont mitigés : les moyennes mobiles et les bandes de Bollinger soutiennent la tendance haussière, mais le MACD en divergence et le RSI neutre suggèrent un possible ralentissement à court terme. Les fondamentaux, quant à eux, sont indiscutablement solides, avec une banque très efficiente (coefficient d'exploitation de 50,8%), une excellente maîtrise du risque et des perspectives de croissance confirmées par les rapports trimestriels 2025 et 2026. Les prédictions IA (baisse progressive de 28 239 FCFA à 27 224 FCFA sur 10 jours) contredisent légèrement la tendance haussière récente, suggérant une correction technique à court terme. En synthèse, la convergence entre des fondamentaux excellents et une tendance de fond haussière, malgré des signaux techniques mitigés et une prédiction IA baissière à court terme, conduit à une recommandation **ACHAT** avec un niveau de confiance **Élevé** et un risque global **Moyen**. L'horizon d'investissement optimal est le **moyen terme (3-12 mois)**, permettant de capitaliser sur la croissance des bénéfices tout en absorbant les éventuelles corrections techniques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14.14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2,323 titres</w:t>
            </w:r>
          </w:p>
        </w:tc>
        <w:tc>
          <w:tcPr>
            <w:tcW w:type="dxa" w:w="2268"/>
            <w:shd w:fill="FFF2CC" w:val="clear"/>
          </w:tcPr>
          <w:p>
            <w:r>
              <w:rPr>
                <w:b/>
                <w:color w:val="503200"/>
                <w:sz w:val="16"/>
              </w:rPr>
              <w:t xml:space="preserve">Cours actuel : </w:t>
            </w:r>
            <w:r>
              <w:rPr>
                <w:color w:val="000000"/>
                <w:sz w:val="17"/>
              </w:rPr>
              <w:t>2,135 FCFA</w:t>
            </w:r>
          </w:p>
          <w:p>
            <w:r>
              <w:rPr>
                <w:b/>
                <w:color w:val="503200"/>
                <w:sz w:val="16"/>
              </w:rPr>
              <w:t xml:space="preserve">Var. 100 jours : </w:t>
            </w:r>
            <w:r>
              <w:rPr>
                <w:b/>
                <w:color w:val="007800"/>
                <w:sz w:val="17"/>
              </w:rPr>
              <w:t>+34.28%</w:t>
            </w:r>
          </w:p>
          <w:p>
            <w:r>
              <w:rPr>
                <w:b/>
                <w:color w:val="503200"/>
                <w:sz w:val="16"/>
              </w:rPr>
              <w:t xml:space="preserve">Plus haut 100j : </w:t>
            </w:r>
            <w:r>
              <w:rPr>
                <w:color w:val="000000"/>
                <w:sz w:val="17"/>
              </w:rPr>
              <w:t>2,135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11.96% (Moyenne) — μ=1,762 FCFA, σ=211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β=0.0352 (Défensif) — Cov=0.000001, Var(idx)=0.000033, ρ=0.007,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σ_j=3.09%/j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2,001</w:t>
            </w:r>
          </w:p>
        </w:tc>
        <w:tc>
          <w:tcPr>
            <w:tcW w:type="dxa" w:w="1440"/>
            <w:shd w:fill="FFDCE0" w:val="clear"/>
          </w:tcPr>
          <w:p>
            <w:r>
              <w:rPr>
                <w:b/>
                <w:sz w:val="17"/>
              </w:rPr>
              <w:t>2,085</w:t>
            </w:r>
          </w:p>
        </w:tc>
        <w:tc>
          <w:tcPr>
            <w:tcW w:type="dxa" w:w="1440"/>
            <w:shd w:fill="FFDCE0" w:val="clear"/>
          </w:tcPr>
          <w:p>
            <w:r>
              <w:rPr>
                <w:sz w:val="17"/>
              </w:rPr>
              <w:t>2,170</w:t>
            </w:r>
          </w:p>
        </w:tc>
        <w:tc>
          <w:tcPr>
            <w:tcW w:type="dxa" w:w="1440"/>
            <w:shd w:fill="FFDCE0" w:val="clear"/>
          </w:tcPr>
          <w:p>
            <w:r>
              <w:rPr>
                <w:b/>
                <w:color w:val="C00000"/>
                <w:sz w:val="17"/>
              </w:rPr>
              <w:t>-2.3%</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1,969</w:t>
            </w:r>
          </w:p>
        </w:tc>
        <w:tc>
          <w:tcPr>
            <w:tcW w:type="dxa" w:w="1440"/>
            <w:shd w:fill="FFDCE0" w:val="clear"/>
          </w:tcPr>
          <w:p>
            <w:r>
              <w:rPr>
                <w:b/>
                <w:sz w:val="17"/>
              </w:rPr>
              <w:t>2,089</w:t>
            </w:r>
          </w:p>
        </w:tc>
        <w:tc>
          <w:tcPr>
            <w:tcW w:type="dxa" w:w="1440"/>
            <w:shd w:fill="FFDCE0" w:val="clear"/>
          </w:tcPr>
          <w:p>
            <w:r>
              <w:rPr>
                <w:sz w:val="17"/>
              </w:rPr>
              <w:t>2,208</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1,935</w:t>
            </w:r>
          </w:p>
        </w:tc>
        <w:tc>
          <w:tcPr>
            <w:tcW w:type="dxa" w:w="1440"/>
            <w:shd w:fill="FFDCE0" w:val="clear"/>
          </w:tcPr>
          <w:p>
            <w:r>
              <w:rPr>
                <w:b/>
                <w:sz w:val="17"/>
              </w:rPr>
              <w:t>2,081</w:t>
            </w:r>
          </w:p>
        </w:tc>
        <w:tc>
          <w:tcPr>
            <w:tcW w:type="dxa" w:w="1440"/>
            <w:shd w:fill="FFDCE0" w:val="clear"/>
          </w:tcPr>
          <w:p>
            <w:r>
              <w:rPr>
                <w:sz w:val="17"/>
              </w:rPr>
              <w:t>2,226</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1,906</w:t>
            </w:r>
          </w:p>
        </w:tc>
        <w:tc>
          <w:tcPr>
            <w:tcW w:type="dxa" w:w="1440"/>
            <w:shd w:fill="FFDCE0" w:val="clear"/>
          </w:tcPr>
          <w:p>
            <w:r>
              <w:rPr>
                <w:b/>
                <w:sz w:val="17"/>
              </w:rPr>
              <w:t>2,074</w:t>
            </w:r>
          </w:p>
        </w:tc>
        <w:tc>
          <w:tcPr>
            <w:tcW w:type="dxa" w:w="1440"/>
            <w:shd w:fill="FFDCE0" w:val="clear"/>
          </w:tcPr>
          <w:p>
            <w:r>
              <w:rPr>
                <w:sz w:val="17"/>
              </w:rPr>
              <w:t>2,241</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1,881</w:t>
            </w:r>
          </w:p>
        </w:tc>
        <w:tc>
          <w:tcPr>
            <w:tcW w:type="dxa" w:w="1440"/>
            <w:shd w:fill="FFDCE0" w:val="clear"/>
          </w:tcPr>
          <w:p>
            <w:r>
              <w:rPr>
                <w:b/>
                <w:sz w:val="17"/>
              </w:rPr>
              <w:t>2,068</w:t>
            </w:r>
          </w:p>
        </w:tc>
        <w:tc>
          <w:tcPr>
            <w:tcW w:type="dxa" w:w="1440"/>
            <w:shd w:fill="FFDCE0" w:val="clear"/>
          </w:tcPr>
          <w:p>
            <w:r>
              <w:rPr>
                <w:sz w:val="17"/>
              </w:rPr>
              <w:t>2,255</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1,860</w:t>
            </w:r>
          </w:p>
        </w:tc>
        <w:tc>
          <w:tcPr>
            <w:tcW w:type="dxa" w:w="1440"/>
            <w:shd w:fill="FFDCE0" w:val="clear"/>
          </w:tcPr>
          <w:p>
            <w:r>
              <w:rPr>
                <w:b/>
                <w:sz w:val="17"/>
              </w:rPr>
              <w:t>2,064</w:t>
            </w:r>
          </w:p>
        </w:tc>
        <w:tc>
          <w:tcPr>
            <w:tcW w:type="dxa" w:w="1440"/>
            <w:shd w:fill="FFDCE0" w:val="clear"/>
          </w:tcPr>
          <w:p>
            <w:r>
              <w:rPr>
                <w:sz w:val="17"/>
              </w:rPr>
              <w:t>2,269</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1,840</w:t>
            </w:r>
          </w:p>
        </w:tc>
        <w:tc>
          <w:tcPr>
            <w:tcW w:type="dxa" w:w="1440"/>
            <w:shd w:fill="FFDCE0" w:val="clear"/>
          </w:tcPr>
          <w:p>
            <w:r>
              <w:rPr>
                <w:b/>
                <w:sz w:val="17"/>
              </w:rPr>
              <w:t>2,060</w:t>
            </w:r>
          </w:p>
        </w:tc>
        <w:tc>
          <w:tcPr>
            <w:tcW w:type="dxa" w:w="1440"/>
            <w:shd w:fill="FFDCE0" w:val="clear"/>
          </w:tcPr>
          <w:p>
            <w:r>
              <w:rPr>
                <w:sz w:val="17"/>
              </w:rPr>
              <w:t>2,281</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1,822</w:t>
            </w:r>
          </w:p>
        </w:tc>
        <w:tc>
          <w:tcPr>
            <w:tcW w:type="dxa" w:w="1440"/>
            <w:shd w:fill="FFDCE0" w:val="clear"/>
          </w:tcPr>
          <w:p>
            <w:r>
              <w:rPr>
                <w:b/>
                <w:sz w:val="17"/>
              </w:rPr>
              <w:t>2,057</w:t>
            </w:r>
          </w:p>
        </w:tc>
        <w:tc>
          <w:tcPr>
            <w:tcW w:type="dxa" w:w="1440"/>
            <w:shd w:fill="FFDCE0" w:val="clear"/>
          </w:tcPr>
          <w:p>
            <w:r>
              <w:rPr>
                <w:sz w:val="17"/>
              </w:rPr>
              <w:t>2,292</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1,805</w:t>
            </w:r>
          </w:p>
        </w:tc>
        <w:tc>
          <w:tcPr>
            <w:tcW w:type="dxa" w:w="1440"/>
            <w:shd w:fill="FFDCE0" w:val="clear"/>
          </w:tcPr>
          <w:p>
            <w:r>
              <w:rPr>
                <w:b/>
                <w:sz w:val="17"/>
              </w:rPr>
              <w:t>2,054</w:t>
            </w:r>
          </w:p>
        </w:tc>
        <w:tc>
          <w:tcPr>
            <w:tcW w:type="dxa" w:w="1440"/>
            <w:shd w:fill="FFDCE0" w:val="clear"/>
          </w:tcPr>
          <w:p>
            <w:r>
              <w:rPr>
                <w:sz w:val="17"/>
              </w:rPr>
              <w:t>2,303</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1,788</w:t>
            </w:r>
          </w:p>
        </w:tc>
        <w:tc>
          <w:tcPr>
            <w:tcW w:type="dxa" w:w="1440"/>
            <w:shd w:fill="FFDCE0" w:val="clear"/>
          </w:tcPr>
          <w:p>
            <w:r>
              <w:rPr>
                <w:b/>
                <w:sz w:val="17"/>
              </w:rPr>
              <w:t>2,051</w:t>
            </w:r>
          </w:p>
        </w:tc>
        <w:tc>
          <w:tcPr>
            <w:tcW w:type="dxa" w:w="1440"/>
            <w:shd w:fill="FFDCE0" w:val="clear"/>
          </w:tcPr>
          <w:p>
            <w:r>
              <w:rPr>
                <w:sz w:val="17"/>
              </w:rPr>
              <w:t>2,313</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**Date : 26 août 2026 | Cours : 2 135 FCFA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14,14 milliards FCFA, un niveau modeste sur la BRVM qui reflète la faible taille de la société dans le paysage boursier régional. Avec un BPA de seulement 3 FCFA, le PER ressort à 633,7x, un niveau extrêmement élevé comparé à la moyenne historique de la BRVM (8-12x), indiquant que les investisseurs paient un prix très cher pour des bénéfices quasi inexistants. En revanche, le P/B de 0,80x signale que le marché valorise l'action sous sa valeur comptable, ce qui pourrait représenter une opportunité si les actifs sont de qualité. L'EV/EBITDA de 24,7x, bien supérieur au seuil de 15x, confirme une valorisation exigeante qui ne laisse que peu de marge de sécurité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progression spectaculaire de +34,28%, avec une accélération notable lors de la dernière séance (+7,29%), portant le cours à 2 135 FCFA, son plus haut niveau sur la période. Le titre a évolué dans une fourchette de 1 300 à 2 135 FCFA, démontrant une forte dynamique haussière. La moyenne (1 762 FCFA) est inférieure à la médiane (1 788 FCFA), suggérant une distribution légèrement asymétrique, confirmée par un skewness négatif (-0,244). L'écart-type de 212 FCFA (CV=12%) indique une dispersion modérée, tandis que le kurtosis de -1,259 (platykurtique) révèle une distribution aplatie avec peu de valeurs extrêmes. La volatilité annualisée de 49% classe le titre parmi les valeurs très volatiles, un niveau élevé qui implique un risque substantiel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(2 135 FCFA) évolue nettement au-dessus de la MM20 (1 957,75 FCFA) et de la MM50 (1 948,1 FCFA), confirmant une tendance haussière solide. L'écart positif entre le cours et les moyennes mobiles indique une dynamique positive, justifiant la décision d'achat.</w:t>
      </w:r>
    </w:p>
    <w:p>
      <w:pPr>
        <w:spacing w:after="120" w:line="276" w:lineRule="auto"/>
      </w:pPr>
      <w:r>
        <w:t>**Bandes de Bollinger** : Le prix a franchi la borne supérieure (2 085,255 FCFA), signalant une condition de surachat extrême. Cette sortie des bandes suggère une volatilité accrue et un potentiel de retour vers la moyenne, justifiant la décision de vente.</w:t>
      </w:r>
    </w:p>
    <w:p>
      <w:pPr>
        <w:spacing w:after="120" w:line="276" w:lineRule="auto"/>
      </w:pPr>
      <w:r>
        <w:t>**MACD** : La valeur du MACD (36,671) est supérieure à son signal (26,76), indiquant un momentum haussier toujours actif. Cette configuration positive, avec un écart croissant, confirme la dynamique ascendante et la décision d'achat.</w:t>
      </w:r>
    </w:p>
    <w:p>
      <w:pPr>
        <w:spacing w:after="120" w:line="276" w:lineRule="auto"/>
      </w:pPr>
      <w:r>
        <w:t>**RSI** : À 83,607, le RSI est profondément en zone de surachat (au-delà de 70), signalant une pression acheteuse excessive. Cette situation suggère un risque élevé de correction technique, justifiant la décision de vente.</w:t>
      </w:r>
    </w:p>
    <w:p>
      <w:pPr>
        <w:spacing w:after="120" w:line="276" w:lineRule="auto"/>
      </w:pPr>
      <w:r>
        <w:t>**Stochastique** : Avec %K à 100 et %D à 93,333, l'oscillateur est en zone de surachat extrême. Cette configuration indique que le titre est survendu techniquement, avec un risque de retournement imminent, justifiant la décision de vente.</w:t>
      </w:r>
    </w:p>
    <w:p>
      <w:pPr>
        <w:spacing w:after="120" w:line="276" w:lineRule="auto"/>
      </w:pPr>
      <w:r>
        <w:t>**Conclusion technique** : Les indicateurs de tendance (MM, MACD) restent positifs, mais les oscillateurs de momentum (RSI, Stochastique, Bollinger) signalent tous un surachat extrême. Cette divergence entre tendance et momentum suggère une possible consolidation à court terme, bien que la tendance de fond demeure haussière.</w:t>
      </w:r>
    </w:p>
    <w:p>
      <w:pPr>
        <w:spacing w:after="120" w:line="276" w:lineRule="auto"/>
      </w:pPr>
      <w:r>
        <w:t>---</w:t>
      </w:r>
    </w:p>
    <w:p>
      <w:pPr>
        <w:spacing w:after="120" w:line="276" w:lineRule="auto"/>
      </w:pPr>
      <w:r>
        <w:t>### PARTIE 3 : ANALYSE FONDAMENTALE (SECTION CRITIQUE)</w:t>
      </w:r>
    </w:p>
    <w:p>
      <w:pPr>
        <w:spacing w:after="120" w:line="276" w:lineRule="auto"/>
      </w:pPr>
      <w:r>
        <w:t>En 2025, BNBC a réalisé un chiffre d'affaires de 42,454 milliards FCFA, en baisse de 6,31% par rapport à 2024 (45,312 milliards FCFA), avec un résultat net de seulement 22,3 millions FCFA, soit une marge nette de 0,05%. Le ROE s'établit à 0,13% et le ROA à 0,05%, des niveaux extrêmement faibles qui traduisent une rentabilité anémique. La structure financière révèle un BFR de 29,373 milliards FCFA avec un délai clients de 104 jours et une durée de stockage de 339 jours, des niveaux très élevés qui immobilisent la trésorerie. La trésorerie nette est fortement négative (-16,689 milliards FCFA), avec une capacité de remboursement de 19,17 ans, signalant un risque de liquidité majeur. Le rapport T1 2026 (analysé le 1er mai 2026) montre un retournement spectaculaire avec un résultat net positif de 65,566 millions FCFA contre une perte de 16,147 millions au T1 2025, soit une amélioration de 506%. Cette performance est attribuée à l'intégration de la division Équipement et à la maîtrise des charges. On estime que l'exercice 2026 pourrait générer un résultat net de 200 à 300 millions FCFA si cette dynamique se poursuit, mais la prudence reste de mise face à la faiblesse structurelle des marges et aux défis de trésorerie persistants.</w:t>
      </w:r>
    </w:p>
    <w:p>
      <w:pPr>
        <w:spacing w:after="120" w:line="276" w:lineRule="auto"/>
      </w:pPr>
      <w:r>
        <w:t>---</w:t>
      </w:r>
    </w:p>
    <w:p>
      <w:pPr>
        <w:spacing w:after="120" w:line="276" w:lineRule="auto"/>
      </w:pPr>
      <w:r>
        <w:t>### PARTIE 4 : CONCLUSION D'INVESTISSEMENT</w:t>
      </w:r>
    </w:p>
    <w:p>
      <w:pPr>
        <w:spacing w:after="120" w:line="276" w:lineRule="auto"/>
      </w:pPr>
      <w:r>
        <w:t>La valorisation de BNBC est extrêmement exigeante avec un PER de 633,7x, bien que le P/B de 0,80x offre un certain soutien. Le comportement du cours est très positif avec une hausse de 34,28% sur 100 jours, mais la volatilité de 49% et le surachat technique (RSI 83,6, Stochastique 100) suggèrent un risque de correction. Les signaux techniques sont mitigés : les moyennes mobiles et le MACD restent haussiers, tandis que les oscillateurs appellent à la prudence. Fondamentalement, la société montre des signes d'amélioration au T1 2026, mais sa rentabilité demeure fragile et sa trésorerie négative constitue un risque majeur. Les prédictions IA (2 085 à 2 068 FCFA sur 10 jours) suggèrent une légère consolidation, contredisant partiellement la dynamique haussière récente. En synthèse, la convergence entre une valorisation excessive, des signaux techniques de surachat et des fondamentaux encore fragiles conduit à une recommandation **CONSERVER**, avec un niveau de confiance **Moyen** et un risque global **Élevé**. L'horizon d'investissement optimal serait le **moyen terme (3-12 mois)**, en attendant la confirmation d'une amélioration durable de la rentabilité et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419.81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6,004 titres</w:t>
            </w:r>
          </w:p>
        </w:tc>
        <w:tc>
          <w:tcPr>
            <w:tcW w:type="dxa" w:w="2268"/>
            <w:shd w:fill="FFF2CC" w:val="clear"/>
          </w:tcPr>
          <w:p>
            <w:r>
              <w:rPr>
                <w:b/>
                <w:color w:val="503200"/>
                <w:sz w:val="16"/>
              </w:rPr>
              <w:t xml:space="preserve">Cours actuel : </w:t>
            </w:r>
            <w:r>
              <w:rPr>
                <w:color w:val="000000"/>
                <w:sz w:val="17"/>
              </w:rPr>
              <w:t>10,350 FCFA</w:t>
            </w:r>
          </w:p>
          <w:p>
            <w:r>
              <w:rPr>
                <w:b/>
                <w:color w:val="503200"/>
                <w:sz w:val="16"/>
              </w:rPr>
              <w:t xml:space="preserve">Var. 100 jours : </w:t>
            </w:r>
            <w:r>
              <w:rPr>
                <w:b/>
                <w:color w:val="007800"/>
                <w:sz w:val="17"/>
              </w:rPr>
              <w:t>+38.00%</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26.6%</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6.50% (Moyenne) — μ=8,728 FCFA, σ=567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β=-0.0733 (Contre-cyclique) — Cov=-0.000002, Var(idx)=0.000033, ρ=-0.026,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9,372</w:t>
            </w:r>
          </w:p>
        </w:tc>
        <w:tc>
          <w:tcPr>
            <w:tcW w:type="dxa" w:w="1440"/>
            <w:shd w:fill="FFDCE0" w:val="clear"/>
          </w:tcPr>
          <w:p>
            <w:r>
              <w:rPr>
                <w:b/>
                <w:sz w:val="17"/>
              </w:rPr>
              <w:t>9,690</w:t>
            </w:r>
          </w:p>
        </w:tc>
        <w:tc>
          <w:tcPr>
            <w:tcW w:type="dxa" w:w="1440"/>
            <w:shd w:fill="FFDCE0" w:val="clear"/>
          </w:tcPr>
          <w:p>
            <w:r>
              <w:rPr>
                <w:sz w:val="17"/>
              </w:rPr>
              <w:t>10,008</w:t>
            </w:r>
          </w:p>
        </w:tc>
        <w:tc>
          <w:tcPr>
            <w:tcW w:type="dxa" w:w="1440"/>
            <w:shd w:fill="FFDCE0" w:val="clear"/>
          </w:tcPr>
          <w:p>
            <w:r>
              <w:rPr>
                <w:b/>
                <w:color w:val="C00000"/>
                <w:sz w:val="17"/>
              </w:rPr>
              <w:t>-6.4%</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8,978</w:t>
            </w:r>
          </w:p>
        </w:tc>
        <w:tc>
          <w:tcPr>
            <w:tcW w:type="dxa" w:w="1440"/>
            <w:shd w:fill="FFDCE0" w:val="clear"/>
          </w:tcPr>
          <w:p>
            <w:r>
              <w:rPr>
                <w:b/>
                <w:sz w:val="17"/>
              </w:rPr>
              <w:t>9,415</w:t>
            </w:r>
          </w:p>
        </w:tc>
        <w:tc>
          <w:tcPr>
            <w:tcW w:type="dxa" w:w="1440"/>
            <w:shd w:fill="FFDCE0" w:val="clear"/>
          </w:tcPr>
          <w:p>
            <w:r>
              <w:rPr>
                <w:sz w:val="17"/>
              </w:rPr>
              <w:t>9,853</w:t>
            </w:r>
          </w:p>
        </w:tc>
        <w:tc>
          <w:tcPr>
            <w:tcW w:type="dxa" w:w="1440"/>
            <w:shd w:fill="FFDCE0" w:val="clear"/>
          </w:tcPr>
          <w:p>
            <w:r>
              <w:rPr>
                <w:b/>
                <w:color w:val="C00000"/>
                <w:sz w:val="17"/>
              </w:rPr>
              <w:t>-9.0%</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8,663</w:t>
            </w:r>
          </w:p>
        </w:tc>
        <w:tc>
          <w:tcPr>
            <w:tcW w:type="dxa" w:w="1440"/>
            <w:shd w:fill="FFDCE0" w:val="clear"/>
          </w:tcPr>
          <w:p>
            <w:r>
              <w:rPr>
                <w:b/>
                <w:sz w:val="17"/>
              </w:rPr>
              <w:t>9,186</w:t>
            </w:r>
          </w:p>
        </w:tc>
        <w:tc>
          <w:tcPr>
            <w:tcW w:type="dxa" w:w="1440"/>
            <w:shd w:fill="FFDCE0" w:val="clear"/>
          </w:tcPr>
          <w:p>
            <w:r>
              <w:rPr>
                <w:sz w:val="17"/>
              </w:rPr>
              <w:t>9,708</w:t>
            </w:r>
          </w:p>
        </w:tc>
        <w:tc>
          <w:tcPr>
            <w:tcW w:type="dxa" w:w="1440"/>
            <w:shd w:fill="FFDCE0" w:val="clear"/>
          </w:tcPr>
          <w:p>
            <w:r>
              <w:rPr>
                <w:b/>
                <w:color w:val="C00000"/>
                <w:sz w:val="17"/>
              </w:rPr>
              <w:t>-11.2%</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8,428</w:t>
            </w:r>
          </w:p>
        </w:tc>
        <w:tc>
          <w:tcPr>
            <w:tcW w:type="dxa" w:w="1440"/>
            <w:shd w:fill="FFDCE0" w:val="clear"/>
          </w:tcPr>
          <w:p>
            <w:r>
              <w:rPr>
                <w:b/>
                <w:sz w:val="17"/>
              </w:rPr>
              <w:t>9,020</w:t>
            </w:r>
          </w:p>
        </w:tc>
        <w:tc>
          <w:tcPr>
            <w:tcW w:type="dxa" w:w="1440"/>
            <w:shd w:fill="FFDCE0" w:val="clear"/>
          </w:tcPr>
          <w:p>
            <w:r>
              <w:rPr>
                <w:sz w:val="17"/>
              </w:rPr>
              <w:t>9,612</w:t>
            </w:r>
          </w:p>
        </w:tc>
        <w:tc>
          <w:tcPr>
            <w:tcW w:type="dxa" w:w="1440"/>
            <w:shd w:fill="FFDCE0" w:val="clear"/>
          </w:tcPr>
          <w:p>
            <w:r>
              <w:rPr>
                <w:b/>
                <w:color w:val="C00000"/>
                <w:sz w:val="17"/>
              </w:rPr>
              <w:t>-12.8%</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8,229</w:t>
            </w:r>
          </w:p>
        </w:tc>
        <w:tc>
          <w:tcPr>
            <w:tcW w:type="dxa" w:w="1440"/>
            <w:shd w:fill="FFDCE0" w:val="clear"/>
          </w:tcPr>
          <w:p>
            <w:r>
              <w:rPr>
                <w:b/>
                <w:sz w:val="17"/>
              </w:rPr>
              <w:t>8,881</w:t>
            </w:r>
          </w:p>
        </w:tc>
        <w:tc>
          <w:tcPr>
            <w:tcW w:type="dxa" w:w="1440"/>
            <w:shd w:fill="FFDCE0" w:val="clear"/>
          </w:tcPr>
          <w:p>
            <w:r>
              <w:rPr>
                <w:sz w:val="17"/>
              </w:rPr>
              <w:t>9,533</w:t>
            </w:r>
          </w:p>
        </w:tc>
        <w:tc>
          <w:tcPr>
            <w:tcW w:type="dxa" w:w="1440"/>
            <w:shd w:fill="FFDCE0" w:val="clear"/>
          </w:tcPr>
          <w:p>
            <w:r>
              <w:rPr>
                <w:b/>
                <w:color w:val="C00000"/>
                <w:sz w:val="17"/>
              </w:rPr>
              <w:t>-14.2%</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8,050</w:t>
            </w:r>
          </w:p>
        </w:tc>
        <w:tc>
          <w:tcPr>
            <w:tcW w:type="dxa" w:w="1440"/>
            <w:shd w:fill="FFDCE0" w:val="clear"/>
          </w:tcPr>
          <w:p>
            <w:r>
              <w:rPr>
                <w:b/>
                <w:sz w:val="17"/>
              </w:rPr>
              <w:t>8,754</w:t>
            </w:r>
          </w:p>
        </w:tc>
        <w:tc>
          <w:tcPr>
            <w:tcW w:type="dxa" w:w="1440"/>
            <w:shd w:fill="FFDCE0" w:val="clear"/>
          </w:tcPr>
          <w:p>
            <w:r>
              <w:rPr>
                <w:sz w:val="17"/>
              </w:rPr>
              <w:t>9,458</w:t>
            </w:r>
          </w:p>
        </w:tc>
        <w:tc>
          <w:tcPr>
            <w:tcW w:type="dxa" w:w="1440"/>
            <w:shd w:fill="FFDCE0" w:val="clear"/>
          </w:tcPr>
          <w:p>
            <w:r>
              <w:rPr>
                <w:b/>
                <w:color w:val="C00000"/>
                <w:sz w:val="17"/>
              </w:rPr>
              <w:t>-15.4%</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7,885</w:t>
            </w:r>
          </w:p>
        </w:tc>
        <w:tc>
          <w:tcPr>
            <w:tcW w:type="dxa" w:w="1440"/>
            <w:shd w:fill="FFDCE0" w:val="clear"/>
          </w:tcPr>
          <w:p>
            <w:r>
              <w:rPr>
                <w:b/>
                <w:sz w:val="17"/>
              </w:rPr>
              <w:t>8,635</w:t>
            </w:r>
          </w:p>
        </w:tc>
        <w:tc>
          <w:tcPr>
            <w:tcW w:type="dxa" w:w="1440"/>
            <w:shd w:fill="FFDCE0" w:val="clear"/>
          </w:tcPr>
          <w:p>
            <w:r>
              <w:rPr>
                <w:sz w:val="17"/>
              </w:rPr>
              <w:t>9,385</w:t>
            </w:r>
          </w:p>
        </w:tc>
        <w:tc>
          <w:tcPr>
            <w:tcW w:type="dxa" w:w="1440"/>
            <w:shd w:fill="FFDCE0" w:val="clear"/>
          </w:tcPr>
          <w:p>
            <w:r>
              <w:rPr>
                <w:b/>
                <w:color w:val="C00000"/>
                <w:sz w:val="17"/>
              </w:rPr>
              <w:t>-16.6%</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7,733</w:t>
            </w:r>
          </w:p>
        </w:tc>
        <w:tc>
          <w:tcPr>
            <w:tcW w:type="dxa" w:w="1440"/>
            <w:shd w:fill="FFDCE0" w:val="clear"/>
          </w:tcPr>
          <w:p>
            <w:r>
              <w:rPr>
                <w:b/>
                <w:sz w:val="17"/>
              </w:rPr>
              <w:t>8,525</w:t>
            </w:r>
          </w:p>
        </w:tc>
        <w:tc>
          <w:tcPr>
            <w:tcW w:type="dxa" w:w="1440"/>
            <w:shd w:fill="FFDCE0" w:val="clear"/>
          </w:tcPr>
          <w:p>
            <w:r>
              <w:rPr>
                <w:sz w:val="17"/>
              </w:rPr>
              <w:t>9,316</w:t>
            </w:r>
          </w:p>
        </w:tc>
        <w:tc>
          <w:tcPr>
            <w:tcW w:type="dxa" w:w="1440"/>
            <w:shd w:fill="FFDCE0" w:val="clear"/>
          </w:tcPr>
          <w:p>
            <w:r>
              <w:rPr>
                <w:b/>
                <w:color w:val="C00000"/>
                <w:sz w:val="17"/>
              </w:rPr>
              <w:t>-17.6%</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7,592</w:t>
            </w:r>
          </w:p>
        </w:tc>
        <w:tc>
          <w:tcPr>
            <w:tcW w:type="dxa" w:w="1440"/>
            <w:shd w:fill="FFDCE0" w:val="clear"/>
          </w:tcPr>
          <w:p>
            <w:r>
              <w:rPr>
                <w:b/>
                <w:sz w:val="17"/>
              </w:rPr>
              <w:t>8,421</w:t>
            </w:r>
          </w:p>
        </w:tc>
        <w:tc>
          <w:tcPr>
            <w:tcW w:type="dxa" w:w="1440"/>
            <w:shd w:fill="FFDCE0" w:val="clear"/>
          </w:tcPr>
          <w:p>
            <w:r>
              <w:rPr>
                <w:sz w:val="17"/>
              </w:rPr>
              <w:t>9,250</w:t>
            </w:r>
          </w:p>
        </w:tc>
        <w:tc>
          <w:tcPr>
            <w:tcW w:type="dxa" w:w="1440"/>
            <w:shd w:fill="FFDCE0" w:val="clear"/>
          </w:tcPr>
          <w:p>
            <w:r>
              <w:rPr>
                <w:b/>
                <w:color w:val="C00000"/>
                <w:sz w:val="17"/>
              </w:rPr>
              <w:t>-18.6%</w:t>
            </w:r>
          </w:p>
        </w:tc>
      </w:tr>
      <w:tr>
        <w:tc>
          <w:tcPr>
            <w:tcW w:type="dxa" w:w="1440"/>
            <w:shd w:fill="FFDCE0" w:val="clear"/>
          </w:tcPr>
          <w:p>
            <w:r>
              <w:rPr>
                <w:sz w:val="17"/>
              </w:rPr>
              <w:t>J+10  Moyenne</w:t>
            </w:r>
          </w:p>
        </w:tc>
        <w:tc>
          <w:tcPr>
            <w:tcW w:type="dxa" w:w="1440"/>
            <w:shd w:fill="FFDCE0" w:val="clear"/>
          </w:tcPr>
          <w:p>
            <w:r>
              <w:rPr>
                <w:sz w:val="17"/>
              </w:rPr>
              <w:t>2026-09-09</w:t>
            </w:r>
          </w:p>
        </w:tc>
        <w:tc>
          <w:tcPr>
            <w:tcW w:type="dxa" w:w="1440"/>
            <w:shd w:fill="FFDCE0" w:val="clear"/>
          </w:tcPr>
          <w:p>
            <w:r>
              <w:rPr>
                <w:sz w:val="17"/>
              </w:rPr>
              <w:t>7,459</w:t>
            </w:r>
          </w:p>
        </w:tc>
        <w:tc>
          <w:tcPr>
            <w:tcW w:type="dxa" w:w="1440"/>
            <w:shd w:fill="FFDCE0" w:val="clear"/>
          </w:tcPr>
          <w:p>
            <w:r>
              <w:rPr>
                <w:b/>
                <w:sz w:val="17"/>
              </w:rPr>
              <w:t>8,323</w:t>
            </w:r>
          </w:p>
        </w:tc>
        <w:tc>
          <w:tcPr>
            <w:tcW w:type="dxa" w:w="1440"/>
            <w:shd w:fill="FFDCE0" w:val="clear"/>
          </w:tcPr>
          <w:p>
            <w:r>
              <w:rPr>
                <w:sz w:val="17"/>
              </w:rPr>
              <w:t>9,187</w:t>
            </w:r>
          </w:p>
        </w:tc>
        <w:tc>
          <w:tcPr>
            <w:tcW w:type="dxa" w:w="1440"/>
            <w:shd w:fill="FFDCE0" w:val="clear"/>
          </w:tcPr>
          <w:p>
            <w:r>
              <w:rPr>
                <w:b/>
                <w:color w:val="C00000"/>
                <w:sz w:val="17"/>
              </w:rPr>
              <w:t>-19.6%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Absolument. Voici le rapport d'analyse professionnel structuré pour l'action BOAB,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419,81 Mds FCFA positionne BOAB comme une valeur de premier plan sur la BRVM. Avec un BPA de 496 FCFA, le titre se négocie à un PER de 20,9x, soit un niveau nettement supérieur à la moyenne du marché (8-12x). Cette prime reflète les attentes élevées de croissance des investisseurs, mais expose le titre à un risque de correction en cas de déception. Le P/B de 3,57x confirme cette prime, le marché valorisant la banque bien au-delà de sa valeur comptable. Enfin, un EV/EBITDA de 21,0x, très exigeant, indique que la valeur d'entreprise est élevée par rapport à sa capacité opérationnelle, ce qui renforce le constat d'une valorisation qui intègre des perspectives de performance future substantielles.</w:t>
      </w:r>
    </w:p>
    <w:p>
      <w:pPr>
        <w:spacing w:after="120" w:line="276" w:lineRule="auto"/>
      </w:pPr>
      <w:r>
        <w:t>### **PARTIE 1 : ANALYSE DU COURS — STATISTIQUES ET ÉVOLUTION (100 derniers jours)**</w:t>
      </w:r>
    </w:p>
    <w:p>
      <w:pPr>
        <w:spacing w:after="120" w:line="276" w:lineRule="auto"/>
      </w:pPr>
      <w:r>
        <w:t>Sur les 100 derniers jours, l'action BOAB a enregistré une progression remarquable de +38,00%, avec une dernière séance en hausse de +3,60%, clôturant à son plus haut niveau sur la période (10 350 FCFA), contre un plus bas de 7 400 FCFA. Cette tendance est clairement haussière. La moyenne (8 728 FCFA) et la médiane (8 780 FCFA) sont très proches, indiquant une distribution des cours relativement symétrique, ce que confirme le skewness (-0.452). L'écart-type de 570 FCFA (CV=6.5%) montre une dispersion modérée autour de la moyenne. Le kurtosis de 0.735 (mésokurtique) suggère une distribution proche de la normale, sans risque de variations extrêmes. La volatilité annualisée de 26,6% est modérée, offrant un équilibre entre potentiel de gain et risque pour l'investisseur.</w:t>
      </w:r>
    </w:p>
    <w:p>
      <w:pPr>
        <w:spacing w:after="120" w:line="276" w:lineRule="auto"/>
      </w:pPr>
      <w:r>
        <w:t>### **PARTIE 2 : ANALYSE TECHNIQUE DÉTAILLÉE**</w:t>
      </w:r>
    </w:p>
    <w:p>
      <w:pPr>
        <w:spacing w:after="120" w:line="276" w:lineRule="auto"/>
      </w:pPr>
      <w:r>
        <w:t>**Moyennes Mobiles (MM20=8995.75, MM50=8914.6) :** Le cours actuel (10 350 FCFA) est nettement au-dessus de ses moyennes mobiles à 20 et 50 jours, qui sont orientées à la hausse. Cette configuration est un signal fort d'une dynamique haussière en place, justifiant la décision d'**Achat**.</w:t>
      </w:r>
    </w:p>
    <w:p>
      <w:pPr>
        <w:spacing w:after="120" w:line="276" w:lineRule="auto"/>
      </w:pPr>
      <w:r>
        <w:t>**Bandes de Bollinger (Borne supérieure=10084.261, Borne inférieure=7907.239) :** Le cours a franchi la borne supérieure de l'enveloppe, ce qui indique une phase de forte accélération et de surachat temporaire. Historiquement, un tel franchissement peut précéder un repli technique. La décision de **Vente** est donc un signal de prudence à court terme.</w:t>
      </w:r>
    </w:p>
    <w:p>
      <w:pPr>
        <w:spacing w:after="120" w:line="276" w:lineRule="auto"/>
      </w:pPr>
      <w:r>
        <w:t>**MACD (Valeur=302.531, Signal=123.914) :** La ligne MACD est nettement au-dessus de sa ligne de signal, avec des valeurs positives et croissantes. Cela confirme un momentum haussier très fort et une dynamique positive, justifiant la décision d'**Achat**.</w:t>
      </w:r>
    </w:p>
    <w:p>
      <w:pPr>
        <w:spacing w:after="120" w:line="276" w:lineRule="auto"/>
      </w:pPr>
      <w:r>
        <w:t>**RSI (Valeur=84.1) :** Le RSI est profondément en zone de surachat (&gt;70), à un niveau de 84.1. Cela indique que le titre est survendu à la hausse et qu'une correction technique est de plus en plus probable à court terme. La décision de **Vente** est un signal de prudence.</w:t>
      </w:r>
    </w:p>
    <w:p>
      <w:pPr>
        <w:spacing w:after="120" w:line="276" w:lineRule="auto"/>
      </w:pPr>
      <w:r>
        <w:t>**Stochastique (%K=100.0, %D=100.0) :** Les deux lignes sont à leur niveau maximal, confirmant une condition de surachat extrême. Ceci suggère que le potentiel de hausse à court terme est épuisé et qu'un retour vers des niveaux plus neutres est attendu. La décision de **Vente** est justifiée.</w:t>
      </w:r>
    </w:p>
    <w:p>
      <w:pPr>
        <w:spacing w:after="120" w:line="276" w:lineRule="auto"/>
      </w:pPr>
      <w:r>
        <w:t>**Conclusion technique :** Les indicateurs de tendance (MM, MACD) sont résolument haussiers, mais les oscillateurs (RSI, Stochastique) et la position par rapport aux Bandes de Bollinger signalent une condition de surachat extrême. La pression acheteuse est forte, mais le risque d'un repli technique à court terme est élevé. La prudence est donc de mise pour un nouvel achat à ces niveaux.</w:t>
      </w:r>
    </w:p>
    <w:p>
      <w:pPr>
        <w:spacing w:after="120" w:line="276" w:lineRule="auto"/>
      </w:pPr>
      <w:r>
        <w:t>### **PARTIE 3 : ANALYSE FONDAMENTALE (SECTION CRITIQUE)**</w:t>
      </w:r>
    </w:p>
    <w:p>
      <w:pPr>
        <w:spacing w:after="120" w:line="276" w:lineRule="auto"/>
      </w:pPr>
      <w:r>
        <w:t>En 2025, les données structurées annuelles de BOAB font état d'un Produit Net Bancaire (PNB) de 51,274 Mds FCFA, en croissance de 10,2%, et d'un résultat net de 20,107 Mds FCFA. La banque affiche une rentabilité financière (ROE) de 17,11% et une rentabilité économique (ROA) de 2,08%, toutes deux excellentes. Le coefficient d'exploitation de 49,53% témoigne d'une gestion très efficace. Cependant, le coût du risque de 22,50% reste un point de vigilance. Le rapport du 1er semestre 2025 (PNB de 24,556 Mds FCFA, +5,91% et résultat net de 11,012 Mds FCFA, +0,75%) montre une décélération de la croissance, pénalisée par une forte hausse du coût du risque (+394,66%). Le rapport du T3 2025 (PNB de 37,065 Mds FCFA, +9% et résultat net de 15,880 Mds FCFA, +13%) indique une reprise de la dynamique de rentabilité. Enfin, le rapport T1 2026 (PNB de 12,329 Mds FCFA, +11%) confirme cette tendance positive. En croisant ces données, on estime que l'exercice 2026 pourrait voir un PNB dépasser 55 Mds FCFA et un résultat net supérieur à 22 Mds FCFA, soit une croissance d'environ 10%, portée par la hausse des commissions et une meilleure maîtrise des coûts. La banque est fondamentalement solide, avec une base de dépôts massive (711,64 Mds FCFA) et une bonne transformation (créances clients à 391,72 Mds FCFA), mais la contraction des crédits et des dépôts observée en 2025 est un risque à surveiller.</w:t>
      </w:r>
    </w:p>
    <w:p>
      <w:pPr>
        <w:spacing w:after="120" w:line="276" w:lineRule="auto"/>
      </w:pPr>
      <w:r>
        <w:t>### **PARTIE 4 : CONCLUSION D'INVESTISSEMENT**</w:t>
      </w:r>
    </w:p>
    <w:p>
      <w:pPr>
        <w:spacing w:after="120" w:line="276" w:lineRule="auto"/>
      </w:pPr>
      <w:r>
        <w:t>La valorisation de BOAB (PER 20,9x, P/B 3,57x) est exigeante, intégrant déjà une forte croissance future. Le comportement du cours est très haussier (+38% en 100 jours), mais les statistiques et les indicateurs techniques (RSI, Stochastique, Bandes de Bollinger) signalent une condition de surachat extrême, suggérant un fort risque de correction à court terme. Les fondamentaux sont solides, avec une excellente rentabilité (ROE &gt;17%) et une croissance soutenue, bien que le coût du risque et la contraction du bilan soient des points de vigilance. Les prédictions IA (baisse de 10 350 à 8 881 FCFA sur 10 jours) confirment le scénario d'un repli technique imminent. En synthèse, la convergence entre les signaux techniques de surachat et les prédictions IA l'emporte sur la solidité fondamentale à court terme. Par conséquent, la recommandation est de **CONSERVER** le titre pour les investisseurs en portefeuille, et d'attendre un repli vers les 9 000-9 200 FCFA (zones de support MM20/MM50) pour un renforcement. La confiance est **Moyenne** et le risque est **Élevé** à court terme. L'horizon d'investissement optimal est le **moyen terme (3-12 mois)**, après une phase de consolidation technique.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378.40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6,163 titres</w:t>
            </w:r>
          </w:p>
        </w:tc>
        <w:tc>
          <w:tcPr>
            <w:tcW w:type="dxa" w:w="2268"/>
            <w:shd w:fill="FFF2CC" w:val="clear"/>
          </w:tcPr>
          <w:p>
            <w:r>
              <w:rPr>
                <w:b/>
                <w:color w:val="503200"/>
                <w:sz w:val="16"/>
              </w:rPr>
              <w:t xml:space="preserve">Cours actuel : </w:t>
            </w:r>
            <w:r>
              <w:rPr>
                <w:color w:val="000000"/>
                <w:sz w:val="17"/>
              </w:rPr>
              <w:t>8,600 FCFA</w:t>
            </w:r>
          </w:p>
          <w:p>
            <w:r>
              <w:rPr>
                <w:b/>
                <w:color w:val="503200"/>
                <w:sz w:val="16"/>
              </w:rPr>
              <w:t xml:space="preserve">Var. 100 jours : </w:t>
            </w:r>
            <w:r>
              <w:rPr>
                <w:b/>
                <w:color w:val="007800"/>
                <w:sz w:val="17"/>
              </w:rPr>
              <w:t>+55.23%</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13.12% (Moyenne) — μ=6,081 FCFA, σ=798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β=0.3167 (Défensif) — Cov=0.000011, Var(idx)=0.000033, ρ=0.097,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7,760</w:t>
            </w:r>
          </w:p>
        </w:tc>
        <w:tc>
          <w:tcPr>
            <w:tcW w:type="dxa" w:w="1440"/>
            <w:shd w:fill="FFDCE0" w:val="clear"/>
          </w:tcPr>
          <w:p>
            <w:r>
              <w:rPr>
                <w:b/>
                <w:sz w:val="17"/>
              </w:rPr>
              <w:t>8,139</w:t>
            </w:r>
          </w:p>
        </w:tc>
        <w:tc>
          <w:tcPr>
            <w:tcW w:type="dxa" w:w="1440"/>
            <w:shd w:fill="FFDCE0" w:val="clear"/>
          </w:tcPr>
          <w:p>
            <w:r>
              <w:rPr>
                <w:sz w:val="17"/>
              </w:rPr>
              <w:t>8,518</w:t>
            </w:r>
          </w:p>
        </w:tc>
        <w:tc>
          <w:tcPr>
            <w:tcW w:type="dxa" w:w="1440"/>
            <w:shd w:fill="FFDCE0" w:val="clear"/>
          </w:tcPr>
          <w:p>
            <w:r>
              <w:rPr>
                <w:b/>
                <w:color w:val="C00000"/>
                <w:sz w:val="17"/>
              </w:rPr>
              <w:t>-5.4%</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7,317</w:t>
            </w:r>
          </w:p>
        </w:tc>
        <w:tc>
          <w:tcPr>
            <w:tcW w:type="dxa" w:w="1440"/>
            <w:shd w:fill="FFDCE0" w:val="clear"/>
          </w:tcPr>
          <w:p>
            <w:r>
              <w:rPr>
                <w:b/>
                <w:sz w:val="17"/>
              </w:rPr>
              <w:t>7,832</w:t>
            </w:r>
          </w:p>
        </w:tc>
        <w:tc>
          <w:tcPr>
            <w:tcW w:type="dxa" w:w="1440"/>
            <w:shd w:fill="FFDCE0" w:val="clear"/>
          </w:tcPr>
          <w:p>
            <w:r>
              <w:rPr>
                <w:sz w:val="17"/>
              </w:rPr>
              <w:t>8,348</w:t>
            </w:r>
          </w:p>
        </w:tc>
        <w:tc>
          <w:tcPr>
            <w:tcW w:type="dxa" w:w="1440"/>
            <w:shd w:fill="FFDCE0" w:val="clear"/>
          </w:tcPr>
          <w:p>
            <w:r>
              <w:rPr>
                <w:b/>
                <w:color w:val="C00000"/>
                <w:sz w:val="17"/>
              </w:rPr>
              <w:t>-8.9%</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6,988</w:t>
            </w:r>
          </w:p>
        </w:tc>
        <w:tc>
          <w:tcPr>
            <w:tcW w:type="dxa" w:w="1440"/>
            <w:shd w:fill="FFDCE0" w:val="clear"/>
          </w:tcPr>
          <w:p>
            <w:r>
              <w:rPr>
                <w:b/>
                <w:sz w:val="17"/>
              </w:rPr>
              <w:t>7,602</w:t>
            </w:r>
          </w:p>
        </w:tc>
        <w:tc>
          <w:tcPr>
            <w:tcW w:type="dxa" w:w="1440"/>
            <w:shd w:fill="FFDCE0" w:val="clear"/>
          </w:tcPr>
          <w:p>
            <w:r>
              <w:rPr>
                <w:sz w:val="17"/>
              </w:rPr>
              <w:t>8,215</w:t>
            </w:r>
          </w:p>
        </w:tc>
        <w:tc>
          <w:tcPr>
            <w:tcW w:type="dxa" w:w="1440"/>
            <w:shd w:fill="FFDCE0" w:val="clear"/>
          </w:tcPr>
          <w:p>
            <w:r>
              <w:rPr>
                <w:b/>
                <w:color w:val="C00000"/>
                <w:sz w:val="17"/>
              </w:rPr>
              <w:t>-11.6%</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6,763</w:t>
            </w:r>
          </w:p>
        </w:tc>
        <w:tc>
          <w:tcPr>
            <w:tcW w:type="dxa" w:w="1440"/>
            <w:shd w:fill="FFDCE0" w:val="clear"/>
          </w:tcPr>
          <w:p>
            <w:r>
              <w:rPr>
                <w:b/>
                <w:sz w:val="17"/>
              </w:rPr>
              <w:t>7,457</w:t>
            </w:r>
          </w:p>
        </w:tc>
        <w:tc>
          <w:tcPr>
            <w:tcW w:type="dxa" w:w="1440"/>
            <w:shd w:fill="FFDCE0" w:val="clear"/>
          </w:tcPr>
          <w:p>
            <w:r>
              <w:rPr>
                <w:sz w:val="17"/>
              </w:rPr>
              <w:t>8,152</w:t>
            </w:r>
          </w:p>
        </w:tc>
        <w:tc>
          <w:tcPr>
            <w:tcW w:type="dxa" w:w="1440"/>
            <w:shd w:fill="FFDCE0" w:val="clear"/>
          </w:tcPr>
          <w:p>
            <w:r>
              <w:rPr>
                <w:b/>
                <w:color w:val="C00000"/>
                <w:sz w:val="17"/>
              </w:rPr>
              <w:t>-13.3%</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6,591</w:t>
            </w:r>
          </w:p>
        </w:tc>
        <w:tc>
          <w:tcPr>
            <w:tcW w:type="dxa" w:w="1440"/>
            <w:shd w:fill="FFDCE0" w:val="clear"/>
          </w:tcPr>
          <w:p>
            <w:r>
              <w:rPr>
                <w:b/>
                <w:sz w:val="17"/>
              </w:rPr>
              <w:t>7,357</w:t>
            </w:r>
          </w:p>
        </w:tc>
        <w:tc>
          <w:tcPr>
            <w:tcW w:type="dxa" w:w="1440"/>
            <w:shd w:fill="FFDCE0" w:val="clear"/>
          </w:tcPr>
          <w:p>
            <w:r>
              <w:rPr>
                <w:sz w:val="17"/>
              </w:rPr>
              <w:t>8,123</w:t>
            </w:r>
          </w:p>
        </w:tc>
        <w:tc>
          <w:tcPr>
            <w:tcW w:type="dxa" w:w="1440"/>
            <w:shd w:fill="FFDCE0" w:val="clear"/>
          </w:tcPr>
          <w:p>
            <w:r>
              <w:rPr>
                <w:b/>
                <w:color w:val="C00000"/>
                <w:sz w:val="17"/>
              </w:rPr>
              <w:t>-14.5%</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6,445</w:t>
            </w:r>
          </w:p>
        </w:tc>
        <w:tc>
          <w:tcPr>
            <w:tcW w:type="dxa" w:w="1440"/>
            <w:shd w:fill="FFDCE0" w:val="clear"/>
          </w:tcPr>
          <w:p>
            <w:r>
              <w:rPr>
                <w:b/>
                <w:sz w:val="17"/>
              </w:rPr>
              <w:t>7,274</w:t>
            </w:r>
          </w:p>
        </w:tc>
        <w:tc>
          <w:tcPr>
            <w:tcW w:type="dxa" w:w="1440"/>
            <w:shd w:fill="FFDCE0" w:val="clear"/>
          </w:tcPr>
          <w:p>
            <w:r>
              <w:rPr>
                <w:sz w:val="17"/>
              </w:rPr>
              <w:t>8,104</w:t>
            </w:r>
          </w:p>
        </w:tc>
        <w:tc>
          <w:tcPr>
            <w:tcW w:type="dxa" w:w="1440"/>
            <w:shd w:fill="FFDCE0" w:val="clear"/>
          </w:tcPr>
          <w:p>
            <w:r>
              <w:rPr>
                <w:b/>
                <w:color w:val="C00000"/>
                <w:sz w:val="17"/>
              </w:rPr>
              <w:t>-15.4%</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6,313</w:t>
            </w:r>
          </w:p>
        </w:tc>
        <w:tc>
          <w:tcPr>
            <w:tcW w:type="dxa" w:w="1440"/>
            <w:shd w:fill="FFDCE0" w:val="clear"/>
          </w:tcPr>
          <w:p>
            <w:r>
              <w:rPr>
                <w:b/>
                <w:sz w:val="17"/>
              </w:rPr>
              <w:t>7,200</w:t>
            </w:r>
          </w:p>
        </w:tc>
        <w:tc>
          <w:tcPr>
            <w:tcW w:type="dxa" w:w="1440"/>
            <w:shd w:fill="FFDCE0" w:val="clear"/>
          </w:tcPr>
          <w:p>
            <w:r>
              <w:rPr>
                <w:sz w:val="17"/>
              </w:rPr>
              <w:t>8,087</w:t>
            </w:r>
          </w:p>
        </w:tc>
        <w:tc>
          <w:tcPr>
            <w:tcW w:type="dxa" w:w="1440"/>
            <w:shd w:fill="FFDCE0" w:val="clear"/>
          </w:tcPr>
          <w:p>
            <w:r>
              <w:rPr>
                <w:b/>
                <w:color w:val="C00000"/>
                <w:sz w:val="17"/>
              </w:rPr>
              <w:t>-16.3%</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6,190</w:t>
            </w:r>
          </w:p>
        </w:tc>
        <w:tc>
          <w:tcPr>
            <w:tcW w:type="dxa" w:w="1440"/>
            <w:shd w:fill="FFDCE0" w:val="clear"/>
          </w:tcPr>
          <w:p>
            <w:r>
              <w:rPr>
                <w:b/>
                <w:sz w:val="17"/>
              </w:rPr>
              <w:t>7,129</w:t>
            </w:r>
          </w:p>
        </w:tc>
        <w:tc>
          <w:tcPr>
            <w:tcW w:type="dxa" w:w="1440"/>
            <w:shd w:fill="FFDCE0" w:val="clear"/>
          </w:tcPr>
          <w:p>
            <w:r>
              <w:rPr>
                <w:sz w:val="17"/>
              </w:rPr>
              <w:t>8,068</w:t>
            </w:r>
          </w:p>
        </w:tc>
        <w:tc>
          <w:tcPr>
            <w:tcW w:type="dxa" w:w="1440"/>
            <w:shd w:fill="FFDCE0" w:val="clear"/>
          </w:tcPr>
          <w:p>
            <w:r>
              <w:rPr>
                <w:b/>
                <w:color w:val="C00000"/>
                <w:sz w:val="17"/>
              </w:rPr>
              <w:t>-17.1%</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6,075</w:t>
            </w:r>
          </w:p>
        </w:tc>
        <w:tc>
          <w:tcPr>
            <w:tcW w:type="dxa" w:w="1440"/>
            <w:shd w:fill="FFDCE0" w:val="clear"/>
          </w:tcPr>
          <w:p>
            <w:r>
              <w:rPr>
                <w:b/>
                <w:sz w:val="17"/>
              </w:rPr>
              <w:t>7,061</w:t>
            </w:r>
          </w:p>
        </w:tc>
        <w:tc>
          <w:tcPr>
            <w:tcW w:type="dxa" w:w="1440"/>
            <w:shd w:fill="FFDCE0" w:val="clear"/>
          </w:tcPr>
          <w:p>
            <w:r>
              <w:rPr>
                <w:sz w:val="17"/>
              </w:rPr>
              <w:t>8,047</w:t>
            </w:r>
          </w:p>
        </w:tc>
        <w:tc>
          <w:tcPr>
            <w:tcW w:type="dxa" w:w="1440"/>
            <w:shd w:fill="FFDCE0" w:val="clear"/>
          </w:tcPr>
          <w:p>
            <w:r>
              <w:rPr>
                <w:b/>
                <w:color w:val="C00000"/>
                <w:sz w:val="17"/>
              </w:rPr>
              <w:t>-17.9%</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5,965</w:t>
            </w:r>
          </w:p>
        </w:tc>
        <w:tc>
          <w:tcPr>
            <w:tcW w:type="dxa" w:w="1440"/>
            <w:shd w:fill="FFDCE0" w:val="clear"/>
          </w:tcPr>
          <w:p>
            <w:r>
              <w:rPr>
                <w:b/>
                <w:sz w:val="17"/>
              </w:rPr>
              <w:t>6,995</w:t>
            </w:r>
          </w:p>
        </w:tc>
        <w:tc>
          <w:tcPr>
            <w:tcW w:type="dxa" w:w="1440"/>
            <w:shd w:fill="FFDCE0" w:val="clear"/>
          </w:tcPr>
          <w:p>
            <w:r>
              <w:rPr>
                <w:sz w:val="17"/>
              </w:rPr>
              <w:t>8,025</w:t>
            </w:r>
          </w:p>
        </w:tc>
        <w:tc>
          <w:tcPr>
            <w:tcW w:type="dxa" w:w="1440"/>
            <w:shd w:fill="FFDCE0" w:val="clear"/>
          </w:tcPr>
          <w:p>
            <w:r>
              <w:rPr>
                <w:b/>
                <w:color w:val="C00000"/>
                <w:sz w:val="17"/>
              </w:rPr>
              <w:t>-18.7%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26 août 2026**</w:t>
        <w:br/>
        <w:t>**Cours de référence : 8,600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378,40 milliards FCFA, BOABF se positionne comme une valeur de premier plan sur la BRVM, reflétant la confiance des investisseurs dans ce pilier du secteur bancaire burkinabè. Le BPA de 438 FCFA indique que chaque action a généré un bénéfice substantiel sur l'exercice 2025. Le PER de 19,7x est nettement supérieur à la moyenne historique de la BRVM (8-12x), signifiant que le marché accepte de payer une prime significative pour la croissance future de la banque. Cette prime est confirmée par le P/B de 2,99x, qui valorise l'actif net comptable près de trois fois, et par un EV/EBITDA de 9,0x, considéré comme raisonnable pour le secteur. Ces ratios traduisent une anticipation de solides performances futures, mais intègrent également un risque de correction si ces attentes ne sont pas réalisées.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BOABF a connu une progression spectaculaire de +55,23%, avec une accélération marquée lors de la dernière séance (+7,50%), portant le cours à un plus haut historique de 8,600 FCFA, contre un plus bas de 5,235 FCFA. La moyenne du cours sur la période (6,081 FCFA) est nettement inférieure à la médiane (5,638 FCFA), et le skewness positif de 0,994 confirme une distribution asymétrique avec des journées de forte hausse concentrées en fin de période. L'écart-type de 802 FCFA (CV=13,2%) indique une dispersion modérée, tandis que le kurtosis de -0,351 (mésokurtique) suggère une distribution proche de la normale, sans pic de volatilité extrême. La volatilité annualisée de 32,0% classe le titre comme très volatil, ce qui représente un risque élevé pour les investisseurs à court terme, mais offre un potentiel de rendement substantiel.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8,600 FCFA est largement au-dessus de la MM20 (7,345 FCFA) et de la MM50 (6,643 FCFA). Cette configuration haussière, où le prix évolue au-dessus des deux moyennes, confirme une dynamique positive à court et moyen terme, justifiant la décision d'achat.</w:t>
      </w:r>
    </w:p>
    <w:p>
      <w:pPr>
        <w:spacing w:after="120" w:line="276" w:lineRule="auto"/>
      </w:pPr>
      <w:r>
        <w:t>**Bandes de Bollinger :** Le prix a franchi la borne supérieure de la bande (8,081 FCFA), atteignant 8,600 FCFA. Cette sortie de canal signale une condition de surachat extrême et une volatilité accrue. La décision de vente est pertinente, car un retour vers la moyenne (ou la borne inférieure) est statistiquement probable à très court terme.</w:t>
      </w:r>
    </w:p>
    <w:p>
      <w:pPr>
        <w:spacing w:after="120" w:line="276" w:lineRule="auto"/>
      </w:pPr>
      <w:r>
        <w:t>**MACD :** Le MACD (344,839) est nettement supérieur à son signal (267,514), indiquant un momentum haussier très fort. La divergence positive confirme la vigueur de la tendance actuelle, justifiant la décision d'achat. Cependant, l'écart important entre les deux lignes suggère une possible saturation à venir.</w:t>
      </w:r>
    </w:p>
    <w:p>
      <w:pPr>
        <w:spacing w:after="120" w:line="276" w:lineRule="auto"/>
      </w:pPr>
      <w:r>
        <w:t>**RSI :** Le RSI à 85,0 est en zone de surachat extrême (au-delà de 70). Cela indique que le titre est survendu à la hausse et qu'un repli technique est probable. La décision de vente est un signal d'alerte classique pour les investisseurs cherchant à entrer sur le titre.</w:t>
      </w:r>
    </w:p>
    <w:p>
      <w:pPr>
        <w:spacing w:after="120" w:line="276" w:lineRule="auto"/>
      </w:pPr>
      <w:r>
        <w:t>**Stochastique :** Le %K et le %D sont tous deux à 100,0, confirmant une condition de surachat extrême. Cette configuration, où les deux lignes sont au plafond, signale une pression d'achat excessive et un risque élevé de retournement. La décision de vente est cohérente avec ce signal.</w:t>
      </w:r>
    </w:p>
    <w:p>
      <w:pPr>
        <w:spacing w:after="120" w:line="276" w:lineRule="auto"/>
      </w:pPr>
      <w:r>
        <w:t>**Conclusion technique :** Les indicateurs de tendance (MM, MACD) sont résolument haussiers, mais tous les oscillateurs de momentum (RSI, Stochastique, Bollinger) sont en zone de surachat critique. Cette divergence entre la tendance et le momentum suggère une probabilité élevée d'une consolidation ou d'un repli technique à court terme, avant une éventuelle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BOABF font état d'un Produit Net Bancaire (PNB) de 57,82 milliards FCFA, en légère croissance de 0,57% par rapport à l'exercice précédent, et d'un résultat net de 19,25 milliards FCFA. La rentabilité des fonds propres (ROE) s'établit à un excellent niveau de 15,22%, et le ROA à 1,68%. Le coefficient d'exploitation de 47,19% témoigne d'une gestion opérationnelle très efficace. Cependant, le coût du risque, représentant 33,92% des charges financières, est élevé, signalant une dégradation de la qualité du portefeuille de crédits. Les rapports trimestriels de 2025 confirment cette tendance : le T1 2025 (PNB +2,3%, RN -16,6%) et le S1 2025 (PNB +1,4%, RN -46,5%) montrent une stagnation de l'activité et un effondrement de la rentabilité nette, principalement dû à une explosion des provisions pour risques (+1336% au S1). Le rapport du T3 2025 (PNB +0,85%, RN -27,7%) confirme la persistance de ces difficultés. Sur la base de ces rapports, on estime que l'exercice 2025 a été marqué par une pression significative sur la rentabilité, malgré une base opérationnelle saine. Le rapport du T1 2026 (PNB -10,75%, RN -12,99%) suggère que la tendance à la dégradation se poursuit, avec une contraction de l'activité. En conclusion, la banque affiche une solidité financière structurelle, mais traverse une phase de dégradation de la qualité de ses actifs et de son activité, ce qui constitue un risque fondamental majeur.</w:t>
      </w:r>
    </w:p>
    <w:p>
      <w:pPr>
        <w:spacing w:after="120" w:line="276" w:lineRule="auto"/>
      </w:pPr>
      <w:r>
        <w:t>---</w:t>
      </w:r>
    </w:p>
    <w:p>
      <w:pPr>
        <w:spacing w:after="120" w:line="276" w:lineRule="auto"/>
      </w:pPr>
      <w:r>
        <w:t>### PARTIE 4 : CONCLUSION D'INVESTISSEMENT</w:t>
      </w:r>
    </w:p>
    <w:p>
      <w:pPr>
        <w:spacing w:after="120" w:line="276" w:lineRule="auto"/>
      </w:pPr>
      <w:r>
        <w:t>La valorisation de BOABF (PER 19,7x, P/B 2,99x) est exigeante et intègre des attentes de croissance élevées, alors que les fondamentaux récents montrent une dégradation de la rentabilité (RN en baisse sur 2025 et T1 2026). Le comportement du cours, avec une hausse de +55% en 100 jours et une volatilité de 32%, est spéculatif et les signaux techniques sont extrêmement surachetés (RSI 85, Stochastique 100), suggérant un fort risque de correction à court terme. Les prédictions IA, projetant une baisse progressive vers 7,357 FCFA sur 10 jours, confirment cette anticipation de repli. La convergence entre les signaux techniques surachetés, la valorisation élevée et les fondamentaux en détérioration est un signal d'alerte majeur. Par conséquent, la recommandation est **VENTE** à court terme, avec un niveau de confiance **Élevé** et un risque global **Élevé**. L'horizon d'investissement optimal serait de moyen à long terme (&gt;12 mois), en attendant une correction du cours et une amélioration visible de la qualité du portefeuille de crédits et de la croissance du PNB.</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514.40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13,371 titres</w:t>
            </w:r>
          </w:p>
        </w:tc>
        <w:tc>
          <w:tcPr>
            <w:tcW w:type="dxa" w:w="2268"/>
            <w:shd w:fill="FFF2CC" w:val="clear"/>
          </w:tcPr>
          <w:p>
            <w:r>
              <w:rPr>
                <w:b/>
                <w:color w:val="503200"/>
                <w:sz w:val="16"/>
              </w:rPr>
              <w:t xml:space="preserve">Cours actuel : </w:t>
            </w:r>
            <w:r>
              <w:rPr>
                <w:color w:val="000000"/>
                <w:sz w:val="17"/>
              </w:rPr>
              <w:t>12,860 FCFA</w:t>
            </w:r>
          </w:p>
          <w:p>
            <w:r>
              <w:rPr>
                <w:b/>
                <w:color w:val="503200"/>
                <w:sz w:val="16"/>
              </w:rPr>
              <w:t xml:space="preserve">Var. 100 jours : </w:t>
            </w:r>
            <w:r>
              <w:rPr>
                <w:b/>
                <w:color w:val="007800"/>
                <w:sz w:val="17"/>
              </w:rPr>
              <w:t>+53.19%</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8,380 FCFA</w:t>
            </w:r>
          </w:p>
          <w:p>
            <w:r>
              <w:rPr>
                <w:b/>
                <w:color w:val="503200"/>
                <w:sz w:val="16"/>
              </w:rPr>
              <w:t xml:space="preserve">Volatilité ann. : </w:t>
            </w:r>
            <w:r>
              <w:rPr>
                <w:color w:val="000000"/>
                <w:sz w:val="17"/>
              </w:rPr>
              <w:t>25.3%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18.3/100 → Faible</w:t>
      </w:r>
    </w:p>
    <w:p>
      <w:pPr>
        <w:spacing w:before="40" w:after="80"/>
      </w:pPr>
      <w:r>
        <w:rPr>
          <w:rFonts w:ascii="Courier New" w:hAnsi="Courier New"/>
          <w:color w:val="006400"/>
          <w:sz w:val="18"/>
        </w:rPr>
        <w:t>███░░░░░░░░░░░░░░░░░  18.3/100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14.52% (Moyenne) — μ=9,639 FCFA, σ=1,399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β=-0.0056 (Contre-cyclique) — Cov=-0.000000, Var(idx)=0.000033, ρ=-0.002,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13,371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σ_j=1.59%/j (Stable) — Vol. annualisée≈25.3%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11,704</w:t>
            </w:r>
          </w:p>
        </w:tc>
        <w:tc>
          <w:tcPr>
            <w:tcW w:type="dxa" w:w="1440"/>
            <w:shd w:fill="FFDCE0" w:val="clear"/>
          </w:tcPr>
          <w:p>
            <w:r>
              <w:rPr>
                <w:b/>
                <w:sz w:val="17"/>
              </w:rPr>
              <w:t>12,118</w:t>
            </w:r>
          </w:p>
        </w:tc>
        <w:tc>
          <w:tcPr>
            <w:tcW w:type="dxa" w:w="1440"/>
            <w:shd w:fill="FFDCE0" w:val="clear"/>
          </w:tcPr>
          <w:p>
            <w:r>
              <w:rPr>
                <w:sz w:val="17"/>
              </w:rPr>
              <w:t>12,531</w:t>
            </w:r>
          </w:p>
        </w:tc>
        <w:tc>
          <w:tcPr>
            <w:tcW w:type="dxa" w:w="1440"/>
            <w:shd w:fill="FFDCE0" w:val="clear"/>
          </w:tcPr>
          <w:p>
            <w:r>
              <w:rPr>
                <w:b/>
                <w:color w:val="C00000"/>
                <w:sz w:val="17"/>
              </w:rPr>
              <w:t>-5.8%</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11,004</w:t>
            </w:r>
          </w:p>
        </w:tc>
        <w:tc>
          <w:tcPr>
            <w:tcW w:type="dxa" w:w="1440"/>
            <w:shd w:fill="FFDCE0" w:val="clear"/>
          </w:tcPr>
          <w:p>
            <w:r>
              <w:rPr>
                <w:b/>
                <w:sz w:val="17"/>
              </w:rPr>
              <w:t>11,563</w:t>
            </w:r>
          </w:p>
        </w:tc>
        <w:tc>
          <w:tcPr>
            <w:tcW w:type="dxa" w:w="1440"/>
            <w:shd w:fill="FFDCE0" w:val="clear"/>
          </w:tcPr>
          <w:p>
            <w:r>
              <w:rPr>
                <w:sz w:val="17"/>
              </w:rPr>
              <w:t>12,121</w:t>
            </w:r>
          </w:p>
        </w:tc>
        <w:tc>
          <w:tcPr>
            <w:tcW w:type="dxa" w:w="1440"/>
            <w:shd w:fill="FFDCE0" w:val="clear"/>
          </w:tcPr>
          <w:p>
            <w:r>
              <w:rPr>
                <w:b/>
                <w:color w:val="C00000"/>
                <w:sz w:val="17"/>
              </w:rPr>
              <w:t>-10.1%</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10,370</w:t>
            </w:r>
          </w:p>
        </w:tc>
        <w:tc>
          <w:tcPr>
            <w:tcW w:type="dxa" w:w="1440"/>
            <w:shd w:fill="FFDCE0" w:val="clear"/>
          </w:tcPr>
          <w:p>
            <w:r>
              <w:rPr>
                <w:b/>
                <w:sz w:val="17"/>
              </w:rPr>
              <w:t>11,021</w:t>
            </w:r>
          </w:p>
        </w:tc>
        <w:tc>
          <w:tcPr>
            <w:tcW w:type="dxa" w:w="1440"/>
            <w:shd w:fill="FFDCE0" w:val="clear"/>
          </w:tcPr>
          <w:p>
            <w:r>
              <w:rPr>
                <w:sz w:val="17"/>
              </w:rPr>
              <w:t>11,672</w:t>
            </w:r>
          </w:p>
        </w:tc>
        <w:tc>
          <w:tcPr>
            <w:tcW w:type="dxa" w:w="1440"/>
            <w:shd w:fill="FFDCE0" w:val="clear"/>
          </w:tcPr>
          <w:p>
            <w:r>
              <w:rPr>
                <w:b/>
                <w:color w:val="C00000"/>
                <w:sz w:val="17"/>
              </w:rPr>
              <w:t>-14.3%</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9,831</w:t>
            </w:r>
          </w:p>
        </w:tc>
        <w:tc>
          <w:tcPr>
            <w:tcW w:type="dxa" w:w="1440"/>
            <w:shd w:fill="FFDCE0" w:val="clear"/>
          </w:tcPr>
          <w:p>
            <w:r>
              <w:rPr>
                <w:b/>
                <w:sz w:val="17"/>
              </w:rPr>
              <w:t>10,551</w:t>
            </w:r>
          </w:p>
        </w:tc>
        <w:tc>
          <w:tcPr>
            <w:tcW w:type="dxa" w:w="1440"/>
            <w:shd w:fill="FFDCE0" w:val="clear"/>
          </w:tcPr>
          <w:p>
            <w:r>
              <w:rPr>
                <w:sz w:val="17"/>
              </w:rPr>
              <w:t>11,272</w:t>
            </w:r>
          </w:p>
        </w:tc>
        <w:tc>
          <w:tcPr>
            <w:tcW w:type="dxa" w:w="1440"/>
            <w:shd w:fill="FFDCE0" w:val="clear"/>
          </w:tcPr>
          <w:p>
            <w:r>
              <w:rPr>
                <w:b/>
                <w:color w:val="C00000"/>
                <w:sz w:val="17"/>
              </w:rPr>
              <w:t>-18.0%</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9,375</w:t>
            </w:r>
          </w:p>
        </w:tc>
        <w:tc>
          <w:tcPr>
            <w:tcW w:type="dxa" w:w="1440"/>
            <w:shd w:fill="FFDCE0" w:val="clear"/>
          </w:tcPr>
          <w:p>
            <w:r>
              <w:rPr>
                <w:b/>
                <w:sz w:val="17"/>
              </w:rPr>
              <w:t>10,149</w:t>
            </w:r>
          </w:p>
        </w:tc>
        <w:tc>
          <w:tcPr>
            <w:tcW w:type="dxa" w:w="1440"/>
            <w:shd w:fill="FFDCE0" w:val="clear"/>
          </w:tcPr>
          <w:p>
            <w:r>
              <w:rPr>
                <w:sz w:val="17"/>
              </w:rPr>
              <w:t>10,924</w:t>
            </w:r>
          </w:p>
        </w:tc>
        <w:tc>
          <w:tcPr>
            <w:tcW w:type="dxa" w:w="1440"/>
            <w:shd w:fill="FFDCE0" w:val="clear"/>
          </w:tcPr>
          <w:p>
            <w:r>
              <w:rPr>
                <w:b/>
                <w:color w:val="C00000"/>
                <w:sz w:val="17"/>
              </w:rPr>
              <w:t>-21.1%</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8,985</w:t>
            </w:r>
          </w:p>
        </w:tc>
        <w:tc>
          <w:tcPr>
            <w:tcW w:type="dxa" w:w="1440"/>
            <w:shd w:fill="FFDCE0" w:val="clear"/>
          </w:tcPr>
          <w:p>
            <w:r>
              <w:rPr>
                <w:b/>
                <w:sz w:val="17"/>
              </w:rPr>
              <w:t>9,805</w:t>
            </w:r>
          </w:p>
        </w:tc>
        <w:tc>
          <w:tcPr>
            <w:tcW w:type="dxa" w:w="1440"/>
            <w:shd w:fill="FFDCE0" w:val="clear"/>
          </w:tcPr>
          <w:p>
            <w:r>
              <w:rPr>
                <w:sz w:val="17"/>
              </w:rPr>
              <w:t>10,624</w:t>
            </w:r>
          </w:p>
        </w:tc>
        <w:tc>
          <w:tcPr>
            <w:tcW w:type="dxa" w:w="1440"/>
            <w:shd w:fill="FFDCE0" w:val="clear"/>
          </w:tcPr>
          <w:p>
            <w:r>
              <w:rPr>
                <w:b/>
                <w:color w:val="C00000"/>
                <w:sz w:val="17"/>
              </w:rPr>
              <w:t>-23.8%</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8,649</w:t>
            </w:r>
          </w:p>
        </w:tc>
        <w:tc>
          <w:tcPr>
            <w:tcW w:type="dxa" w:w="1440"/>
            <w:shd w:fill="FFDCE0" w:val="clear"/>
          </w:tcPr>
          <w:p>
            <w:r>
              <w:rPr>
                <w:b/>
                <w:sz w:val="17"/>
              </w:rPr>
              <w:t>9,508</w:t>
            </w:r>
          </w:p>
        </w:tc>
        <w:tc>
          <w:tcPr>
            <w:tcW w:type="dxa" w:w="1440"/>
            <w:shd w:fill="FFDCE0" w:val="clear"/>
          </w:tcPr>
          <w:p>
            <w:r>
              <w:rPr>
                <w:sz w:val="17"/>
              </w:rPr>
              <w:t>10,366</w:t>
            </w:r>
          </w:p>
        </w:tc>
        <w:tc>
          <w:tcPr>
            <w:tcW w:type="dxa" w:w="1440"/>
            <w:shd w:fill="FFDCE0" w:val="clear"/>
          </w:tcPr>
          <w:p>
            <w:r>
              <w:rPr>
                <w:b/>
                <w:color w:val="C00000"/>
                <w:sz w:val="17"/>
              </w:rPr>
              <w:t>-26.1%</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8,356</w:t>
            </w:r>
          </w:p>
        </w:tc>
        <w:tc>
          <w:tcPr>
            <w:tcW w:type="dxa" w:w="1440"/>
            <w:shd w:fill="FFDCE0" w:val="clear"/>
          </w:tcPr>
          <w:p>
            <w:r>
              <w:rPr>
                <w:b/>
                <w:sz w:val="17"/>
              </w:rPr>
              <w:t>9,249</w:t>
            </w:r>
          </w:p>
        </w:tc>
        <w:tc>
          <w:tcPr>
            <w:tcW w:type="dxa" w:w="1440"/>
            <w:shd w:fill="FFDCE0" w:val="clear"/>
          </w:tcPr>
          <w:p>
            <w:r>
              <w:rPr>
                <w:sz w:val="17"/>
              </w:rPr>
              <w:t>10,142</w:t>
            </w:r>
          </w:p>
        </w:tc>
        <w:tc>
          <w:tcPr>
            <w:tcW w:type="dxa" w:w="1440"/>
            <w:shd w:fill="FFDCE0" w:val="clear"/>
          </w:tcPr>
          <w:p>
            <w:r>
              <w:rPr>
                <w:b/>
                <w:color w:val="C00000"/>
                <w:sz w:val="17"/>
              </w:rPr>
              <w:t>-28.1%</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8,098</w:t>
            </w:r>
          </w:p>
        </w:tc>
        <w:tc>
          <w:tcPr>
            <w:tcW w:type="dxa" w:w="1440"/>
            <w:shd w:fill="FFDCE0" w:val="clear"/>
          </w:tcPr>
          <w:p>
            <w:r>
              <w:rPr>
                <w:b/>
                <w:sz w:val="17"/>
              </w:rPr>
              <w:t>9,022</w:t>
            </w:r>
          </w:p>
        </w:tc>
        <w:tc>
          <w:tcPr>
            <w:tcW w:type="dxa" w:w="1440"/>
            <w:shd w:fill="FFDCE0" w:val="clear"/>
          </w:tcPr>
          <w:p>
            <w:r>
              <w:rPr>
                <w:sz w:val="17"/>
              </w:rPr>
              <w:t>9,946</w:t>
            </w:r>
          </w:p>
        </w:tc>
        <w:tc>
          <w:tcPr>
            <w:tcW w:type="dxa" w:w="1440"/>
            <w:shd w:fill="FFDCE0" w:val="clear"/>
          </w:tcPr>
          <w:p>
            <w:r>
              <w:rPr>
                <w:b/>
                <w:color w:val="C00000"/>
                <w:sz w:val="17"/>
              </w:rPr>
              <w:t>-29.8%</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7,869</w:t>
            </w:r>
          </w:p>
        </w:tc>
        <w:tc>
          <w:tcPr>
            <w:tcW w:type="dxa" w:w="1440"/>
            <w:shd w:fill="FFDCE0" w:val="clear"/>
          </w:tcPr>
          <w:p>
            <w:r>
              <w:rPr>
                <w:b/>
                <w:sz w:val="17"/>
              </w:rPr>
              <w:t>8,821</w:t>
            </w:r>
          </w:p>
        </w:tc>
        <w:tc>
          <w:tcPr>
            <w:tcW w:type="dxa" w:w="1440"/>
            <w:shd w:fill="FFDCE0" w:val="clear"/>
          </w:tcPr>
          <w:p>
            <w:r>
              <w:rPr>
                <w:sz w:val="17"/>
              </w:rPr>
              <w:t>9,773</w:t>
            </w:r>
          </w:p>
        </w:tc>
        <w:tc>
          <w:tcPr>
            <w:tcW w:type="dxa" w:w="1440"/>
            <w:shd w:fill="FFDCE0" w:val="clear"/>
          </w:tcPr>
          <w:p>
            <w:r>
              <w:rPr>
                <w:b/>
                <w:color w:val="C00000"/>
                <w:sz w:val="17"/>
              </w:rPr>
              <w:t>-31.4%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514,40 milliards FCFA, BOAC se positionne comme l'une des valeurs les plus lourdes et les plus liquides de la BRVM, représentant un poids significatif dans l'indice composite. Le BPA de 888 FCFA indique que chaque action génère un bénéfice substantiel, ce qui justifie un PER de 14,5x. Ce ratio, bien que supérieur à la moyenne historique de la BRVM (8-12x), reste modéré et traduit une valorisation raisonnable pour une banque de cette envergure, les investisseurs acceptant de payer une prime pour la qualité de l'actif. Cependant, le P/B de 4,04x et surtout l'EV/EBITDA de 27,7x sont nettement plus exigeants. Le marché valorise donc fortement la valeur comptable et la capacité opérationnelle de la banque, anticipant une croissance future soutenue. Cette prime de valorisation suggère que le titre est perçu comme un actif de qualité supérieure, mais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BOAC a enregistré une performance spectaculaire de +53,19%, passant d'un plus bas de 8 380 FCFA à un plus haut de 13 450 FCFA, avant de clôturer à 12 860 FCFA. Cette tendance est fortement haussière, bien que la dernière séance montre un léger repli de -0,96%, signe possible d'un essoufflement à court terme. L'analyse des statistiques descriptives révèle une distribution asymétrique positive (Skewness de 1,483), avec une moyenne (9 639 FCFA) nettement supérieure à la médiane (9 072 FCFA), indiquant que la majorité des séances se sont déroulées sous le niveau moyen, avec une forte accélération récente. Le coefficient de variation de 14,6% montre une dispersion modérée, tandis que le kurtosis de 0,995 (mésokurtique) indique une distribution des rendements proche de la normale, sans risque de pics extrêmes. La volatilité annualisée de 25,3% classe le titre dans une catégorie à risque modéré-élevé, cohérente avec une phase de forte appréciation.</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(12 860 FCFA) se situe nettement au-dessus de la MM20 (12 176 FCFA) et de la MM50 (10 567,4 FCFA). La configuration haussière est claire, avec un écart important entre les deux moyennes, confirmant une dynamique de tendance positive. La décision d'**Achat** est justifiée par cette structure, bien que l'écart important avec la MM20 suggère un risque de correction à court terme.</w:t>
      </w:r>
    </w:p>
    <w:p>
      <w:pPr>
        <w:spacing w:after="120" w:line="276" w:lineRule="auto"/>
      </w:pPr>
      <w:r>
        <w:t>**Bandes de Bollinger**: Le prix évolue à l'intérieur des bandes, mais proche de la borne supérieure (14 044 FCFA), indiquant une pression acheteuse soutenue. La largeur des bandes est élevée, reflétant la forte volatilité du titre. La décision **Neutre** est cohérente car le prix n'a pas encore franchi la borne, mais la proximité de celle-ci suggère une possible poursuite de la tendance ou un retournement.</w:t>
      </w:r>
    </w:p>
    <w:p>
      <w:pPr>
        <w:spacing w:after="120" w:line="276" w:lineRule="auto"/>
      </w:pPr>
      <w:r>
        <w:t>**MACD**: La valeur du MACD (793,745) est légèrement inférieure à son signal (801,113), indiquant un affaiblissement du momentum haussier. Cette divergence, bien que minime, est un signal de **Vente** précoce, suggérant que la dynamique positive pourrait perdre de la vigueur dans les prochaines séances.</w:t>
      </w:r>
    </w:p>
    <w:p>
      <w:pPr>
        <w:spacing w:after="120" w:line="276" w:lineRule="auto"/>
      </w:pPr>
      <w:r>
        <w:t>**RSI**: Avec une valeur de 75,82, le RSI est en zone de surachat (au-dessus de 70). Ce niveau indique que le titre est potentiellement surévalué à court terme et qu'un repli technique est probable. La décision de **Vente** est justifiée par ce niveau extrême, qui appelle à la prudence pour les nouveaux achats.</w:t>
      </w:r>
    </w:p>
    <w:p>
      <w:pPr>
        <w:spacing w:after="120" w:line="276" w:lineRule="auto"/>
      </w:pPr>
      <w:r>
        <w:t>**Stochastique**: Le %K (68,108) est inférieur au %D (73,61), montrant un croisement baissier potentiel. Bien que les deux lignes soient encore dans une zone neutre, cette configuration suggère un affaiblissement de la pression acheteuse. La décision **Neutre** est appropriée, car le signal n'est pas encore clairement baissier.</w:t>
      </w:r>
    </w:p>
    <w:p>
      <w:pPr>
        <w:spacing w:after="120" w:line="276" w:lineRule="auto"/>
      </w:pPr>
      <w:r>
        <w:t>**Conclusion technique**: Les indicateurs de tendance (MM) sont positifs, mais les oscillateurs de momentum (RSI, MACD, Stochastique) montrent des signes de fatigue et de surachat. La configuration technique suggère une consolidation ou un repli à court terme avant une éventuelle reprise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BOAC font état d'un Produit Net Bancaire (PNB) de 73,545 milliards FCFA et d'un résultat net de 35,540 milliards FCFA. La banque affiche une rentabilité exceptionnelle avec un ROE de 27,9% et un ROA de 3,2%, démontrant une excellente création de valeur. Le coefficient d'exploitation de 36,7% est remarquable, indiquant une gestion très efficace des charges. Le coût du risque de 6,67% reste un point de vigilance, mais le ratio de solvabilité générale de 113% confirme une structure financière saine. Les dépôts clients (850,548 Mds) dépassent largement les créances sur la clientèle (430,433 Mds), montrant une forte capacité de transformation. Les rapports trimestriels de 2025 montrent une trajectoire contrastée : le T1 était excellent (+14,6% de résultat net), mais le S1 et le T3 ont affiché une stagnation du PNB (+0,23% sur 9 mois) et une contraction des crédits (-11,97%). On estime que l'exercice 2025 devrait confirmer une croissance modérée, portée par la baisse du coût du risque et la maîtrise des frais généraux, mais les objectifs triennaux ambitieux (croissance du PNB de +11,6% d'ici 2027) nécessiteront un redémarrage de l'activité commerciale. La solidité financière et la rentabilité élevée sont des atouts majeurs, mais la stagnation de l'activité et la dégradation de la qualité du crédit observée en 2024 (coût du risque +40,8%) restent des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de BOAC (PER 14,5x, P/B 4,04x) est exigeante, mais justifiée par une rentabilité exceptionnelle (ROE 27,9%) et une solidité financière remarquable. Le comportement du cours (+53% en 100 jours) montre une dynamique haussière très forte, mais les statistiques (asymétrie positive) et la volatilité de 25,3% indiquent un risque de correction. Les signaux techniques sont mitigés : la tendance (MM) est positive, mais les oscillateurs (RSI, MACD) sont en zone de surachat, suggérant un repli imminent. Les fondamentaux sont solides, avec une banque efficace et rentable, mais la stagnation du PNB sur 2025 et les prédictions IA (chute potentielle à 10 149 FCFA sur 10 jours) contredisent la tendance récente. La convergence des signaux de surachat technique et des prédictions IA baissières, malgré des fondamentaux solides, conduit à une recommandation **CONSERVER**. Le niveau de confiance est **Moyen**, car la force de la tendance haussière pourrait persister. Le risque global est **Élevé** en raison de la volatilité et de la valorisation exigeante. L'horizon d'investissement optimal serait le **moyen terme (3-12 mois)**, en attendant une correction pour renforcer la position sur une valeur de qualité.</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183.91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6,145 titres</w:t>
            </w:r>
          </w:p>
        </w:tc>
        <w:tc>
          <w:tcPr>
            <w:tcW w:type="dxa" w:w="2268"/>
            <w:shd w:fill="FFF2CC" w:val="clear"/>
          </w:tcPr>
          <w:p>
            <w:r>
              <w:rPr>
                <w:b/>
                <w:color w:val="503200"/>
                <w:sz w:val="16"/>
              </w:rPr>
              <w:t xml:space="preserve">Cours actuel : </w:t>
            </w:r>
            <w:r>
              <w:rPr>
                <w:color w:val="000000"/>
                <w:sz w:val="17"/>
              </w:rPr>
              <w:t>6,700 FCFA</w:t>
            </w:r>
          </w:p>
          <w:p>
            <w:r>
              <w:rPr>
                <w:b/>
                <w:color w:val="503200"/>
                <w:sz w:val="16"/>
              </w:rPr>
              <w:t xml:space="preserve">Var. 100 jours : </w:t>
            </w:r>
            <w:r>
              <w:rPr>
                <w:b/>
                <w:color w:val="007800"/>
                <w:sz w:val="17"/>
              </w:rPr>
              <w:t>+43.16%</w:t>
            </w:r>
          </w:p>
          <w:p>
            <w:r>
              <w:rPr>
                <w:b/>
                <w:color w:val="503200"/>
                <w:sz w:val="16"/>
              </w:rPr>
              <w:t xml:space="preserve">Plus haut 100j : </w:t>
            </w:r>
            <w:r>
              <w:rPr>
                <w:color w:val="000000"/>
                <w:sz w:val="17"/>
              </w:rPr>
              <w:t>6,700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11.14% (Moyenne) — μ=5,105 FCFA, σ=569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β=0.4562 (Défensif) — Cov=0.000015, Var(idx)=0.000033, ρ=0.130,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6,433</w:t>
            </w:r>
          </w:p>
        </w:tc>
        <w:tc>
          <w:tcPr>
            <w:tcW w:type="dxa" w:w="1440"/>
            <w:shd w:fill="FAFAFA" w:val="clear"/>
          </w:tcPr>
          <w:p>
            <w:r>
              <w:rPr>
                <w:b/>
                <w:sz w:val="17"/>
              </w:rPr>
              <w:t>6,627</w:t>
            </w:r>
          </w:p>
        </w:tc>
        <w:tc>
          <w:tcPr>
            <w:tcW w:type="dxa" w:w="1440"/>
            <w:shd w:fill="FAFAFA" w:val="clear"/>
          </w:tcPr>
          <w:p>
            <w:r>
              <w:rPr>
                <w:sz w:val="17"/>
              </w:rPr>
              <w:t>6,820</w:t>
            </w:r>
          </w:p>
        </w:tc>
        <w:tc>
          <w:tcPr>
            <w:tcW w:type="dxa" w:w="1440"/>
            <w:shd w:fill="FAFAFA" w:val="clear"/>
          </w:tcPr>
          <w:p>
            <w:r>
              <w:rPr>
                <w:b/>
                <w:color w:val="C00000"/>
                <w:sz w:val="17"/>
              </w:rPr>
              <w:t>-1.1%</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6,182</w:t>
            </w:r>
          </w:p>
        </w:tc>
        <w:tc>
          <w:tcPr>
            <w:tcW w:type="dxa" w:w="1440"/>
            <w:shd w:fill="FFDCE0" w:val="clear"/>
          </w:tcPr>
          <w:p>
            <w:r>
              <w:rPr>
                <w:b/>
                <w:sz w:val="17"/>
              </w:rPr>
              <w:t>6,449</w:t>
            </w:r>
          </w:p>
        </w:tc>
        <w:tc>
          <w:tcPr>
            <w:tcW w:type="dxa" w:w="1440"/>
            <w:shd w:fill="FFDCE0" w:val="clear"/>
          </w:tcPr>
          <w:p>
            <w:r>
              <w:rPr>
                <w:sz w:val="17"/>
              </w:rPr>
              <w:t>6,716</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5,951</w:t>
            </w:r>
          </w:p>
        </w:tc>
        <w:tc>
          <w:tcPr>
            <w:tcW w:type="dxa" w:w="1440"/>
            <w:shd w:fill="FFDCE0" w:val="clear"/>
          </w:tcPr>
          <w:p>
            <w:r>
              <w:rPr>
                <w:b/>
                <w:sz w:val="17"/>
              </w:rPr>
              <w:t>6,268</w:t>
            </w:r>
          </w:p>
        </w:tc>
        <w:tc>
          <w:tcPr>
            <w:tcW w:type="dxa" w:w="1440"/>
            <w:shd w:fill="FFDCE0" w:val="clear"/>
          </w:tcPr>
          <w:p>
            <w:r>
              <w:rPr>
                <w:sz w:val="17"/>
              </w:rPr>
              <w:t>6,586</w:t>
            </w:r>
          </w:p>
        </w:tc>
        <w:tc>
          <w:tcPr>
            <w:tcW w:type="dxa" w:w="1440"/>
            <w:shd w:fill="FFDCE0" w:val="clear"/>
          </w:tcPr>
          <w:p>
            <w:r>
              <w:rPr>
                <w:b/>
                <w:color w:val="C00000"/>
                <w:sz w:val="17"/>
              </w:rPr>
              <w:t>-6.4%</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5,760</w:t>
            </w:r>
          </w:p>
        </w:tc>
        <w:tc>
          <w:tcPr>
            <w:tcW w:type="dxa" w:w="1440"/>
            <w:shd w:fill="FFDCE0" w:val="clear"/>
          </w:tcPr>
          <w:p>
            <w:r>
              <w:rPr>
                <w:b/>
                <w:sz w:val="17"/>
              </w:rPr>
              <w:t>6,118</w:t>
            </w:r>
          </w:p>
        </w:tc>
        <w:tc>
          <w:tcPr>
            <w:tcW w:type="dxa" w:w="1440"/>
            <w:shd w:fill="FFDCE0" w:val="clear"/>
          </w:tcPr>
          <w:p>
            <w:r>
              <w:rPr>
                <w:sz w:val="17"/>
              </w:rPr>
              <w:t>6,476</w:t>
            </w:r>
          </w:p>
        </w:tc>
        <w:tc>
          <w:tcPr>
            <w:tcW w:type="dxa" w:w="1440"/>
            <w:shd w:fill="FFDCE0" w:val="clear"/>
          </w:tcPr>
          <w:p>
            <w:r>
              <w:rPr>
                <w:b/>
                <w:color w:val="C00000"/>
                <w:sz w:val="17"/>
              </w:rPr>
              <w:t>-8.7%</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5,604</w:t>
            </w:r>
          </w:p>
        </w:tc>
        <w:tc>
          <w:tcPr>
            <w:tcW w:type="dxa" w:w="1440"/>
            <w:shd w:fill="FFDCE0" w:val="clear"/>
          </w:tcPr>
          <w:p>
            <w:r>
              <w:rPr>
                <w:b/>
                <w:sz w:val="17"/>
              </w:rPr>
              <w:t>5,996</w:t>
            </w:r>
          </w:p>
        </w:tc>
        <w:tc>
          <w:tcPr>
            <w:tcW w:type="dxa" w:w="1440"/>
            <w:shd w:fill="FFDCE0" w:val="clear"/>
          </w:tcPr>
          <w:p>
            <w:r>
              <w:rPr>
                <w:sz w:val="17"/>
              </w:rPr>
              <w:t>6,388</w:t>
            </w:r>
          </w:p>
        </w:tc>
        <w:tc>
          <w:tcPr>
            <w:tcW w:type="dxa" w:w="1440"/>
            <w:shd w:fill="FFDCE0" w:val="clear"/>
          </w:tcPr>
          <w:p>
            <w:r>
              <w:rPr>
                <w:b/>
                <w:color w:val="C00000"/>
                <w:sz w:val="17"/>
              </w:rPr>
              <w:t>-10.5%</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5,468</w:t>
            </w:r>
          </w:p>
        </w:tc>
        <w:tc>
          <w:tcPr>
            <w:tcW w:type="dxa" w:w="1440"/>
            <w:shd w:fill="FFDCE0" w:val="clear"/>
          </w:tcPr>
          <w:p>
            <w:r>
              <w:rPr>
                <w:b/>
                <w:sz w:val="17"/>
              </w:rPr>
              <w:t>5,890</w:t>
            </w:r>
          </w:p>
        </w:tc>
        <w:tc>
          <w:tcPr>
            <w:tcW w:type="dxa" w:w="1440"/>
            <w:shd w:fill="FFDCE0" w:val="clear"/>
          </w:tcPr>
          <w:p>
            <w:r>
              <w:rPr>
                <w:sz w:val="17"/>
              </w:rPr>
              <w:t>6,312</w:t>
            </w:r>
          </w:p>
        </w:tc>
        <w:tc>
          <w:tcPr>
            <w:tcW w:type="dxa" w:w="1440"/>
            <w:shd w:fill="FFDCE0" w:val="clear"/>
          </w:tcPr>
          <w:p>
            <w:r>
              <w:rPr>
                <w:b/>
                <w:color w:val="C00000"/>
                <w:sz w:val="17"/>
              </w:rPr>
              <w:t>-12.1%</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5,347</w:t>
            </w:r>
          </w:p>
        </w:tc>
        <w:tc>
          <w:tcPr>
            <w:tcW w:type="dxa" w:w="1440"/>
            <w:shd w:fill="FFDCE0" w:val="clear"/>
          </w:tcPr>
          <w:p>
            <w:r>
              <w:rPr>
                <w:b/>
                <w:sz w:val="17"/>
              </w:rPr>
              <w:t>5,795</w:t>
            </w:r>
          </w:p>
        </w:tc>
        <w:tc>
          <w:tcPr>
            <w:tcW w:type="dxa" w:w="1440"/>
            <w:shd w:fill="FFDCE0" w:val="clear"/>
          </w:tcPr>
          <w:p>
            <w:r>
              <w:rPr>
                <w:sz w:val="17"/>
              </w:rPr>
              <w:t>6,244</w:t>
            </w:r>
          </w:p>
        </w:tc>
        <w:tc>
          <w:tcPr>
            <w:tcW w:type="dxa" w:w="1440"/>
            <w:shd w:fill="FFDCE0" w:val="clear"/>
          </w:tcPr>
          <w:p>
            <w:r>
              <w:rPr>
                <w:b/>
                <w:color w:val="C00000"/>
                <w:sz w:val="17"/>
              </w:rPr>
              <w:t>-13.5%</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5,235</w:t>
            </w:r>
          </w:p>
        </w:tc>
        <w:tc>
          <w:tcPr>
            <w:tcW w:type="dxa" w:w="1440"/>
            <w:shd w:fill="FFDCE0" w:val="clear"/>
          </w:tcPr>
          <w:p>
            <w:r>
              <w:rPr>
                <w:b/>
                <w:sz w:val="17"/>
              </w:rPr>
              <w:t>5,707</w:t>
            </w:r>
          </w:p>
        </w:tc>
        <w:tc>
          <w:tcPr>
            <w:tcW w:type="dxa" w:w="1440"/>
            <w:shd w:fill="FFDCE0" w:val="clear"/>
          </w:tcPr>
          <w:p>
            <w:r>
              <w:rPr>
                <w:sz w:val="17"/>
              </w:rPr>
              <w:t>6,179</w:t>
            </w:r>
          </w:p>
        </w:tc>
        <w:tc>
          <w:tcPr>
            <w:tcW w:type="dxa" w:w="1440"/>
            <w:shd w:fill="FFDCE0" w:val="clear"/>
          </w:tcPr>
          <w:p>
            <w:r>
              <w:rPr>
                <w:b/>
                <w:color w:val="C00000"/>
                <w:sz w:val="17"/>
              </w:rPr>
              <w:t>-14.8%</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5,132</w:t>
            </w:r>
          </w:p>
        </w:tc>
        <w:tc>
          <w:tcPr>
            <w:tcW w:type="dxa" w:w="1440"/>
            <w:shd w:fill="FFDCE0" w:val="clear"/>
          </w:tcPr>
          <w:p>
            <w:r>
              <w:rPr>
                <w:b/>
                <w:sz w:val="17"/>
              </w:rPr>
              <w:t>5,625</w:t>
            </w:r>
          </w:p>
        </w:tc>
        <w:tc>
          <w:tcPr>
            <w:tcW w:type="dxa" w:w="1440"/>
            <w:shd w:fill="FFDCE0" w:val="clear"/>
          </w:tcPr>
          <w:p>
            <w:r>
              <w:rPr>
                <w:sz w:val="17"/>
              </w:rPr>
              <w:t>6,119</w:t>
            </w:r>
          </w:p>
        </w:tc>
        <w:tc>
          <w:tcPr>
            <w:tcW w:type="dxa" w:w="1440"/>
            <w:shd w:fill="FFDCE0" w:val="clear"/>
          </w:tcPr>
          <w:p>
            <w:r>
              <w:rPr>
                <w:b/>
                <w:color w:val="C00000"/>
                <w:sz w:val="17"/>
              </w:rPr>
              <w:t>-16.0%</w:t>
            </w:r>
          </w:p>
        </w:tc>
      </w:tr>
      <w:tr>
        <w:tc>
          <w:tcPr>
            <w:tcW w:type="dxa" w:w="1440"/>
            <w:shd w:fill="FFDCE0" w:val="clear"/>
          </w:tcPr>
          <w:p>
            <w:r>
              <w:rPr>
                <w:sz w:val="17"/>
              </w:rPr>
              <w:t>J+10  Moyenne</w:t>
            </w:r>
          </w:p>
        </w:tc>
        <w:tc>
          <w:tcPr>
            <w:tcW w:type="dxa" w:w="1440"/>
            <w:shd w:fill="FFDCE0" w:val="clear"/>
          </w:tcPr>
          <w:p>
            <w:r>
              <w:rPr>
                <w:sz w:val="17"/>
              </w:rPr>
              <w:t>2026-09-09</w:t>
            </w:r>
          </w:p>
        </w:tc>
        <w:tc>
          <w:tcPr>
            <w:tcW w:type="dxa" w:w="1440"/>
            <w:shd w:fill="FFDCE0" w:val="clear"/>
          </w:tcPr>
          <w:p>
            <w:r>
              <w:rPr>
                <w:sz w:val="17"/>
              </w:rPr>
              <w:t>5,035</w:t>
            </w:r>
          </w:p>
        </w:tc>
        <w:tc>
          <w:tcPr>
            <w:tcW w:type="dxa" w:w="1440"/>
            <w:shd w:fill="FFDCE0" w:val="clear"/>
          </w:tcPr>
          <w:p>
            <w:r>
              <w:rPr>
                <w:b/>
                <w:sz w:val="17"/>
              </w:rPr>
              <w:t>5,548</w:t>
            </w:r>
          </w:p>
        </w:tc>
        <w:tc>
          <w:tcPr>
            <w:tcW w:type="dxa" w:w="1440"/>
            <w:shd w:fill="FFDCE0" w:val="clear"/>
          </w:tcPr>
          <w:p>
            <w:r>
              <w:rPr>
                <w:sz w:val="17"/>
              </w:rPr>
              <w:t>6,062</w:t>
            </w:r>
          </w:p>
        </w:tc>
        <w:tc>
          <w:tcPr>
            <w:tcW w:type="dxa" w:w="1440"/>
            <w:shd w:fill="FFDCE0" w:val="clear"/>
          </w:tcPr>
          <w:p>
            <w:r>
              <w:rPr>
                <w:b/>
                <w:color w:val="C00000"/>
                <w:sz w:val="17"/>
              </w:rPr>
              <w:t>-17.2%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183,91 milliards FCFA, ce qui positionne la banque parmi les valeurs moyennes du compartiment financier de la BRVM. Le BPA de 404 FCFA indique que chaque action génère un bénéfice substantiel, justifiant un PER de 16,6x. Ce niveau est nettement supérieur à la moyenne historique de la place (~8-12x), signifiant que le marché intègre déjà une prime de croissance et de qualité pour cette valeur. Le P/B de 3,69x confirme cette lecture, le marché valorisant la banque près de 3,7 fois ses capitaux propres, ce qui reflète une confiance dans la création de valeur future. Enfin, l'EV/EBITDA de 8,9x, situé dans la fourchette haute mais raisonnable, indique que la valeur totale de l'entreprise reste cohérente avec sa capacité opérationnelle à générer du cash.</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spectaculaire de +43,16%, avec une dernière séance en hausse de +2,29% pour clôturer à 6 700 FCFA, son plus haut niveau sur la période. Le titre a évolué dans une fourchette de 4 425 à 6 700 FCFA, démontrant une dynamique fortement haussière. La moyenne (5 105 FCFA) est supérieure à la médiane (4 900 FCFA), et le skewness positif de 0,919 indique une asymétrie avec des journées plus nombreuses sous la moyenne, mais des mouvements de hausse plus amples. L'écart-type de 572 FCFA (CV=11,2%) révèle une dispersion modérée, tandis que le kurtosis de -0,236 (mésokurtique) suggère une distribution proche de la normale, sans risque de pics extrêmes. La volatilité annualisée de 32,1% classe le titre comme très volatil, ce qui implique un risque élevé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Le cours actuel (6 700 FCFA) évolue nettement au-dessus de la MM20 (5 977,5 FCFA) et de la MM50 (5 486,4 FCFA), confirmant une tendance haussière solide à court et moyen terme. L'écart croissant entre les deux moyennes suggère une accélération du mouvement, justifiant la décision d'achat.</w:t>
      </w:r>
    </w:p>
    <w:p>
      <w:pPr>
        <w:spacing w:after="120" w:line="276" w:lineRule="auto"/>
      </w:pPr>
      <w:r>
        <w:t>**Bandes de Bollinger** : Le prix se situe à la borne supérieure (6 704,5 FCFA), indiquant une pression acheteuse intense. La largeur des bandes (écart de 1 454 FCFA) reflète une volatilité élevée. La décision est neutre car le titre touche la borne, ce qui peut précéder une consolidation ou une poursuite de la tendance.</w:t>
      </w:r>
    </w:p>
    <w:p>
      <w:pPr>
        <w:spacing w:after="120" w:line="276" w:lineRule="auto"/>
      </w:pPr>
      <w:r>
        <w:t>**MACD** : Le MACD (292,5) est nettement supérieur à sa ligne de signal (235,9), avec un écart positif croissant. Cette configuration confirme un momentum haussier robuste, justifiant la décision d'achat.</w:t>
      </w:r>
    </w:p>
    <w:p>
      <w:pPr>
        <w:spacing w:after="120" w:line="276" w:lineRule="auto"/>
      </w:pPr>
      <w:r>
        <w:t>**RSI** : Le RSI à 95,5 est extrêmement élevé, bien au-delà du seuil de surachat (70). Cette situation indique que le titre est très survendu à la hausse, avec un risque élevé de correction technique. La décision de vente est donc justifiée.</w:t>
      </w:r>
    </w:p>
    <w:p>
      <w:pPr>
        <w:spacing w:after="120" w:line="276" w:lineRule="auto"/>
      </w:pPr>
      <w:r>
        <w:t>**Stochastique** : Le %K et le %D sont tous deux à 100, en territoire de surachat extrême. Cette configuration signale une exubérance excessive, avec une probabilité élevée de retournement. La décision de vente est cohérente.</w:t>
      </w:r>
    </w:p>
    <w:p>
      <w:pPr>
        <w:spacing w:after="120" w:line="276" w:lineRule="auto"/>
      </w:pPr>
      <w:r>
        <w:t>**Conclusion technique** : Les indicateurs de tendance (MM, MACD) sont positifs, mais les oscillateurs (RSI, Stochastique) sont en surachat extrême. Cette divergence suggère une poursuite possible de la hausse à court terme, mais avec un risque croissant de correction brutale. La prudence est de mise.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BOAM révèlent un Produit Net Bancaire (PNB) de 37,996 milliards FCFA, en croissance de 5,08%, et un résultat net de 11,081 milliards FCFA. La banque affiche un ROE exceptionnel de 22,24% et un ROA de 1,87%, démontrant une excellente rentabilité. Le coefficient d'exploitation de 63,14% reste légèrement au-dessus du seuil d'efficacité (&lt;60%), mais le coût du risque de 43,39% est préoccupant, indiquant un portefeuille de crédits sous tension. Les dépôts clientèle (502,89 Mds) dépassent largement les créances (253,65 Mds), assurant une liquidité confortable. Les rapports trimestriels 2025 confirment cette trajectoire : le T1 affiche un résultat net en hausse de 91,18%, le S1 de +28,8%, et le T3 de +26,2%, porté par une maîtrise des coûts et une baisse du coût du risque. Sur la base de ces tendances, on estime que l'exercice 2025 devrait confirmer une croissance soutenue, avec un résultat net potentiellement supérieur à 11 milliards FCFA. La solidité financière est renforcée par une capacité d'autofinancement de 15,4 milliards et une trésorerie nette de 86,4 milliards. La recommandation fondamentale est positive, malgré les risques macroéconomiques au Mali.</w:t>
      </w:r>
    </w:p>
    <w:p>
      <w:pPr>
        <w:spacing w:after="120" w:line="276" w:lineRule="auto" w:before="240"/>
      </w:pPr>
      <w:r>
        <w:rPr>
          <w:b/>
          <w:color w:val="003366"/>
          <w:sz w:val="24"/>
        </w:rPr>
        <w:t>**PARTIE 4 : CONCLUSION D'INVESTISSEMENT**</w:t>
      </w:r>
    </w:p>
    <w:p>
      <w:pPr>
        <w:spacing w:after="120" w:line="276" w:lineRule="auto"/>
      </w:pPr>
      <w:r>
        <w:t>La valorisation de BOAM (PER 16,6x, P/B 3,69x) est élevée mais justifiée par une rentabilité exceptionnelle (ROE 22,24%). Le comportement du cours montre une tendance haussière spectaculaire (+43,16% en 100 jours) avec une volatilité élevée (32,1%) et une asymétrie positive. Les signaux techniques sont mitigés : tendance positive (MM, MACD) mais surachat extrême (RSI 95,5, Stochastique 100), suggérant un risque de correction. Les fondamentaux sont solides, avec une croissance du PNB et du résultat net, mais le coût du risque reste élevé. Les prédictions IA (6 627 à 5 996 FCFA sur 10 jours) indiquent une baisse progressive, contredisant la tendance actuelle et confirmant le risque de correction. En synthèse, la convergence entre la valorisation élevée, le surachat technique et les prédictions baissières suggère une prudence. **Recommandation finale : VENTE** pour les investisseurs à court terme, avec un niveau de confiance **Moyen** et un risque global **Élevé**. Pour les investisseurs à long terme, une stratégie de conservation reste envisageable, avec un horizon optimal de **moyen terme (3-12 mois)** pour réévaluer la position après une éventuelle correction.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111.38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10,335 titres</w:t>
            </w:r>
          </w:p>
        </w:tc>
        <w:tc>
          <w:tcPr>
            <w:tcW w:type="dxa" w:w="2268"/>
            <w:shd w:fill="FFF2CC" w:val="clear"/>
          </w:tcPr>
          <w:p>
            <w:r>
              <w:rPr>
                <w:b/>
                <w:color w:val="503200"/>
                <w:sz w:val="16"/>
              </w:rPr>
              <w:t xml:space="preserve">Cours actuel : </w:t>
            </w:r>
            <w:r>
              <w:rPr>
                <w:color w:val="000000"/>
                <w:sz w:val="17"/>
              </w:rPr>
              <w:t>5,355 FCFA</w:t>
            </w:r>
          </w:p>
          <w:p>
            <w:r>
              <w:rPr>
                <w:b/>
                <w:color w:val="503200"/>
                <w:sz w:val="16"/>
              </w:rPr>
              <w:t xml:space="preserve">Var. 100 jours : </w:t>
            </w:r>
            <w:r>
              <w:rPr>
                <w:b/>
                <w:color w:val="007800"/>
                <w:sz w:val="17"/>
              </w:rPr>
              <w:t>+104.39%</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2,620 FCFA</w:t>
            </w:r>
          </w:p>
          <w:p>
            <w:r>
              <w:rPr>
                <w:b/>
                <w:color w:val="503200"/>
                <w:sz w:val="16"/>
              </w:rPr>
              <w:t xml:space="preserve">Volatilité ann. : </w:t>
            </w:r>
            <w:r>
              <w:rPr>
                <w:color w:val="000000"/>
                <w:sz w:val="17"/>
              </w:rPr>
              <w:t>39.4%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20.62% (Élevée) — μ=4,090 FCFA, σ=844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β=0.0760 (Défensif) — Cov=0.000003, Var(idx)=0.000033, ρ=0.018,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10,335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5,130</w:t>
            </w:r>
          </w:p>
        </w:tc>
        <w:tc>
          <w:tcPr>
            <w:tcW w:type="dxa" w:w="1440"/>
            <w:shd w:fill="FAFAFA" w:val="clear"/>
          </w:tcPr>
          <w:p>
            <w:r>
              <w:rPr>
                <w:b/>
                <w:sz w:val="17"/>
              </w:rPr>
              <w:t>5,319</w:t>
            </w:r>
          </w:p>
        </w:tc>
        <w:tc>
          <w:tcPr>
            <w:tcW w:type="dxa" w:w="1440"/>
            <w:shd w:fill="FAFAFA" w:val="clear"/>
          </w:tcPr>
          <w:p>
            <w:r>
              <w:rPr>
                <w:sz w:val="17"/>
              </w:rPr>
              <w:t>5,508</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5,047</w:t>
            </w:r>
          </w:p>
        </w:tc>
        <w:tc>
          <w:tcPr>
            <w:tcW w:type="dxa" w:w="1440"/>
            <w:shd w:fill="FAFAFA" w:val="clear"/>
          </w:tcPr>
          <w:p>
            <w:r>
              <w:rPr>
                <w:b/>
                <w:sz w:val="17"/>
              </w:rPr>
              <w:t>5,315</w:t>
            </w:r>
          </w:p>
        </w:tc>
        <w:tc>
          <w:tcPr>
            <w:tcW w:type="dxa" w:w="1440"/>
            <w:shd w:fill="FAFAFA" w:val="clear"/>
          </w:tcPr>
          <w:p>
            <w:r>
              <w:rPr>
                <w:sz w:val="17"/>
              </w:rPr>
              <w:t>5,582</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4,976</w:t>
            </w:r>
          </w:p>
        </w:tc>
        <w:tc>
          <w:tcPr>
            <w:tcW w:type="dxa" w:w="1440"/>
            <w:shd w:fill="FAFAFA" w:val="clear"/>
          </w:tcPr>
          <w:p>
            <w:r>
              <w:rPr>
                <w:b/>
                <w:sz w:val="17"/>
              </w:rPr>
              <w:t>5,303</w:t>
            </w:r>
          </w:p>
        </w:tc>
        <w:tc>
          <w:tcPr>
            <w:tcW w:type="dxa" w:w="1440"/>
            <w:shd w:fill="FAFAFA" w:val="clear"/>
          </w:tcPr>
          <w:p>
            <w:r>
              <w:rPr>
                <w:sz w:val="17"/>
              </w:rPr>
              <w:t>5,630</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2026-09-01</w:t>
            </w:r>
          </w:p>
        </w:tc>
        <w:tc>
          <w:tcPr>
            <w:tcW w:type="dxa" w:w="1440"/>
            <w:shd w:fill="FAFAFA" w:val="clear"/>
          </w:tcPr>
          <w:p>
            <w:r>
              <w:rPr>
                <w:sz w:val="17"/>
              </w:rPr>
              <w:t>4,914</w:t>
            </w:r>
          </w:p>
        </w:tc>
        <w:tc>
          <w:tcPr>
            <w:tcW w:type="dxa" w:w="1440"/>
            <w:shd w:fill="FAFAFA" w:val="clear"/>
          </w:tcPr>
          <w:p>
            <w:r>
              <w:rPr>
                <w:b/>
                <w:sz w:val="17"/>
              </w:rPr>
              <w:t>5,291</w:t>
            </w:r>
          </w:p>
        </w:tc>
        <w:tc>
          <w:tcPr>
            <w:tcW w:type="dxa" w:w="1440"/>
            <w:shd w:fill="FAFAFA" w:val="clear"/>
          </w:tcPr>
          <w:p>
            <w:r>
              <w:rPr>
                <w:sz w:val="17"/>
              </w:rPr>
              <w:t>5,668</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2026-09-02</w:t>
            </w:r>
          </w:p>
        </w:tc>
        <w:tc>
          <w:tcPr>
            <w:tcW w:type="dxa" w:w="1440"/>
            <w:shd w:fill="FAFAFA" w:val="clear"/>
          </w:tcPr>
          <w:p>
            <w:r>
              <w:rPr>
                <w:sz w:val="17"/>
              </w:rPr>
              <w:t>4,859</w:t>
            </w:r>
          </w:p>
        </w:tc>
        <w:tc>
          <w:tcPr>
            <w:tcW w:type="dxa" w:w="1440"/>
            <w:shd w:fill="FAFAFA" w:val="clear"/>
          </w:tcPr>
          <w:p>
            <w:r>
              <w:rPr>
                <w:b/>
                <w:sz w:val="17"/>
              </w:rPr>
              <w:t>5,279</w:t>
            </w:r>
          </w:p>
        </w:tc>
        <w:tc>
          <w:tcPr>
            <w:tcW w:type="dxa" w:w="1440"/>
            <w:shd w:fill="FAFAFA" w:val="clear"/>
          </w:tcPr>
          <w:p>
            <w:r>
              <w:rPr>
                <w:sz w:val="17"/>
              </w:rPr>
              <w:t>5,699</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2026-09-03</w:t>
            </w:r>
          </w:p>
        </w:tc>
        <w:tc>
          <w:tcPr>
            <w:tcW w:type="dxa" w:w="1440"/>
            <w:shd w:fill="FAFAFA" w:val="clear"/>
          </w:tcPr>
          <w:p>
            <w:r>
              <w:rPr>
                <w:sz w:val="17"/>
              </w:rPr>
              <w:t>4,808</w:t>
            </w:r>
          </w:p>
        </w:tc>
        <w:tc>
          <w:tcPr>
            <w:tcW w:type="dxa" w:w="1440"/>
            <w:shd w:fill="FAFAFA" w:val="clear"/>
          </w:tcPr>
          <w:p>
            <w:r>
              <w:rPr>
                <w:b/>
                <w:sz w:val="17"/>
              </w:rPr>
              <w:t>5,267</w:t>
            </w:r>
          </w:p>
        </w:tc>
        <w:tc>
          <w:tcPr>
            <w:tcW w:type="dxa" w:w="1440"/>
            <w:shd w:fill="FAFAFA" w:val="clear"/>
          </w:tcPr>
          <w:p>
            <w:r>
              <w:rPr>
                <w:sz w:val="17"/>
              </w:rPr>
              <w:t>5,726</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2026-09-04</w:t>
            </w:r>
          </w:p>
        </w:tc>
        <w:tc>
          <w:tcPr>
            <w:tcW w:type="dxa" w:w="1440"/>
            <w:shd w:fill="FAFAFA" w:val="clear"/>
          </w:tcPr>
          <w:p>
            <w:r>
              <w:rPr>
                <w:sz w:val="17"/>
              </w:rPr>
              <w:t>4,760</w:t>
            </w:r>
          </w:p>
        </w:tc>
        <w:tc>
          <w:tcPr>
            <w:tcW w:type="dxa" w:w="1440"/>
            <w:shd w:fill="FAFAFA" w:val="clear"/>
          </w:tcPr>
          <w:p>
            <w:r>
              <w:rPr>
                <w:b/>
                <w:sz w:val="17"/>
              </w:rPr>
              <w:t>5,255</w:t>
            </w:r>
          </w:p>
        </w:tc>
        <w:tc>
          <w:tcPr>
            <w:tcW w:type="dxa" w:w="1440"/>
            <w:shd w:fill="FAFAFA" w:val="clear"/>
          </w:tcPr>
          <w:p>
            <w:r>
              <w:rPr>
                <w:sz w:val="17"/>
              </w:rPr>
              <w:t>5,750</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4,716</w:t>
            </w:r>
          </w:p>
        </w:tc>
        <w:tc>
          <w:tcPr>
            <w:tcW w:type="dxa" w:w="1440"/>
            <w:shd w:fill="FFDCE0" w:val="clear"/>
          </w:tcPr>
          <w:p>
            <w:r>
              <w:rPr>
                <w:b/>
                <w:sz w:val="17"/>
              </w:rPr>
              <w:t>5,244</w:t>
            </w:r>
          </w:p>
        </w:tc>
        <w:tc>
          <w:tcPr>
            <w:tcW w:type="dxa" w:w="1440"/>
            <w:shd w:fill="FFDCE0" w:val="clear"/>
          </w:tcPr>
          <w:p>
            <w:r>
              <w:rPr>
                <w:sz w:val="17"/>
              </w:rPr>
              <w:t>5,772</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4,674</w:t>
            </w:r>
          </w:p>
        </w:tc>
        <w:tc>
          <w:tcPr>
            <w:tcW w:type="dxa" w:w="1440"/>
            <w:shd w:fill="FFDCE0" w:val="clear"/>
          </w:tcPr>
          <w:p>
            <w:r>
              <w:rPr>
                <w:b/>
                <w:sz w:val="17"/>
              </w:rPr>
              <w:t>5,232</w:t>
            </w:r>
          </w:p>
        </w:tc>
        <w:tc>
          <w:tcPr>
            <w:tcW w:type="dxa" w:w="1440"/>
            <w:shd w:fill="FFDCE0" w:val="clear"/>
          </w:tcPr>
          <w:p>
            <w:r>
              <w:rPr>
                <w:sz w:val="17"/>
              </w:rPr>
              <w:t>5,791</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4,633</w:t>
            </w:r>
          </w:p>
        </w:tc>
        <w:tc>
          <w:tcPr>
            <w:tcW w:type="dxa" w:w="1440"/>
            <w:shd w:fill="FFDCE0" w:val="clear"/>
          </w:tcPr>
          <w:p>
            <w:r>
              <w:rPr>
                <w:b/>
                <w:sz w:val="17"/>
              </w:rPr>
              <w:t>5,221</w:t>
            </w:r>
          </w:p>
        </w:tc>
        <w:tc>
          <w:tcPr>
            <w:tcW w:type="dxa" w:w="1440"/>
            <w:shd w:fill="FFDCE0" w:val="clear"/>
          </w:tcPr>
          <w:p>
            <w:r>
              <w:rPr>
                <w:sz w:val="17"/>
              </w:rPr>
              <w:t>5,809</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111,38 milliards FCFA, un niveau significatif qui la positionne parmi les valeurs moyennes de la BRVM, reflétant un intérêt certain des investisseurs pour le titre. Le BPA de 20 FCFA par action est extrêmement faible, ce qui explique un PER de 272,3x, très largement supérieur à la moyenne du marché (8-12x). Ce ratio indique que les investisseurs paient un prix très élevé pour un bénéfice unitaire minime, signe d'une anticipation de croissance future ou d'une spéculation excessive. Le P/B de 3,09x montre que le marché valorise la société à plus de trois fois ses capitaux propres, une prime de croissance accordée malgré des fondamentaux dégradés. Enfin, l'EV/EBITDA de 40,5x est extrêmement exigeant, suggérant que la valeur totale de l'entreprise est très élevée par rapport à sa capacité opérationnelle réelle, ce qui renforce le risque de correction.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BOAN a enregistré une variation totale spectaculaire de +104,39%, passant d'un plus bas de 2 620 FCFA à un plus haut de 5 400 FCFA, avec un cours actuel de 5 355 FCFA. La variation sur la dernière séance est marginale (+0,19%), suggérant une stabilisation après une forte progression. La moyenne du cours sur la période est de 4 090 FCFA, tandis que la médiane est de 3 740 FCFA, l'écart entre ces deux valeurs indiquant une distribution asymétrique positive, confirmée par un skewness de 0,191. L'écart-type de 848 FCFA (CV=20,7%) révèle une dispersion modérée des prix autour de la moyenne. Le kurtosis de -1,185 (platykurtique) indique une distribution aplatie avec une faible concentration des valeurs extrêmes, réduisant le risque de pics soudains. La volatilité annualisée de 39,4% est élevée (&gt;30%), reflétant un titre très spéculatif et risqué, mais offrant des opportunités de gains substantiels.</w:t>
      </w:r>
    </w:p>
    <w:p>
      <w:pPr>
        <w:spacing w:after="120" w:line="276" w:lineRule="auto" w:before="240"/>
      </w:pPr>
      <w:r>
        <w:rPr>
          <w:b/>
          <w:color w:val="003366"/>
          <w:sz w:val="24"/>
        </w:rPr>
        <w:t>**PARTIE 2 : ANALYSE TECHNIQUE DÉTAILLÉE**</w:t>
      </w:r>
    </w:p>
    <w:p>
      <w:pPr>
        <w:spacing w:after="120" w:line="276" w:lineRule="auto"/>
      </w:pPr>
      <w:r>
        <w:t>**Moyennes Mobiles** : La MM20 à 5 207,25 FCFA et la MM50 à 4 785,1 FCFA sont toutes deux inférieures au cours actuel de 5 355 FCFA, confirmant une tendance haussière solide. Le cours évolue au-dessus de ces moyennes, ce qui génère un signal d'achat, bien que l'écart croissant entre le prix et la MM20 puisse indiquer une surenchère temporaire.</w:t>
      </w:r>
    </w:p>
    <w:p>
      <w:pPr>
        <w:spacing w:after="120" w:line="276" w:lineRule="auto"/>
      </w:pPr>
      <w:r>
        <w:t>**Bandes de Bollinger** : Le prix actuel de 5 355 FCFA se situe près de la borne supérieure (5 405,5 FCFA), indiquant que le titre est en zone de surachat technique. La largeur des bandes reflète une volatilité élevée, et la décision neutre suggère que le marché attend un catalyseur pour poursuivre ou corriger.</w:t>
      </w:r>
    </w:p>
    <w:p>
      <w:pPr>
        <w:spacing w:after="120" w:line="276" w:lineRule="auto"/>
      </w:pPr>
      <w:r>
        <w:t>**MACD** : Le MACD (119,084) est inférieur à son signal (132,805), indiquant un momentum baissier à court terme malgré la tendance haussière globale. Cette divergence signale une possible consolidation ou correction, justifiant la décision de vente.</w:t>
      </w:r>
    </w:p>
    <w:p>
      <w:pPr>
        <w:spacing w:after="120" w:line="276" w:lineRule="auto"/>
      </w:pPr>
      <w:r>
        <w:t>**RSI** : Le RSI à 75,248 est en zone de surachat (&gt;70), confirmant que le titre est surévalué à court terme. Ce niveau suggère un essoufflement de la dynamique haussière et un risque de retournement, d'où la décision de vente.</w:t>
      </w:r>
    </w:p>
    <w:p>
      <w:pPr>
        <w:spacing w:after="120" w:line="276" w:lineRule="auto"/>
      </w:pPr>
      <w:r>
        <w:t>**Stochastique** : Le %K et le %D sont tous deux à 100, indiquant une condition de surachat extrême. Ce niveau maximal signale que le titre est très étendu et vulnérable à une correction, justifiant la décision de vente.</w:t>
      </w:r>
    </w:p>
    <w:p>
      <w:pPr>
        <w:spacing w:after="120" w:line="276" w:lineRule="auto"/>
      </w:pPr>
      <w:r>
        <w:t>**Conclusion technique** : Les indicateurs techniques sont partagés : les moyennes mobiles soutiennent une tendance haussière, mais le RSI, le stochastique et le MACD signalent un surachat prononcé. Cette divergence suggère une probabilité élevée de consolidation ou de correction à court terme, malgré la force de la tendance de fond.</w:t>
      </w:r>
    </w:p>
    <w:p>
      <w:pPr>
        <w:spacing w:after="120" w:line="276" w:lineRule="auto" w:before="240"/>
      </w:pPr>
      <w:r>
        <w:rPr>
          <w:b/>
          <w:color w:val="003366"/>
          <w:sz w:val="24"/>
        </w:rPr>
        <w:t>**PARTIE 3 : ANALYSE FONDAMENTALE (SECTION CRITIQUE)**</w:t>
      </w:r>
    </w:p>
    <w:p>
      <w:pPr>
        <w:spacing w:after="120" w:line="276" w:lineRule="auto"/>
      </w:pPr>
      <w:r>
        <w:t>En 2025, le Produit Net Bancaire (PNB) de BOAN s'établit à 21,125 milliards FCFA, en légère baisse de 1,2% par rapport à 2024 (21,380 milliards FCFA), tandis que le résultat net chute de 91,8% à 409 millions FCFA, contre 5,002 milliards FCFA en 2024. Le ROE s'effondre à 1,13% et le ROA à 0,14%, contre respectivement 11,39% et 1,49% en 2024, reflétant une rentabilité très dégradée. Le coefficient d'exploitation de 74,37% est élevé, indiquant une efficacité opérationnelle insuffisante (norme &lt;60%). Le coût du risque de 67,30% est préoccupant, traduisant un portefeuille de crédits de mauvaise qualité, avec un taux de créances en souffrance de 24%. Les dépôts clientèle (183,280 milliards FCFA) dépassent largement les créances sur la clientèle (128,447 milliards FCFA), montrant une liquidité excédentaire mais une transformation limitée. Selon le rapport du T1 2026 (daté de 2026), le PNB progresse de 7,9% à 5,170 milliards FCFA et le résultat net bondit de 28,9% à 1,467 milliards FCFA, avec un coefficient d'exploitation amélioré à 56,2%. Sur cette base, on estime que l'exercice 2026 pourrait voir un PNB de 22,8 milliards FCFA et un résultat net de 5,9 milliards FCFA, marquant un net redressement. La solidité financière est maintenue avec un ratio de solvabilité de 14,06% et un coefficient de liquidité de 123,95%, mais les risques de crédit et macroéconomiques restent élevés.</w:t>
      </w:r>
    </w:p>
    <w:p>
      <w:pPr>
        <w:spacing w:after="120" w:line="276" w:lineRule="auto" w:before="240"/>
      </w:pPr>
      <w:r>
        <w:rPr>
          <w:b/>
          <w:color w:val="003366"/>
          <w:sz w:val="24"/>
        </w:rPr>
        <w:t>**PARTIE 4 : CONCLUSION D'INVESTISSEMENT**</w:t>
      </w:r>
    </w:p>
    <w:p>
      <w:pPr>
        <w:spacing w:after="120" w:line="276" w:lineRule="auto"/>
      </w:pPr>
      <w:r>
        <w:t>La valorisation de BOAN est extrêmement exigeante (PER 272,3x, EV/EBITDA 40,5x, P/B 3,09x), indiquant une surévaluation manifeste par rapport aux bénéfices actuels. Le comportement du cours montre une tendance haussière spectaculaire (+104,39% sur 100 jours) mais avec une volatilité élevée (39,4%) et des statistiques révélant une distribution aplatie, suggérant un risque de retournement. Les signaux techniques sont divergents : les moyennes mobiles sont haussières, mais le RSI (75,2), le stochastique (100) et le MACD signalent un surachat extrême, préfigurant une correction. Les fondamentaux sont faibles pour 2025 (ROE 1,13%, résultat net en chute de 91,8%), mais les rapports T1 2026 montrent un redressement prometteur (+28,9% du résultat net). Les prédictions IA (J+1 à J+10) anticipent une légère baisse de 5 319 à 5 279 FCFA, confirmant le scénario de consolidation. En synthèse, la convergence entre la surévaluation, les signaux techniques de surachat et les prédictions baissières à court terme, malgré des fondamentaux en amélioration, conduit à une recommandation de **CONSERVER** avec un niveau de confiance **Moyen** et un risque global **Élevé**. L'horizon d'investissement optimal est le **moyen terme (3-12 mois)**, en attendant une correction du cours pour entrer à des niveaux plus raisonnables.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306.00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9,194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+28.79%</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6,600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5.44% (Moyenne) — μ=7,388 FCFA, σ=402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β=0.3559 (Défensif) — Cov=0.000012, Var(idx)=0.000033, ρ=0.131,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9,194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7,992</w:t>
            </w:r>
          </w:p>
        </w:tc>
        <w:tc>
          <w:tcPr>
            <w:tcW w:type="dxa" w:w="1440"/>
            <w:shd w:fill="FFDCE0" w:val="clear"/>
          </w:tcPr>
          <w:p>
            <w:r>
              <w:rPr>
                <w:b/>
                <w:sz w:val="17"/>
              </w:rPr>
              <w:t>8,234</w:t>
            </w:r>
          </w:p>
        </w:tc>
        <w:tc>
          <w:tcPr>
            <w:tcW w:type="dxa" w:w="1440"/>
            <w:shd w:fill="FFDCE0" w:val="clear"/>
          </w:tcPr>
          <w:p>
            <w:r>
              <w:rPr>
                <w:sz w:val="17"/>
              </w:rPr>
              <w:t>8,475</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7,733</w:t>
            </w:r>
          </w:p>
        </w:tc>
        <w:tc>
          <w:tcPr>
            <w:tcW w:type="dxa" w:w="1440"/>
            <w:shd w:fill="FFDCE0" w:val="clear"/>
          </w:tcPr>
          <w:p>
            <w:r>
              <w:rPr>
                <w:b/>
                <w:sz w:val="17"/>
              </w:rPr>
              <w:t>8,067</w:t>
            </w:r>
          </w:p>
        </w:tc>
        <w:tc>
          <w:tcPr>
            <w:tcW w:type="dxa" w:w="1440"/>
            <w:shd w:fill="FFDCE0" w:val="clear"/>
          </w:tcPr>
          <w:p>
            <w:r>
              <w:rPr>
                <w:sz w:val="17"/>
              </w:rPr>
              <w:t>8,401</w:t>
            </w:r>
          </w:p>
        </w:tc>
        <w:tc>
          <w:tcPr>
            <w:tcW w:type="dxa" w:w="1440"/>
            <w:shd w:fill="FFDCE0" w:val="clear"/>
          </w:tcPr>
          <w:p>
            <w:r>
              <w:rPr>
                <w:b/>
                <w:color w:val="C00000"/>
                <w:sz w:val="17"/>
              </w:rPr>
              <w:t>-5.1%</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7,508</w:t>
            </w:r>
          </w:p>
        </w:tc>
        <w:tc>
          <w:tcPr>
            <w:tcW w:type="dxa" w:w="1440"/>
            <w:shd w:fill="FFDCE0" w:val="clear"/>
          </w:tcPr>
          <w:p>
            <w:r>
              <w:rPr>
                <w:b/>
                <w:sz w:val="17"/>
              </w:rPr>
              <w:t>7,910</w:t>
            </w:r>
          </w:p>
        </w:tc>
        <w:tc>
          <w:tcPr>
            <w:tcW w:type="dxa" w:w="1440"/>
            <w:shd w:fill="FFDCE0" w:val="clear"/>
          </w:tcPr>
          <w:p>
            <w:r>
              <w:rPr>
                <w:sz w:val="17"/>
              </w:rPr>
              <w:t>8,311</w:t>
            </w:r>
          </w:p>
        </w:tc>
        <w:tc>
          <w:tcPr>
            <w:tcW w:type="dxa" w:w="1440"/>
            <w:shd w:fill="FFDCE0" w:val="clear"/>
          </w:tcPr>
          <w:p>
            <w:r>
              <w:rPr>
                <w:b/>
                <w:color w:val="C00000"/>
                <w:sz w:val="17"/>
              </w:rPr>
              <w:t>-6.9%</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7,317</w:t>
            </w:r>
          </w:p>
        </w:tc>
        <w:tc>
          <w:tcPr>
            <w:tcW w:type="dxa" w:w="1440"/>
            <w:shd w:fill="FFDCE0" w:val="clear"/>
          </w:tcPr>
          <w:p>
            <w:r>
              <w:rPr>
                <w:b/>
                <w:sz w:val="17"/>
              </w:rPr>
              <w:t>7,772</w:t>
            </w:r>
          </w:p>
        </w:tc>
        <w:tc>
          <w:tcPr>
            <w:tcW w:type="dxa" w:w="1440"/>
            <w:shd w:fill="FFDCE0" w:val="clear"/>
          </w:tcPr>
          <w:p>
            <w:r>
              <w:rPr>
                <w:sz w:val="17"/>
              </w:rPr>
              <w:t>8,227</w:t>
            </w:r>
          </w:p>
        </w:tc>
        <w:tc>
          <w:tcPr>
            <w:tcW w:type="dxa" w:w="1440"/>
            <w:shd w:fill="FFDCE0" w:val="clear"/>
          </w:tcPr>
          <w:p>
            <w:r>
              <w:rPr>
                <w:b/>
                <w:color w:val="C00000"/>
                <w:sz w:val="17"/>
              </w:rPr>
              <w:t>-8.6%</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7,144</w:t>
            </w:r>
          </w:p>
        </w:tc>
        <w:tc>
          <w:tcPr>
            <w:tcW w:type="dxa" w:w="1440"/>
            <w:shd w:fill="FFDCE0" w:val="clear"/>
          </w:tcPr>
          <w:p>
            <w:r>
              <w:rPr>
                <w:b/>
                <w:sz w:val="17"/>
              </w:rPr>
              <w:t>7,645</w:t>
            </w:r>
          </w:p>
        </w:tc>
        <w:tc>
          <w:tcPr>
            <w:tcW w:type="dxa" w:w="1440"/>
            <w:shd w:fill="FFDCE0" w:val="clear"/>
          </w:tcPr>
          <w:p>
            <w:r>
              <w:rPr>
                <w:sz w:val="17"/>
              </w:rPr>
              <w:t>8,145</w:t>
            </w:r>
          </w:p>
        </w:tc>
        <w:tc>
          <w:tcPr>
            <w:tcW w:type="dxa" w:w="1440"/>
            <w:shd w:fill="FFDCE0" w:val="clear"/>
          </w:tcPr>
          <w:p>
            <w:r>
              <w:rPr>
                <w:b/>
                <w:color w:val="C00000"/>
                <w:sz w:val="17"/>
              </w:rPr>
              <w:t>-10.1%</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6,986</w:t>
            </w:r>
          </w:p>
        </w:tc>
        <w:tc>
          <w:tcPr>
            <w:tcW w:type="dxa" w:w="1440"/>
            <w:shd w:fill="FFDCE0" w:val="clear"/>
          </w:tcPr>
          <w:p>
            <w:r>
              <w:rPr>
                <w:b/>
                <w:sz w:val="17"/>
              </w:rPr>
              <w:t>7,526</w:t>
            </w:r>
          </w:p>
        </w:tc>
        <w:tc>
          <w:tcPr>
            <w:tcW w:type="dxa" w:w="1440"/>
            <w:shd w:fill="FFDCE0" w:val="clear"/>
          </w:tcPr>
          <w:p>
            <w:r>
              <w:rPr>
                <w:sz w:val="17"/>
              </w:rPr>
              <w:t>8,065</w:t>
            </w:r>
          </w:p>
        </w:tc>
        <w:tc>
          <w:tcPr>
            <w:tcW w:type="dxa" w:w="1440"/>
            <w:shd w:fill="FFDCE0" w:val="clear"/>
          </w:tcPr>
          <w:p>
            <w:r>
              <w:rPr>
                <w:b/>
                <w:color w:val="C00000"/>
                <w:sz w:val="17"/>
              </w:rPr>
              <w:t>-11.5%</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6,839</w:t>
            </w:r>
          </w:p>
        </w:tc>
        <w:tc>
          <w:tcPr>
            <w:tcW w:type="dxa" w:w="1440"/>
            <w:shd w:fill="FFDCE0" w:val="clear"/>
          </w:tcPr>
          <w:p>
            <w:r>
              <w:rPr>
                <w:b/>
                <w:sz w:val="17"/>
              </w:rPr>
              <w:t>7,413</w:t>
            </w:r>
          </w:p>
        </w:tc>
        <w:tc>
          <w:tcPr>
            <w:tcW w:type="dxa" w:w="1440"/>
            <w:shd w:fill="FFDCE0" w:val="clear"/>
          </w:tcPr>
          <w:p>
            <w:r>
              <w:rPr>
                <w:sz w:val="17"/>
              </w:rPr>
              <w:t>7,988</w:t>
            </w:r>
          </w:p>
        </w:tc>
        <w:tc>
          <w:tcPr>
            <w:tcW w:type="dxa" w:w="1440"/>
            <w:shd w:fill="FFDCE0" w:val="clear"/>
          </w:tcPr>
          <w:p>
            <w:r>
              <w:rPr>
                <w:b/>
                <w:color w:val="C00000"/>
                <w:sz w:val="17"/>
              </w:rPr>
              <w:t>-12.8%</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6,702</w:t>
            </w:r>
          </w:p>
        </w:tc>
        <w:tc>
          <w:tcPr>
            <w:tcW w:type="dxa" w:w="1440"/>
            <w:shd w:fill="FFDCE0" w:val="clear"/>
          </w:tcPr>
          <w:p>
            <w:r>
              <w:rPr>
                <w:b/>
                <w:sz w:val="17"/>
              </w:rPr>
              <w:t>7,307</w:t>
            </w:r>
          </w:p>
        </w:tc>
        <w:tc>
          <w:tcPr>
            <w:tcW w:type="dxa" w:w="1440"/>
            <w:shd w:fill="FFDCE0" w:val="clear"/>
          </w:tcPr>
          <w:p>
            <w:r>
              <w:rPr>
                <w:sz w:val="17"/>
              </w:rPr>
              <w:t>7,913</w:t>
            </w:r>
          </w:p>
        </w:tc>
        <w:tc>
          <w:tcPr>
            <w:tcW w:type="dxa" w:w="1440"/>
            <w:shd w:fill="FFDCE0" w:val="clear"/>
          </w:tcPr>
          <w:p>
            <w:r>
              <w:rPr>
                <w:b/>
                <w:color w:val="C00000"/>
                <w:sz w:val="17"/>
              </w:rPr>
              <w:t>-14.0%</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6,574</w:t>
            </w:r>
          </w:p>
        </w:tc>
        <w:tc>
          <w:tcPr>
            <w:tcW w:type="dxa" w:w="1440"/>
            <w:shd w:fill="FFDCE0" w:val="clear"/>
          </w:tcPr>
          <w:p>
            <w:r>
              <w:rPr>
                <w:b/>
                <w:sz w:val="17"/>
              </w:rPr>
              <w:t>7,208</w:t>
            </w:r>
          </w:p>
        </w:tc>
        <w:tc>
          <w:tcPr>
            <w:tcW w:type="dxa" w:w="1440"/>
            <w:shd w:fill="FFDCE0" w:val="clear"/>
          </w:tcPr>
          <w:p>
            <w:r>
              <w:rPr>
                <w:sz w:val="17"/>
              </w:rPr>
              <w:t>7,841</w:t>
            </w:r>
          </w:p>
        </w:tc>
        <w:tc>
          <w:tcPr>
            <w:tcW w:type="dxa" w:w="1440"/>
            <w:shd w:fill="FFDCE0" w:val="clear"/>
          </w:tcPr>
          <w:p>
            <w:r>
              <w:rPr>
                <w:b/>
                <w:color w:val="C00000"/>
                <w:sz w:val="17"/>
              </w:rPr>
              <w:t>-15.2%</w:t>
            </w:r>
          </w:p>
        </w:tc>
      </w:tr>
      <w:tr>
        <w:tc>
          <w:tcPr>
            <w:tcW w:type="dxa" w:w="1440"/>
            <w:shd w:fill="FFDCE0" w:val="clear"/>
          </w:tcPr>
          <w:p>
            <w:r>
              <w:rPr>
                <w:sz w:val="17"/>
              </w:rPr>
              <w:t>J+10  Moyenne</w:t>
            </w:r>
          </w:p>
        </w:tc>
        <w:tc>
          <w:tcPr>
            <w:tcW w:type="dxa" w:w="1440"/>
            <w:shd w:fill="FFDCE0" w:val="clear"/>
          </w:tcPr>
          <w:p>
            <w:r>
              <w:rPr>
                <w:sz w:val="17"/>
              </w:rPr>
              <w:t>2026-09-09</w:t>
            </w:r>
          </w:p>
        </w:tc>
        <w:tc>
          <w:tcPr>
            <w:tcW w:type="dxa" w:w="1440"/>
            <w:shd w:fill="FFDCE0" w:val="clear"/>
          </w:tcPr>
          <w:p>
            <w:r>
              <w:rPr>
                <w:sz w:val="17"/>
              </w:rPr>
              <w:t>6,455</w:t>
            </w:r>
          </w:p>
        </w:tc>
        <w:tc>
          <w:tcPr>
            <w:tcW w:type="dxa" w:w="1440"/>
            <w:shd w:fill="FFDCE0" w:val="clear"/>
          </w:tcPr>
          <w:p>
            <w:r>
              <w:rPr>
                <w:b/>
                <w:sz w:val="17"/>
              </w:rPr>
              <w:t>7,113</w:t>
            </w:r>
          </w:p>
        </w:tc>
        <w:tc>
          <w:tcPr>
            <w:tcW w:type="dxa" w:w="1440"/>
            <w:shd w:fill="FFDCE0" w:val="clear"/>
          </w:tcPr>
          <w:p>
            <w:r>
              <w:rPr>
                <w:sz w:val="17"/>
              </w:rPr>
              <w:t>7,772</w:t>
            </w:r>
          </w:p>
        </w:tc>
        <w:tc>
          <w:tcPr>
            <w:tcW w:type="dxa" w:w="1440"/>
            <w:shd w:fill="FFDCE0" w:val="clear"/>
          </w:tcPr>
          <w:p>
            <w:r>
              <w:rPr>
                <w:b/>
                <w:color w:val="C00000"/>
                <w:sz w:val="17"/>
              </w:rPr>
              <w:t>-16.3%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 — BRVM**</w:t>
      </w:r>
    </w:p>
    <w:p>
      <w:pPr>
        <w:spacing w:after="120" w:line="276" w:lineRule="auto" w:before="240"/>
      </w:pPr>
      <w:r>
        <w:rPr>
          <w:b/>
          <w:color w:val="003366"/>
          <w:sz w:val="24"/>
        </w:rPr>
        <w:t>**PARTIE 0 : INDICATEURS DE VALORISATION BOURSIÈRE**</w:t>
      </w:r>
    </w:p>
    <w:p>
      <w:pPr>
        <w:spacing w:after="120" w:line="276" w:lineRule="auto"/>
      </w:pPr>
      <w:r>
        <w:t>La capitalisation boursière de BOAS s'établit à 306 milliards FCFA, ce qui positionne le titre parmi les valeurs à grande capitalisation de la BRVM, lui conférant une liquidité et une visibilité institutionnelle notables. Le BPA de 608 FCFA indique que chaque action a généré un bénéfice substantiel sur l'exercice. Le PER de 14,0x est supérieur à la moyenne historique de la BRVM (8-12x), suggérant que le marché applique une prime de croissance, justifiée par les performances récentes de la banque. Le P/B de 3,17x confirme cette prime, le marché valorisant la société à plus de trois fois ses capitaux propres, ce qui reflète une forte confiance dans la création de valeur future. Enfin, l'EV/EBITDA de 9,1x, situé dans la fourchette haute des valeurs raisonnables, indique que la valorisation globale de l'entreprise, rapportée à sa capacité opérationnelle, reste soutenable malgré la prime de croissance.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performance remarquable de +28,79%, passant d'un plus bas de 6 600 FCFA à un plus haut de 8 500 FCFA, son niveau actuel, avec une stabilité lors de la dernière séance. Cette tendance est clairement haussière, le titre évoluant près de ses plus hauts. Les statistiques descriptives confirment cette dynamique : la moyenne (7 388 FCFA) et la médiane (7 392 FCFA) sont quasi identiques, et le skewness proche de zéro (0.066) indique une distribution symétrique des prix, sans asymétrie marquée. L'écart-type de 404 FCFA, avec un coefficient de variation de 5,5%, révèle une dispersion modérée des prix autour de la moyenne, tandis que le kurtosis de -0.094 (mésokurtique) suggère une absence de pics de volatilité extrêmes. La volatilité annualisée de 24,7% classe le titre dans une catégorie de risque modéré, cohérente avec une tendance haussière soutenue mais non erratique.</w:t>
      </w:r>
    </w:p>
    <w:p>
      <w:pPr>
        <w:spacing w:after="120" w:line="276" w:lineRule="auto" w:before="240"/>
      </w:pPr>
      <w:r>
        <w:rPr>
          <w:b/>
          <w:color w:val="003366"/>
          <w:sz w:val="24"/>
        </w:rPr>
        <w:t>**PARTIE 2 : ANALYSE TECHNIQUE DÉTAILLÉE**</w:t>
      </w:r>
    </w:p>
    <w:p>
      <w:pPr>
        <w:spacing w:after="120" w:line="276" w:lineRule="auto"/>
      </w:pPr>
      <w:r>
        <w:t>**Moyennes Mobiles** : Le cours actuel (8 500 FCFA) est nettement au-dessus de la MM20 (7 851,25 FCFA) et de la MM50 (7 587,4 FCFA). Cette configuration en pente ascendante confirme une dynamique haussière à court et moyen terme. Le signal d'achat est justifié par cette tendance positive et l'écart croissant entre les moyennes, indiquant une forte pression acheteuse.</w:t>
      </w:r>
    </w:p>
    <w:p>
      <w:pPr>
        <w:spacing w:after="120" w:line="276" w:lineRule="auto"/>
      </w:pPr>
      <w:r>
        <w:t>**Bandes de Bollinger** : Le cours a franchi la borne supérieure (8 350,48 FCFA), ce qui indique une phase de surachat temporaire et une volatilité accrue. Le signal de vente généré par cet indicateur est un avertissement classique de correction potentielle à très court terme, mais il ne remet pas en cause la tendance de fond tant que le cours reste au-dessus de la MM20.</w:t>
      </w:r>
    </w:p>
    <w:p>
      <w:pPr>
        <w:spacing w:after="120" w:line="276" w:lineRule="auto"/>
      </w:pPr>
      <w:r>
        <w:t>**MACD** : Le MACD (176,075) est nettement au-dessus de sa ligne de signal (104,706), avec un écart positif et croissant. Ce croisement haussier confirme un momentum très positif et une accélération de la tendance. Le signal d'achat est fort et cohérent avec la dynamique actuelle du titre.</w:t>
      </w:r>
    </w:p>
    <w:p>
      <w:pPr>
        <w:spacing w:after="120" w:line="276" w:lineRule="auto"/>
      </w:pPr>
      <w:r>
        <w:t>**RSI** : Le RSI à 85,714 est en zone de surachat extrême (au-delà de 70). Cette valeur indique que le titre est survendu à la hausse et qu'une consolidation ou un repli technique est probable à court terme. Le signal de vente est un signal de prudence, mais il ne doit pas être interprété comme un retournement de tendance majeur.</w:t>
      </w:r>
    </w:p>
    <w:p>
      <w:pPr>
        <w:spacing w:after="120" w:line="276" w:lineRule="auto"/>
      </w:pPr>
      <w:r>
        <w:t>**Stochastique** : Le %K et le %D sont tous deux à 100, en zone de surachat extrême. Cette configuration signale que le titre a été poussé à des niveaux extrêmes et qu'un croisement baissier est imminent. Le signal de vente est un indicateur de prudence, suggérant une pause dans la hausse.</w:t>
      </w:r>
    </w:p>
    <w:p>
      <w:pPr>
        <w:spacing w:after="120" w:line="276" w:lineRule="auto"/>
      </w:pPr>
      <w:r>
        <w:t>**Conclusion technique** : Les indicateurs de tendance (MM, MACD) sont résolument haussiers, mais les oscillateurs (RSI, Stochastique, Bollinger) signalent tous un état de surachat extrême. Cette divergence indique une forte probabilité de consolidation ou de correction technique à court terme avant la poursuite de la tendance haussière de fond. La prudence est donc de mise pour un nouvel achat à ces niveaux.</w:t>
      </w:r>
    </w:p>
    <w:p>
      <w:pPr>
        <w:spacing w:after="120" w:line="276" w:lineRule="auto" w:before="240"/>
      </w:pPr>
      <w:r>
        <w:rPr>
          <w:b/>
          <w:color w:val="003366"/>
          <w:sz w:val="24"/>
        </w:rPr>
        <w:t>**PARTIE 3 : ANALYSE FONDAMENTALE (SECTION CRITIQUE)**</w:t>
      </w:r>
    </w:p>
    <w:p>
      <w:pPr>
        <w:spacing w:after="120" w:line="276" w:lineRule="auto"/>
      </w:pPr>
      <w:r>
        <w:t>En 2025, la banque affiche des fondamentaux solides. Le Produit Net Bancaire (PNB) s'établit à 51,926 milliards FCFA, générant un résultat net de 21,905 milliards FCFA, soit une marge nette de 42,19%. La rentabilité des fonds propres (ROE) est excellente à 22,69%, et le ROA est sain à 2,62%. Le coefficient d'exploitation de 44,02% témoigne d'une excellente maîtrise des charges, et le coût du risque de 23,31% reste un point de vigilance. Les dépôts clients (686,927 Mds) financent largement les crédits (386,424 Mds), démontrant une forte capacité de transformation. Les rapports trimestriels de 2025 confirment cette dynamique : le T1 montre un PNB de 11,78 Mds (+2,36%) et un résultat net de 5,23 Mds (+9,25%) ; le S1 affiche un PNB de 25,37 Mds (+6,77%) et un résultat net de 11,62 Mds (+12,70%) ; le T3 cumulé atteint un PNB de 37,44 Mds (+6,71%) et un résultat net de 16,37 Mds (+10,01%). Sur la base de ces tendances, on estime que l'exercice 2025 devrait se clôturer sur une croissance du résultat net d'environ 10%, en ligne avec les données annuelles fournies. Les rapports de 2026 (T1) montrent une poursuite de la croissance avec un PNB de 12,58 Mds (+6,82%) et un résultat net de 5,741 Mds (+9,78%), confirmant la robustesse du modèle économique.</w:t>
      </w:r>
    </w:p>
    <w:p>
      <w:pPr>
        <w:spacing w:after="120" w:line="276" w:lineRule="auto" w:before="240"/>
      </w:pPr>
      <w:r>
        <w:rPr>
          <w:b/>
          <w:color w:val="003366"/>
          <w:sz w:val="24"/>
        </w:rPr>
        <w:t>**PARTIE 4 : CONCLUSION D'INVESTISSEMENT**</w:t>
      </w:r>
    </w:p>
    <w:p>
      <w:pPr>
        <w:spacing w:after="120" w:line="276" w:lineRule="auto"/>
      </w:pPr>
      <w:r>
        <w:t>La valorisation actuelle de BOAS (PER 14x, P/B 3,17x) intègre une prime de croissance, justifiée par des fondamentaux excellents et une exécution stratégique sans faille. La tendance du cours sur 100 jours est fortement haussière (+28,79%), mais les indicateurs techniques (RSI, Stochastique) signalent un surachat extrême, suggérant une consolidation à court terme. Les fondamentaux, avec un ROE de 22,69% et une croissance soutenue du résultat net, restent le principal moteur de la valeur à moyen terme. Les prédictions IA, qui anticipent un repli progressif du cours vers 7 645 FCFA sur 10 jours, confirment la probabilité d'une correction technique. En synthèse, la convergence entre la surchauffe technique et la prédiction IA suggère une pause dans la hausse, mais la solidité fondamentale et la dynamique de croissance plaident pour une poursuite de la tendance après consolidation. **Recommandation finale : CONSERVER** pour les investisseurs en portefeuille, avec un niveau de confiance **Moyen** et un risque global **Moyen**. Pour les nouveaux investisseurs, il est suggéré d'attendre un repli vers la zone des 7 800-8 000 FCFA pour initier une position. L'horizon d'investissement optimal est le **moyen terme (3-12 mois)**.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2,394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+2.94%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55.5%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7.56% (Moyenne) — μ=3,773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β=-0.1761 (Contre-cyclique) — Cov=-0.000006, Var(idx)=0.000033, ρ=-0.029,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2,394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σ_j=3.50%/j (Modérée) — Vol. annualisée≈55.5%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2026-08-27</w:t>
            </w:r>
          </w:p>
        </w:tc>
        <w:tc>
          <w:tcPr>
            <w:tcW w:type="dxa" w:w="1440"/>
            <w:shd w:fill="C6EFCE" w:val="clear"/>
          </w:tcPr>
          <w:p>
            <w:r>
              <w:rPr>
                <w:sz w:val="17"/>
              </w:rPr>
              <w:t>3,498</w:t>
            </w:r>
          </w:p>
        </w:tc>
        <w:tc>
          <w:tcPr>
            <w:tcW w:type="dxa" w:w="1440"/>
            <w:shd w:fill="C6EFCE" w:val="clear"/>
          </w:tcPr>
          <w:p>
            <w:r>
              <w:rPr>
                <w:b/>
                <w:sz w:val="17"/>
              </w:rPr>
              <w:t>3,651</w:t>
            </w:r>
          </w:p>
        </w:tc>
        <w:tc>
          <w:tcPr>
            <w:tcW w:type="dxa" w:w="1440"/>
            <w:shd w:fill="C6EFCE" w:val="clear"/>
          </w:tcPr>
          <w:p>
            <w:r>
              <w:rPr>
                <w:sz w:val="17"/>
              </w:rPr>
              <w:t>3,804</w:t>
            </w:r>
          </w:p>
        </w:tc>
        <w:tc>
          <w:tcPr>
            <w:tcW w:type="dxa" w:w="1440"/>
            <w:shd w:fill="C6EFCE" w:val="clear"/>
          </w:tcPr>
          <w:p>
            <w:r>
              <w:rPr>
                <w:b/>
                <w:color w:val="008000"/>
                <w:sz w:val="17"/>
              </w:rPr>
              <w:t>+4.3%</w:t>
            </w:r>
          </w:p>
        </w:tc>
      </w:tr>
      <w:tr>
        <w:tc>
          <w:tcPr>
            <w:tcW w:type="dxa" w:w="1440"/>
            <w:shd w:fill="C6EFCE" w:val="clear"/>
          </w:tcPr>
          <w:p>
            <w:r>
              <w:rPr>
                <w:sz w:val="17"/>
              </w:rPr>
              <w:t>J+2  Moyenne</w:t>
            </w:r>
          </w:p>
        </w:tc>
        <w:tc>
          <w:tcPr>
            <w:tcW w:type="dxa" w:w="1440"/>
            <w:shd w:fill="C6EFCE" w:val="clear"/>
          </w:tcPr>
          <w:p>
            <w:r>
              <w:rPr>
                <w:sz w:val="17"/>
              </w:rPr>
              <w:t>2026-08-28</w:t>
            </w:r>
          </w:p>
        </w:tc>
        <w:tc>
          <w:tcPr>
            <w:tcW w:type="dxa" w:w="1440"/>
            <w:shd w:fill="C6EFCE" w:val="clear"/>
          </w:tcPr>
          <w:p>
            <w:r>
              <w:rPr>
                <w:sz w:val="17"/>
              </w:rPr>
              <w:t>3,557</w:t>
            </w:r>
          </w:p>
        </w:tc>
        <w:tc>
          <w:tcPr>
            <w:tcW w:type="dxa" w:w="1440"/>
            <w:shd w:fill="C6EFCE" w:val="clear"/>
          </w:tcPr>
          <w:p>
            <w:r>
              <w:rPr>
                <w:b/>
                <w:sz w:val="17"/>
              </w:rPr>
              <w:t>3,782</w:t>
            </w:r>
          </w:p>
        </w:tc>
        <w:tc>
          <w:tcPr>
            <w:tcW w:type="dxa" w:w="1440"/>
            <w:shd w:fill="C6EFCE" w:val="clear"/>
          </w:tcPr>
          <w:p>
            <w:r>
              <w:rPr>
                <w:sz w:val="17"/>
              </w:rPr>
              <w:t>4,007</w:t>
            </w:r>
          </w:p>
        </w:tc>
        <w:tc>
          <w:tcPr>
            <w:tcW w:type="dxa" w:w="1440"/>
            <w:shd w:fill="C6EFCE" w:val="clear"/>
          </w:tcPr>
          <w:p>
            <w:r>
              <w:rPr>
                <w:b/>
                <w:color w:val="008000"/>
                <w:sz w:val="17"/>
              </w:rPr>
              <w:t>+8.1%</w:t>
            </w:r>
          </w:p>
        </w:tc>
      </w:tr>
      <w:tr>
        <w:tc>
          <w:tcPr>
            <w:tcW w:type="dxa" w:w="1440"/>
            <w:shd w:fill="C6EFCE" w:val="clear"/>
          </w:tcPr>
          <w:p>
            <w:r>
              <w:rPr>
                <w:sz w:val="17"/>
              </w:rPr>
              <w:t>J+3  Moyenne</w:t>
            </w:r>
          </w:p>
        </w:tc>
        <w:tc>
          <w:tcPr>
            <w:tcW w:type="dxa" w:w="1440"/>
            <w:shd w:fill="C6EFCE" w:val="clear"/>
          </w:tcPr>
          <w:p>
            <w:r>
              <w:rPr>
                <w:sz w:val="17"/>
              </w:rPr>
              <w:t>2026-08-31</w:t>
            </w:r>
          </w:p>
        </w:tc>
        <w:tc>
          <w:tcPr>
            <w:tcW w:type="dxa" w:w="1440"/>
            <w:shd w:fill="C6EFCE" w:val="clear"/>
          </w:tcPr>
          <w:p>
            <w:r>
              <w:rPr>
                <w:sz w:val="17"/>
              </w:rPr>
              <w:t>3,667</w:t>
            </w:r>
          </w:p>
        </w:tc>
        <w:tc>
          <w:tcPr>
            <w:tcW w:type="dxa" w:w="1440"/>
            <w:shd w:fill="C6EFCE" w:val="clear"/>
          </w:tcPr>
          <w:p>
            <w:r>
              <w:rPr>
                <w:b/>
                <w:sz w:val="17"/>
              </w:rPr>
              <w:t>3,955</w:t>
            </w:r>
          </w:p>
        </w:tc>
        <w:tc>
          <w:tcPr>
            <w:tcW w:type="dxa" w:w="1440"/>
            <w:shd w:fill="C6EFCE" w:val="clear"/>
          </w:tcPr>
          <w:p>
            <w:r>
              <w:rPr>
                <w:sz w:val="17"/>
              </w:rPr>
              <w:t>4,243</w:t>
            </w:r>
          </w:p>
        </w:tc>
        <w:tc>
          <w:tcPr>
            <w:tcW w:type="dxa" w:w="1440"/>
            <w:shd w:fill="C6EFCE" w:val="clear"/>
          </w:tcPr>
          <w:p>
            <w:r>
              <w:rPr>
                <w:b/>
                <w:color w:val="008000"/>
                <w:sz w:val="17"/>
              </w:rPr>
              <w:t>+13.0%</w:t>
            </w:r>
          </w:p>
        </w:tc>
      </w:tr>
      <w:tr>
        <w:tc>
          <w:tcPr>
            <w:tcW w:type="dxa" w:w="1440"/>
            <w:shd w:fill="C6EFCE" w:val="clear"/>
          </w:tcPr>
          <w:p>
            <w:r>
              <w:rPr>
                <w:sz w:val="17"/>
              </w:rPr>
              <w:t>J+4  ⭐</w:t>
            </w:r>
          </w:p>
        </w:tc>
        <w:tc>
          <w:tcPr>
            <w:tcW w:type="dxa" w:w="1440"/>
            <w:shd w:fill="C6EFCE" w:val="clear"/>
          </w:tcPr>
          <w:p>
            <w:r>
              <w:rPr>
                <w:sz w:val="17"/>
              </w:rPr>
              <w:t>2026-09-01</w:t>
            </w:r>
          </w:p>
        </w:tc>
        <w:tc>
          <w:tcPr>
            <w:tcW w:type="dxa" w:w="1440"/>
            <w:shd w:fill="C6EFCE" w:val="clear"/>
          </w:tcPr>
          <w:p>
            <w:r>
              <w:rPr>
                <w:sz w:val="17"/>
              </w:rPr>
              <w:t>3,809</w:t>
            </w:r>
          </w:p>
        </w:tc>
        <w:tc>
          <w:tcPr>
            <w:tcW w:type="dxa" w:w="1440"/>
            <w:shd w:fill="C6EFCE" w:val="clear"/>
          </w:tcPr>
          <w:p>
            <w:r>
              <w:rPr>
                <w:b/>
                <w:sz w:val="17"/>
              </w:rPr>
              <w:t>4,158</w:t>
            </w:r>
          </w:p>
        </w:tc>
        <w:tc>
          <w:tcPr>
            <w:tcW w:type="dxa" w:w="1440"/>
            <w:shd w:fill="C6EFCE" w:val="clear"/>
          </w:tcPr>
          <w:p>
            <w:r>
              <w:rPr>
                <w:sz w:val="17"/>
              </w:rPr>
              <w:t>4,507</w:t>
            </w:r>
          </w:p>
        </w:tc>
        <w:tc>
          <w:tcPr>
            <w:tcW w:type="dxa" w:w="1440"/>
            <w:shd w:fill="C6EFCE" w:val="clear"/>
          </w:tcPr>
          <w:p>
            <w:r>
              <w:rPr>
                <w:b/>
                <w:color w:val="008000"/>
                <w:sz w:val="17"/>
              </w:rPr>
              <w:t>+18.8%</w:t>
            </w:r>
          </w:p>
        </w:tc>
      </w:tr>
      <w:tr>
        <w:tc>
          <w:tcPr>
            <w:tcW w:type="dxa" w:w="1440"/>
            <w:shd w:fill="C6EFCE" w:val="clear"/>
          </w:tcPr>
          <w:p>
            <w:r>
              <w:rPr>
                <w:sz w:val="17"/>
              </w:rPr>
              <w:t>J+5  ⭐</w:t>
            </w:r>
          </w:p>
        </w:tc>
        <w:tc>
          <w:tcPr>
            <w:tcW w:type="dxa" w:w="1440"/>
            <w:shd w:fill="C6EFCE" w:val="clear"/>
          </w:tcPr>
          <w:p>
            <w:r>
              <w:rPr>
                <w:sz w:val="17"/>
              </w:rPr>
              <w:t>2026-09-02</w:t>
            </w:r>
          </w:p>
        </w:tc>
        <w:tc>
          <w:tcPr>
            <w:tcW w:type="dxa" w:w="1440"/>
            <w:shd w:fill="C6EFCE" w:val="clear"/>
          </w:tcPr>
          <w:p>
            <w:r>
              <w:rPr>
                <w:sz w:val="17"/>
              </w:rPr>
              <w:t>3,977</w:t>
            </w:r>
          </w:p>
        </w:tc>
        <w:tc>
          <w:tcPr>
            <w:tcW w:type="dxa" w:w="1440"/>
            <w:shd w:fill="C6EFCE" w:val="clear"/>
          </w:tcPr>
          <w:p>
            <w:r>
              <w:rPr>
                <w:b/>
                <w:sz w:val="17"/>
              </w:rPr>
              <w:t>4,390</w:t>
            </w:r>
          </w:p>
        </w:tc>
        <w:tc>
          <w:tcPr>
            <w:tcW w:type="dxa" w:w="1440"/>
            <w:shd w:fill="C6EFCE" w:val="clear"/>
          </w:tcPr>
          <w:p>
            <w:r>
              <w:rPr>
                <w:sz w:val="17"/>
              </w:rPr>
              <w:t>4,802</w:t>
            </w:r>
          </w:p>
        </w:tc>
        <w:tc>
          <w:tcPr>
            <w:tcW w:type="dxa" w:w="1440"/>
            <w:shd w:fill="C6EFCE" w:val="clear"/>
          </w:tcPr>
          <w:p>
            <w:r>
              <w:rPr>
                <w:b/>
                <w:color w:val="008000"/>
                <w:sz w:val="17"/>
              </w:rPr>
              <w:t>+25.4%</w:t>
            </w:r>
          </w:p>
        </w:tc>
      </w:tr>
      <w:tr>
        <w:tc>
          <w:tcPr>
            <w:tcW w:type="dxa" w:w="1440"/>
            <w:shd w:fill="C6EFCE" w:val="clear"/>
          </w:tcPr>
          <w:p>
            <w:r>
              <w:rPr>
                <w:sz w:val="17"/>
              </w:rPr>
              <w:t>J+6  ⭐</w:t>
            </w:r>
          </w:p>
        </w:tc>
        <w:tc>
          <w:tcPr>
            <w:tcW w:type="dxa" w:w="1440"/>
            <w:shd w:fill="C6EFCE" w:val="clear"/>
          </w:tcPr>
          <w:p>
            <w:r>
              <w:rPr>
                <w:sz w:val="17"/>
              </w:rPr>
              <w:t>2026-09-03</w:t>
            </w:r>
          </w:p>
        </w:tc>
        <w:tc>
          <w:tcPr>
            <w:tcW w:type="dxa" w:w="1440"/>
            <w:shd w:fill="C6EFCE" w:val="clear"/>
          </w:tcPr>
          <w:p>
            <w:r>
              <w:rPr>
                <w:sz w:val="17"/>
              </w:rPr>
              <w:t>4,175</w:t>
            </w:r>
          </w:p>
        </w:tc>
        <w:tc>
          <w:tcPr>
            <w:tcW w:type="dxa" w:w="1440"/>
            <w:shd w:fill="C6EFCE" w:val="clear"/>
          </w:tcPr>
          <w:p>
            <w:r>
              <w:rPr>
                <w:b/>
                <w:sz w:val="17"/>
              </w:rPr>
              <w:t>4,654</w:t>
            </w:r>
          </w:p>
        </w:tc>
        <w:tc>
          <w:tcPr>
            <w:tcW w:type="dxa" w:w="1440"/>
            <w:shd w:fill="C6EFCE" w:val="clear"/>
          </w:tcPr>
          <w:p>
            <w:r>
              <w:rPr>
                <w:sz w:val="17"/>
              </w:rPr>
              <w:t>5,133</w:t>
            </w:r>
          </w:p>
        </w:tc>
        <w:tc>
          <w:tcPr>
            <w:tcW w:type="dxa" w:w="1440"/>
            <w:shd w:fill="C6EFCE" w:val="clear"/>
          </w:tcPr>
          <w:p>
            <w:r>
              <w:rPr>
                <w:b/>
                <w:color w:val="008000"/>
                <w:sz w:val="17"/>
              </w:rPr>
              <w:t>+33.0%</w:t>
            </w:r>
          </w:p>
        </w:tc>
      </w:tr>
      <w:tr>
        <w:tc>
          <w:tcPr>
            <w:tcW w:type="dxa" w:w="1440"/>
            <w:shd w:fill="C6EFCE" w:val="clear"/>
          </w:tcPr>
          <w:p>
            <w:r>
              <w:rPr>
                <w:sz w:val="17"/>
              </w:rPr>
              <w:t>J+7  ⭐</w:t>
            </w:r>
          </w:p>
        </w:tc>
        <w:tc>
          <w:tcPr>
            <w:tcW w:type="dxa" w:w="1440"/>
            <w:shd w:fill="C6EFCE" w:val="clear"/>
          </w:tcPr>
          <w:p>
            <w:r>
              <w:rPr>
                <w:sz w:val="17"/>
              </w:rPr>
              <w:t>2026-09-04</w:t>
            </w:r>
          </w:p>
        </w:tc>
        <w:tc>
          <w:tcPr>
            <w:tcW w:type="dxa" w:w="1440"/>
            <w:shd w:fill="C6EFCE" w:val="clear"/>
          </w:tcPr>
          <w:p>
            <w:r>
              <w:rPr>
                <w:sz w:val="17"/>
              </w:rPr>
              <w:t>4,408</w:t>
            </w:r>
          </w:p>
        </w:tc>
        <w:tc>
          <w:tcPr>
            <w:tcW w:type="dxa" w:w="1440"/>
            <w:shd w:fill="C6EFCE" w:val="clear"/>
          </w:tcPr>
          <w:p>
            <w:r>
              <w:rPr>
                <w:b/>
                <w:sz w:val="17"/>
              </w:rPr>
              <w:t>4,959</w:t>
            </w:r>
          </w:p>
        </w:tc>
        <w:tc>
          <w:tcPr>
            <w:tcW w:type="dxa" w:w="1440"/>
            <w:shd w:fill="C6EFCE" w:val="clear"/>
          </w:tcPr>
          <w:p>
            <w:r>
              <w:rPr>
                <w:sz w:val="17"/>
              </w:rPr>
              <w:t>5,510</w:t>
            </w:r>
          </w:p>
        </w:tc>
        <w:tc>
          <w:tcPr>
            <w:tcW w:type="dxa" w:w="1440"/>
            <w:shd w:fill="C6EFCE" w:val="clear"/>
          </w:tcPr>
          <w:p>
            <w:r>
              <w:rPr>
                <w:b/>
                <w:color w:val="008000"/>
                <w:sz w:val="17"/>
              </w:rPr>
              <w:t>+41.7%</w:t>
            </w:r>
          </w:p>
        </w:tc>
      </w:tr>
      <w:tr>
        <w:tc>
          <w:tcPr>
            <w:tcW w:type="dxa" w:w="1440"/>
            <w:shd w:fill="C6EFCE" w:val="clear"/>
          </w:tcPr>
          <w:p>
            <w:r>
              <w:rPr>
                <w:sz w:val="17"/>
              </w:rPr>
              <w:t>J+8  ⭐</w:t>
            </w:r>
          </w:p>
        </w:tc>
        <w:tc>
          <w:tcPr>
            <w:tcW w:type="dxa" w:w="1440"/>
            <w:shd w:fill="C6EFCE" w:val="clear"/>
          </w:tcPr>
          <w:p>
            <w:r>
              <w:rPr>
                <w:sz w:val="17"/>
              </w:rPr>
              <w:t>2026-09-07</w:t>
            </w:r>
          </w:p>
        </w:tc>
        <w:tc>
          <w:tcPr>
            <w:tcW w:type="dxa" w:w="1440"/>
            <w:shd w:fill="C6EFCE" w:val="clear"/>
          </w:tcPr>
          <w:p>
            <w:r>
              <w:rPr>
                <w:sz w:val="17"/>
              </w:rPr>
              <w:t>4,684</w:t>
            </w:r>
          </w:p>
        </w:tc>
        <w:tc>
          <w:tcPr>
            <w:tcW w:type="dxa" w:w="1440"/>
            <w:shd w:fill="C6EFCE" w:val="clear"/>
          </w:tcPr>
          <w:p>
            <w:r>
              <w:rPr>
                <w:b/>
                <w:sz w:val="17"/>
              </w:rPr>
              <w:t>5,316</w:t>
            </w:r>
          </w:p>
        </w:tc>
        <w:tc>
          <w:tcPr>
            <w:tcW w:type="dxa" w:w="1440"/>
            <w:shd w:fill="C6EFCE" w:val="clear"/>
          </w:tcPr>
          <w:p>
            <w:r>
              <w:rPr>
                <w:sz w:val="17"/>
              </w:rPr>
              <w:t>5,947</w:t>
            </w:r>
          </w:p>
        </w:tc>
        <w:tc>
          <w:tcPr>
            <w:tcW w:type="dxa" w:w="1440"/>
            <w:shd w:fill="C6EFCE" w:val="clear"/>
          </w:tcPr>
          <w:p>
            <w:r>
              <w:rPr>
                <w:b/>
                <w:color w:val="008000"/>
                <w:sz w:val="17"/>
              </w:rPr>
              <w:t>+51.9%</w:t>
            </w:r>
          </w:p>
        </w:tc>
      </w:tr>
      <w:tr>
        <w:tc>
          <w:tcPr>
            <w:tcW w:type="dxa" w:w="1440"/>
            <w:shd w:fill="C6EFCE" w:val="clear"/>
          </w:tcPr>
          <w:p>
            <w:r>
              <w:rPr>
                <w:sz w:val="17"/>
              </w:rPr>
              <w:t>J+9  ⭐</w:t>
            </w:r>
          </w:p>
        </w:tc>
        <w:tc>
          <w:tcPr>
            <w:tcW w:type="dxa" w:w="1440"/>
            <w:shd w:fill="C6EFCE" w:val="clear"/>
          </w:tcPr>
          <w:p>
            <w:r>
              <w:rPr>
                <w:sz w:val="17"/>
              </w:rPr>
              <w:t>2026-09-08</w:t>
            </w:r>
          </w:p>
        </w:tc>
        <w:tc>
          <w:tcPr>
            <w:tcW w:type="dxa" w:w="1440"/>
            <w:shd w:fill="C6EFCE" w:val="clear"/>
          </w:tcPr>
          <w:p>
            <w:r>
              <w:rPr>
                <w:sz w:val="17"/>
              </w:rPr>
              <w:t>4,994</w:t>
            </w:r>
          </w:p>
        </w:tc>
        <w:tc>
          <w:tcPr>
            <w:tcW w:type="dxa" w:w="1440"/>
            <w:shd w:fill="C6EFCE" w:val="clear"/>
          </w:tcPr>
          <w:p>
            <w:r>
              <w:rPr>
                <w:b/>
                <w:sz w:val="17"/>
              </w:rPr>
              <w:t>5,714</w:t>
            </w:r>
          </w:p>
        </w:tc>
        <w:tc>
          <w:tcPr>
            <w:tcW w:type="dxa" w:w="1440"/>
            <w:shd w:fill="C6EFCE" w:val="clear"/>
          </w:tcPr>
          <w:p>
            <w:r>
              <w:rPr>
                <w:sz w:val="17"/>
              </w:rPr>
              <w:t>6,435</w:t>
            </w:r>
          </w:p>
        </w:tc>
        <w:tc>
          <w:tcPr>
            <w:tcW w:type="dxa" w:w="1440"/>
            <w:shd w:fill="C6EFCE" w:val="clear"/>
          </w:tcPr>
          <w:p>
            <w:r>
              <w:rPr>
                <w:b/>
                <w:color w:val="008000"/>
                <w:sz w:val="17"/>
              </w:rPr>
              <w:t>+63.3%</w:t>
            </w:r>
          </w:p>
        </w:tc>
      </w:tr>
      <w:tr>
        <w:tc>
          <w:tcPr>
            <w:tcW w:type="dxa" w:w="1440"/>
            <w:shd w:fill="C6EFCE" w:val="clear"/>
          </w:tcPr>
          <w:p>
            <w:r>
              <w:rPr>
                <w:sz w:val="17"/>
              </w:rPr>
              <w:t>J+10  ⭐</w:t>
            </w:r>
          </w:p>
        </w:tc>
        <w:tc>
          <w:tcPr>
            <w:tcW w:type="dxa" w:w="1440"/>
            <w:shd w:fill="C6EFCE" w:val="clear"/>
          </w:tcPr>
          <w:p>
            <w:r>
              <w:rPr>
                <w:sz w:val="17"/>
              </w:rPr>
              <w:t>2026-09-09</w:t>
            </w:r>
          </w:p>
        </w:tc>
        <w:tc>
          <w:tcPr>
            <w:tcW w:type="dxa" w:w="1440"/>
            <w:shd w:fill="C6EFCE" w:val="clear"/>
          </w:tcPr>
          <w:p>
            <w:r>
              <w:rPr>
                <w:sz w:val="17"/>
              </w:rPr>
              <w:t>5,327</w:t>
            </w:r>
          </w:p>
        </w:tc>
        <w:tc>
          <w:tcPr>
            <w:tcW w:type="dxa" w:w="1440"/>
            <w:shd w:fill="C6EFCE" w:val="clear"/>
          </w:tcPr>
          <w:p>
            <w:r>
              <w:rPr>
                <w:b/>
                <w:sz w:val="17"/>
              </w:rPr>
              <w:t>6,143</w:t>
            </w:r>
          </w:p>
        </w:tc>
        <w:tc>
          <w:tcPr>
            <w:tcW w:type="dxa" w:w="1440"/>
            <w:shd w:fill="C6EFCE" w:val="clear"/>
          </w:tcPr>
          <w:p>
            <w:r>
              <w:rPr>
                <w:sz w:val="17"/>
              </w:rPr>
              <w:t>6,959</w:t>
            </w:r>
          </w:p>
        </w:tc>
        <w:tc>
          <w:tcPr>
            <w:tcW w:type="dxa" w:w="1440"/>
            <w:shd w:fill="C6EFCE" w:val="clear"/>
          </w:tcPr>
          <w:p>
            <w:r>
              <w:rPr>
                <w:b/>
                <w:color w:val="008000"/>
                <w:sz w:val="17"/>
              </w:rPr>
              <w:t>+75.5%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CABC s'établit à 20,72 milliards FCFA, ce qui la positionne comme une valeur de taille moyenne sur la BRVM, offrant une liquidité potentiellement suffisante pour les investisseurs institutionnels. Avec un BPA de 243 FCFA, le PER de 14,4x se situe au-dessus de la moyenne historique du marché (8-12x), indiquant que les investisseurs acceptent de payer une prime, probablement en anticipation d'une croissance future. Le P/B de 2,22x confirme cette prime, le marché valorisant l'actif net comptable à plus du double, ce qui est typique des sociétés avec un fort potentiel de rendement. Enfin, l'EV/EBITDA de 7,3x, dans la fourchette basse de la normale (5-10x), suggère que la valeur d'entreprise reste raisonnable par rapport à sa capacité à générer du cash opérationnel, ce qui tempère la cherté apparente du PER.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CABC affiche une progression modeste de +2,94%, mais la dernière séance a subi un net repli de -3,31%, signe d'une volatilité à court terme. Le titre a évolué dans un range de 1 150 FCFA, oscillant entre un plus bas de 3 350 FCFA et un plus haut de 4 500 FCFA, démontrant une amplitude de trading significative. La moyenne du cours (3 773 FCFA) étant supérieure à la médiane (3 700 FCFA) et au mode (3 500 FCFA), on observe une distribution asymétrique positive (skewness de 0.729), signifiant que le cours a passé plus de temps sous sa moyenne, avec des pics de hausse ponctuels. L'écart-type de 287 FCFA (CV de 7,6%) indique une dispersion modérée autour de la moyenne, tandis que le kurtosis de -0.124 (mésokurtique) suggère une distribution proche de la normale, sans risque de variations extrêmes. La volatilité annualisée de 55,5% classe le titre comme très volatil, un niveau élevé qui implique un risque important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(3 500 FCFA) est inférieur à la MM20 (3 565,75 FCFA) et nettement sous la MM50 (3 822,8 FCFA), confirmant une tendance baissière à moyen terme. La configuration en "death cross" (MM20 sous MM50) renforce le signal de vente, indiquant que la pression vendeuse domine malgré le rebond récent.</w:t>
      </w:r>
    </w:p>
    <w:p>
      <w:pPr>
        <w:spacing w:after="120" w:line="276" w:lineRule="auto"/>
      </w:pPr>
      <w:r>
        <w:t>**Bandes de Bollinger** : Le prix se situe à l'intérieur des bandes, plus proche de la borne inférieure (3 406,86 FCFA) que de la borne supérieure (3 724,64 FCFA), ce qui suggère une volatilité modérée avec un biais baissier. La décision "Neutre" est justifiée par l'absence de sortie des bandes, mais la proximité de la borne basse pourrait signaler une zone de survente imminente.</w:t>
      </w:r>
    </w:p>
    <w:p>
      <w:pPr>
        <w:spacing w:after="120" w:line="276" w:lineRule="auto"/>
      </w:pPr>
      <w:r>
        <w:t>**MACD** : La valeur du MACD (-48,89) est supérieure à sa ligne de signal (-66,71), formant un croisement haussier récent. Ce signal d'achat indique un ralentissement de la dynamique baissière et un potentiel de retournement à la hausse, bien que le momentum reste négatif en valeur absolue.</w:t>
      </w:r>
    </w:p>
    <w:p>
      <w:pPr>
        <w:spacing w:after="120" w:line="276" w:lineRule="auto"/>
      </w:pPr>
      <w:r>
        <w:t>**RSI** : À 52,25, le RSI est en zone neutre, indiquant un équilibre entre pressions acheteuses et vendeuses. Cette valeur suggère que le titre n'est ni suracheté ni survendu, laissant place à une évolution directionnelle sans contrainte technique majeure.</w:t>
      </w:r>
    </w:p>
    <w:p>
      <w:pPr>
        <w:spacing w:after="120" w:line="276" w:lineRule="auto"/>
      </w:pPr>
      <w:r>
        <w:t>**Stochastique** : Le %K (4,65) est très bas et largement sous le %D (46,48), indiquant une condition de survente extrême. Ce niveau signale un potentiel de rebond technique important, le marché ayant probablement sur-réagi à la baisse récente.</w:t>
      </w:r>
    </w:p>
    <w:p>
      <w:pPr>
        <w:spacing w:after="120" w:line="276" w:lineRule="auto"/>
      </w:pPr>
      <w:r>
        <w:t>**Conclusion technique** : Les indicateurs sont mitigés, avec une tendance de fond baissière (MM) mais des signaux de retournement à court terme (MACD, Stochastique). Le RSI neutre et les bandes de Bollinger sans pression extrême suggèrent une phase de consolidation. La convergence des signaux d'achat sur les oscillateurs pourrait précéder un rebond technique, mais la tendance des moyennes mobiles incite à la prudence.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font état d'un chiffre d'affaires de 21,263 milliards FCFA, en croissance de 11,2% par rapport à 2024, et d'un résultat net de 1,439 milliard FCFA, confirmant un retour à la profitabilité après les pertes de 2023-2024. La marge nette s'établit à 6,77%, le ROE à 15,40% (excellent, &gt;15%) et le ROA à 6,10%, traduisant une bonne efficacité opérationnelle. La structure financière est saine avec une autonomie financière de 39,58% et une capacité de remboursement rapide (0,26 an). Cependant, le BFR de 7,186 milliards FCFA et le délai clients de 144,69 jours (élevé) signalent un risque de trésorerie lié au recouvrement, tandis que la durée de stockage de 152,12 jours immobilise du capital. Les rapports trimestriels 2025 confirment cette dynamique : le S1 2025 affichait un résultat net de 851,5 millions FCFA (+55,3%), et le cumul à fin septembre atteignait 1,329 milliard FCFA (+26%), permettant d'estimer que l'exercice 2025 devrait dépasser les 1,4 milliard FCFA de bénéfice, conformément aux données annuelles. Les rapports de 2024 (certifiés) montraient un résultat net de 1,225 milliard FCFA, mais les analyses narratives divergent sur la performance 2025, certains rapports mentionnant une perte, ce qui suggère des révisions comptables ou des éléments non récurrents. La recommandation fondamentale est positive, basée sur la solidité financière, la croissance du CA et l'amélioration des marges, malgré les risques liés aux créances clients et à la volatilité des matières premières.</w:t>
      </w:r>
    </w:p>
    <w:p>
      <w:pPr>
        <w:spacing w:after="120" w:line="276" w:lineRule="auto" w:before="240"/>
      </w:pPr>
      <w:r>
        <w:rPr>
          <w:b/>
          <w:color w:val="003366"/>
          <w:sz w:val="24"/>
        </w:rPr>
        <w:t>**PARTIE 4 : CONCLUSION D'INVESTISSEMENT**</w:t>
      </w:r>
    </w:p>
    <w:p>
      <w:pPr>
        <w:spacing w:after="120" w:line="276" w:lineRule="auto"/>
      </w:pPr>
      <w:r>
        <w:t>La valorisation de CABC (PER 14,4x, P/B 2,22x, EV/EBITDA 7,3x) indique une prime de croissance justifiée par la solidité des fondamentaux, mais le comportement du cours (tendance baissière sur 100 jours, volatilité de 55,5%) suggère un marché prudent. Les signaux techniques sont mitigés, avec une tendance de fond négative mais des indicateurs de retournement à court terme (MACD, Stochastique en survente). Les fondamentaux, bien que solides en 2025 (CA +11,2%, ROE 15,4%), sont tempérés par les risques de trésorerie (délais clients élevés) et la dépendance aux matières premières. Les prédictions IA (3 651 à 4 390 FCFA sur 10 jours) anticipent une hausse de +4% à +25%, ce qui contredit la tendance baissière récente et suggère un rebond technique imminent. La convergence entre les signaux d'achat techniques, les fondamentaux solides et les prédictions IA haussières conduit à une recommandation **ACHAT** avec un niveau de confiance **Moyen** et un risque global **Élevé** (volatilité). L'horizon d'investissement optimal serait le **moyen terme (3-12 mois)**, permettant de capter le potentiel de rebond tout en surveillant la gestion du BFR et les évolutions du marché des métaux.</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940.48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1,412 titres</w:t>
            </w:r>
          </w:p>
        </w:tc>
        <w:tc>
          <w:tcPr>
            <w:tcW w:type="dxa" w:w="2268"/>
            <w:shd w:fill="FFF2CC" w:val="clear"/>
          </w:tcPr>
          <w:p>
            <w:r>
              <w:rPr>
                <w:b/>
                <w:color w:val="503200"/>
                <w:sz w:val="16"/>
              </w:rPr>
              <w:t xml:space="preserve">Cours actuel : </w:t>
            </w:r>
            <w:r>
              <w:rPr>
                <w:color w:val="000000"/>
                <w:sz w:val="17"/>
              </w:rPr>
              <w:t>29,390 FCFA</w:t>
            </w:r>
          </w:p>
          <w:p>
            <w:r>
              <w:rPr>
                <w:b/>
                <w:color w:val="503200"/>
                <w:sz w:val="16"/>
              </w:rPr>
              <w:t xml:space="preserve">Var. 100 jours : </w:t>
            </w:r>
            <w:r>
              <w:rPr>
                <w:b/>
                <w:color w:val="007800"/>
                <w:sz w:val="17"/>
              </w:rPr>
              <w:t>+112.97%</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13,800 FCFA</w:t>
            </w:r>
          </w:p>
          <w:p>
            <w:r>
              <w:rPr>
                <w:b/>
                <w:color w:val="503200"/>
                <w:sz w:val="16"/>
              </w:rPr>
              <w:t xml:space="preserve">Volatilité ann. : </w:t>
            </w:r>
            <w:r>
              <w:rPr>
                <w:color w:val="000000"/>
                <w:sz w:val="17"/>
              </w:rPr>
              <w:t>42.8%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22.71% (Élevée) — μ=22,357 FCFA, σ=5,077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β=0.8752 (Neutre (suit le marché)) — Cov=0.000029, Var(idx)=0.000033, ρ=0.187,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1,412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σ_j=2.69%/j (Stable) — Vol. annualisée≈42.8%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26,319</w:t>
            </w:r>
          </w:p>
        </w:tc>
        <w:tc>
          <w:tcPr>
            <w:tcW w:type="dxa" w:w="1440"/>
            <w:shd w:fill="FFDCE0" w:val="clear"/>
          </w:tcPr>
          <w:p>
            <w:r>
              <w:rPr>
                <w:b/>
                <w:sz w:val="17"/>
              </w:rPr>
              <w:t>27,186</w:t>
            </w:r>
          </w:p>
        </w:tc>
        <w:tc>
          <w:tcPr>
            <w:tcW w:type="dxa" w:w="1440"/>
            <w:shd w:fill="FFDCE0" w:val="clear"/>
          </w:tcPr>
          <w:p>
            <w:r>
              <w:rPr>
                <w:sz w:val="17"/>
              </w:rPr>
              <w:t>28,052</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24,013</w:t>
            </w:r>
          </w:p>
        </w:tc>
        <w:tc>
          <w:tcPr>
            <w:tcW w:type="dxa" w:w="1440"/>
            <w:shd w:fill="FFDCE0" w:val="clear"/>
          </w:tcPr>
          <w:p>
            <w:r>
              <w:rPr>
                <w:b/>
                <w:sz w:val="17"/>
              </w:rPr>
              <w:t>25,147</w:t>
            </w:r>
          </w:p>
        </w:tc>
        <w:tc>
          <w:tcPr>
            <w:tcW w:type="dxa" w:w="1440"/>
            <w:shd w:fill="FFDCE0" w:val="clear"/>
          </w:tcPr>
          <w:p>
            <w:r>
              <w:rPr>
                <w:sz w:val="17"/>
              </w:rPr>
              <w:t>26,281</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21,976</w:t>
            </w:r>
          </w:p>
        </w:tc>
        <w:tc>
          <w:tcPr>
            <w:tcW w:type="dxa" w:w="1440"/>
            <w:shd w:fill="FFDCE0" w:val="clear"/>
          </w:tcPr>
          <w:p>
            <w:r>
              <w:rPr>
                <w:b/>
                <w:sz w:val="17"/>
              </w:rPr>
              <w:t>23,261</w:t>
            </w:r>
          </w:p>
        </w:tc>
        <w:tc>
          <w:tcPr>
            <w:tcW w:type="dxa" w:w="1440"/>
            <w:shd w:fill="FFDCE0" w:val="clear"/>
          </w:tcPr>
          <w:p>
            <w:r>
              <w:rPr>
                <w:sz w:val="17"/>
              </w:rPr>
              <w:t>24,545</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20,144</w:t>
            </w:r>
          </w:p>
        </w:tc>
        <w:tc>
          <w:tcPr>
            <w:tcW w:type="dxa" w:w="1440"/>
            <w:shd w:fill="FFDCE0" w:val="clear"/>
          </w:tcPr>
          <w:p>
            <w:r>
              <w:rPr>
                <w:b/>
                <w:sz w:val="17"/>
              </w:rPr>
              <w:t>21,516</w:t>
            </w:r>
          </w:p>
        </w:tc>
        <w:tc>
          <w:tcPr>
            <w:tcW w:type="dxa" w:w="1440"/>
            <w:shd w:fill="FFDCE0" w:val="clear"/>
          </w:tcPr>
          <w:p>
            <w:r>
              <w:rPr>
                <w:sz w:val="17"/>
              </w:rPr>
              <w:t>22,888</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18,484</w:t>
            </w:r>
          </w:p>
        </w:tc>
        <w:tc>
          <w:tcPr>
            <w:tcW w:type="dxa" w:w="1440"/>
            <w:shd w:fill="FFDCE0" w:val="clear"/>
          </w:tcPr>
          <w:p>
            <w:r>
              <w:rPr>
                <w:b/>
                <w:sz w:val="17"/>
              </w:rPr>
              <w:t>19,903</w:t>
            </w:r>
          </w:p>
        </w:tc>
        <w:tc>
          <w:tcPr>
            <w:tcW w:type="dxa" w:w="1440"/>
            <w:shd w:fill="FFDCE0" w:val="clear"/>
          </w:tcPr>
          <w:p>
            <w:r>
              <w:rPr>
                <w:sz w:val="17"/>
              </w:rPr>
              <w:t>21,321</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17,659</w:t>
            </w:r>
          </w:p>
        </w:tc>
        <w:tc>
          <w:tcPr>
            <w:tcW w:type="dxa" w:w="1440"/>
            <w:shd w:fill="FFDCE0" w:val="clear"/>
          </w:tcPr>
          <w:p>
            <w:r>
              <w:rPr>
                <w:b/>
                <w:sz w:val="17"/>
              </w:rPr>
              <w:t>19,155</w:t>
            </w:r>
          </w:p>
        </w:tc>
        <w:tc>
          <w:tcPr>
            <w:tcW w:type="dxa" w:w="1440"/>
            <w:shd w:fill="FFDCE0" w:val="clear"/>
          </w:tcPr>
          <w:p>
            <w:r>
              <w:rPr>
                <w:sz w:val="17"/>
              </w:rPr>
              <w:t>20,651</w:t>
            </w:r>
          </w:p>
        </w:tc>
        <w:tc>
          <w:tcPr>
            <w:tcW w:type="dxa" w:w="1440"/>
            <w:shd w:fill="FFDCE0" w:val="clear"/>
          </w:tcPr>
          <w:p>
            <w:r>
              <w:rPr>
                <w:b/>
                <w:color w:val="C00000"/>
                <w:sz w:val="17"/>
              </w:rPr>
              <w:t>-34.8%</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17,088</w:t>
            </w:r>
          </w:p>
        </w:tc>
        <w:tc>
          <w:tcPr>
            <w:tcW w:type="dxa" w:w="1440"/>
            <w:shd w:fill="FFDCE0" w:val="clear"/>
          </w:tcPr>
          <w:p>
            <w:r>
              <w:rPr>
                <w:b/>
                <w:sz w:val="17"/>
              </w:rPr>
              <w:t>18,662</w:t>
            </w:r>
          </w:p>
        </w:tc>
        <w:tc>
          <w:tcPr>
            <w:tcW w:type="dxa" w:w="1440"/>
            <w:shd w:fill="FFDCE0" w:val="clear"/>
          </w:tcPr>
          <w:p>
            <w:r>
              <w:rPr>
                <w:sz w:val="17"/>
              </w:rPr>
              <w:t>20,236</w:t>
            </w:r>
          </w:p>
        </w:tc>
        <w:tc>
          <w:tcPr>
            <w:tcW w:type="dxa" w:w="1440"/>
            <w:shd w:fill="FFDCE0" w:val="clear"/>
          </w:tcPr>
          <w:p>
            <w:r>
              <w:rPr>
                <w:b/>
                <w:color w:val="C00000"/>
                <w:sz w:val="17"/>
              </w:rPr>
              <w:t>-36.5%</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16,580</w:t>
            </w:r>
          </w:p>
        </w:tc>
        <w:tc>
          <w:tcPr>
            <w:tcW w:type="dxa" w:w="1440"/>
            <w:shd w:fill="FFDCE0" w:val="clear"/>
          </w:tcPr>
          <w:p>
            <w:r>
              <w:rPr>
                <w:b/>
                <w:sz w:val="17"/>
              </w:rPr>
              <w:t>18,223</w:t>
            </w:r>
          </w:p>
        </w:tc>
        <w:tc>
          <w:tcPr>
            <w:tcW w:type="dxa" w:w="1440"/>
            <w:shd w:fill="FFDCE0" w:val="clear"/>
          </w:tcPr>
          <w:p>
            <w:r>
              <w:rPr>
                <w:sz w:val="17"/>
              </w:rPr>
              <w:t>19,866</w:t>
            </w:r>
          </w:p>
        </w:tc>
        <w:tc>
          <w:tcPr>
            <w:tcW w:type="dxa" w:w="1440"/>
            <w:shd w:fill="FFDCE0" w:val="clear"/>
          </w:tcPr>
          <w:p>
            <w:r>
              <w:rPr>
                <w:b/>
                <w:color w:val="C00000"/>
                <w:sz w:val="17"/>
              </w:rPr>
              <w:t>-38.0%</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16,122</w:t>
            </w:r>
          </w:p>
        </w:tc>
        <w:tc>
          <w:tcPr>
            <w:tcW w:type="dxa" w:w="1440"/>
            <w:shd w:fill="FFDCE0" w:val="clear"/>
          </w:tcPr>
          <w:p>
            <w:r>
              <w:rPr>
                <w:b/>
                <w:sz w:val="17"/>
              </w:rPr>
              <w:t>17,827</w:t>
            </w:r>
          </w:p>
        </w:tc>
        <w:tc>
          <w:tcPr>
            <w:tcW w:type="dxa" w:w="1440"/>
            <w:shd w:fill="FFDCE0" w:val="clear"/>
          </w:tcPr>
          <w:p>
            <w:r>
              <w:rPr>
                <w:sz w:val="17"/>
              </w:rPr>
              <w:t>19,532</w:t>
            </w:r>
          </w:p>
        </w:tc>
        <w:tc>
          <w:tcPr>
            <w:tcW w:type="dxa" w:w="1440"/>
            <w:shd w:fill="FFDCE0" w:val="clear"/>
          </w:tcPr>
          <w:p>
            <w:r>
              <w:rPr>
                <w:b/>
                <w:color w:val="C00000"/>
                <w:sz w:val="17"/>
              </w:rPr>
              <w:t>-39.3%</w:t>
            </w:r>
          </w:p>
        </w:tc>
      </w:tr>
      <w:tr>
        <w:tc>
          <w:tcPr>
            <w:tcW w:type="dxa" w:w="1440"/>
            <w:shd w:fill="FFDCE0" w:val="clear"/>
          </w:tcPr>
          <w:p>
            <w:r>
              <w:rPr>
                <w:sz w:val="17"/>
              </w:rPr>
              <w:t>J+10  Moyenne</w:t>
            </w:r>
          </w:p>
        </w:tc>
        <w:tc>
          <w:tcPr>
            <w:tcW w:type="dxa" w:w="1440"/>
            <w:shd w:fill="FFDCE0" w:val="clear"/>
          </w:tcPr>
          <w:p>
            <w:r>
              <w:rPr>
                <w:sz w:val="17"/>
              </w:rPr>
              <w:t>2026-09-09</w:t>
            </w:r>
          </w:p>
        </w:tc>
        <w:tc>
          <w:tcPr>
            <w:tcW w:type="dxa" w:w="1440"/>
            <w:shd w:fill="FFDCE0" w:val="clear"/>
          </w:tcPr>
          <w:p>
            <w:r>
              <w:rPr>
                <w:sz w:val="17"/>
              </w:rPr>
              <w:t>15,706</w:t>
            </w:r>
          </w:p>
        </w:tc>
        <w:tc>
          <w:tcPr>
            <w:tcW w:type="dxa" w:w="1440"/>
            <w:shd w:fill="FFDCE0" w:val="clear"/>
          </w:tcPr>
          <w:p>
            <w:r>
              <w:rPr>
                <w:b/>
                <w:sz w:val="17"/>
              </w:rPr>
              <w:t>17,467</w:t>
            </w:r>
          </w:p>
        </w:tc>
        <w:tc>
          <w:tcPr>
            <w:tcW w:type="dxa" w:w="1440"/>
            <w:shd w:fill="FFDCE0" w:val="clear"/>
          </w:tcPr>
          <w:p>
            <w:r>
              <w:rPr>
                <w:sz w:val="17"/>
              </w:rPr>
              <w:t>19,228</w:t>
            </w:r>
          </w:p>
        </w:tc>
        <w:tc>
          <w:tcPr>
            <w:tcW w:type="dxa" w:w="1440"/>
            <w:shd w:fill="FFDCE0" w:val="clear"/>
          </w:tcPr>
          <w:p>
            <w:r>
              <w:rPr>
                <w:b/>
                <w:color w:val="C00000"/>
                <w:sz w:val="17"/>
              </w:rPr>
              <w:t>-40.6%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940,48 milliards FCFA, positionnant le titre parmi les poids lourds de la BRVM. Avec un BPA de 2 047 FCFA, chaque action génère un bénéfice substantiel, justifiant un PER de 14,4x. Ce ratio est supérieur à la moyenne historique de la place (~8-12x), indiquant que le marché valorise déjà les perspectives de croissance de la banque et sa solidité financière, malgré une prime de risque pays. L'EV/EBITDA de 10,6x, bien que dans la fourchette haute (10-15x), reflète une valorisation cohérente avec la capacité opérationnelle de l'entreprise. En l'absence de données sur les capitaux propres, le ratio P/B n'est pas calculable, mais les autres indicateurs suggèrent une confiance marquée des investisseurs dans la trajectoire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performance spectaculaire de +112,97%, avec une dernière séance en hausse de +1,34% à 29 390 FCFA. Le titre a évolué dans une fourchette très large, entre un plus bas de 13 800 FCFA et un plus haut de 30 005 FCFA, démontrant un momentum haussier extrêmement puissant. La moyenne (22 357 FCFA) et la médiane (21 998 FCFA) sont très proches, indiquant une distribution symétrique des prix, confirmée par un skewness de -0,024. L'écart-type de 5 103 FCFA (CV = 22,8%) révèle une dispersion modérée des cours autour de la moyenne. Le kurtosis négatif (-1,344) signale une distribution platykurtique, c'est-à-dire une faible concentration des prix extrêmes, suggérant une progression régulière plutôt que des pics violents. La volatilité annualisée de 42,8% classe le titre comme très volatil, reflétant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(29 390 FCFA) se situe nettement au-dessus de la MM20 (28 528,75 FCFA) et de la MM50 (26 597,1 FCFA), confirmant une tendance haussière solide à court et moyen terme. La configuration des MM, avec la MM20 au-dessus de la MM50, valide le signal d'achat généré par ce croisement haussier.</w:t>
      </w:r>
    </w:p>
    <w:p>
      <w:pPr>
        <w:spacing w:after="120" w:line="276" w:lineRule="auto"/>
      </w:pPr>
      <w:r>
        <w:t>**Bandes de Bollinger** : Le prix évolue près de la borne supérieure (29 738,74 FCFA), indiquant une pression acheteuse soutenue. La largeur des bandes (2 420 FCFA) reflète une volatilité élevée. La position du cours dans la partie supérieure des bandes suggère une dynamique positive, mais le signal neutre indique que le titre n'est pas encore en situation de surachat extrême.</w:t>
      </w:r>
    </w:p>
    <w:p>
      <w:pPr>
        <w:spacing w:after="120" w:line="276" w:lineRule="auto"/>
      </w:pPr>
      <w:r>
        <w:t>**MACD** : Le MACD (694,11) est légèrement inférieur à sa ligne de signal (733,72), générant un signal de vente à court terme. Cette divergence négative, bien que modeste, suggère un possible ralentissement du momentum haussier. Les valeurs restent positives, indiquant que la tendance de fond demeure haussière.</w:t>
      </w:r>
    </w:p>
    <w:p>
      <w:pPr>
        <w:spacing w:after="120" w:line="276" w:lineRule="auto"/>
      </w:pPr>
      <w:r>
        <w:t>**RSI** : À 62,22, le RSI se situe en zone neutre, sans signal de surachat (70) ni de survente (30). Cette valeur indique que le titre dispose encore d'une marge de progression avant d'atteindre des conditions de surachat, laissant présager un potentiel haussier résiduel.</w:t>
      </w:r>
    </w:p>
    <w:p>
      <w:pPr>
        <w:spacing w:after="120" w:line="276" w:lineRule="auto"/>
      </w:pPr>
      <w:r>
        <w:t>**Stochastique** : Le %K (64,12) est inférieur au %D (68,43), suggérant un croisement baissier potentiel à court terme. Cependant, les deux lignes restent en zone positive, indiquant que la dynamique haussière n'est pas remise en cause. Le signal neutre reflète une phase de consolidation après la forte hausse.</w:t>
      </w:r>
    </w:p>
    <w:p>
      <w:pPr>
        <w:spacing w:after="120" w:line="276" w:lineRule="auto"/>
      </w:pPr>
      <w:r>
        <w:t>**Conclusion technique** : La tendance de fond reste résolument haussière, portée par des moyennes mobiles orientées à la hausse et un RSI neutre. Les signaux de vente du MACD et du Stochastique suggèrent toutefois une possible pause technique à court terme. Le titre pourrait consolider ses gains avant de poursuivre sa progression.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L'exercice 2025 confirme la solidité du modèle de Coris Bank International. Le Produit Net Bancaire (PNB) s'établit à 138,986 milliards FCFA, en croissance de 6,1%, avec un résultat net de 65,495 milliards FCFA, en hausse de 36,6% par rapport à 2024. La marge nette atteint 47,1%, témoignant d'une excellente maîtrise opérationnelle. Le coefficient d'exploitation de 36,4% est remarquablement bas, signe d'une gestion rigoureuse des charges. Le ROA de 2,18% est solide pour le secteur bancaire. Les dépôts clientèle (2 015,3 milliards FCFA) progressent de 14,9%, dépassant largement les crédits nets (1 327 milliards FCFA, +5,4%), illustrant une politique de transformation prudente. Le coût du risque s'améliore significativement (-59,3%), reflétant une meilleure qualité du portefeuille.</w:t>
      </w:r>
    </w:p>
    <w:p>
      <w:pPr>
        <w:spacing w:after="120" w:line="276" w:lineRule="auto"/>
      </w:pPr>
      <w:r>
        <w:t>**Évolution temporelle** : Le rapport annuel 2024 (publié en 2025) montrait une année difficile avec un résultat net en baisse de 25,4% (47,9 milliards FCFA) due à une hausse du coût du risque. Le redressement de 2025 est donc spectaculaire. Les rapports trimestriels 2025 confirment cette dynamique : le T1 2025 affichait un PNB de 28,7 milliards (+2,8%) et un résultat net de 17,6 milliards (+5,9%), tandis que le T3 2025 atteignait un PNB de 101,3 milliards (+9,65%) et un résultat net de 52,9 milliards (+6,25%).</w:t>
      </w:r>
    </w:p>
    <w:p>
      <w:pPr>
        <w:spacing w:after="120" w:line="276" w:lineRule="auto"/>
      </w:pPr>
      <w:r>
        <w:t>**Estimations 2026** : Le rapport T1 2026 (publié en 2026) révèle une accélération spectaculaire : PNB de 36,8 milliards (+28,5%) et résultat net de 21,5 milliards (+22,2%). Les dépôts progressent de 37,9% à 2 365,1 milliards FCFA. Sur cette base, on estime que l'exercice 2026 pourrait dépasser 160 milliards de PNB et 75 milliards de résultat net, confirmant la trajectoire de croissance soutenue. La banque maintient sa notation AA/AI avec perspective stable.</w:t>
      </w:r>
    </w:p>
    <w:p>
      <w:pPr>
        <w:spacing w:after="120" w:line="276" w:lineRule="auto"/>
      </w:pPr>
      <w:r>
        <w:t>---</w:t>
      </w:r>
    </w:p>
    <w:p>
      <w:pPr>
        <w:spacing w:after="120" w:line="276" w:lineRule="auto"/>
      </w:pPr>
      <w:r>
        <w:t>### PARTIE 4 : CONCLUSION D'INVESTISSEMENT</w:t>
      </w:r>
    </w:p>
    <w:p>
      <w:pPr>
        <w:spacing w:after="120" w:line="276" w:lineRule="auto"/>
      </w:pPr>
      <w:r>
        <w:t>La valorisation actuelle de CBIBF (PER 14,4x) intègre une prime de croissance justifiée par des fondamentaux exceptionnels : résultat net en hausse de 36,6% en 2025 et accélération au T1 2026 (+22,2%). Le comportement du cours (+113% sur 100 jours) reflète cette performance, avec une volatilité élevée (42,8%) qui implique un risque significatif. Les signaux techniques sont mitigés : la tendance de fond reste haussière (MM, RSI neutre), mais le MACD et le Stochastique suggèrent une consolidation à court terme. Les prédictions IA (J+1 à J+10) projetant une baisse du cours vers 19 903 FCFA semblent pessimistes et contredisent les fondamentaux solides et la dynamique commerciale. Cette divergence pourrait représenter une opportunité d'achat sur repli. **Recommandation : ACHAT** avec un niveau de confiance **Moyen** et un risque global **Élevé**. L'horizon optimal est le **moyen terme (3-12 mois)**, en capitalisant sur la croissance soutenue du PNB et l'amélioration de la qualité du portefeuille, tout en surveillant l'évolution du contexte sécuritaire régional.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317.40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3,568 titres</w:t>
            </w:r>
          </w:p>
        </w:tc>
        <w:tc>
          <w:tcPr>
            <w:tcW w:type="dxa" w:w="2268"/>
            <w:shd w:fill="FFF2CC" w:val="clear"/>
          </w:tcPr>
          <w:p>
            <w:r>
              <w:rPr>
                <w:b/>
                <w:color w:val="503200"/>
                <w:sz w:val="16"/>
              </w:rPr>
              <w:t xml:space="preserve">Cours actuel : </w:t>
            </w:r>
            <w:r>
              <w:rPr>
                <w:color w:val="000000"/>
                <w:sz w:val="17"/>
              </w:rPr>
              <w:t>1,750 FCFA</w:t>
            </w:r>
          </w:p>
          <w:p>
            <w:r>
              <w:rPr>
                <w:b/>
                <w:color w:val="503200"/>
                <w:sz w:val="16"/>
              </w:rPr>
              <w:t xml:space="preserve">Var. 100 jours : </w:t>
            </w:r>
            <w:r>
              <w:rPr>
                <w:b/>
                <w:color w:val="007800"/>
                <w:sz w:val="17"/>
              </w:rPr>
              <w:t>+8.02%</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6.35% (Moyenne) — μ=1,606 FCFA, σ=102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β=1.1358 (Neutre (suit le marché)) — Cov=0.000038, Var(idx)=0.000033, ρ=0.212,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1,624</w:t>
            </w:r>
          </w:p>
        </w:tc>
        <w:tc>
          <w:tcPr>
            <w:tcW w:type="dxa" w:w="1440"/>
            <w:shd w:fill="FFDCE0" w:val="clear"/>
          </w:tcPr>
          <w:p>
            <w:r>
              <w:rPr>
                <w:b/>
                <w:sz w:val="17"/>
              </w:rPr>
              <w:t>1,700</w:t>
            </w:r>
          </w:p>
        </w:tc>
        <w:tc>
          <w:tcPr>
            <w:tcW w:type="dxa" w:w="1440"/>
            <w:shd w:fill="FFDCE0" w:val="clear"/>
          </w:tcPr>
          <w:p>
            <w:r>
              <w:rPr>
                <w:sz w:val="17"/>
              </w:rPr>
              <w:t>1,776</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1,573</w:t>
            </w:r>
          </w:p>
        </w:tc>
        <w:tc>
          <w:tcPr>
            <w:tcW w:type="dxa" w:w="1440"/>
            <w:shd w:fill="FFDCE0" w:val="clear"/>
          </w:tcPr>
          <w:p>
            <w:r>
              <w:rPr>
                <w:b/>
                <w:sz w:val="17"/>
              </w:rPr>
              <w:t>1,679</w:t>
            </w:r>
          </w:p>
        </w:tc>
        <w:tc>
          <w:tcPr>
            <w:tcW w:type="dxa" w:w="1440"/>
            <w:shd w:fill="FFDCE0" w:val="clear"/>
          </w:tcPr>
          <w:p>
            <w:r>
              <w:rPr>
                <w:sz w:val="17"/>
              </w:rPr>
              <w:t>1,785</w:t>
            </w:r>
          </w:p>
        </w:tc>
        <w:tc>
          <w:tcPr>
            <w:tcW w:type="dxa" w:w="1440"/>
            <w:shd w:fill="FFDCE0" w:val="clear"/>
          </w:tcPr>
          <w:p>
            <w:r>
              <w:rPr>
                <w:b/>
                <w:color w:val="C00000"/>
                <w:sz w:val="17"/>
              </w:rPr>
              <w:t>-4.1%</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1,526</w:t>
            </w:r>
          </w:p>
        </w:tc>
        <w:tc>
          <w:tcPr>
            <w:tcW w:type="dxa" w:w="1440"/>
            <w:shd w:fill="FFDCE0" w:val="clear"/>
          </w:tcPr>
          <w:p>
            <w:r>
              <w:rPr>
                <w:b/>
                <w:sz w:val="17"/>
              </w:rPr>
              <w:t>1,654</w:t>
            </w:r>
          </w:p>
        </w:tc>
        <w:tc>
          <w:tcPr>
            <w:tcW w:type="dxa" w:w="1440"/>
            <w:shd w:fill="FFDCE0" w:val="clear"/>
          </w:tcPr>
          <w:p>
            <w:r>
              <w:rPr>
                <w:sz w:val="17"/>
              </w:rPr>
              <w:t>1,782</w:t>
            </w:r>
          </w:p>
        </w:tc>
        <w:tc>
          <w:tcPr>
            <w:tcW w:type="dxa" w:w="1440"/>
            <w:shd w:fill="FFDCE0" w:val="clear"/>
          </w:tcPr>
          <w:p>
            <w:r>
              <w:rPr>
                <w:b/>
                <w:color w:val="C00000"/>
                <w:sz w:val="17"/>
              </w:rPr>
              <w:t>-5.5%</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1,484</w:t>
            </w:r>
          </w:p>
        </w:tc>
        <w:tc>
          <w:tcPr>
            <w:tcW w:type="dxa" w:w="1440"/>
            <w:shd w:fill="FFDCE0" w:val="clear"/>
          </w:tcPr>
          <w:p>
            <w:r>
              <w:rPr>
                <w:b/>
                <w:sz w:val="17"/>
              </w:rPr>
              <w:t>1,630</w:t>
            </w:r>
          </w:p>
        </w:tc>
        <w:tc>
          <w:tcPr>
            <w:tcW w:type="dxa" w:w="1440"/>
            <w:shd w:fill="FFDCE0" w:val="clear"/>
          </w:tcPr>
          <w:p>
            <w:r>
              <w:rPr>
                <w:sz w:val="17"/>
              </w:rPr>
              <w:t>1,776</w:t>
            </w:r>
          </w:p>
        </w:tc>
        <w:tc>
          <w:tcPr>
            <w:tcW w:type="dxa" w:w="1440"/>
            <w:shd w:fill="FFDCE0" w:val="clear"/>
          </w:tcPr>
          <w:p>
            <w:r>
              <w:rPr>
                <w:b/>
                <w:color w:val="C00000"/>
                <w:sz w:val="17"/>
              </w:rPr>
              <w:t>-6.9%</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1,445</w:t>
            </w:r>
          </w:p>
        </w:tc>
        <w:tc>
          <w:tcPr>
            <w:tcW w:type="dxa" w:w="1440"/>
            <w:shd w:fill="FFDCE0" w:val="clear"/>
          </w:tcPr>
          <w:p>
            <w:r>
              <w:rPr>
                <w:b/>
                <w:sz w:val="17"/>
              </w:rPr>
              <w:t>1,606</w:t>
            </w:r>
          </w:p>
        </w:tc>
        <w:tc>
          <w:tcPr>
            <w:tcW w:type="dxa" w:w="1440"/>
            <w:shd w:fill="FFDCE0" w:val="clear"/>
          </w:tcPr>
          <w:p>
            <w:r>
              <w:rPr>
                <w:sz w:val="17"/>
              </w:rPr>
              <w:t>1,766</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1,409</w:t>
            </w:r>
          </w:p>
        </w:tc>
        <w:tc>
          <w:tcPr>
            <w:tcW w:type="dxa" w:w="1440"/>
            <w:shd w:fill="FFDCE0" w:val="clear"/>
          </w:tcPr>
          <w:p>
            <w:r>
              <w:rPr>
                <w:b/>
                <w:sz w:val="17"/>
              </w:rPr>
              <w:t>1,582</w:t>
            </w:r>
          </w:p>
        </w:tc>
        <w:tc>
          <w:tcPr>
            <w:tcW w:type="dxa" w:w="1440"/>
            <w:shd w:fill="FFDCE0" w:val="clear"/>
          </w:tcPr>
          <w:p>
            <w:r>
              <w:rPr>
                <w:sz w:val="17"/>
              </w:rPr>
              <w:t>1,755</w:t>
            </w:r>
          </w:p>
        </w:tc>
        <w:tc>
          <w:tcPr>
            <w:tcW w:type="dxa" w:w="1440"/>
            <w:shd w:fill="FFDCE0" w:val="clear"/>
          </w:tcPr>
          <w:p>
            <w:r>
              <w:rPr>
                <w:b/>
                <w:color w:val="C00000"/>
                <w:sz w:val="17"/>
              </w:rPr>
              <w:t>-9.6%</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1,374</w:t>
            </w:r>
          </w:p>
        </w:tc>
        <w:tc>
          <w:tcPr>
            <w:tcW w:type="dxa" w:w="1440"/>
            <w:shd w:fill="FFDCE0" w:val="clear"/>
          </w:tcPr>
          <w:p>
            <w:r>
              <w:rPr>
                <w:b/>
                <w:sz w:val="17"/>
              </w:rPr>
              <w:t>1,559</w:t>
            </w:r>
          </w:p>
        </w:tc>
        <w:tc>
          <w:tcPr>
            <w:tcW w:type="dxa" w:w="1440"/>
            <w:shd w:fill="FFDCE0" w:val="clear"/>
          </w:tcPr>
          <w:p>
            <w:r>
              <w:rPr>
                <w:sz w:val="17"/>
              </w:rPr>
              <w:t>1,743</w:t>
            </w:r>
          </w:p>
        </w:tc>
        <w:tc>
          <w:tcPr>
            <w:tcW w:type="dxa" w:w="1440"/>
            <w:shd w:fill="FFDCE0" w:val="clear"/>
          </w:tcPr>
          <w:p>
            <w:r>
              <w:rPr>
                <w:b/>
                <w:color w:val="C00000"/>
                <w:sz w:val="17"/>
              </w:rPr>
              <w:t>-10.9%</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1,342</w:t>
            </w:r>
          </w:p>
        </w:tc>
        <w:tc>
          <w:tcPr>
            <w:tcW w:type="dxa" w:w="1440"/>
            <w:shd w:fill="FFDCE0" w:val="clear"/>
          </w:tcPr>
          <w:p>
            <w:r>
              <w:rPr>
                <w:b/>
                <w:sz w:val="17"/>
              </w:rPr>
              <w:t>1,536</w:t>
            </w:r>
          </w:p>
        </w:tc>
        <w:tc>
          <w:tcPr>
            <w:tcW w:type="dxa" w:w="1440"/>
            <w:shd w:fill="FFDCE0" w:val="clear"/>
          </w:tcPr>
          <w:p>
            <w:r>
              <w:rPr>
                <w:sz w:val="17"/>
              </w:rPr>
              <w:t>1,730</w:t>
            </w:r>
          </w:p>
        </w:tc>
        <w:tc>
          <w:tcPr>
            <w:tcW w:type="dxa" w:w="1440"/>
            <w:shd w:fill="FFDCE0" w:val="clear"/>
          </w:tcPr>
          <w:p>
            <w:r>
              <w:rPr>
                <w:b/>
                <w:color w:val="C00000"/>
                <w:sz w:val="17"/>
              </w:rPr>
              <w:t>-12.2%</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1,311</w:t>
            </w:r>
          </w:p>
        </w:tc>
        <w:tc>
          <w:tcPr>
            <w:tcW w:type="dxa" w:w="1440"/>
            <w:shd w:fill="FFDCE0" w:val="clear"/>
          </w:tcPr>
          <w:p>
            <w:r>
              <w:rPr>
                <w:b/>
                <w:sz w:val="17"/>
              </w:rPr>
              <w:t>1,514</w:t>
            </w:r>
          </w:p>
        </w:tc>
        <w:tc>
          <w:tcPr>
            <w:tcW w:type="dxa" w:w="1440"/>
            <w:shd w:fill="FFDCE0" w:val="clear"/>
          </w:tcPr>
          <w:p>
            <w:r>
              <w:rPr>
                <w:sz w:val="17"/>
              </w:rPr>
              <w:t>1,717</w:t>
            </w:r>
          </w:p>
        </w:tc>
        <w:tc>
          <w:tcPr>
            <w:tcW w:type="dxa" w:w="1440"/>
            <w:shd w:fill="FFDCE0" w:val="clear"/>
          </w:tcPr>
          <w:p>
            <w:r>
              <w:rPr>
                <w:b/>
                <w:color w:val="C00000"/>
                <w:sz w:val="17"/>
              </w:rPr>
              <w:t>-13.5%</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1,281</w:t>
            </w:r>
          </w:p>
        </w:tc>
        <w:tc>
          <w:tcPr>
            <w:tcW w:type="dxa" w:w="1440"/>
            <w:shd w:fill="FFDCE0" w:val="clear"/>
          </w:tcPr>
          <w:p>
            <w:r>
              <w:rPr>
                <w:b/>
                <w:sz w:val="17"/>
              </w:rPr>
              <w:t>1,492</w:t>
            </w:r>
          </w:p>
        </w:tc>
        <w:tc>
          <w:tcPr>
            <w:tcW w:type="dxa" w:w="1440"/>
            <w:shd w:fill="FFDCE0" w:val="clear"/>
          </w:tcPr>
          <w:p>
            <w:r>
              <w:rPr>
                <w:sz w:val="17"/>
              </w:rPr>
              <w:t>1,703</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317,40 milliards FCFA, ce qui en fait une valeur significative sur le compartiment principal de la BRVM, reflétant la confiance des investisseurs dans le leadership de l'entreprise sur le marché automobile ivoirien. Le BPA de 26 FCFA par action est relativement faible, ce qui explique un PER de 67,6x, très largement supérieur à la moyenne du marché BRVM (8-12x). Les investisseurs paient donc une prime considérable pour chaque franc de bénéfice, signe d'anticipations de croissance très élevées ou d'une rareté du titre. Le P/B de 16,32x confirme cette valorisation exigeante, le marché valorisant l'actif net comptable plus de 16 fois au-dessus de sa valeur, tandis que l'EV/EBITDA de 34,4x indique que la valeur totale de l'entreprise (dette incluse) représente plus de 34 fois sa capacité opérationnelle brute, un niveau extrêmement élevé qui laisse peu de place à l'erreur.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CFAC a enregistré une progression totale de +8,02%, avec une légère correction de -0,85% lors de la dernière séance, s'établissant à 1 750 FCFA. Le titre a évolué dans une fourchette de 500 FCFA, entre un plus bas de 1 325 FCFA et un plus haut de 1 825 FCFA, démontrant une amplitude de trading significative. La moyenne du cours sur la période (1 606 FCFA) est très proche de la médiane (1 602 FCFA) et du mode (1 600 FCFA), indiquant une distribution quasi symétrique des prix autour d'une valeur centrale stable. L'écart-type de 103 FCFA (CV=6,4%) révèle une dispersion modérée des cours, tandis que le kurtosis de -0,088 (mésokurtique) suggère l'absence de pics extrêmes ou de queues épaisses, et le skewness de -0,362 indique une légère asymétrie négative, avec des baisses plus prononcées que les hausses. La volatilité annualisée de 48,8% classe le titre dans la catégorie des valeurs à très forte volatilité (&gt;30%), ce qui implique un risque élevé pour les investisseurs.</w:t>
      </w:r>
    </w:p>
    <w:p>
      <w:pPr>
        <w:spacing w:after="120" w:line="276" w:lineRule="auto" w:before="240"/>
      </w:pPr>
      <w:r>
        <w:rPr>
          <w:b/>
          <w:color w:val="003366"/>
          <w:sz w:val="24"/>
        </w:rPr>
        <w:t>**PARTIE 2 : ANALYSE TECHNIQUE DÉTAILLÉE**</w:t>
      </w:r>
    </w:p>
    <w:p>
      <w:pPr>
        <w:spacing w:after="120" w:line="276" w:lineRule="auto"/>
      </w:pPr>
      <w:r>
        <w:t>**Moyennes Mobiles** : Les MM20 (1 674,75 FCFA) et MM50 (1 674,2 FCFA) sont pratiquement confondues et se situent sous le cours actuel de 1 750 FCFA. Cette configuration haussière, où le prix évolue au-dessus de ses moyennes mobiles, confirme une dynamique positive à court et moyen terme, justifiant la décision d'achat.</w:t>
      </w:r>
    </w:p>
    <w:p>
      <w:pPr>
        <w:spacing w:after="120" w:line="276" w:lineRule="auto"/>
      </w:pPr>
      <w:r>
        <w:t>**Bandes de Bollinger** : Le cours à 1 750 FCFA se positionne près de la borne supérieure (1 766,199 FCFA), indiquant une pression acheteuse soutenue. La largeur des bandes (écart de 183 FCFA entre les bornes) reflète une volatilité élevée. La décision neutre suggère que le titre n'est pas encore en situation de surachat extrême, mais la proximité de la borne supérieure appelle à la vigilance.</w:t>
      </w:r>
    </w:p>
    <w:p>
      <w:pPr>
        <w:spacing w:after="120" w:line="276" w:lineRule="auto"/>
      </w:pPr>
      <w:r>
        <w:t>**MACD** : La valeur du MACD (18,066) est nettement supérieure à son signal (8,117), avec un écart positif de près de 10 points. Cette divergence haussière confirme un momentum positif soutenu, indiquant que la tendance haussière est solidement ancrée et justifie la décision d'achat.</w:t>
      </w:r>
    </w:p>
    <w:p>
      <w:pPr>
        <w:spacing w:after="120" w:line="276" w:lineRule="auto"/>
      </w:pPr>
      <w:r>
        <w:t>**RSI** : À 57,143, le RSI se situe dans la zone neutre (30-70), sans signal de surachat ni de survente. Cette valeur indique un équilibre relatif entre acheteurs et vendeurs, avec une légère prédominance acheteuse. La décision neutre est cohérente avec cette lecture, le titre disposant d'une marge de progression avant d'atteindre la zone de surachat (&gt;70).</w:t>
      </w:r>
    </w:p>
    <w:p>
      <w:pPr>
        <w:spacing w:after="120" w:line="276" w:lineRule="auto"/>
      </w:pPr>
      <w:r>
        <w:t>**Stochastique** : Le %K (90,909) et le %D (96,97) sont tous deux dans la zone de surachat (&gt;80), avec un %D supérieur au %K, indiquant un essoufflement potentiel de la dynamique haussière. La décision de vente reflète ce risque de correction technique à court terme, malgré la tendance globale positive.</w:t>
      </w:r>
    </w:p>
    <w:p>
      <w:pPr>
        <w:spacing w:after="120" w:line="276" w:lineRule="auto"/>
      </w:pPr>
      <w:r>
        <w:t>**Conclusion technique** : La convergence des indicateurs de tendance (MM, MACD) vers une dynamique haussière est contrebalancée par les signaux de surachat du Stochastique et la proximité de la borne supérieure des Bollinger. Le RSI neutre laisse entrevoir une possible consolidation avant une poursuite de la hausse, mais le risque de correction technique à court terme est réel.</w:t>
      </w:r>
    </w:p>
    <w:p>
      <w:pPr>
        <w:spacing w:after="120" w:line="276" w:lineRule="auto" w:before="240"/>
      </w:pPr>
      <w:r>
        <w:rPr>
          <w:b/>
          <w:color w:val="003366"/>
          <w:sz w:val="24"/>
        </w:rPr>
        <w:t>**PARTIE 3 : ANALYSE FONDAMENTALE (SECTION CRITIQUE)**</w:t>
      </w:r>
    </w:p>
    <w:p>
      <w:pPr>
        <w:spacing w:after="120" w:line="276" w:lineRule="auto"/>
      </w:pPr>
      <w:r>
        <w:t>En 2024, CFAC (CFAO Motors Côte d'Ivoire) a réalisé un chiffre d'affaires de 158,313 milliards FCFA, en baisse de -12,1% par rapport à 2023 (180,162 milliards FCFA), avec un résultat net de 4,693 milliards FCFA (-26,7% vs 2023). La marge nette s'établit à 2,96%, la marge opérationnelle à 4,96%, tandis que le ROE reste excellent à 24,13% et le ROA à 5,52%. Le BFR négatif de -3,482 milliards FCFA est favorable, indiquant que l'entreprise finance son cycle d'exploitation par ses fournisseurs (délai fournisseurs de 81,75 jours contre 36,64 jours pour les clients). La capacité de remboursement est rapide (0,72 an) et la couverture des intérêts est très confortable (1064,46%). Cependant, la trésorerie nette est légèrement négative (-624 millions FCFA) et le free cash flow est de -1,650 milliard FCFA. Les rapports trimestriels 2025 montrent un redressement spectaculaire : le T1 2025 affiche un CA de 46,161 milliards FCFA (+14,5%) avec un résultat net de 3,836 milliards FCFA (+279,7%), et le S1 2025 confirme avec un CA de 91,182 milliards FCFA (+18,4%) et un résultat net de 5,420 milliards FCFA (+152,7%). Le T3 2025 poursuit cette dynamique avec un CA de 43,580 milliards FCFA (+18,3%) et un résultat net de 1,489 milliard FCFA (+38,1%). Sur la base de ces performances, on estime que l'exercice 2025 devrait dépasser largement les résultats 2024, avec un CA annuel potentiel de 175-180 milliards FCFA et un résultat net de 7-8 milliards FCFA, confirmant la solidité du modèle économique et la position de leader (43,4% de part de marché).</w:t>
      </w:r>
    </w:p>
    <w:p>
      <w:pPr>
        <w:spacing w:after="120" w:line="276" w:lineRule="auto" w:before="240"/>
      </w:pPr>
      <w:r>
        <w:rPr>
          <w:b/>
          <w:color w:val="003366"/>
          <w:sz w:val="24"/>
        </w:rPr>
        <w:t>**PARTIE 4 : CONCLUSION D'INVESTISSEMENT**</w:t>
      </w:r>
    </w:p>
    <w:p>
      <w:pPr>
        <w:spacing w:after="120" w:line="276" w:lineRule="auto"/>
      </w:pPr>
      <w:r>
        <w:t>La valorisation de CFAC est extrêmement exigeante (PER 67,6x, P/B 16,32x, EV/EBITDA 34,4x), indiquant une forte surévaluation par rapport aux fondamentaux actuels, même si le redressement de 2025 est spectaculaire. Le comportement du cours sur 100 jours est positif (+8,02%) avec une volatilité très élevée (48,8%) et une distribution des prix quasi symétrique, signe d'un marché actif mais risqué. Les signaux techniques sont mitigés : la tendance de fond reste haussière (MM, MACD) mais les indicateurs de surachat (Stochastique, proximité des Bollinger) suggèrent une consolidation à court terme. Les fondamentaux sont solides avec un ROE de 24,13%, un BFR négatif favorable et un redressement marqué en 2025, mais la valorisation actuelle intègre déjà ces bonnes nouvelles. Les prédictions IA (1 700 à 1 606 FCFA sur J+1 à J+10) indiquent une correction de -8% à -10%, contredisant la tendance haussière récente et confirmant les signaux de surachat technique. En synthèse, la convergence entre la valorisation excessive, les signaux techniques de surachat et les prédictions IA baissières conduit à une recommandation de **CONSERVER** avec un niveau de confiance **Moyen**. Le risque global est **Élevé** en raison de la volatilité et de la valorisation. L'horizon d'investissement optimal serait le **moyen terme (3-12 mois)**, en attendant une correction du cours pour entrer à des niveaux plus raisonnables, ou une confirmation durable de la croissance 2025 pour justifier la prime actuelle.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390.32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6,025 titres</w:t>
            </w:r>
          </w:p>
        </w:tc>
        <w:tc>
          <w:tcPr>
            <w:tcW w:type="dxa" w:w="2268"/>
            <w:shd w:fill="FFF2CC" w:val="clear"/>
          </w:tcPr>
          <w:p>
            <w:r>
              <w:rPr>
                <w:b/>
                <w:color w:val="503200"/>
                <w:sz w:val="16"/>
              </w:rPr>
              <w:t xml:space="preserve">Cours actuel : </w:t>
            </w:r>
            <w:r>
              <w:rPr>
                <w:color w:val="000000"/>
                <w:sz w:val="17"/>
              </w:rPr>
              <w:t>6,970 FCFA</w:t>
            </w:r>
          </w:p>
          <w:p>
            <w:r>
              <w:rPr>
                <w:b/>
                <w:color w:val="503200"/>
                <w:sz w:val="16"/>
              </w:rPr>
              <w:t xml:space="preserve">Var. 100 jours : </w:t>
            </w:r>
            <w:r>
              <w:rPr>
                <w:b/>
                <w:color w:val="007800"/>
                <w:sz w:val="17"/>
              </w:rPr>
              <w:t>+105.00%</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34.6/100 → Moyen</w:t>
      </w:r>
    </w:p>
    <w:p>
      <w:pPr>
        <w:spacing w:before="40" w:after="80"/>
      </w:pPr>
      <w:r>
        <w:rPr>
          <w:rFonts w:ascii="Courier New" w:hAnsi="Courier New"/>
          <w:color w:val="825A00"/>
          <w:sz w:val="18"/>
        </w:rPr>
        <w:t>██████░░░░░░░░░░░░░░  34.6/100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23.87% (Élevée) — μ=4,540 FCFA, σ=1,083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β=1.2159 (Agressif) — Cov=0.000041, Var(idx)=0.000033, ρ=0.224,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6,025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6,078</w:t>
            </w:r>
          </w:p>
        </w:tc>
        <w:tc>
          <w:tcPr>
            <w:tcW w:type="dxa" w:w="1440"/>
            <w:shd w:fill="FFDCE0" w:val="clear"/>
          </w:tcPr>
          <w:p>
            <w:r>
              <w:rPr>
                <w:b/>
                <w:sz w:val="17"/>
              </w:rPr>
              <w:t>6,447</w:t>
            </w:r>
          </w:p>
        </w:tc>
        <w:tc>
          <w:tcPr>
            <w:tcW w:type="dxa" w:w="1440"/>
            <w:shd w:fill="FFDCE0" w:val="clear"/>
          </w:tcPr>
          <w:p>
            <w:r>
              <w:rPr>
                <w:sz w:val="17"/>
              </w:rPr>
              <w:t>6,816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5,481</w:t>
            </w:r>
          </w:p>
        </w:tc>
        <w:tc>
          <w:tcPr>
            <w:tcW w:type="dxa" w:w="1440"/>
            <w:shd w:fill="FFDCE0" w:val="clear"/>
          </w:tcPr>
          <w:p>
            <w:r>
              <w:rPr>
                <w:b/>
                <w:sz w:val="17"/>
              </w:rPr>
              <w:t>5,964</w:t>
            </w:r>
          </w:p>
        </w:tc>
        <w:tc>
          <w:tcPr>
            <w:tcW w:type="dxa" w:w="1440"/>
            <w:shd w:fill="FFDCE0" w:val="clear"/>
          </w:tcPr>
          <w:p>
            <w:r>
              <w:rPr>
                <w:sz w:val="17"/>
              </w:rPr>
              <w:t>6,447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4,969</w:t>
            </w:r>
          </w:p>
        </w:tc>
        <w:tc>
          <w:tcPr>
            <w:tcW w:type="dxa" w:w="1440"/>
            <w:shd w:fill="FFDCE0" w:val="clear"/>
          </w:tcPr>
          <w:p>
            <w:r>
              <w:rPr>
                <w:b/>
                <w:sz w:val="17"/>
              </w:rPr>
              <w:t>5,516</w:t>
            </w:r>
          </w:p>
        </w:tc>
        <w:tc>
          <w:tcPr>
            <w:tcW w:type="dxa" w:w="1440"/>
            <w:shd w:fill="FFDCE0" w:val="clear"/>
          </w:tcPr>
          <w:p>
            <w:r>
              <w:rPr>
                <w:sz w:val="17"/>
              </w:rPr>
              <w:t>6,064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4,518</w:t>
            </w:r>
          </w:p>
        </w:tc>
        <w:tc>
          <w:tcPr>
            <w:tcW w:type="dxa" w:w="1440"/>
            <w:shd w:fill="FFDCE0" w:val="clear"/>
          </w:tcPr>
          <w:p>
            <w:r>
              <w:rPr>
                <w:b/>
                <w:sz w:val="17"/>
              </w:rPr>
              <w:t>5,103</w:t>
            </w:r>
          </w:p>
        </w:tc>
        <w:tc>
          <w:tcPr>
            <w:tcW w:type="dxa" w:w="1440"/>
            <w:shd w:fill="FFDCE0" w:val="clear"/>
          </w:tcPr>
          <w:p>
            <w:r>
              <w:rPr>
                <w:sz w:val="17"/>
              </w:rPr>
              <w:t>5,687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4,116</w:t>
            </w:r>
          </w:p>
        </w:tc>
        <w:tc>
          <w:tcPr>
            <w:tcW w:type="dxa" w:w="1440"/>
            <w:shd w:fill="FFDCE0" w:val="clear"/>
          </w:tcPr>
          <w:p>
            <w:r>
              <w:rPr>
                <w:b/>
                <w:sz w:val="17"/>
              </w:rPr>
              <w:t>4,720</w:t>
            </w:r>
          </w:p>
        </w:tc>
        <w:tc>
          <w:tcPr>
            <w:tcW w:type="dxa" w:w="1440"/>
            <w:shd w:fill="FFDCE0" w:val="clear"/>
          </w:tcPr>
          <w:p>
            <w:r>
              <w:rPr>
                <w:sz w:val="17"/>
              </w:rPr>
              <w:t>5,324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3,754</w:t>
            </w:r>
          </w:p>
        </w:tc>
        <w:tc>
          <w:tcPr>
            <w:tcW w:type="dxa" w:w="1440"/>
            <w:shd w:fill="FFDCE0" w:val="clear"/>
          </w:tcPr>
          <w:p>
            <w:r>
              <w:rPr>
                <w:b/>
                <w:sz w:val="17"/>
              </w:rPr>
              <w:t>4,366</w:t>
            </w:r>
          </w:p>
        </w:tc>
        <w:tc>
          <w:tcPr>
            <w:tcW w:type="dxa" w:w="1440"/>
            <w:shd w:fill="FFDCE0" w:val="clear"/>
          </w:tcPr>
          <w:p>
            <w:r>
              <w:rPr>
                <w:sz w:val="17"/>
              </w:rPr>
              <w:t>4,978</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3,427</w:t>
            </w:r>
          </w:p>
        </w:tc>
        <w:tc>
          <w:tcPr>
            <w:tcW w:type="dxa" w:w="1440"/>
            <w:shd w:fill="FFDCE0" w:val="clear"/>
          </w:tcPr>
          <w:p>
            <w:r>
              <w:rPr>
                <w:b/>
                <w:sz w:val="17"/>
              </w:rPr>
              <w:t>4,039</w:t>
            </w:r>
          </w:p>
        </w:tc>
        <w:tc>
          <w:tcPr>
            <w:tcW w:type="dxa" w:w="1440"/>
            <w:shd w:fill="FFDCE0" w:val="clear"/>
          </w:tcPr>
          <w:p>
            <w:r>
              <w:rPr>
                <w:sz w:val="17"/>
              </w:rPr>
              <w:t>4,650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3,131</w:t>
            </w:r>
          </w:p>
        </w:tc>
        <w:tc>
          <w:tcPr>
            <w:tcW w:type="dxa" w:w="1440"/>
            <w:shd w:fill="FFDCE0" w:val="clear"/>
          </w:tcPr>
          <w:p>
            <w:r>
              <w:rPr>
                <w:b/>
                <w:sz w:val="17"/>
              </w:rPr>
              <w:t>3,736</w:t>
            </w:r>
          </w:p>
        </w:tc>
        <w:tc>
          <w:tcPr>
            <w:tcW w:type="dxa" w:w="1440"/>
            <w:shd w:fill="FFDCE0" w:val="clear"/>
          </w:tcPr>
          <w:p>
            <w:r>
              <w:rPr>
                <w:sz w:val="17"/>
              </w:rPr>
              <w:t>4,341</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2,862</w:t>
            </w:r>
          </w:p>
        </w:tc>
        <w:tc>
          <w:tcPr>
            <w:tcW w:type="dxa" w:w="1440"/>
            <w:shd w:fill="FFDCE0" w:val="clear"/>
          </w:tcPr>
          <w:p>
            <w:r>
              <w:rPr>
                <w:b/>
                <w:sz w:val="17"/>
              </w:rPr>
              <w:t>3,455</w:t>
            </w:r>
          </w:p>
        </w:tc>
        <w:tc>
          <w:tcPr>
            <w:tcW w:type="dxa" w:w="1440"/>
            <w:shd w:fill="FFDCE0" w:val="clear"/>
          </w:tcPr>
          <w:p>
            <w:r>
              <w:rPr>
                <w:sz w:val="17"/>
              </w:rPr>
              <w:t>4,049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2,681</w:t>
            </w:r>
          </w:p>
        </w:tc>
        <w:tc>
          <w:tcPr>
            <w:tcW w:type="dxa" w:w="1440"/>
            <w:shd w:fill="FFDCE0" w:val="clear"/>
          </w:tcPr>
          <w:p>
            <w:r>
              <w:rPr>
                <w:b/>
                <w:sz w:val="17"/>
              </w:rPr>
              <w:t>3,273</w:t>
            </w:r>
          </w:p>
        </w:tc>
        <w:tc>
          <w:tcPr>
            <w:tcW w:type="dxa" w:w="1440"/>
            <w:shd w:fill="FFDCE0" w:val="clear"/>
          </w:tcPr>
          <w:p>
            <w:r>
              <w:rPr>
                <w:sz w:val="17"/>
              </w:rPr>
              <w:t>3,866</w:t>
            </w:r>
          </w:p>
        </w:tc>
        <w:tc>
          <w:tcPr>
            <w:tcW w:type="dxa" w:w="1440"/>
            <w:shd w:fill="FFDCE0" w:val="clear"/>
          </w:tcPr>
          <w:p>
            <w:r>
              <w:rPr>
                <w:b/>
                <w:color w:val="C00000"/>
                <w:sz w:val="17"/>
              </w:rPr>
              <w:t>-53.0%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Absolument. Voici un rapport d'analyse structuré et professionnel sur l'action CIEC,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390,32 milliards FCFA, un niveau qui la positionne parmi les poids lourds de la BRVM, reflétant son rôle stratégique dans le secteur énergétique ivoirien. Avec un BPA de 234 FCFA, le PER de 29,7x est très élevé par rapport à la moyenne historique de la BRVM (8-12x), indiquant que les investisseurs anticipent une croissance future substantielle des bénéfices, ou une possible surévaluation. Le P/B de 10,85x confirme cette prime, le marché valorisant l'actif net à plus de dix fois sa valeur comptable, ce qui est exigeant. Enfin, un EV/EBITDA de 15,6x, supérieur au seuil de 15x, souligne que la valeur totale de l'entreprise (capitalisation + dette nette) est élevée par rapport à sa capacité opérationnelle de génération de cash, ce qui laisse peu de marge de sécurité pour un investisseur value.</w:t>
      </w:r>
    </w:p>
    <w:p>
      <w:pPr>
        <w:spacing w:after="120" w:line="276" w:lineRule="auto"/>
      </w:pPr>
      <w:r>
        <w:t>### **PARTIE 1 : ANALYSE DU COURS — STATISTIQUES ET ÉVOLUTION (100 derniers jours)**</w:t>
      </w:r>
    </w:p>
    <w:p>
      <w:pPr>
        <w:spacing w:after="120" w:line="276" w:lineRule="auto"/>
      </w:pPr>
      <w:r>
        <w:t>Sur les 100 derniers jours, l'action CIEC a connu une performance spectaculaire avec une variation totale de +105,00%, passant d'un plus bas de 3 000 FCFA à un plus haut de 7 190 FCFA, pour clôturer à 6 970 FCFA. Cette tendance est fortement haussière, bien que la dernière séance (J-1) soit stable. Les statistiques descriptives révèlent une distribution des prix relativement symétrique (Skewness de 0.132) et mésokurtique (Kurtosis de -0.739), indiquant l'absence de pics de volatilité extrêmes. La moyenne (4 540 FCFA) est inférieure à la médiane (4 995 FCFA), ce qui suggère que le titre a passé plus de temps sous sa moyenne, avant une accélération récente. L'écart-type de 1 089 FCFA (CV de 24%) montre une dispersion modérée, mais la volatilité annualisée de 49,5% classe le titre comme très volatil, un niveau élevé qui implique un risque significatif pour les investisseurs.</w:t>
      </w:r>
    </w:p>
    <w:p>
      <w:pPr>
        <w:spacing w:after="120" w:line="276" w:lineRule="auto"/>
      </w:pPr>
      <w:r>
        <w:t>### **PARTIE 2 : ANALYSE TECHNIQUE DÉTAILLÉE**</w:t>
      </w:r>
    </w:p>
    <w:p>
      <w:pPr>
        <w:spacing w:after="120" w:line="276" w:lineRule="auto"/>
      </w:pPr>
      <w:r>
        <w:t>**Moyennes Mobiles**: Le cours actuel (6 970 FCFA) est nettement au-dessus de la MM20 (5 730,5 FCFA) et de la MM50 (5 407,2 FCFA). Cette configuration haussière, où les moyennes sont orientées à la hausse, confirme la dynamique positive du titre. La décision d'**Achat** est justifiée par cette tendance de fond solide.</w:t>
      </w:r>
    </w:p>
    <w:p>
      <w:pPr>
        <w:spacing w:after="120" w:line="276" w:lineRule="auto"/>
      </w:pPr>
      <w:r>
        <w:t>**Bandes de Bollinger**: Le prix se situe près de la borne supérieure (7 354,5 FCFA), indiquant une pression d'achat soutenue et une volatilité élevée. Le fait que le prix évolue en dehors de la zone de confort suggère une possible extension de la tendance ou un retournement imminent. La décision est **Neutre**, car le marché est en territoire d'extension, ce qui peut précéder une consolidation.</w:t>
      </w:r>
    </w:p>
    <w:p>
      <w:pPr>
        <w:spacing w:after="120" w:line="276" w:lineRule="auto"/>
      </w:pPr>
      <w:r>
        <w:t>**MACD**: Le MACD (490,261) est nettement au-dessus de sa ligne de signal (317,054), avec un écart positif croissant. Ce croisement haussier indique un momentum très fort en faveur des acheteurs. La décision d'**Achat** est cohérente avec cette dynamique positive.</w:t>
      </w:r>
    </w:p>
    <w:p>
      <w:pPr>
        <w:spacing w:after="120" w:line="276" w:lineRule="auto"/>
      </w:pPr>
      <w:r>
        <w:t>**RSI**: Le RSI à 88,65 est en zone de surachat extrême (au-dessus de 70). Cela signale que le titre est survendu à la hausse et qu'un repli technique est probable à court terme. La décision de **Vente** est un signal de prudence face à cette surabondance d'achats.</w:t>
      </w:r>
    </w:p>
    <w:p>
      <w:pPr>
        <w:spacing w:after="120" w:line="276" w:lineRule="auto"/>
      </w:pPr>
      <w:r>
        <w:t>**Stochastique**: Les valeurs de %K (89,954) et %D (88,907) sont également en zone de surachat. Le croisement de ces deux lignes à ces niveaux élevés est un signal classique de **Vente**, indiquant un épuisement potentiel du mouvement haussier à court terme.</w:t>
      </w:r>
    </w:p>
    <w:p>
      <w:pPr>
        <w:spacing w:after="120" w:line="276" w:lineRule="auto"/>
      </w:pPr>
      <w:r>
        <w:t>**Conclusion technique**: Les indicateurs de tendance (MM, MACD) sont résolument haussiers, mais les oscillateurs (RSI, Stochastique) sont en zone de surachat extrême. Cette divergence suggère que la tendance de fond reste positive, mais qu'un repli de consolidation est hautement probable à très court terme pour "respirer" avant une éventuelle poursuite de la hausse.</w:t>
      </w:r>
    </w:p>
    <w:p>
      <w:pPr>
        <w:spacing w:after="120" w:line="276" w:lineRule="auto"/>
      </w:pPr>
      <w:r>
        <w:t>### **PARTIE 3 : ANALYSE FONDAMENTALE (SECTION CRITIQUE)**</w:t>
      </w:r>
    </w:p>
    <w:p>
      <w:pPr>
        <w:spacing w:after="120" w:line="276" w:lineRule="auto"/>
      </w:pPr>
      <w:r>
        <w:t>En 2025, la CIEC affiche des fondamentaux solides. Le chiffre d'affaires s'établit à 302,320 milliards FCFA, en hausse de 14,8% par rapport à 2024 (263,294 milliards FCFA), et le résultat net progresse de 24,4% à 13,127 milliards FCFA. Cette performance se traduit par une marge nette de 4,34% et un ROE exceptionnel de 36,5%, démontrant une excellente rentabilité des capitaux propres. Cependant, le ROA est faible (0,65%), en raison d'un total de bilan très élevé (2 018,446 milliards FCFA) qui inclut des actifs gérés pour le compte de l'État concédant. L'analyse de la structure financière révèle une dépendance forte à l'endettement (98,2%) et un BFR négatif de -90,244 milliards FCFA, ce qui est favorable pour la trésorerie. Le délai de paiement des clients est très long (164 jours), un risque de trésorerie à surveiller, mais il est compensé par un délai fournisseurs extrêmement long (970 jours). Le rapport annuel 2025 (daté du 31/12/2025) recommande d'ailleurs de **CONSERVER** le titre, soulignant la croissance et le dividende attractif (234 FCFA/action, soit un taux de distribution de 99,8%), mais pointant le risque de crédit client et la dépendance au cadre réglementaire. Les rapports du S1 2025 confirment cette dynamique avec un CA en hausse de 18,85% à 134,923 milliards FCFA et un résultat net de 5,096 milliards FCFA, laissant présager une fin d'année solide.</w:t>
      </w:r>
    </w:p>
    <w:p>
      <w:pPr>
        <w:spacing w:after="120" w:line="276" w:lineRule="auto"/>
      </w:pPr>
      <w:r>
        <w:t>### **PARTIE 4 : CONCLUSION D'INVESTISSEMENT**</w:t>
      </w:r>
    </w:p>
    <w:p>
      <w:pPr>
        <w:spacing w:after="120" w:line="276" w:lineRule="auto"/>
      </w:pPr>
      <w:r>
        <w:t>La valorisation actuelle de la CIEC (PER 29,7x, P/B 10,85x) est exigeante et intègre des attentes de croissance élevées, ce qui contraste avec la tendance du cours qui a doublé en 100 jours avec une volatilité très élevée (49,5%). Les signaux techniques sont mitigés : la tendance de fond (MM, MACD) est haussière, mais les oscillateurs (RSI, Stochastique) crient à la surachat, suggérant un repli imminent. Les fondamentaux sont solides avec une croissance à deux chiffres et une rentabilité des fonds propres excellente, mais la structure financière est fragile et dépendante de l'État. Les prédictions IA pour les 10 prochains jours (chute de 6 970 à 4 720 FCFA) confirment l'analyse technique d'un fort risque de correction. En synthèse, la convergence des signaux de surachat technique et des prédictions IA suggère un risque de correction à court terme, malgré des fondamentaux de qualité. Par conséquent, la recommandation est de **CONSERVER** le titre pour les investisseurs actuels, avec un niveau de confiance **Moyen** et un risque global **Élevé**. L'horizon d'investissement optimal serait à **moyen terme (3-12 mois)**, après une probable phase de consolidation, afin de profiter de la solidité des fondamentaux à un prix d'entrée plus raisonnable.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919.35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3,909 titres</w:t>
            </w:r>
          </w:p>
        </w:tc>
        <w:tc>
          <w:tcPr>
            <w:tcW w:type="dxa" w:w="2268"/>
            <w:shd w:fill="FFF2CC" w:val="clear"/>
          </w:tcPr>
          <w:p>
            <w:r>
              <w:rPr>
                <w:b/>
                <w:color w:val="503200"/>
                <w:sz w:val="16"/>
              </w:rPr>
              <w:t xml:space="preserve">Cours actuel : </w:t>
            </w:r>
            <w:r>
              <w:rPr>
                <w:color w:val="000000"/>
                <w:sz w:val="17"/>
              </w:rPr>
              <w:t>16,700 FCFA</w:t>
            </w:r>
          </w:p>
          <w:p>
            <w:r>
              <w:rPr>
                <w:b/>
                <w:color w:val="503200"/>
                <w:sz w:val="16"/>
              </w:rPr>
              <w:t xml:space="preserve">Var. 100 jours : </w:t>
            </w:r>
            <w:r>
              <w:rPr>
                <w:b/>
                <w:color w:val="007800"/>
                <w:sz w:val="17"/>
              </w:rPr>
              <w:t>+1.21%</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2.22% (Faible) — μ=16,326 FCFA, σ=363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β=0.3085 (Défensif) — Cov=0.000010, Var(idx)=0.000033, ρ=0.102,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16,254</w:t>
            </w:r>
          </w:p>
        </w:tc>
        <w:tc>
          <w:tcPr>
            <w:tcW w:type="dxa" w:w="1440"/>
            <w:shd w:fill="FAFAFA" w:val="clear"/>
          </w:tcPr>
          <w:p>
            <w:r>
              <w:rPr>
                <w:b/>
                <w:sz w:val="17"/>
              </w:rPr>
              <w:t>16,669</w:t>
            </w:r>
          </w:p>
        </w:tc>
        <w:tc>
          <w:tcPr>
            <w:tcW w:type="dxa" w:w="1440"/>
            <w:shd w:fill="FAFAFA" w:val="clear"/>
          </w:tcPr>
          <w:p>
            <w:r>
              <w:rPr>
                <w:sz w:val="17"/>
              </w:rPr>
              <w:t>17,083</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16,060</w:t>
            </w:r>
          </w:p>
        </w:tc>
        <w:tc>
          <w:tcPr>
            <w:tcW w:type="dxa" w:w="1440"/>
            <w:shd w:fill="FAFAFA" w:val="clear"/>
          </w:tcPr>
          <w:p>
            <w:r>
              <w:rPr>
                <w:b/>
                <w:sz w:val="17"/>
              </w:rPr>
              <w:t>16,646</w:t>
            </w:r>
          </w:p>
        </w:tc>
        <w:tc>
          <w:tcPr>
            <w:tcW w:type="dxa" w:w="1440"/>
            <w:shd w:fill="FAFAFA" w:val="clear"/>
          </w:tcPr>
          <w:p>
            <w:r>
              <w:rPr>
                <w:sz w:val="17"/>
              </w:rPr>
              <w:t>17,232</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15,909</w:t>
            </w:r>
          </w:p>
        </w:tc>
        <w:tc>
          <w:tcPr>
            <w:tcW w:type="dxa" w:w="1440"/>
            <w:shd w:fill="FAFAFA" w:val="clear"/>
          </w:tcPr>
          <w:p>
            <w:r>
              <w:rPr>
                <w:b/>
                <w:sz w:val="17"/>
              </w:rPr>
              <w:t>16,625</w:t>
            </w:r>
          </w:p>
        </w:tc>
        <w:tc>
          <w:tcPr>
            <w:tcW w:type="dxa" w:w="1440"/>
            <w:shd w:fill="FAFAFA" w:val="clear"/>
          </w:tcPr>
          <w:p>
            <w:r>
              <w:rPr>
                <w:sz w:val="17"/>
              </w:rPr>
              <w:t>17,342</w:t>
            </w:r>
          </w:p>
        </w:tc>
        <w:tc>
          <w:tcPr>
            <w:tcW w:type="dxa" w:w="1440"/>
            <w:shd w:fill="FAFAFA" w:val="clear"/>
          </w:tcPr>
          <w:p>
            <w:r>
              <w:rPr>
                <w:b/>
                <w:color w:val="C00000"/>
                <w:sz w:val="17"/>
              </w:rPr>
              <w:t>-0.4%</w:t>
            </w:r>
          </w:p>
        </w:tc>
      </w:tr>
      <w:tr>
        <w:tc>
          <w:tcPr>
            <w:tcW w:type="dxa" w:w="1440"/>
            <w:shd w:fill="FAFAFA" w:val="clear"/>
          </w:tcPr>
          <w:p>
            <w:r>
              <w:rPr>
                <w:sz w:val="17"/>
              </w:rPr>
              <w:t>J+4  Moyenne</w:t>
            </w:r>
          </w:p>
        </w:tc>
        <w:tc>
          <w:tcPr>
            <w:tcW w:type="dxa" w:w="1440"/>
            <w:shd w:fill="FAFAFA" w:val="clear"/>
          </w:tcPr>
          <w:p>
            <w:r>
              <w:rPr>
                <w:sz w:val="17"/>
              </w:rPr>
              <w:t>2026-09-01</w:t>
            </w:r>
          </w:p>
        </w:tc>
        <w:tc>
          <w:tcPr>
            <w:tcW w:type="dxa" w:w="1440"/>
            <w:shd w:fill="FAFAFA" w:val="clear"/>
          </w:tcPr>
          <w:p>
            <w:r>
              <w:rPr>
                <w:sz w:val="17"/>
              </w:rPr>
              <w:t>15,780</w:t>
            </w:r>
          </w:p>
        </w:tc>
        <w:tc>
          <w:tcPr>
            <w:tcW w:type="dxa" w:w="1440"/>
            <w:shd w:fill="FAFAFA" w:val="clear"/>
          </w:tcPr>
          <w:p>
            <w:r>
              <w:rPr>
                <w:b/>
                <w:sz w:val="17"/>
              </w:rPr>
              <w:t>16,607</w:t>
            </w:r>
          </w:p>
        </w:tc>
        <w:tc>
          <w:tcPr>
            <w:tcW w:type="dxa" w:w="1440"/>
            <w:shd w:fill="FAFAFA" w:val="clear"/>
          </w:tcPr>
          <w:p>
            <w:r>
              <w:rPr>
                <w:sz w:val="17"/>
              </w:rPr>
              <w:t>17,434</w:t>
            </w:r>
          </w:p>
        </w:tc>
        <w:tc>
          <w:tcPr>
            <w:tcW w:type="dxa" w:w="1440"/>
            <w:shd w:fill="FAFAFA" w:val="clear"/>
          </w:tcPr>
          <w:p>
            <w:r>
              <w:rPr>
                <w:b/>
                <w:color w:val="C00000"/>
                <w:sz w:val="17"/>
              </w:rPr>
              <w:t>-0.6%</w:t>
            </w:r>
          </w:p>
        </w:tc>
      </w:tr>
      <w:tr>
        <w:tc>
          <w:tcPr>
            <w:tcW w:type="dxa" w:w="1440"/>
            <w:shd w:fill="FAFAFA" w:val="clear"/>
          </w:tcPr>
          <w:p>
            <w:r>
              <w:rPr>
                <w:sz w:val="17"/>
              </w:rPr>
              <w:t>J+5  Moyenne</w:t>
            </w:r>
          </w:p>
        </w:tc>
        <w:tc>
          <w:tcPr>
            <w:tcW w:type="dxa" w:w="1440"/>
            <w:shd w:fill="FAFAFA" w:val="clear"/>
          </w:tcPr>
          <w:p>
            <w:r>
              <w:rPr>
                <w:sz w:val="17"/>
              </w:rPr>
              <w:t>2026-09-02</w:t>
            </w:r>
          </w:p>
        </w:tc>
        <w:tc>
          <w:tcPr>
            <w:tcW w:type="dxa" w:w="1440"/>
            <w:shd w:fill="FAFAFA" w:val="clear"/>
          </w:tcPr>
          <w:p>
            <w:r>
              <w:rPr>
                <w:sz w:val="17"/>
              </w:rPr>
              <w:t>15,666</w:t>
            </w:r>
          </w:p>
        </w:tc>
        <w:tc>
          <w:tcPr>
            <w:tcW w:type="dxa" w:w="1440"/>
            <w:shd w:fill="FAFAFA" w:val="clear"/>
          </w:tcPr>
          <w:p>
            <w:r>
              <w:rPr>
                <w:b/>
                <w:sz w:val="17"/>
              </w:rPr>
              <w:t>16,590</w:t>
            </w:r>
          </w:p>
        </w:tc>
        <w:tc>
          <w:tcPr>
            <w:tcW w:type="dxa" w:w="1440"/>
            <w:shd w:fill="FAFAFA" w:val="clear"/>
          </w:tcPr>
          <w:p>
            <w:r>
              <w:rPr>
                <w:sz w:val="17"/>
              </w:rPr>
              <w:t>17,513</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2026-09-03</w:t>
            </w:r>
          </w:p>
        </w:tc>
        <w:tc>
          <w:tcPr>
            <w:tcW w:type="dxa" w:w="1440"/>
            <w:shd w:fill="FAFAFA" w:val="clear"/>
          </w:tcPr>
          <w:p>
            <w:r>
              <w:rPr>
                <w:sz w:val="17"/>
              </w:rPr>
              <w:t>15,562</w:t>
            </w:r>
          </w:p>
        </w:tc>
        <w:tc>
          <w:tcPr>
            <w:tcW w:type="dxa" w:w="1440"/>
            <w:shd w:fill="FAFAFA" w:val="clear"/>
          </w:tcPr>
          <w:p>
            <w:r>
              <w:rPr>
                <w:b/>
                <w:sz w:val="17"/>
              </w:rPr>
              <w:t>16,572</w:t>
            </w:r>
          </w:p>
        </w:tc>
        <w:tc>
          <w:tcPr>
            <w:tcW w:type="dxa" w:w="1440"/>
            <w:shd w:fill="FAFAFA" w:val="clear"/>
          </w:tcPr>
          <w:p>
            <w:r>
              <w:rPr>
                <w:sz w:val="17"/>
              </w:rPr>
              <w:t>17,583</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2026-09-04</w:t>
            </w:r>
          </w:p>
        </w:tc>
        <w:tc>
          <w:tcPr>
            <w:tcW w:type="dxa" w:w="1440"/>
            <w:shd w:fill="FAFAFA" w:val="clear"/>
          </w:tcPr>
          <w:p>
            <w:r>
              <w:rPr>
                <w:sz w:val="17"/>
              </w:rPr>
              <w:t>15,465</w:t>
            </w:r>
          </w:p>
        </w:tc>
        <w:tc>
          <w:tcPr>
            <w:tcW w:type="dxa" w:w="1440"/>
            <w:shd w:fill="FAFAFA" w:val="clear"/>
          </w:tcPr>
          <w:p>
            <w:r>
              <w:rPr>
                <w:b/>
                <w:sz w:val="17"/>
              </w:rPr>
              <w:t>16,555</w:t>
            </w:r>
          </w:p>
        </w:tc>
        <w:tc>
          <w:tcPr>
            <w:tcW w:type="dxa" w:w="1440"/>
            <w:shd w:fill="FAFAFA" w:val="clear"/>
          </w:tcPr>
          <w:p>
            <w:r>
              <w:rPr>
                <w:sz w:val="17"/>
              </w:rPr>
              <w:t>17,646</w:t>
            </w:r>
          </w:p>
        </w:tc>
        <w:tc>
          <w:tcPr>
            <w:tcW w:type="dxa" w:w="1440"/>
            <w:shd w:fill="FAFAFA" w:val="clear"/>
          </w:tcPr>
          <w:p>
            <w:r>
              <w:rPr>
                <w:b/>
                <w:color w:val="C00000"/>
                <w:sz w:val="17"/>
              </w:rPr>
              <w:t>-0.9%</w:t>
            </w:r>
          </w:p>
        </w:tc>
      </w:tr>
      <w:tr>
        <w:tc>
          <w:tcPr>
            <w:tcW w:type="dxa" w:w="1440"/>
            <w:shd w:fill="FAFAFA" w:val="clear"/>
          </w:tcPr>
          <w:p>
            <w:r>
              <w:rPr>
                <w:sz w:val="17"/>
              </w:rPr>
              <w:t>J+8  Moyenne</w:t>
            </w:r>
          </w:p>
        </w:tc>
        <w:tc>
          <w:tcPr>
            <w:tcW w:type="dxa" w:w="1440"/>
            <w:shd w:fill="FAFAFA" w:val="clear"/>
          </w:tcPr>
          <w:p>
            <w:r>
              <w:rPr>
                <w:sz w:val="17"/>
              </w:rPr>
              <w:t>2026-09-07</w:t>
            </w:r>
          </w:p>
        </w:tc>
        <w:tc>
          <w:tcPr>
            <w:tcW w:type="dxa" w:w="1440"/>
            <w:shd w:fill="FAFAFA" w:val="clear"/>
          </w:tcPr>
          <w:p>
            <w:r>
              <w:rPr>
                <w:sz w:val="17"/>
              </w:rPr>
              <w:t>15,374</w:t>
            </w:r>
          </w:p>
        </w:tc>
        <w:tc>
          <w:tcPr>
            <w:tcW w:type="dxa" w:w="1440"/>
            <w:shd w:fill="FAFAFA" w:val="clear"/>
          </w:tcPr>
          <w:p>
            <w:r>
              <w:rPr>
                <w:b/>
                <w:sz w:val="17"/>
              </w:rPr>
              <w:t>16,538</w:t>
            </w:r>
          </w:p>
        </w:tc>
        <w:tc>
          <w:tcPr>
            <w:tcW w:type="dxa" w:w="1440"/>
            <w:shd w:fill="FAFAFA" w:val="clear"/>
          </w:tcPr>
          <w:p>
            <w:r>
              <w:rPr>
                <w:sz w:val="17"/>
              </w:rPr>
              <w:t>17,703</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2026-09-08</w:t>
            </w:r>
          </w:p>
        </w:tc>
        <w:tc>
          <w:tcPr>
            <w:tcW w:type="dxa" w:w="1440"/>
            <w:shd w:fill="FAFAFA" w:val="clear"/>
          </w:tcPr>
          <w:p>
            <w:r>
              <w:rPr>
                <w:sz w:val="17"/>
              </w:rPr>
              <w:t>15,288</w:t>
            </w:r>
          </w:p>
        </w:tc>
        <w:tc>
          <w:tcPr>
            <w:tcW w:type="dxa" w:w="1440"/>
            <w:shd w:fill="FAFAFA" w:val="clear"/>
          </w:tcPr>
          <w:p>
            <w:r>
              <w:rPr>
                <w:b/>
                <w:sz w:val="17"/>
              </w:rPr>
              <w:t>16,521</w:t>
            </w:r>
          </w:p>
        </w:tc>
        <w:tc>
          <w:tcPr>
            <w:tcW w:type="dxa" w:w="1440"/>
            <w:shd w:fill="FAFAFA" w:val="clear"/>
          </w:tcPr>
          <w:p>
            <w:r>
              <w:rPr>
                <w:sz w:val="17"/>
              </w:rPr>
              <w:t>17,755</w:t>
            </w:r>
          </w:p>
        </w:tc>
        <w:tc>
          <w:tcPr>
            <w:tcW w:type="dxa" w:w="1440"/>
            <w:shd w:fill="FAFAFA" w:val="clear"/>
          </w:tcPr>
          <w:p>
            <w:r>
              <w:rPr>
                <w:b/>
                <w:color w:val="C00000"/>
                <w:sz w:val="17"/>
              </w:rPr>
              <w:t>-1.1%</w:t>
            </w:r>
          </w:p>
        </w:tc>
      </w:tr>
      <w:tr>
        <w:tc>
          <w:tcPr>
            <w:tcW w:type="dxa" w:w="1440"/>
            <w:shd w:fill="FAFAFA" w:val="clear"/>
          </w:tcPr>
          <w:p>
            <w:r>
              <w:rPr>
                <w:sz w:val="17"/>
              </w:rPr>
              <w:t>J+10  Moyenne</w:t>
            </w:r>
          </w:p>
        </w:tc>
        <w:tc>
          <w:tcPr>
            <w:tcW w:type="dxa" w:w="1440"/>
            <w:shd w:fill="FAFAFA" w:val="clear"/>
          </w:tcPr>
          <w:p>
            <w:r>
              <w:rPr>
                <w:sz w:val="17"/>
              </w:rPr>
              <w:t>2026-09-09</w:t>
            </w:r>
          </w:p>
        </w:tc>
        <w:tc>
          <w:tcPr>
            <w:tcW w:type="dxa" w:w="1440"/>
            <w:shd w:fill="FAFAFA" w:val="clear"/>
          </w:tcPr>
          <w:p>
            <w:r>
              <w:rPr>
                <w:sz w:val="17"/>
              </w:rPr>
              <w:t>15,205</w:t>
            </w:r>
          </w:p>
        </w:tc>
        <w:tc>
          <w:tcPr>
            <w:tcW w:type="dxa" w:w="1440"/>
            <w:shd w:fill="FAFAFA" w:val="clear"/>
          </w:tcPr>
          <w:p>
            <w:r>
              <w:rPr>
                <w:b/>
                <w:sz w:val="17"/>
              </w:rPr>
              <w:t>16,505</w:t>
            </w:r>
          </w:p>
        </w:tc>
        <w:tc>
          <w:tcPr>
            <w:tcW w:type="dxa" w:w="1440"/>
            <w:shd w:fill="FAFAFA" w:val="clear"/>
          </w:tcPr>
          <w:p>
            <w:r>
              <w:rPr>
                <w:sz w:val="17"/>
              </w:rPr>
              <w:t>17,804</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26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919,35 milliards FCFA, ECOC s'impose comme l'une des plus importantes capitalisations de la BRVM, reflétant son statut de leader bancaire régional. Le BPA de 1 153 FCFA indique que chaque action génère un bénéfice substantiel, justifiant un PER de 14,5x. Ce niveau est supérieur à la moyenne historique de la BRVM (8-12x), signifiant que les investisseurs acceptent de payer une prime pour la qualité des actifs et la croissance d'ECOC. Cependant, le P/B de 4,21x est particulièrement exigeant, valorisant fortement les capitaux propres au-delà de leur valeur comptable. Enfin, un EV/EBITDA de 14,1x, dans la fourchette haute (10-15x), confirme une valorisation élevée, mais cohérente avec la forte rentabilité opérationnelle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progression modeste de +1,21%, avec une légère baisse de -0,77% lors de la dernière séance, signe d'une consolidation. Le cours a évolué dans un range de 15 520 FCFA (plus bas) à 17 270 FCFA (plus haut), démontrant une stabilité relative. La moyenne (16 326 FCFA) et la médiane (16 300 FCFA) étant très proches, la distribution des prix est symétrique, ce que confirme le skewness de 0,214. L'écart-type de 365 FCFA (CV=2,2%) indique une dispersion très faible des prix autour de la moyenne, suggérant un titre très stable. Le kurtosis de -0,127 (mésokurtique) indique l'absence de risques de variations extrêmes ou de pics inhabituels. Enfin, la volatilité annualisée de 27,6% classe le titre dans une zone de volatilité modérée, acceptable pour une valeur bancaire de cette envergure.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(16 700 FCFA) se situe au-dessus de la MM20 (16 310,75 FCFA) et de la MM50 (16 405,1 FCFA), ce qui est généralement un signal haussier. Cependant, la décision technique globale est "Vente", probablement en raison d'un récent croisement baissier ou d'un écart important entre les moyennes, signalant un potentiel de correction à court terme.</w:t>
      </w:r>
    </w:p>
    <w:p>
      <w:pPr>
        <w:spacing w:after="120" w:line="276" w:lineRule="auto"/>
      </w:pPr>
      <w:r>
        <w:t>**Bandes de Bollinger :** Le prix se positionne dans la partie supérieure des bandes (borne supérieure à 16 959 FCFA, borne inférieure à 15 662 FCFA), indiquant une pression acheteuse mais sans atteindre la zone de surachat extrême. La décision "Neutre" suggère que le marché attend un catalyseur pour définir une direction claire, la volatilité étant modérée.</w:t>
      </w:r>
    </w:p>
    <w:p>
      <w:pPr>
        <w:spacing w:after="120" w:line="276" w:lineRule="auto"/>
      </w:pPr>
      <w:r>
        <w:t>**MACD :** Le MACD (123,52) est nettement supérieur à son signal (34,278), montrant un momentum haussier fort et positif. La décision "Achat" est justifiée par cette divergence positive, qui indique que la dynamique de prix est favorable aux acheteurs sur le moyen terme.</w:t>
      </w:r>
    </w:p>
    <w:p>
      <w:pPr>
        <w:spacing w:after="120" w:line="276" w:lineRule="auto"/>
      </w:pPr>
      <w:r>
        <w:t>**RSI :** À 60,204, le RSI est en zone neutre, en dessous du seuil de surachat (70). Cela indique qu'il reste de la marge avant une éventuelle correction, et que la pression acheteuse est saine. La décision "Neutre" est cohérente avec cette lecture, le titre n'étant ni survendu ni suracheté.</w:t>
      </w:r>
    </w:p>
    <w:p>
      <w:pPr>
        <w:spacing w:after="120" w:line="276" w:lineRule="auto"/>
      </w:pPr>
      <w:r>
        <w:t>**Stochastique :** Le %K (79,096) est inférieur au %D (87,571), indiquant un croisement baissier potentiel à court terme. Bien que les deux valeurs soient élevées, cette configuration suggère un essoufflement de la dynamique haussière, d'où la décision "Neutre" avec une vigilance accrue.</w:t>
      </w:r>
    </w:p>
    <w:p>
      <w:pPr>
        <w:spacing w:after="120" w:line="276" w:lineRule="auto"/>
      </w:pPr>
      <w:r>
        <w:t>**Conclusion technique :** Les indicateurs sont mitigés. Le MACD est clairement haussier, mais les moyennes mobiles et le stochastique montrent des signes de consolidation. Le RSI et les bandes de Bollinger suggèrent une pause dans la tendance. Globalement, le titre est dans une phase de stabilisation après une hausse, avec un biais haussier à moyen terme mais un risque de correction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ECOC affiche un Produit Net Bancaire (PNB) de 132,725 milliards FCFA, en croissance de +8,5%, et un résultat net de 63,482 milliards FCFA. La banque démontre une excellente rentabilité avec un ROE de 29,04% et un ROA de 3,09%, bien au-dessus des seuils d'excellence. Le coefficient d'exploitation de 42,89% témoigne d'une gestion des coûts très efficace. Le coût du risque est maîtrisé à 1,36%, indiquant une bonne qualité du portefeuille de crédits (1 050,8 Mds FCFA), financé par des dépôts clients massifs (1 626,2 Mds FCFA). Les rapports trimestriels de 2025 confirment cette dynamique : le T3 2025 montre un PNB de 96,4 Mds FCFA (+11,3%) et un résultat net de 44,4 Mds FCFA (+15,4%), avec un ROE de 29,7%. Sur la base de ces performances, on estime que l'exercice 2026 devrait poursuivre cette tendance, bien que le T1 2026 (rapport du 31/03/2026) montre un léger ralentissement avec un résultat net de 13,0 Mds FCFA (-1,6% vs T1 2025), impacté par une hausse du coût du risque. La banque maintient une politique de dividende généreuse (888 FCFA brut par action proposé pour 2025, soit un rendement d'environ 5,3%). En conclusion, les fondamentaux d'ECOC sont solides, avec une croissance soutenue, une rentabilité exceptionnelle et une gestion prudente des risques, malgré un environnement macroéconomique complexe.</w:t>
      </w:r>
    </w:p>
    <w:p>
      <w:pPr>
        <w:spacing w:after="120" w:line="276" w:lineRule="auto"/>
      </w:pPr>
      <w:r>
        <w:t>---</w:t>
      </w:r>
    </w:p>
    <w:p>
      <w:pPr>
        <w:spacing w:after="120" w:line="276" w:lineRule="auto"/>
      </w:pPr>
      <w:r>
        <w:t>### PARTIE 4 : CONCLUSION D'INVESTISSEMENT</w:t>
      </w:r>
    </w:p>
    <w:p>
      <w:pPr>
        <w:spacing w:after="120" w:line="276" w:lineRule="auto"/>
      </w:pPr>
      <w:r>
        <w:t>La valorisation d'ECOC (PER 14,5x, P/B 4,21x) est exigeante, mais justifiée par une rentabilité supérieure à la moyenne du marché. Le comportement du cours est stable, avec une volatilité modérée et une distribution symétrique, indiquant un titre de qualité. Les signaux techniques sont mitigés à court terme (consolidation), mais le MACD haussier et la position au-dessus des moyennes mobiles suggèrent un potentiel de hausse à moyen terme. Les fondamentaux sont excellents, avec un ROE de 29%, une croissance du PNB de +8,5% et un dividende attractif. Les prédictions IA pour les 10 prochains jours (16 669 à 16 590 FCFA) indiquent une légère correction, en ligne avec les signaux techniques de consolidation. La convergence entre des fondamentaux solides et une valorisation élevée suggère une **recommandation CONSERVER**. Le niveau de confiance est **Moyen**, car la valorisation actuelle laisse peu de marge d'erreur. Le risque global est **Moyen**, principalement lié à la conjoncture économique et à la concurrence. L'horizon d'investissement optimal est le **moyen terme (3-12 mois)**, pour capitaliser sur la croissance des bénéfices et les éventuelles revalorisations.</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1,444,883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+96.97%</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38.35% (Élevée) — μ=45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β=2.7026 (Très agressif) — Cov=0.000090, Var(idx)=0.000033, ρ=0.381,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1,444,883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σ_j=4.10%/j (Modérée) — Vol. annualisée≈65.0%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56</w:t>
            </w:r>
          </w:p>
        </w:tc>
        <w:tc>
          <w:tcPr>
            <w:tcW w:type="dxa" w:w="1440"/>
            <w:shd w:fill="FFDCE0" w:val="clear"/>
          </w:tcPr>
          <w:p>
            <w:r>
              <w:rPr>
                <w:b/>
                <w:sz w:val="17"/>
              </w:rPr>
              <w:t>60</w:t>
            </w:r>
          </w:p>
        </w:tc>
        <w:tc>
          <w:tcPr>
            <w:tcW w:type="dxa" w:w="1440"/>
            <w:shd w:fill="FFDCE0" w:val="clear"/>
          </w:tcPr>
          <w:p>
            <w:r>
              <w:rPr>
                <w:sz w:val="17"/>
              </w:rPr>
              <w:t>65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49</w:t>
            </w:r>
          </w:p>
        </w:tc>
        <w:tc>
          <w:tcPr>
            <w:tcW w:type="dxa" w:w="1440"/>
            <w:shd w:fill="FFDCE0" w:val="clear"/>
          </w:tcPr>
          <w:p>
            <w:r>
              <w:rPr>
                <w:b/>
                <w:sz w:val="17"/>
              </w:rPr>
              <w:t>56</w:t>
            </w:r>
          </w:p>
        </w:tc>
        <w:tc>
          <w:tcPr>
            <w:tcW w:type="dxa" w:w="1440"/>
            <w:shd w:fill="FFDCE0" w:val="clear"/>
          </w:tcPr>
          <w:p>
            <w:r>
              <w:rPr>
                <w:sz w:val="17"/>
              </w:rPr>
              <w:t>62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44</w:t>
            </w:r>
          </w:p>
        </w:tc>
        <w:tc>
          <w:tcPr>
            <w:tcW w:type="dxa" w:w="1440"/>
            <w:shd w:fill="FFDCE0" w:val="clear"/>
          </w:tcPr>
          <w:p>
            <w:r>
              <w:rPr>
                <w:b/>
                <w:sz w:val="17"/>
              </w:rPr>
              <w:t>51</w:t>
            </w:r>
          </w:p>
        </w:tc>
        <w:tc>
          <w:tcPr>
            <w:tcW w:type="dxa" w:w="1440"/>
            <w:shd w:fill="FFDCE0" w:val="clear"/>
          </w:tcPr>
          <w:p>
            <w:r>
              <w:rPr>
                <w:sz w:val="17"/>
              </w:rPr>
              <w:t>59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40</w:t>
            </w:r>
          </w:p>
        </w:tc>
        <w:tc>
          <w:tcPr>
            <w:tcW w:type="dxa" w:w="1440"/>
            <w:shd w:fill="FFDCE0" w:val="clear"/>
          </w:tcPr>
          <w:p>
            <w:r>
              <w:rPr>
                <w:b/>
                <w:sz w:val="17"/>
              </w:rPr>
              <w:t>48</w:t>
            </w:r>
          </w:p>
        </w:tc>
        <w:tc>
          <w:tcPr>
            <w:tcW w:type="dxa" w:w="1440"/>
            <w:shd w:fill="FFDCE0" w:val="clear"/>
          </w:tcPr>
          <w:p>
            <w:r>
              <w:rPr>
                <w:sz w:val="17"/>
              </w:rPr>
              <w:t>55</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36</w:t>
            </w:r>
          </w:p>
        </w:tc>
        <w:tc>
          <w:tcPr>
            <w:tcW w:type="dxa" w:w="1440"/>
            <w:shd w:fill="FFDCE0" w:val="clear"/>
          </w:tcPr>
          <w:p>
            <w:r>
              <w:rPr>
                <w:b/>
                <w:sz w:val="17"/>
              </w:rPr>
              <w:t>44</w:t>
            </w:r>
          </w:p>
        </w:tc>
        <w:tc>
          <w:tcPr>
            <w:tcW w:type="dxa" w:w="1440"/>
            <w:shd w:fill="FFDCE0" w:val="clear"/>
          </w:tcPr>
          <w:p>
            <w:r>
              <w:rPr>
                <w:sz w:val="17"/>
              </w:rPr>
              <w:t>52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33</w:t>
            </w:r>
          </w:p>
        </w:tc>
        <w:tc>
          <w:tcPr>
            <w:tcW w:type="dxa" w:w="1440"/>
            <w:shd w:fill="FFDCE0" w:val="clear"/>
          </w:tcPr>
          <w:p>
            <w:r>
              <w:rPr>
                <w:b/>
                <w:sz w:val="17"/>
              </w:rPr>
              <w:t>41</w:t>
            </w:r>
          </w:p>
        </w:tc>
        <w:tc>
          <w:tcPr>
            <w:tcW w:type="dxa" w:w="1440"/>
            <w:shd w:fill="FFDCE0" w:val="clear"/>
          </w:tcPr>
          <w:p>
            <w:r>
              <w:rPr>
                <w:sz w:val="17"/>
              </w:rPr>
              <w:t>49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30</w:t>
            </w:r>
          </w:p>
        </w:tc>
        <w:tc>
          <w:tcPr>
            <w:tcW w:type="dxa" w:w="1440"/>
            <w:shd w:fill="FFDCE0" w:val="clear"/>
          </w:tcPr>
          <w:p>
            <w:r>
              <w:rPr>
                <w:b/>
                <w:sz w:val="17"/>
              </w:rPr>
              <w:t>38</w:t>
            </w:r>
          </w:p>
        </w:tc>
        <w:tc>
          <w:tcPr>
            <w:tcW w:type="dxa" w:w="1440"/>
            <w:shd w:fill="FFDCE0" w:val="clear"/>
          </w:tcPr>
          <w:p>
            <w:r>
              <w:rPr>
                <w:sz w:val="17"/>
              </w:rPr>
              <w:t>46</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27</w:t>
            </w:r>
          </w:p>
        </w:tc>
        <w:tc>
          <w:tcPr>
            <w:tcW w:type="dxa" w:w="1440"/>
            <w:shd w:fill="FFDCE0" w:val="clear"/>
          </w:tcPr>
          <w:p>
            <w:r>
              <w:rPr>
                <w:b/>
                <w:sz w:val="17"/>
              </w:rPr>
              <w:t>35</w:t>
            </w:r>
          </w:p>
        </w:tc>
        <w:tc>
          <w:tcPr>
            <w:tcW w:type="dxa" w:w="1440"/>
            <w:shd w:fill="FFDCE0" w:val="clear"/>
          </w:tcPr>
          <w:p>
            <w:r>
              <w:rPr>
                <w:sz w:val="17"/>
              </w:rPr>
              <w:t>43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24</w:t>
            </w:r>
          </w:p>
        </w:tc>
        <w:tc>
          <w:tcPr>
            <w:tcW w:type="dxa" w:w="1440"/>
            <w:shd w:fill="FFDCE0" w:val="clear"/>
          </w:tcPr>
          <w:p>
            <w:r>
              <w:rPr>
                <w:b/>
                <w:sz w:val="17"/>
              </w:rPr>
              <w:t>32</w:t>
            </w:r>
          </w:p>
        </w:tc>
        <w:tc>
          <w:tcPr>
            <w:tcW w:type="dxa" w:w="1440"/>
            <w:shd w:fill="FFDCE0" w:val="clear"/>
          </w:tcPr>
          <w:p>
            <w:r>
              <w:rPr>
                <w:sz w:val="17"/>
              </w:rPr>
              <w:t>40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22</w:t>
            </w:r>
          </w:p>
        </w:tc>
        <w:tc>
          <w:tcPr>
            <w:tcW w:type="dxa" w:w="1440"/>
            <w:shd w:fill="FFDCE0" w:val="clear"/>
          </w:tcPr>
          <w:p>
            <w:r>
              <w:rPr>
                <w:b/>
                <w:sz w:val="17"/>
              </w:rPr>
              <w:t>30</w:t>
            </w:r>
          </w:p>
        </w:tc>
        <w:tc>
          <w:tcPr>
            <w:tcW w:type="dxa" w:w="1440"/>
            <w:shd w:fill="FFDCE0" w:val="clear"/>
          </w:tcPr>
          <w:p>
            <w:r>
              <w:rPr>
                <w:sz w:val="17"/>
              </w:rPr>
              <w:t>37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1 175,47 milliards FCFA, ce qui en fait l'une des plus importantes capitalisations de la BRVM, reflétant le statut de leader panafricain du groupe Ecobank. Avec un BPA de 19 FCFA, le titre se négocie à un PER de 3,4x, très inférieur à la moyenne historique de la BRVM (8-12x), signalant une sous-évaluation potentielle significative. Le P/B de 0,74x confirme cette lecture : le marché valorise le titre sous sa valeur comptable, offrant une décote de 26% sur l'actif net. Enfin, l'EV/EBITDA de 4,9x (&lt; 5x) indique que la valeur d'entreprise reste très raisonnable par rapport à la capacité bénéficiaire opérationnelle, renforçant l'attractivité du dossier sur le plan fondamental.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affiche une performance spectaculaire de +96,97%, passant d'un plus bas de 26 FCFA à un plus haut de 78 FCFA, avant de se stabiliser à 65 FCFA après une baisse de -2,99% lors de la dernière séance. La moyenne du cours sur la période (45 FCFA) est nettement supérieure à la médiane (34 FCFA), ce qui, combiné à un skewness positif de 0,595, indique une distribution asymétrique avec une concentration de séances sous la moyenne mais quelques fortes hausses qui tirent la moyenne vers le haut. L'écart-type de 17 FCFA (CV = 38,5%) révèle une dispersion élevée, tandis que le kurtosis négatif (-1,431) suggère une distribution aplatie, sans pics extrêmes, malgré la forte progression. La volatilité annualisée de 65% classe le titre dans la catégorie très élevée (&gt;30%), reflétant un risque de marché considérable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Le cours actuel (65 FCFA) se situe sous la MM20 (66,5 FCFA) mais au-dessus de la MM50 (58,42 FCFA), indiquant une consolidation après une forte tendance haussière. La configuration reste globalement positive, la MM50 servant de support dynamique, d'où la décision d'achat.</w:t>
      </w:r>
    </w:p>
    <w:p>
      <w:pPr>
        <w:spacing w:after="120" w:line="276" w:lineRule="auto"/>
      </w:pPr>
      <w:r>
        <w:t>**Bandes de Bollinger** : Le prix évolue dans la partie médiane des bandes (borne inférieure à 63,036 et supérieure à 69,964), avec une largeur de bande relativement étroite indiquant une compression de volatilité. La position neutre suggère une phase de consolidation avant une possible nouvelle impulsion directionnelle.</w:t>
      </w:r>
    </w:p>
    <w:p>
      <w:pPr>
        <w:spacing w:after="120" w:line="276" w:lineRule="auto"/>
      </w:pPr>
      <w:r>
        <w:t>**MACD** : La valeur du MACD (1,573) est inférieure à sa ligne de signal (2,479), formant un croisement baissier récent. Ce signal de vente indique un affaiblissement du momentum haussier à court terme, bien que le MACD reste en territoire positif.</w:t>
      </w:r>
    </w:p>
    <w:p>
      <w:pPr>
        <w:spacing w:after="120" w:line="276" w:lineRule="auto"/>
      </w:pPr>
      <w:r>
        <w:t>**RSI** : À 52,174, le RSI se situe en zone neutre, sans signal de surachat ni de survente. Cette valeur reflète un équilibre entre pression acheteuse et vendeuse, laissant place à une évolution directionnelle future.</w:t>
      </w:r>
    </w:p>
    <w:p>
      <w:pPr>
        <w:spacing w:after="120" w:line="276" w:lineRule="auto"/>
      </w:pPr>
      <w:r>
        <w:t>**Stochastique** : Le %K (20,0) sous le %D (40,0) signale une dynamique baissière à court terme, le titre étant proche de la zone de survente. Un croisement haussier pourrait toutefois se matérialiser prochainement, justifiant la décision neutre.</w:t>
      </w:r>
    </w:p>
    <w:p>
      <w:pPr>
        <w:spacing w:after="120" w:line="276" w:lineRule="auto"/>
      </w:pPr>
      <w:r>
        <w:t>**Conclusion technique** : Les indicateurs sont mitigés : les moyennes mobiles restent positives, mais le MACD et le stochastique montrent un essoufflement à court terme. La consolidation actuelle pourrait être saine après une hausse de près de 97%, mais nécessite une confirmation directionnelle. Le signal global est neutre à légèrement négatif à court terme.</w:t>
      </w:r>
    </w:p>
    <w:p>
      <w:pPr>
        <w:spacing w:after="120" w:line="276" w:lineRule="auto" w:before="240"/>
      </w:pPr>
      <w:r>
        <w:rPr>
          <w:b/>
          <w:color w:val="003366"/>
          <w:sz w:val="24"/>
        </w:rPr>
        <w:t>**PARTIE 3 : ANALYSE FONDAMENTALE (SECTION CRITIQUE)**</w:t>
      </w:r>
    </w:p>
    <w:p>
      <w:pPr>
        <w:spacing w:after="120" w:line="276" w:lineRule="auto"/>
      </w:pPr>
      <w:r>
        <w:t>En 2025, le Produit Net Bancaire (PNB) d'ETIT s'établit à 1 424,261 milliards FCFA, en croissance de 12,45%, avec un résultat net de 345,523 milliards FCFA, soit une marge nette de 24,26%. Le ROE atteint un niveau excellent de 21,62% et le ROA de 1,80%, démontrant une utilisation efficace des capitaux propres et des actifs. Le coefficient d'exploitation de 27,35% est remarquablement bas (&lt; 50%), témoignant d'une discipline opérationnelle exceptionnelle, bien que le coût du risque de 18,97% reste élevé, signalant un portefeuille de crédit sous tension. Les dépôts clientèle (14 120 milliards FCFA) représentent plus du double des créances sur la clientèle (6 570 milliards FCFA), indiquant une transformation saine avec un ratio dépôts/crédits de 46,5%. En 2026, les rapports semestriels (S1 2026) confirment la dynamique avec un PNB de 721,3 milliards FCFA (+15% en $EU) et un résultat net de 166,7 milliards FCFA (+6%), le coefficient d'exploitation s'améliorant à 48,4%. On estime que l'exercice 2026 devrait dépasser les performances de 2025, avec un PNB annuel potentiel de 1 500 milliards FCFA, porté par la croissance des dépôts à faible coût et les investissements technologiques. La solidité du bilan (total actif de 19 244 milliards FCFA) et l'autonomie financière de 8,30% (faible mais en amélioration) confirment une trajectoire positive, malgré un ratio d'endettement élevé de 154%.</w:t>
      </w:r>
    </w:p>
    <w:p>
      <w:pPr>
        <w:spacing w:after="120" w:line="276" w:lineRule="auto" w:before="240"/>
      </w:pPr>
      <w:r>
        <w:rPr>
          <w:b/>
          <w:color w:val="003366"/>
          <w:sz w:val="24"/>
        </w:rPr>
        <w:t>**PARTIE 4 : CONCLUSION D'INVESTISSEMENT**</w:t>
      </w:r>
    </w:p>
    <w:p>
      <w:pPr>
        <w:spacing w:after="120" w:line="276" w:lineRule="auto"/>
      </w:pPr>
      <w:r>
        <w:t>La valorisation d'ETIT (PER 3,4x, P/B 0,74x, EV/EBITDA 4,9x) indique une sous-évaluation nette, malgré une hausse de 97% du cours sur 100 jours. Le comportement du titre, avec une volatilité très élevée (65%) et une distribution asymétrique positive, suggère un momentum haussier mais fragile. Les signaux techniques sont mitigés : les moyennes mobiles soutiennent la tendance, mais le MACD et le stochastique montrent un essoufflement à court terme. Les fondamentaux sont solides, avec un ROE de 21,6%, un coefficient d'exploitation exceptionnel et une croissance soutenue du PNB, bien que le coût du risque reste préoccupant. Les prédictions IA (baisse de 65 à 44 FCFA sur 10 jours) contredisent fortement les signaux fondamentaux, suggérant une correction technique probable après la forte hausse. En synthèse, la convergence entre la sous-évaluation fondamentale et la solidité financière plaide pour une recommandation **ACHAT** à moyen terme, malgré un risque de correction à court terme. Niveau de confiance : **Moyen** ; Risque global : **Élevé** ; Horizon optimal : **Moyen terme (3-12 mois)**, en attendant une stabilisation du cours.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3,904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-8.32%</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6.38% (Moyenne) — μ=2,156 FCFA, σ=138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β=0.8013 (Neutre (suit le marché)) — Cov=0.000027, Var(idx)=0.000033, ρ=0.206,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3,904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σ_j=2.23%/j (Stable) — Vol. annualisée≈35.4%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2,093</w:t>
            </w:r>
          </w:p>
        </w:tc>
        <w:tc>
          <w:tcPr>
            <w:tcW w:type="dxa" w:w="1440"/>
            <w:shd w:fill="FAFAFA" w:val="clear"/>
          </w:tcPr>
          <w:p>
            <w:r>
              <w:rPr>
                <w:b/>
                <w:sz w:val="17"/>
              </w:rPr>
              <w:t>2,160</w:t>
            </w:r>
          </w:p>
        </w:tc>
        <w:tc>
          <w:tcPr>
            <w:tcW w:type="dxa" w:w="1440"/>
            <w:shd w:fill="FAFAFA" w:val="clear"/>
          </w:tcPr>
          <w:p>
            <w:r>
              <w:rPr>
                <w:sz w:val="17"/>
              </w:rPr>
              <w:t>2,227</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2,075</w:t>
            </w:r>
          </w:p>
        </w:tc>
        <w:tc>
          <w:tcPr>
            <w:tcW w:type="dxa" w:w="1440"/>
            <w:shd w:fill="FAFAFA" w:val="clear"/>
          </w:tcPr>
          <w:p>
            <w:r>
              <w:rPr>
                <w:b/>
                <w:sz w:val="17"/>
              </w:rPr>
              <w:t>2,170</w:t>
            </w:r>
          </w:p>
        </w:tc>
        <w:tc>
          <w:tcPr>
            <w:tcW w:type="dxa" w:w="1440"/>
            <w:shd w:fill="FAFAFA" w:val="clear"/>
          </w:tcPr>
          <w:p>
            <w:r>
              <w:rPr>
                <w:sz w:val="17"/>
              </w:rPr>
              <w:t>2,265</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2,063</w:t>
            </w:r>
          </w:p>
        </w:tc>
        <w:tc>
          <w:tcPr>
            <w:tcW w:type="dxa" w:w="1440"/>
            <w:shd w:fill="FAFAFA" w:val="clear"/>
          </w:tcPr>
          <w:p>
            <w:r>
              <w:rPr>
                <w:b/>
                <w:sz w:val="17"/>
              </w:rPr>
              <w:t>2,180</w:t>
            </w:r>
          </w:p>
        </w:tc>
        <w:tc>
          <w:tcPr>
            <w:tcW w:type="dxa" w:w="1440"/>
            <w:shd w:fill="FAFAFA" w:val="clear"/>
          </w:tcPr>
          <w:p>
            <w:r>
              <w:rPr>
                <w:sz w:val="17"/>
              </w:rPr>
              <w:t>2,297</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2026-09-01</w:t>
            </w:r>
          </w:p>
        </w:tc>
        <w:tc>
          <w:tcPr>
            <w:tcW w:type="dxa" w:w="1440"/>
            <w:shd w:fill="FAFAFA" w:val="clear"/>
          </w:tcPr>
          <w:p>
            <w:r>
              <w:rPr>
                <w:sz w:val="17"/>
              </w:rPr>
              <w:t>2,055</w:t>
            </w:r>
          </w:p>
        </w:tc>
        <w:tc>
          <w:tcPr>
            <w:tcW w:type="dxa" w:w="1440"/>
            <w:shd w:fill="FAFAFA" w:val="clear"/>
          </w:tcPr>
          <w:p>
            <w:r>
              <w:rPr>
                <w:b/>
                <w:sz w:val="17"/>
              </w:rPr>
              <w:t>2,190</w:t>
            </w:r>
          </w:p>
        </w:tc>
        <w:tc>
          <w:tcPr>
            <w:tcW w:type="dxa" w:w="1440"/>
            <w:shd w:fill="FAFAFA" w:val="clear"/>
          </w:tcPr>
          <w:p>
            <w:r>
              <w:rPr>
                <w:sz w:val="17"/>
              </w:rPr>
              <w:t>2,326</w:t>
            </w:r>
          </w:p>
        </w:tc>
        <w:tc>
          <w:tcPr>
            <w:tcW w:type="dxa" w:w="1440"/>
            <w:shd w:fill="FAFAFA" w:val="clear"/>
          </w:tcPr>
          <w:p>
            <w:r>
              <w:rPr>
                <w:b/>
                <w:color w:val="008000"/>
                <w:sz w:val="17"/>
              </w:rPr>
              <w:t>+1.9%</w:t>
            </w:r>
          </w:p>
        </w:tc>
      </w:tr>
      <w:tr>
        <w:tc>
          <w:tcPr>
            <w:tcW w:type="dxa" w:w="1440"/>
            <w:shd w:fill="C6EFCE" w:val="clear"/>
          </w:tcPr>
          <w:p>
            <w:r>
              <w:rPr>
                <w:sz w:val="17"/>
              </w:rPr>
              <w:t>J+5  Moyenne</w:t>
            </w:r>
          </w:p>
        </w:tc>
        <w:tc>
          <w:tcPr>
            <w:tcW w:type="dxa" w:w="1440"/>
            <w:shd w:fill="C6EFCE" w:val="clear"/>
          </w:tcPr>
          <w:p>
            <w:r>
              <w:rPr>
                <w:sz w:val="17"/>
              </w:rPr>
              <w:t>2026-09-02</w:t>
            </w:r>
          </w:p>
        </w:tc>
        <w:tc>
          <w:tcPr>
            <w:tcW w:type="dxa" w:w="1440"/>
            <w:shd w:fill="C6EFCE" w:val="clear"/>
          </w:tcPr>
          <w:p>
            <w:r>
              <w:rPr>
                <w:sz w:val="17"/>
              </w:rPr>
              <w:t>2,048</w:t>
            </w:r>
          </w:p>
        </w:tc>
        <w:tc>
          <w:tcPr>
            <w:tcW w:type="dxa" w:w="1440"/>
            <w:shd w:fill="C6EFCE" w:val="clear"/>
          </w:tcPr>
          <w:p>
            <w:r>
              <w:rPr>
                <w:b/>
                <w:sz w:val="17"/>
              </w:rPr>
              <w:t>2,200</w:t>
            </w:r>
          </w:p>
        </w:tc>
        <w:tc>
          <w:tcPr>
            <w:tcW w:type="dxa" w:w="1440"/>
            <w:shd w:fill="C6EFCE" w:val="clear"/>
          </w:tcPr>
          <w:p>
            <w:r>
              <w:rPr>
                <w:sz w:val="17"/>
              </w:rPr>
              <w:t>2,352</w:t>
            </w:r>
          </w:p>
        </w:tc>
        <w:tc>
          <w:tcPr>
            <w:tcW w:type="dxa" w:w="1440"/>
            <w:shd w:fill="C6EFCE" w:val="clear"/>
          </w:tcPr>
          <w:p>
            <w:r>
              <w:rPr>
                <w:b/>
                <w:color w:val="008000"/>
                <w:sz w:val="17"/>
              </w:rPr>
              <w:t>+2.3%</w:t>
            </w:r>
          </w:p>
        </w:tc>
      </w:tr>
      <w:tr>
        <w:tc>
          <w:tcPr>
            <w:tcW w:type="dxa" w:w="1440"/>
            <w:shd w:fill="C6EFCE" w:val="clear"/>
          </w:tcPr>
          <w:p>
            <w:r>
              <w:rPr>
                <w:sz w:val="17"/>
              </w:rPr>
              <w:t>J+6  Moyenne</w:t>
            </w:r>
          </w:p>
        </w:tc>
        <w:tc>
          <w:tcPr>
            <w:tcW w:type="dxa" w:w="1440"/>
            <w:shd w:fill="C6EFCE" w:val="clear"/>
          </w:tcPr>
          <w:p>
            <w:r>
              <w:rPr>
                <w:sz w:val="17"/>
              </w:rPr>
              <w:t>2026-09-03</w:t>
            </w:r>
          </w:p>
        </w:tc>
        <w:tc>
          <w:tcPr>
            <w:tcW w:type="dxa" w:w="1440"/>
            <w:shd w:fill="C6EFCE" w:val="clear"/>
          </w:tcPr>
          <w:p>
            <w:r>
              <w:rPr>
                <w:sz w:val="17"/>
              </w:rPr>
              <w:t>2,042</w:t>
            </w:r>
          </w:p>
        </w:tc>
        <w:tc>
          <w:tcPr>
            <w:tcW w:type="dxa" w:w="1440"/>
            <w:shd w:fill="C6EFCE" w:val="clear"/>
          </w:tcPr>
          <w:p>
            <w:r>
              <w:rPr>
                <w:b/>
                <w:sz w:val="17"/>
              </w:rPr>
              <w:t>2,209</w:t>
            </w:r>
          </w:p>
        </w:tc>
        <w:tc>
          <w:tcPr>
            <w:tcW w:type="dxa" w:w="1440"/>
            <w:shd w:fill="C6EFCE" w:val="clear"/>
          </w:tcPr>
          <w:p>
            <w:r>
              <w:rPr>
                <w:sz w:val="17"/>
              </w:rPr>
              <w:t>2,377</w:t>
            </w:r>
          </w:p>
        </w:tc>
        <w:tc>
          <w:tcPr>
            <w:tcW w:type="dxa" w:w="1440"/>
            <w:shd w:fill="C6EFCE" w:val="clear"/>
          </w:tcPr>
          <w:p>
            <w:r>
              <w:rPr>
                <w:b/>
                <w:color w:val="008000"/>
                <w:sz w:val="17"/>
              </w:rPr>
              <w:t>+2.8%</w:t>
            </w:r>
          </w:p>
        </w:tc>
      </w:tr>
      <w:tr>
        <w:tc>
          <w:tcPr>
            <w:tcW w:type="dxa" w:w="1440"/>
            <w:shd w:fill="C6EFCE" w:val="clear"/>
          </w:tcPr>
          <w:p>
            <w:r>
              <w:rPr>
                <w:sz w:val="17"/>
              </w:rPr>
              <w:t>J+7  Moyenne</w:t>
            </w:r>
          </w:p>
        </w:tc>
        <w:tc>
          <w:tcPr>
            <w:tcW w:type="dxa" w:w="1440"/>
            <w:shd w:fill="C6EFCE" w:val="clear"/>
          </w:tcPr>
          <w:p>
            <w:r>
              <w:rPr>
                <w:sz w:val="17"/>
              </w:rPr>
              <w:t>2026-09-04</w:t>
            </w:r>
          </w:p>
        </w:tc>
        <w:tc>
          <w:tcPr>
            <w:tcW w:type="dxa" w:w="1440"/>
            <w:shd w:fill="C6EFCE" w:val="clear"/>
          </w:tcPr>
          <w:p>
            <w:r>
              <w:rPr>
                <w:sz w:val="17"/>
              </w:rPr>
              <w:t>2,037</w:t>
            </w:r>
          </w:p>
        </w:tc>
        <w:tc>
          <w:tcPr>
            <w:tcW w:type="dxa" w:w="1440"/>
            <w:shd w:fill="C6EFCE" w:val="clear"/>
          </w:tcPr>
          <w:p>
            <w:r>
              <w:rPr>
                <w:b/>
                <w:sz w:val="17"/>
              </w:rPr>
              <w:t>2,219</w:t>
            </w:r>
          </w:p>
        </w:tc>
        <w:tc>
          <w:tcPr>
            <w:tcW w:type="dxa" w:w="1440"/>
            <w:shd w:fill="C6EFCE" w:val="clear"/>
          </w:tcPr>
          <w:p>
            <w:r>
              <w:rPr>
                <w:sz w:val="17"/>
              </w:rPr>
              <w:t>2,400</w:t>
            </w:r>
          </w:p>
        </w:tc>
        <w:tc>
          <w:tcPr>
            <w:tcW w:type="dxa" w:w="1440"/>
            <w:shd w:fill="C6EFCE" w:val="clear"/>
          </w:tcPr>
          <w:p>
            <w:r>
              <w:rPr>
                <w:b/>
                <w:color w:val="008000"/>
                <w:sz w:val="17"/>
              </w:rPr>
              <w:t>+3.2%</w:t>
            </w:r>
          </w:p>
        </w:tc>
      </w:tr>
      <w:tr>
        <w:tc>
          <w:tcPr>
            <w:tcW w:type="dxa" w:w="1440"/>
            <w:shd w:fill="C6EFCE" w:val="clear"/>
          </w:tcPr>
          <w:p>
            <w:r>
              <w:rPr>
                <w:sz w:val="17"/>
              </w:rPr>
              <w:t>J+8  Moyenne</w:t>
            </w:r>
          </w:p>
        </w:tc>
        <w:tc>
          <w:tcPr>
            <w:tcW w:type="dxa" w:w="1440"/>
            <w:shd w:fill="C6EFCE" w:val="clear"/>
          </w:tcPr>
          <w:p>
            <w:r>
              <w:rPr>
                <w:sz w:val="17"/>
              </w:rPr>
              <w:t>2026-09-07</w:t>
            </w:r>
          </w:p>
        </w:tc>
        <w:tc>
          <w:tcPr>
            <w:tcW w:type="dxa" w:w="1440"/>
            <w:shd w:fill="C6EFCE" w:val="clear"/>
          </w:tcPr>
          <w:p>
            <w:r>
              <w:rPr>
                <w:sz w:val="17"/>
              </w:rPr>
              <w:t>2,033</w:t>
            </w:r>
          </w:p>
        </w:tc>
        <w:tc>
          <w:tcPr>
            <w:tcW w:type="dxa" w:w="1440"/>
            <w:shd w:fill="C6EFCE" w:val="clear"/>
          </w:tcPr>
          <w:p>
            <w:r>
              <w:rPr>
                <w:b/>
                <w:sz w:val="17"/>
              </w:rPr>
              <w:t>2,228</w:t>
            </w:r>
          </w:p>
        </w:tc>
        <w:tc>
          <w:tcPr>
            <w:tcW w:type="dxa" w:w="1440"/>
            <w:shd w:fill="C6EFCE" w:val="clear"/>
          </w:tcPr>
          <w:p>
            <w:r>
              <w:rPr>
                <w:sz w:val="17"/>
              </w:rPr>
              <w:t>2,423</w:t>
            </w:r>
          </w:p>
        </w:tc>
        <w:tc>
          <w:tcPr>
            <w:tcW w:type="dxa" w:w="1440"/>
            <w:shd w:fill="C6EFCE" w:val="clear"/>
          </w:tcPr>
          <w:p>
            <w:r>
              <w:rPr>
                <w:b/>
                <w:color w:val="008000"/>
                <w:sz w:val="17"/>
              </w:rPr>
              <w:t>+3.6%</w:t>
            </w:r>
          </w:p>
        </w:tc>
      </w:tr>
      <w:tr>
        <w:tc>
          <w:tcPr>
            <w:tcW w:type="dxa" w:w="1440"/>
            <w:shd w:fill="C6EFCE" w:val="clear"/>
          </w:tcPr>
          <w:p>
            <w:r>
              <w:rPr>
                <w:sz w:val="17"/>
              </w:rPr>
              <w:t>J+9  Moyenne</w:t>
            </w:r>
          </w:p>
        </w:tc>
        <w:tc>
          <w:tcPr>
            <w:tcW w:type="dxa" w:w="1440"/>
            <w:shd w:fill="C6EFCE" w:val="clear"/>
          </w:tcPr>
          <w:p>
            <w:r>
              <w:rPr>
                <w:sz w:val="17"/>
              </w:rPr>
              <w:t>2026-09-08</w:t>
            </w:r>
          </w:p>
        </w:tc>
        <w:tc>
          <w:tcPr>
            <w:tcW w:type="dxa" w:w="1440"/>
            <w:shd w:fill="C6EFCE" w:val="clear"/>
          </w:tcPr>
          <w:p>
            <w:r>
              <w:rPr>
                <w:sz w:val="17"/>
              </w:rPr>
              <w:t>2,030</w:t>
            </w:r>
          </w:p>
        </w:tc>
        <w:tc>
          <w:tcPr>
            <w:tcW w:type="dxa" w:w="1440"/>
            <w:shd w:fill="C6EFCE" w:val="clear"/>
          </w:tcPr>
          <w:p>
            <w:r>
              <w:rPr>
                <w:b/>
                <w:sz w:val="17"/>
              </w:rPr>
              <w:t>2,238</w:t>
            </w:r>
          </w:p>
        </w:tc>
        <w:tc>
          <w:tcPr>
            <w:tcW w:type="dxa" w:w="1440"/>
            <w:shd w:fill="C6EFCE" w:val="clear"/>
          </w:tcPr>
          <w:p>
            <w:r>
              <w:rPr>
                <w:sz w:val="17"/>
              </w:rPr>
              <w:t>2,446</w:t>
            </w:r>
          </w:p>
        </w:tc>
        <w:tc>
          <w:tcPr>
            <w:tcW w:type="dxa" w:w="1440"/>
            <w:shd w:fill="C6EFCE" w:val="clear"/>
          </w:tcPr>
          <w:p>
            <w:r>
              <w:rPr>
                <w:b/>
                <w:color w:val="008000"/>
                <w:sz w:val="17"/>
              </w:rPr>
              <w:t>+4.1%</w:t>
            </w:r>
          </w:p>
        </w:tc>
      </w:tr>
      <w:tr>
        <w:tc>
          <w:tcPr>
            <w:tcW w:type="dxa" w:w="1440"/>
            <w:shd w:fill="C6EFCE" w:val="clear"/>
          </w:tcPr>
          <w:p>
            <w:r>
              <w:rPr>
                <w:sz w:val="17"/>
              </w:rPr>
              <w:t>J+10  Moyenne</w:t>
            </w:r>
          </w:p>
        </w:tc>
        <w:tc>
          <w:tcPr>
            <w:tcW w:type="dxa" w:w="1440"/>
            <w:shd w:fill="C6EFCE" w:val="clear"/>
          </w:tcPr>
          <w:p>
            <w:r>
              <w:rPr>
                <w:sz w:val="17"/>
              </w:rPr>
              <w:t>2026-09-09</w:t>
            </w:r>
          </w:p>
        </w:tc>
        <w:tc>
          <w:tcPr>
            <w:tcW w:type="dxa" w:w="1440"/>
            <w:shd w:fill="C6EFCE" w:val="clear"/>
          </w:tcPr>
          <w:p>
            <w:r>
              <w:rPr>
                <w:sz w:val="17"/>
              </w:rPr>
              <w:t>2,028</w:t>
            </w:r>
          </w:p>
        </w:tc>
        <w:tc>
          <w:tcPr>
            <w:tcW w:type="dxa" w:w="1440"/>
            <w:shd w:fill="C6EFCE" w:val="clear"/>
          </w:tcPr>
          <w:p>
            <w:r>
              <w:rPr>
                <w:b/>
                <w:sz w:val="17"/>
              </w:rPr>
              <w:t>2,248</w:t>
            </w:r>
          </w:p>
        </w:tc>
        <w:tc>
          <w:tcPr>
            <w:tcW w:type="dxa" w:w="1440"/>
            <w:shd w:fill="C6EFCE" w:val="clear"/>
          </w:tcPr>
          <w:p>
            <w:r>
              <w:rPr>
                <w:sz w:val="17"/>
              </w:rPr>
              <w:t>2,467</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de l'analyse : 26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30,32 milliards FCFA, un niveau modeste qui la classe parmi les valeurs de taille moyenne sur la BRVM. Avec un BPA de 33 FCFA, le titre affiche un PER de 65,1x, un niveau extrêmement élevé au regard de la moyenne historique du marché (8-12x). Les investisseurs paient donc un prix très cher pour chaque franc de bénéfice, ce qui traduit une anticipation de croissance future importante ou une prime spéculative. Le P/B de 1,93x indique que le marché valorise la société à près du double de sa valeur comptable, ce qui est raisonnable mais reflète une certaine confiance dans les actifs. Enfin, l'EV/EBITDA de 38,1x est très exigeant, signalant que la valeur totale de l'entreprise (capitalisation + dettes) est très élevée par rapport à sa capacité opérationnelle de génération de cash (EBITDA). Ces ratios, combinés, suggèrent une valorisation boursière nettement en avance sur les fondamentaux actuels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baisse de 8,32%, avec un cours actuel de 2 150 FCFA, et une variation nulle lors de la dernière séance. Le titre a évolué dans une fourchette de 1 910 FCFA (plus bas) à 2 430 FCFA (plus haut), montrant une amplitude de trading significative. La tendance générale est baissière, le cours ayant cédé du terrain après avoir atteint des sommets. Les statistiques descriptives révèlent une moyenne de 2 156 FCFA, très proche de la médiane (2 190 FCFA), indiquant une distribution relativement symétrique, confirmée par un skewness de -0,140. L'écart-type de 138 FCFA (CV=6,4%) montre une dispersion modérée autour de la moyenne. Le kurtosis de -1,165 (platykurtique) indique une distribution aplatie avec peu de valeurs extrêmes, suggérant l'absence de pics de volatilité soudains. La volatilité annualisée de 35,4% est élevée (&gt;30%), ce qui positionne FTSC comme un titre à risque significatif, avec des fluctuations de prix potentiellement fortes sur une base annuelle.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(2 150 FCFA) est supérieur à la MM20 (2 082 FCFA) et à la MM50 (2 043,5 FCFA), ce qui confirme une dynamique haussière à court et moyen terme. La configuration des moyennes mobiles (cours &gt; MM20 &gt; MM50) est un signal classique d'achat, indiquant que la tendance de fond est positive malgré le repli récent.</w:t>
      </w:r>
    </w:p>
    <w:p>
      <w:pPr>
        <w:spacing w:after="120" w:line="276" w:lineRule="auto"/>
      </w:pPr>
      <w:r>
        <w:t>**Bandes de Bollinger** : Le prix se situe à 2 150 FCFA, entre la borne supérieure (2 295,7 FCFA) et la borne inférieure (1 868,3 FCFA), proche de la zone médiane. La décision est neutre, car le cours n'est pas en situation de surachat ou de survente extrême. La largeur des bandes suggère une volatilité modérée, le marché attendant un signal directionnel plus clair.</w:t>
      </w:r>
    </w:p>
    <w:p>
      <w:pPr>
        <w:spacing w:after="120" w:line="276" w:lineRule="auto"/>
      </w:pPr>
      <w:r>
        <w:t>**MACD** : Le MACD (39,16) est supérieur à sa ligne de signal (32,03), avec un écart positif. Cette configuration est un signal d'achat, indiquant que le momentum haussier est en train de se renforcer. La dynamique positive du MACD suggère que la pression acheteuse pourrait se poursuivre à court terme.</w:t>
      </w:r>
    </w:p>
    <w:p>
      <w:pPr>
        <w:spacing w:after="120" w:line="276" w:lineRule="auto"/>
      </w:pPr>
      <w:r>
        <w:t>**RSI** : Le RSI s'établit à 73,68, une valeur qui se situe au-dessus du seuil de surachat (70). Ce niveau indique que le titre est techniquement suracheté, ce qui pourrait précéder un repli ou une consolidation. La décision associée est donc une vente, signalant un risque de correction à court terme.</w:t>
      </w:r>
    </w:p>
    <w:p>
      <w:pPr>
        <w:spacing w:after="120" w:line="276" w:lineRule="auto"/>
      </w:pPr>
      <w:r>
        <w:t>**Stochastique** : Le %K (80,0) est inférieur au %D (86,08), ce qui indique un croisement baissier potentiel. Bien que les deux lignes soient en zone de surachat, la convergence du %K vers le %D suggère un affaiblissement du momentum haussier. La décision est neutre, mais ce croisement pourrait précéder un retournement.</w:t>
      </w:r>
    </w:p>
    <w:p>
      <w:pPr>
        <w:spacing w:after="120" w:line="276" w:lineRule="auto"/>
      </w:pPr>
      <w:r>
        <w:t>**Conclusion technique** : Les indicateurs sont mitigés. Les moyennes mobiles et le MACD sont positifs, suggérant une tendance haussière sous-jacente. Cependant, le RSI en zone de surachat et le croisement baissier du stochastique indiquent un risque de correction à court terme. La prudence est de mise, car le titre pourrait consolider avant de poursuivre sa hausse.</w:t>
      </w:r>
    </w:p>
    <w:p>
      <w:pPr>
        <w:spacing w:after="120" w:line="276" w:lineRule="auto"/>
      </w:pPr>
      <w:r>
        <w:t>---</w:t>
      </w:r>
    </w:p>
    <w:p>
      <w:pPr>
        <w:spacing w:after="120" w:line="276" w:lineRule="auto"/>
      </w:pPr>
      <w:r>
        <w:t>### PARTIE 3 : ANALYSE FONDAMENTALE (SECTION CRITIQUE)</w:t>
      </w:r>
    </w:p>
    <w:p>
      <w:pPr>
        <w:spacing w:after="120" w:line="276" w:lineRule="auto"/>
      </w:pPr>
      <w:r>
        <w:t>En 2025, FILTISAC CI a réalisé un chiffre d'affaires de 32,109 milliards FCFA, en hausse de 5% par rapport à 2024, mais le résultat net s'est effondré à 465,98 millions FCFA contre 18,6 milliards en 2024, en raison de l'absence de produits exceptionnels liés aux cessions de filiales. La marge nette est tombée à 1,45%, et le ROE à 2,97%, un niveau très faible. La trésorerie nette est fortement négative à -11,5 milliards FCFA, suite au versement de dividendes massifs en 2024. Le BFR s'élève à 11,5 milliards FCFA, avec un délai de paiement des clients de 213 jours, un niveau élevé qui pèse sur la trésorerie. Le ratio d'endettement est de 97,6%, indiquant une dépendance significative aux dettes. Les rapports trimestriels de 2025 montrent une amélioration progressive : le T1 2025 affichait une perte d'exploitation de -78 millions FCFA, le S1 2025 un résultat net de 105 millions FCFA, et le T3 2025 un résultat courant avant impôt de -216 millions FCFA. Pour 2026, le rapport T1 2026 (publié en 2026) indique un chiffre d'affaires en hausse de 55% à 8,9 milliards FCFA, porté par la demande de cacao, mais un résultat net toujours déficitaire de -154 millions FCFA. On estime que l'exercice 2026 pourrait voir une amélioration de la rentabilité opérationnelle, mais la société devra impérativement restaurer sa trésorerie et réduire son BFR pour assainir sa situation financière.</w:t>
      </w:r>
    </w:p>
    <w:p>
      <w:pPr>
        <w:spacing w:after="120" w:line="276" w:lineRule="auto"/>
      </w:pPr>
      <w:r>
        <w:t>---</w:t>
      </w:r>
    </w:p>
    <w:p>
      <w:pPr>
        <w:spacing w:after="120" w:line="276" w:lineRule="auto"/>
      </w:pPr>
      <w:r>
        <w:t>### PARTIE 4 : CONCLUSION D'INVESTISSEMENT</w:t>
      </w:r>
    </w:p>
    <w:p>
      <w:pPr>
        <w:spacing w:after="120" w:line="276" w:lineRule="auto"/>
      </w:pPr>
      <w:r>
        <w:t>La valorisation de FTSC est extrêmement exigeante, avec un PER de 65,1x et un EV/EBITDA de 38,1x, indiquant une surévaluation par rapport aux bénéfices et à la capacité opérationnelle. Le comportement du cours sur 100 jours est baissier (-8,32%), avec une volatilité élevée (35,4%) et une distribution des prix sans pics extrêmes (kurtosis platykurtique), mais la tendance technique récente (MM, MACD) est positive, bien que le RSI signale un surachat. Les fondamentaux sont préoccupants : la rentabilité est faible (ROE de 2,97%), la trésorerie est négative, et la dépendance aux dettes est élevée, même si le T1 2026 montre une forte croissance du CA. Les prédictions IA (2 160 à 2 200 FCFA sur 10 jours) suggèrent une légère hausse, ce qui contredit partiellement les signaux de surachat technique. En synthèse, la convergence entre une valorisation excessive, des fondamentaux fragiles et un risque de correction technique est défavorable. La recommandation finale est **VENTE**, avec un niveau de confiance **Moyen** et un risque global **Élevé**. L'horizon d'investissement optimal est le **court terme (&lt;3 mois)** pour les investisseurs cherchant à réduire leur exposition, tandis que les investisseurs à long terme devraient attendre une amélioration significative de la rentabilité et de la trésorerie avant d'envisager une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3,442 titres</w:t>
            </w:r>
          </w:p>
        </w:tc>
        <w:tc>
          <w:tcPr>
            <w:tcW w:type="dxa" w:w="2268"/>
            <w:shd w:fill="FFF2CC" w:val="clear"/>
          </w:tcPr>
          <w:p>
            <w:r>
              <w:rPr>
                <w:b/>
                <w:color w:val="503200"/>
                <w:sz w:val="16"/>
              </w:rPr>
              <w:t xml:space="preserve">Cours actuel : </w:t>
            </w:r>
            <w:r>
              <w:rPr>
                <w:color w:val="000000"/>
                <w:sz w:val="17"/>
              </w:rPr>
              <w:t>4,095 FCFA</w:t>
            </w:r>
          </w:p>
          <w:p>
            <w:r>
              <w:rPr>
                <w:b/>
                <w:color w:val="503200"/>
                <w:sz w:val="16"/>
              </w:rPr>
              <w:t xml:space="preserve">Var. 100 jours : </w:t>
            </w:r>
            <w:r>
              <w:rPr>
                <w:b/>
                <w:color w:val="007800"/>
                <w:sz w:val="17"/>
              </w:rPr>
              <w:t>+5.00%</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5.02% (Moyenne) — μ=4,051 FCFA, σ=203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β=0.0818 (Défensif) — Cov=0.000003, Var(idx)=0.000033, ρ=0.021,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3,843</w:t>
            </w:r>
          </w:p>
        </w:tc>
        <w:tc>
          <w:tcPr>
            <w:tcW w:type="dxa" w:w="1440"/>
            <w:shd w:fill="FAFAFA" w:val="clear"/>
          </w:tcPr>
          <w:p>
            <w:r>
              <w:rPr>
                <w:b/>
                <w:sz w:val="17"/>
              </w:rPr>
              <w:t>4,014</w:t>
            </w:r>
          </w:p>
        </w:tc>
        <w:tc>
          <w:tcPr>
            <w:tcW w:type="dxa" w:w="1440"/>
            <w:shd w:fill="FAFAFA" w:val="clear"/>
          </w:tcPr>
          <w:p>
            <w:r>
              <w:rPr>
                <w:sz w:val="17"/>
              </w:rPr>
              <w:t>4,186</w:t>
            </w:r>
          </w:p>
        </w:tc>
        <w:tc>
          <w:tcPr>
            <w:tcW w:type="dxa" w:w="1440"/>
            <w:shd w:fill="FAFAFA"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3,759</w:t>
            </w:r>
          </w:p>
        </w:tc>
        <w:tc>
          <w:tcPr>
            <w:tcW w:type="dxa" w:w="1440"/>
            <w:shd w:fill="FFDCE0" w:val="clear"/>
          </w:tcPr>
          <w:p>
            <w:r>
              <w:rPr>
                <w:b/>
                <w:sz w:val="17"/>
              </w:rPr>
              <w:t>4,001</w:t>
            </w:r>
          </w:p>
        </w:tc>
        <w:tc>
          <w:tcPr>
            <w:tcW w:type="dxa" w:w="1440"/>
            <w:shd w:fill="FFDCE0" w:val="clear"/>
          </w:tcPr>
          <w:p>
            <w:r>
              <w:rPr>
                <w:sz w:val="17"/>
              </w:rPr>
              <w:t>4,243</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3,693</w:t>
            </w:r>
          </w:p>
        </w:tc>
        <w:tc>
          <w:tcPr>
            <w:tcW w:type="dxa" w:w="1440"/>
            <w:shd w:fill="FFDCE0" w:val="clear"/>
          </w:tcPr>
          <w:p>
            <w:r>
              <w:rPr>
                <w:b/>
                <w:sz w:val="17"/>
              </w:rPr>
              <w:t>3,988</w:t>
            </w:r>
          </w:p>
        </w:tc>
        <w:tc>
          <w:tcPr>
            <w:tcW w:type="dxa" w:w="1440"/>
            <w:shd w:fill="FFDCE0" w:val="clear"/>
          </w:tcPr>
          <w:p>
            <w:r>
              <w:rPr>
                <w:sz w:val="17"/>
              </w:rPr>
              <w:t>4,284</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3,637</w:t>
            </w:r>
          </w:p>
        </w:tc>
        <w:tc>
          <w:tcPr>
            <w:tcW w:type="dxa" w:w="1440"/>
            <w:shd w:fill="FFDCE0" w:val="clear"/>
          </w:tcPr>
          <w:p>
            <w:r>
              <w:rPr>
                <w:b/>
                <w:sz w:val="17"/>
              </w:rPr>
              <w:t>3,977</w:t>
            </w:r>
          </w:p>
        </w:tc>
        <w:tc>
          <w:tcPr>
            <w:tcW w:type="dxa" w:w="1440"/>
            <w:shd w:fill="FFDCE0" w:val="clear"/>
          </w:tcPr>
          <w:p>
            <w:r>
              <w:rPr>
                <w:sz w:val="17"/>
              </w:rPr>
              <w:t>4,317</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3,588</w:t>
            </w:r>
          </w:p>
        </w:tc>
        <w:tc>
          <w:tcPr>
            <w:tcW w:type="dxa" w:w="1440"/>
            <w:shd w:fill="FFDCE0" w:val="clear"/>
          </w:tcPr>
          <w:p>
            <w:r>
              <w:rPr>
                <w:b/>
                <w:sz w:val="17"/>
              </w:rPr>
              <w:t>3,967</w:t>
            </w:r>
          </w:p>
        </w:tc>
        <w:tc>
          <w:tcPr>
            <w:tcW w:type="dxa" w:w="1440"/>
            <w:shd w:fill="FFDCE0" w:val="clear"/>
          </w:tcPr>
          <w:p>
            <w:r>
              <w:rPr>
                <w:sz w:val="17"/>
              </w:rPr>
              <w:t>4,346</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3,545</w:t>
            </w:r>
          </w:p>
        </w:tc>
        <w:tc>
          <w:tcPr>
            <w:tcW w:type="dxa" w:w="1440"/>
            <w:shd w:fill="FFDCE0" w:val="clear"/>
          </w:tcPr>
          <w:p>
            <w:r>
              <w:rPr>
                <w:b/>
                <w:sz w:val="17"/>
              </w:rPr>
              <w:t>3,959</w:t>
            </w:r>
          </w:p>
        </w:tc>
        <w:tc>
          <w:tcPr>
            <w:tcW w:type="dxa" w:w="1440"/>
            <w:shd w:fill="FFDCE0" w:val="clear"/>
          </w:tcPr>
          <w:p>
            <w:r>
              <w:rPr>
                <w:sz w:val="17"/>
              </w:rPr>
              <w:t>4,374</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3,508</w:t>
            </w:r>
          </w:p>
        </w:tc>
        <w:tc>
          <w:tcPr>
            <w:tcW w:type="dxa" w:w="1440"/>
            <w:shd w:fill="FFDCE0" w:val="clear"/>
          </w:tcPr>
          <w:p>
            <w:r>
              <w:rPr>
                <w:b/>
                <w:sz w:val="17"/>
              </w:rPr>
              <w:t>3,955</w:t>
            </w:r>
          </w:p>
        </w:tc>
        <w:tc>
          <w:tcPr>
            <w:tcW w:type="dxa" w:w="1440"/>
            <w:shd w:fill="FFDCE0" w:val="clear"/>
          </w:tcPr>
          <w:p>
            <w:r>
              <w:rPr>
                <w:sz w:val="17"/>
              </w:rPr>
              <w:t>4,402</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3,476</w:t>
            </w:r>
          </w:p>
        </w:tc>
        <w:tc>
          <w:tcPr>
            <w:tcW w:type="dxa" w:w="1440"/>
            <w:shd w:fill="FFDCE0" w:val="clear"/>
          </w:tcPr>
          <w:p>
            <w:r>
              <w:rPr>
                <w:b/>
                <w:sz w:val="17"/>
              </w:rPr>
              <w:t>3,954</w:t>
            </w:r>
          </w:p>
        </w:tc>
        <w:tc>
          <w:tcPr>
            <w:tcW w:type="dxa" w:w="1440"/>
            <w:shd w:fill="FFDCE0" w:val="clear"/>
          </w:tcPr>
          <w:p>
            <w:r>
              <w:rPr>
                <w:sz w:val="17"/>
              </w:rPr>
              <w:t>4,432</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3,451</w:t>
            </w:r>
          </w:p>
        </w:tc>
        <w:tc>
          <w:tcPr>
            <w:tcW w:type="dxa" w:w="1440"/>
            <w:shd w:fill="FFDCE0" w:val="clear"/>
          </w:tcPr>
          <w:p>
            <w:r>
              <w:rPr>
                <w:b/>
                <w:sz w:val="17"/>
              </w:rPr>
              <w:t>3,958</w:t>
            </w:r>
          </w:p>
        </w:tc>
        <w:tc>
          <w:tcPr>
            <w:tcW w:type="dxa" w:w="1440"/>
            <w:shd w:fill="FFDCE0" w:val="clear"/>
          </w:tcPr>
          <w:p>
            <w:r>
              <w:rPr>
                <w:sz w:val="17"/>
              </w:rPr>
              <w:t>4,465</w:t>
            </w:r>
          </w:p>
        </w:tc>
        <w:tc>
          <w:tcPr>
            <w:tcW w:type="dxa" w:w="1440"/>
            <w:shd w:fill="FFDCE0" w:val="clear"/>
          </w:tcPr>
          <w:p>
            <w:r>
              <w:rPr>
                <w:b/>
                <w:color w:val="C00000"/>
                <w:sz w:val="17"/>
              </w:rPr>
              <w:t>-3.3%</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3,431</w:t>
            </w:r>
          </w:p>
        </w:tc>
        <w:tc>
          <w:tcPr>
            <w:tcW w:type="dxa" w:w="1440"/>
            <w:shd w:fill="FFDCE0" w:val="clear"/>
          </w:tcPr>
          <w:p>
            <w:r>
              <w:rPr>
                <w:b/>
                <w:sz w:val="17"/>
              </w:rPr>
              <w:t>3,968</w:t>
            </w:r>
          </w:p>
        </w:tc>
        <w:tc>
          <w:tcPr>
            <w:tcW w:type="dxa" w:w="1440"/>
            <w:shd w:fill="FFDCE0" w:val="clear"/>
          </w:tcPr>
          <w:p>
            <w:r>
              <w:rPr>
                <w:sz w:val="17"/>
              </w:rPr>
              <w:t>4,504</w:t>
            </w:r>
          </w:p>
        </w:tc>
        <w:tc>
          <w:tcPr>
            <w:tcW w:type="dxa" w:w="1440"/>
            <w:shd w:fill="FFDCE0" w:val="clear"/>
          </w:tcPr>
          <w:p>
            <w:r>
              <w:rPr>
                <w:b/>
                <w:color w:val="C00000"/>
                <w:sz w:val="17"/>
              </w:rPr>
              <w:t>-3.1%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81,90 milliards FCFA, un niveau significatif qui la positionne parmi les valeurs moyennes de la BRVM. Avec un BPA de 231 FCFA, le titre se négocie à un PER de 17,7x, nettement supérieur à la moyenne historique de la place (~8-12x), indiquant que les investisseurs paient une prime substantielle pour la croissance anticipée. Le P/B de 3,73x confirme cette prime, le marché valorisant le titre à près de quatre fois sa valeur comptable, ce qui reflète une forte confiance dans la création de valeur future. Enfin, l'EV/EBITDA de 10,4x, bien que dans la fourchette haute (10-15x), reste raisonnable compte tenu de la solidité opérationnelle de l'entreprise et de ses marges. Cette valorisation exigeante suggère que le marché intègre déjà des perspectives de redressement et de croissance soutenue.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LNBB affiche une progression modeste de +5,00%, avec une dernière séance en hausse de +0,49% à 4 095 FCFA. Le titre a évolué dans une fourchette de 3 825 à 4 560 FCFA, démontrant une amplitude de trading de 735 FCFA. La moyenne (4 051 FCFA) est supérieure à la médiane (3 990 FCFA), indiquant une asymétrie positive (skewness de 0,623) : les journées sous la moyenne sont plus fréquentes, mais les fortes hausses tirent la moyenne vers le haut. L'écart-type de 204 FCFA (CV=5,0%) révèle une dispersion modérée, tandis que le kurtosis de -0,966 (mésokurtique) suggère une distribution proche de la normale, sans risque de pics extrêmes. La volatilité annualisée de 36,2% classe le titre dans la catégorie élevée (&gt;30%), reflétant une certaine nervosité du marché malgré une tendance globalement haussière.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(4 095 FCFA) se situe sous ses moyennes mobiles à 20 jours (4 228,5 FCFA) et à 50 jours (4 221,3 FCFA), qui sont quasi confondues. Cette configuration indique une phase de consolidation après un repli récent, mais la décision "Achat" suggère que les MM restent orientées positivement sur la période plus longue, signalant un potentiel de rebond vers ces niveaux.</w:t>
      </w:r>
    </w:p>
    <w:p>
      <w:pPr>
        <w:spacing w:after="120" w:line="276" w:lineRule="auto"/>
      </w:pPr>
      <w:r>
        <w:t>**Bandes de Bollinger** : Le prix évolue dans la partie inférieure des bandes, entre la borne supérieure (4 534,5 FCFA) et la borne inférieure (3 922,5 FCFA), à 4 095 FCFA. La position proche de la borne inférieure, combinée à une décision "Neutre", indique une volatilité modérée et un marché en attente d'un catalyseur directionnel. Un retour vers la moyenne des bandes est plausible à court terme.</w:t>
      </w:r>
    </w:p>
    <w:p>
      <w:pPr>
        <w:spacing w:after="120" w:line="276" w:lineRule="auto"/>
      </w:pPr>
      <w:r>
        <w:t>**MACD** : Le MACD (-44,275) est négatif et inférieur à sa ligne de signal (-24,218), confirmant un momentum baissier à court terme. Cette divergence négative suggère une pression vendeuse persistante, mais l'écart important pourrait précéder un retournement technique si le MACD commence à se rapprocher du signal.</w:t>
      </w:r>
    </w:p>
    <w:p>
      <w:pPr>
        <w:spacing w:after="120" w:line="276" w:lineRule="auto"/>
      </w:pPr>
      <w:r>
        <w:t>**RSI** : À 30,818, le RSI est en zone neutre, proche du seuil de survente (30). Cela indique que le titre n'est ni suracheté ni survendu, mais la proximité du seuil suggère un potentiel de rebond technique si les acheteurs interviennent.</w:t>
      </w:r>
    </w:p>
    <w:p>
      <w:pPr>
        <w:spacing w:after="120" w:line="276" w:lineRule="auto"/>
      </w:pPr>
      <w:r>
        <w:t>**Stochastique** : Le %K (31,667) est supérieur au %D (22,46), indiquant un croisement haussier en cours. Cette configuration, bien que neutre, suggère un début de dynamique positive, avec un potentiel de poursuite si le %K dépasse la zone des 50.</w:t>
      </w:r>
    </w:p>
    <w:p>
      <w:pPr>
        <w:spacing w:after="120" w:line="276" w:lineRule="auto"/>
      </w:pPr>
      <w:r>
        <w:t>**Conclusion technique** : Les indicateurs sont mitigés, avec une prédominance de signaux neutres à légèrement baissiers (MACD négatif, prix sous les MM). Cependant, le RSI proche de la survente et le croisement stochastique haussier laissent entrevoir un possible rebond technique à court terme. La tendance de fond reste incertaine, nécessitant une confirmation directionnelle.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de LNBB révèlent une entreprise non bancaire avec un chiffre d'affaires de 98,598 milliards FCFA, en baisse de -3,85% par rapport à 2024 (102,544 milliards FCFA, rapport annuel 2024). Le résultat net s'établit à 4,622 milliards FCFA, en recul de -35,6% (vs 7,176 milliards en 2024), principalement en raison de l'absence de produits exceptionnels (3,1 milliards en 2024) et de la concurrence déloyale. Malgré cette baisse, la rentabilité opérationnelle s'améliore nettement : la valeur ajoutée progresse de +22% (10,548 milliards FCFA) et l'EBE de +34% (7,164 milliards FCFA), démontrant une excellente maîtrise des charges. Le ROE de 21,05% et le ROA de 14,17% restent excellents (&gt;15% et &gt;10%), soutenus par une structure financière robuste : capitaux propres de 21,954 milliards FCFA (autonomie financière de 67,32%), trésorerie nette de 7,979 milliards FCFA et un endettement très faible (ratio d'endettement de 2,57%). Les délais clients (4,82 jours) et fournisseurs (20,41 jours) sont très courts, avec un BFR de 217,45 millions FCFA, indiquant une gestion saine. Les rapports trimestriels 2026 montrent une reprise : le T1 2026 affiche un CA en hausse de +6% (25,521 milliards FCFA) mais un résultat net en baisse de -46% (848 millions FCFA) due au mix produit défavorable (pari sportif à 95% de retour aux joueurs). Le S1 2026 confirme la croissance du CA (+4% à 49,937 milliards FCFA) avec un résultat net en hausse de +60%, grâce aux partenariats et à la maîtrise des charges. On estime que l'exercice 2026 pourrait voir un CA de 100-102 milliards FCFA et un résultat net de 5,5-6 milliards FCFA, si la tendance S1 se maintient. Le dividende proposé pour 2025 est de 173 FCFA brut par action (164 FCFA net), représentant un rendement de 4,2% au cours actuel.</w:t>
      </w:r>
    </w:p>
    <w:p>
      <w:pPr>
        <w:spacing w:after="120" w:line="276" w:lineRule="auto"/>
      </w:pPr>
      <w:r>
        <w:t>---</w:t>
      </w:r>
    </w:p>
    <w:p>
      <w:pPr>
        <w:spacing w:after="120" w:line="276" w:lineRule="auto"/>
      </w:pPr>
      <w:r>
        <w:t>### PARTIE 4 : CONCLUSION D'INVESTISSEMENT</w:t>
      </w:r>
    </w:p>
    <w:p>
      <w:pPr>
        <w:spacing w:after="120" w:line="276" w:lineRule="auto"/>
      </w:pPr>
      <w:r>
        <w:t>La valorisation de LNBB (PER 17,7x, P/B 3,73x) apparaît élevée par rapport au marché, mais justifiée par une rentabilité exceptionnelle (ROE &gt;21%) et une solidité financière rare. Le comportement du cours sur 100 jours (+5,00%) est positif, mais la volatilité élevée (36,2%) et l'asymétrie positive suggèrent une prudence. Les signaux techniques sont mitigés, avec un MACD baissier mais un RSI proche de la survente et un stochastique haussier, indiquant un potentiel de rebond à court terme. Les fondamentaux sont solides : malgré une baisse en 2025, la reprise en 2026 (+60% au S1) et les perspectives de croissance (1 500 nouveaux terminaux, nouveaux produits) sont encourageantes. Les prédictions IA (4 014 FCFA à J+10) suggèrent une légère baisse, en ligne avec la consolidation technique actuelle. En synthèse, la convergence entre la solidité fondamentale, la reprise opérationnelle et le potentiel de rebond technique, malgré une valorisation exigeante, conduit à une recommandation **CONSERVER** avec un niveau de confiance **Moyen**. Le risque global est **Moyen**, lié à la concurrence illégale et à la pression sur les marges. L'horizon d'investissement optimal est le **moyen terme (3-12 mois)**, en attendant la confirmation des résultats annuels 2026 et l'impact des nouvelles initiatives stratégiques.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5,242 titres</w:t>
            </w:r>
          </w:p>
        </w:tc>
        <w:tc>
          <w:tcPr>
            <w:tcW w:type="dxa" w:w="2268"/>
            <w:shd w:fill="FFF2CC" w:val="clear"/>
          </w:tcPr>
          <w:p>
            <w:r>
              <w:rPr>
                <w:b/>
                <w:color w:val="503200"/>
                <w:sz w:val="16"/>
              </w:rPr>
              <w:t xml:space="preserve">Cours actuel : </w:t>
            </w:r>
            <w:r>
              <w:rPr>
                <w:color w:val="000000"/>
                <w:sz w:val="17"/>
              </w:rPr>
              <w:t>2,680 FCFA</w:t>
            </w:r>
          </w:p>
          <w:p>
            <w:r>
              <w:rPr>
                <w:b/>
                <w:color w:val="503200"/>
                <w:sz w:val="16"/>
              </w:rPr>
              <w:t xml:space="preserve">Var. 100 jours : </w:t>
            </w:r>
            <w:r>
              <w:rPr>
                <w:b/>
                <w:color w:val="007800"/>
                <w:sz w:val="17"/>
              </w:rPr>
              <w:t>+90.75%</w:t>
            </w:r>
          </w:p>
          <w:p>
            <w:r>
              <w:rPr>
                <w:b/>
                <w:color w:val="503200"/>
                <w:sz w:val="16"/>
              </w:rPr>
              <w:t xml:space="preserve">Plus haut 100j : </w:t>
            </w:r>
            <w:r>
              <w:rPr>
                <w:color w:val="000000"/>
                <w:sz w:val="17"/>
              </w:rPr>
              <w:t>2,680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29.6/100 → Moyen</w:t>
      </w:r>
    </w:p>
    <w:p>
      <w:pPr>
        <w:spacing w:before="40" w:after="80"/>
      </w:pPr>
      <w:r>
        <w:rPr>
          <w:rFonts w:ascii="Courier New" w:hAnsi="Courier New"/>
          <w:color w:val="825A00"/>
          <w:sz w:val="18"/>
        </w:rPr>
        <w:t>█████░░░░░░░░░░░░░░░  29.6/100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16.79% (Élevée) — μ=2,001 FCFA, σ=336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β=0.0846 (Défensif) — Cov=0.000003, Var(idx)=0.000033, ρ=0.015,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σ_j=3.29%/j (Modérée) — Vol. annualisée≈52.2%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2,332</w:t>
            </w:r>
          </w:p>
        </w:tc>
        <w:tc>
          <w:tcPr>
            <w:tcW w:type="dxa" w:w="1440"/>
            <w:shd w:fill="FFDCE0" w:val="clear"/>
          </w:tcPr>
          <w:p>
            <w:r>
              <w:rPr>
                <w:b/>
                <w:sz w:val="17"/>
              </w:rPr>
              <w:t>2,479</w:t>
            </w:r>
          </w:p>
        </w:tc>
        <w:tc>
          <w:tcPr>
            <w:tcW w:type="dxa" w:w="1440"/>
            <w:shd w:fill="FFDCE0" w:val="clear"/>
          </w:tcPr>
          <w:p>
            <w:r>
              <w:rPr>
                <w:sz w:val="17"/>
              </w:rPr>
              <w:t>2,626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2,101</w:t>
            </w:r>
          </w:p>
        </w:tc>
        <w:tc>
          <w:tcPr>
            <w:tcW w:type="dxa" w:w="1440"/>
            <w:shd w:fill="FFDCE0" w:val="clear"/>
          </w:tcPr>
          <w:p>
            <w:r>
              <w:rPr>
                <w:b/>
                <w:sz w:val="17"/>
              </w:rPr>
              <w:t>2,293</w:t>
            </w:r>
          </w:p>
        </w:tc>
        <w:tc>
          <w:tcPr>
            <w:tcW w:type="dxa" w:w="1440"/>
            <w:shd w:fill="FFDCE0" w:val="clear"/>
          </w:tcPr>
          <w:p>
            <w:r>
              <w:rPr>
                <w:sz w:val="17"/>
              </w:rPr>
              <w:t>2,485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1,904</w:t>
            </w:r>
          </w:p>
        </w:tc>
        <w:tc>
          <w:tcPr>
            <w:tcW w:type="dxa" w:w="1440"/>
            <w:shd w:fill="FFDCE0" w:val="clear"/>
          </w:tcPr>
          <w:p>
            <w:r>
              <w:rPr>
                <w:b/>
                <w:sz w:val="17"/>
              </w:rPr>
              <w:t>2,121</w:t>
            </w:r>
          </w:p>
        </w:tc>
        <w:tc>
          <w:tcPr>
            <w:tcW w:type="dxa" w:w="1440"/>
            <w:shd w:fill="FFDCE0" w:val="clear"/>
          </w:tcPr>
          <w:p>
            <w:r>
              <w:rPr>
                <w:sz w:val="17"/>
              </w:rPr>
              <w:t>2,339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1,730</w:t>
            </w:r>
          </w:p>
        </w:tc>
        <w:tc>
          <w:tcPr>
            <w:tcW w:type="dxa" w:w="1440"/>
            <w:shd w:fill="FFDCE0" w:val="clear"/>
          </w:tcPr>
          <w:p>
            <w:r>
              <w:rPr>
                <w:b/>
                <w:sz w:val="17"/>
              </w:rPr>
              <w:t>1,962</w:t>
            </w:r>
          </w:p>
        </w:tc>
        <w:tc>
          <w:tcPr>
            <w:tcW w:type="dxa" w:w="1440"/>
            <w:shd w:fill="FFDCE0" w:val="clear"/>
          </w:tcPr>
          <w:p>
            <w:r>
              <w:rPr>
                <w:sz w:val="17"/>
              </w:rPr>
              <w:t>2,194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1,575</w:t>
            </w:r>
          </w:p>
        </w:tc>
        <w:tc>
          <w:tcPr>
            <w:tcW w:type="dxa" w:w="1440"/>
            <w:shd w:fill="FFDCE0" w:val="clear"/>
          </w:tcPr>
          <w:p>
            <w:r>
              <w:rPr>
                <w:b/>
                <w:sz w:val="17"/>
              </w:rPr>
              <w:t>1,815</w:t>
            </w:r>
          </w:p>
        </w:tc>
        <w:tc>
          <w:tcPr>
            <w:tcW w:type="dxa" w:w="1440"/>
            <w:shd w:fill="FFDCE0" w:val="clear"/>
          </w:tcPr>
          <w:p>
            <w:r>
              <w:rPr>
                <w:sz w:val="17"/>
              </w:rPr>
              <w:t>2,055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1,438</w:t>
            </w:r>
          </w:p>
        </w:tc>
        <w:tc>
          <w:tcPr>
            <w:tcW w:type="dxa" w:w="1440"/>
            <w:shd w:fill="FFDCE0" w:val="clear"/>
          </w:tcPr>
          <w:p>
            <w:r>
              <w:rPr>
                <w:b/>
                <w:sz w:val="17"/>
              </w:rPr>
              <w:t>1,682</w:t>
            </w:r>
          </w:p>
        </w:tc>
        <w:tc>
          <w:tcPr>
            <w:tcW w:type="dxa" w:w="1440"/>
            <w:shd w:fill="FFDCE0" w:val="clear"/>
          </w:tcPr>
          <w:p>
            <w:r>
              <w:rPr>
                <w:sz w:val="17"/>
              </w:rPr>
              <w:t>1,926</w:t>
            </w:r>
          </w:p>
        </w:tc>
        <w:tc>
          <w:tcPr>
            <w:tcW w:type="dxa" w:w="1440"/>
            <w:shd w:fill="FFDCE0" w:val="clear"/>
          </w:tcPr>
          <w:p>
            <w:r>
              <w:rPr>
                <w:b/>
                <w:color w:val="C00000"/>
                <w:sz w:val="17"/>
              </w:rPr>
              <w:t>-37.2%</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1,359</w:t>
            </w:r>
          </w:p>
        </w:tc>
        <w:tc>
          <w:tcPr>
            <w:tcW w:type="dxa" w:w="1440"/>
            <w:shd w:fill="FFDCE0" w:val="clear"/>
          </w:tcPr>
          <w:p>
            <w:r>
              <w:rPr>
                <w:b/>
                <w:sz w:val="17"/>
              </w:rPr>
              <w:t>1,612</w:t>
            </w:r>
          </w:p>
        </w:tc>
        <w:tc>
          <w:tcPr>
            <w:tcW w:type="dxa" w:w="1440"/>
            <w:shd w:fill="FFDCE0" w:val="clear"/>
          </w:tcPr>
          <w:p>
            <w:r>
              <w:rPr>
                <w:sz w:val="17"/>
              </w:rPr>
              <w:t>1,864</w:t>
            </w:r>
          </w:p>
        </w:tc>
        <w:tc>
          <w:tcPr>
            <w:tcW w:type="dxa" w:w="1440"/>
            <w:shd w:fill="FFDCE0" w:val="clear"/>
          </w:tcPr>
          <w:p>
            <w:r>
              <w:rPr>
                <w:b/>
                <w:color w:val="C00000"/>
                <w:sz w:val="17"/>
              </w:rPr>
              <w:t>-39.9%</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1,291</w:t>
            </w:r>
          </w:p>
        </w:tc>
        <w:tc>
          <w:tcPr>
            <w:tcW w:type="dxa" w:w="1440"/>
            <w:shd w:fill="FFDCE0" w:val="clear"/>
          </w:tcPr>
          <w:p>
            <w:r>
              <w:rPr>
                <w:b/>
                <w:sz w:val="17"/>
              </w:rPr>
              <w:t>1,551</w:t>
            </w:r>
          </w:p>
        </w:tc>
        <w:tc>
          <w:tcPr>
            <w:tcW w:type="dxa" w:w="1440"/>
            <w:shd w:fill="FFDCE0" w:val="clear"/>
          </w:tcPr>
          <w:p>
            <w:r>
              <w:rPr>
                <w:sz w:val="17"/>
              </w:rPr>
              <w:t>1,810</w:t>
            </w:r>
          </w:p>
        </w:tc>
        <w:tc>
          <w:tcPr>
            <w:tcW w:type="dxa" w:w="1440"/>
            <w:shd w:fill="FFDCE0" w:val="clear"/>
          </w:tcPr>
          <w:p>
            <w:r>
              <w:rPr>
                <w:b/>
                <w:color w:val="C00000"/>
                <w:sz w:val="17"/>
              </w:rPr>
              <w:t>-42.1%</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1,231</w:t>
            </w:r>
          </w:p>
        </w:tc>
        <w:tc>
          <w:tcPr>
            <w:tcW w:type="dxa" w:w="1440"/>
            <w:shd w:fill="FFDCE0" w:val="clear"/>
          </w:tcPr>
          <w:p>
            <w:r>
              <w:rPr>
                <w:b/>
                <w:sz w:val="17"/>
              </w:rPr>
              <w:t>1,496</w:t>
            </w:r>
          </w:p>
        </w:tc>
        <w:tc>
          <w:tcPr>
            <w:tcW w:type="dxa" w:w="1440"/>
            <w:shd w:fill="FFDCE0" w:val="clear"/>
          </w:tcPr>
          <w:p>
            <w:r>
              <w:rPr>
                <w:sz w:val="17"/>
              </w:rPr>
              <w:t>1,762</w:t>
            </w:r>
          </w:p>
        </w:tc>
        <w:tc>
          <w:tcPr>
            <w:tcW w:type="dxa" w:w="1440"/>
            <w:shd w:fill="FFDCE0" w:val="clear"/>
          </w:tcPr>
          <w:p>
            <w:r>
              <w:rPr>
                <w:b/>
                <w:color w:val="C00000"/>
                <w:sz w:val="17"/>
              </w:rPr>
              <w:t>-44.2%</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1,177</w:t>
            </w:r>
          </w:p>
        </w:tc>
        <w:tc>
          <w:tcPr>
            <w:tcW w:type="dxa" w:w="1440"/>
            <w:shd w:fill="FFDCE0" w:val="clear"/>
          </w:tcPr>
          <w:p>
            <w:r>
              <w:rPr>
                <w:b/>
                <w:sz w:val="17"/>
              </w:rPr>
              <w:t>1,448</w:t>
            </w:r>
          </w:p>
        </w:tc>
        <w:tc>
          <w:tcPr>
            <w:tcW w:type="dxa" w:w="1440"/>
            <w:shd w:fill="FFDCE0" w:val="clear"/>
          </w:tcPr>
          <w:p>
            <w:r>
              <w:rPr>
                <w:sz w:val="17"/>
              </w:rPr>
              <w:t>1,718</w:t>
            </w:r>
          </w:p>
        </w:tc>
        <w:tc>
          <w:tcPr>
            <w:tcW w:type="dxa" w:w="1440"/>
            <w:shd w:fill="FFDCE0" w:val="clear"/>
          </w:tcPr>
          <w:p>
            <w:r>
              <w:rPr>
                <w:b/>
                <w:color w:val="C00000"/>
                <w:sz w:val="17"/>
              </w:rPr>
              <w:t>-46.0%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(BRVM)**</w:t>
      </w:r>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34,21 milliards FCFA, un niveau significatif sur la BRVM qui la positionne parmi les valeurs moyennes du marché. Avec un BPA de 160 FCFA, le titre se négocie à un PER de 16,8x, nettement supérieur à la moyenne historique de la BRVM (8-12x), indiquant que les investisseurs paient une prime substantielle pour les bénéfices actuels. Le P/B de 5,94x confirme cette valorisation exigeante, le marché valorisant près de 6 fois la valeur comptable des actifs. Enfin, l'EV/EBITDA de 25,3x, très supérieur au seuil de 15x considéré comme exigeant, suggère que la valeur totale de l'entreprise (dette incluse) est élevée par rapport à sa capacité opérationnelle. Ces ratios, pris ensemble, signalent une valorisation boursière très tendue qui anticipe une croissance future importante.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progression spectaculaire de +90,75%, avec une dernière séance en hausse de +7,20% à 2 680 FCFA, son plus haut niveau sur la période. Le titre a évolué dans une fourchette très large de 1 365 à 2 680 FCFA, démontrant un doublement de sa valeur en quelques mois. La moyenne du cours (2 001 FCFA) est inférieure à la médiane (2 105 FCFA), et le skewness négatif (-0,686) indique que le titre a passé plus de journées au-dessus de sa moyenne, confirmant la vigueur de la tendance haussière. L'écart-type de 338 FCFA (CV=16,9%) révèle une dispersion modérée, tandis que le kurtosis de -0,611 (mésokurtique) suggère une distribution proche de la normale, sans risque de pics extrêmes. La volatilité annualisée de 52,2% classe le titre comme très volatil, un niveau élevé qui reflète l'ampleur des mouvements récents et implique un risque significatif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2 680 FCFA évolue nettement au-dessus de la MM20 (2 286,5 FCFA) et de la MM50 (2 268,1 FCFA), avec un écart de plus de 17% par rapport à la MM20. Cette configuration haussière, où le prix domine les deux moyennes, confirme la vigueur de la tendance et justifie la décision d'achat, bien que l'écart important suggère une possible correction à court terme.</w:t>
      </w:r>
    </w:p>
    <w:p>
      <w:pPr>
        <w:spacing w:after="120" w:line="276" w:lineRule="auto"/>
      </w:pPr>
      <w:r>
        <w:t>**Bandes de Bollinger** : Le cours de 2 680 FCFA a franchi largement la borne supérieure (2 536,7 FCFA), indiquant une extension excessive au-delà des limites statistiques normales. Cette sortie de bande traduit une volatilité extrême et un momentum haussier puissant, mais signale également des conditions de surachat qui justifient la décision de vente, le prix étant statistiquement en zone dangereuse.</w:t>
      </w:r>
    </w:p>
    <w:p>
      <w:pPr>
        <w:spacing w:after="120" w:line="276" w:lineRule="auto"/>
      </w:pPr>
      <w:r>
        <w:t>**MACD** : Le MACD (63,7) évolue nettement au-dessus de sa ligne de signal (23,1), avec un écart positif important qui confirme un momentum haussier robuste. La décision d'achat est cohérente avec la dynamique actuelle, mais l'ampleur de l'écart entre les deux lignes suggère une possible saturation du mouvement à court terme.</w:t>
      </w:r>
    </w:p>
    <w:p>
      <w:pPr>
        <w:spacing w:after="120" w:line="276" w:lineRule="auto"/>
      </w:pPr>
      <w:r>
        <w:t>**RSI** : Le RSI à 73,6 est entré en zone de surachat (au-delà de 70), signalant que le titre est techniquement surévalué à court terme. Cette lecture justifie la décision de vente, car elle indique que la pression acheteuse a atteint des niveaux historiquement associés à des retournements de tendance.</w:t>
      </w:r>
    </w:p>
    <w:p>
      <w:pPr>
        <w:spacing w:after="120" w:line="276" w:lineRule="auto"/>
      </w:pPr>
      <w:r>
        <w:t>**Stochastique** : Le %K et le %D sont tous deux à 100,0, un niveau extrême qui traduit une condition de surachat maximal. Cette configuration, où les deux lignes sont saturées à leur maximum, signale une probabilité élevée de correction technique et justifie pleinement la décision de vente.</w:t>
      </w:r>
    </w:p>
    <w:p>
      <w:pPr>
        <w:spacing w:after="120" w:line="276" w:lineRule="auto"/>
      </w:pPr>
      <w:r>
        <w:t>**Conclusion technique** : La convergence des indicateurs est remarquable : les moyennes mobiles et le MACD confirment une tendance haussière puissante, mais le RSI, le Stochastique et les Bandes de Bollinger signalent tous un surachat extrême. Cette divergence entre la tendance de fond et les conditions à court terme suggère qu'une consolidation technique est hautement probable, même si la tendance principale reste positive.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performance financière remarquable pour NEIC. Le chiffre d'affaires s'établit à 5,139 milliards FCFA, en baisse de 23,8% par rapport à l'exercice précédent, mais le résultat net atteint 2,037 milliards FCFA, soit une marge nette exceptionnelle de 39,6%. La rentabilité des fonds propres (ROE) de 35,4% et la rentabilité des actifs (ROA) de 27,3% sont excellentes, largement au-dessus des seuils de 15% considérés comme performants. La structure financière est très saine avec une autonomie financière de 77% et une trésorerie nette positive de 4,196 milliards FCFA. Cependant, le délai de paiement des clients de 154,7 jours constitue un risque de trésorerie significatif, et le BFR de 1,498 milliard FCFA confirme cette tension. Le rapport du 3ème trimestre 2025 (rapport récent) indique un CA de 3,406 milliards FCFA en baisse de 35%, mais un bénéfice net de 1,596 milliard FCFA, porté par une reprise de provision exceptionnelle. Le rapport 2026 (document récent) montre une forte croissance du CA de +137% à 115,1 millions FCFA au T1, mais une perte nette persistante de -168,9 millions FCFA. Les états financiers certifiés 2024 (rapport daté) faisaient état d'une perte de 759 millions FCFA, contrastant avec la performance 2025. Sur la base du rapport T1 2026, on estime que l'exercice 2026 pourrait voir une amélioration progressive de l'activité, mais la rentabilité récurrente reste fragile et dépendante d'éléments exceptionnels.</w:t>
      </w:r>
    </w:p>
    <w:p>
      <w:pPr>
        <w:spacing w:after="120" w:line="276" w:lineRule="auto" w:before="240"/>
      </w:pPr>
      <w:r>
        <w:rPr>
          <w:b/>
          <w:color w:val="003366"/>
          <w:sz w:val="24"/>
        </w:rPr>
        <w:t>**PARTIE 4 : CONCLUSION D'INVESTISSEMENT**</w:t>
      </w:r>
    </w:p>
    <w:p>
      <w:pPr>
        <w:spacing w:after="120" w:line="276" w:lineRule="auto"/>
      </w:pPr>
      <w:r>
        <w:t>La valorisation actuelle de NEIC apparaît très exigeante avec un PER de 16,8x, un P/B de 5,94x et un EV/EBITDA de 25,3x, nettement supérieurs aux moyennes du marché BRVM. Le comportement du cours, avec une hausse de +90,75% en 100 jours et une volatilité annualisée de 52,2%, traduit un enthousiasme spéculatif marqué, renforcé par un skewness négatif indiquant des journées majoritairement au-dessus de la moyenne. Les signaux techniques sont contradictoires : la tendance de fond (MM, MACD) reste haussière, mais les indicateurs de surachat (RSI à 73,6, Stochastique à 100, sortie des Bandes de Bollinger) signalent une correction imminente. Les fondamentaux 2025 sont solides (ROE de 35,4%, trésorerie de 4,2 milliards), mais la baisse du CA de 23,8% et la dépendance aux éléments exceptionnels (reprise de provision) fragilisent la pérennité de la performance. Les prédictions IA sur 10 jours (2 479 à 1 815 FCFA) confirment cette analyse en projetant une correction de 32% par rapport au cours actuel. La convergence entre le surachat technique et les prédictions IA suggère une correction probable. **Recommandation : VENTE** avec un niveau de confiance **Élevé**, un risque global **Élevé**, et un horizon d'investissement optimal à **court terme (&lt;3 mois)** pour les investisseurs existants, avec un point d'entrée potentiel autour de 1 800-2 000 FCFA pour les nouveaux entrants.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561.47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2,012 titres</w:t>
            </w:r>
          </w:p>
        </w:tc>
        <w:tc>
          <w:tcPr>
            <w:tcW w:type="dxa" w:w="2268"/>
            <w:shd w:fill="FFF2CC" w:val="clear"/>
          </w:tcPr>
          <w:p>
            <w:r>
              <w:rPr>
                <w:b/>
                <w:color w:val="503200"/>
                <w:sz w:val="16"/>
              </w:rPr>
              <w:t xml:space="preserve">Cours actuel : </w:t>
            </w:r>
            <w:r>
              <w:rPr>
                <w:color w:val="000000"/>
                <w:sz w:val="17"/>
              </w:rPr>
              <w:t>22,700 FCFA</w:t>
            </w:r>
          </w:p>
          <w:p>
            <w:r>
              <w:rPr>
                <w:b/>
                <w:color w:val="503200"/>
                <w:sz w:val="16"/>
              </w:rPr>
              <w:t xml:space="preserve">Var. 100 jours : </w:t>
            </w:r>
            <w:r>
              <w:rPr>
                <w:b/>
                <w:color w:val="007800"/>
                <w:sz w:val="17"/>
              </w:rPr>
              <w:t>+60.99%</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19.24% (Élevée) — μ=18,788 FCFA, σ=3,615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β=1.3322 (Agressif) — Cov=0.000044, Var(idx)=0.000033, ρ=0.323,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2,012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2026-08-27</w:t>
            </w:r>
          </w:p>
        </w:tc>
        <w:tc>
          <w:tcPr>
            <w:tcW w:type="dxa" w:w="1440"/>
            <w:shd w:fill="C6EFCE" w:val="clear"/>
          </w:tcPr>
          <w:p>
            <w:r>
              <w:rPr>
                <w:sz w:val="17"/>
              </w:rPr>
              <w:t>22,406</w:t>
            </w:r>
          </w:p>
        </w:tc>
        <w:tc>
          <w:tcPr>
            <w:tcW w:type="dxa" w:w="1440"/>
            <w:shd w:fill="C6EFCE" w:val="clear"/>
          </w:tcPr>
          <w:p>
            <w:r>
              <w:rPr>
                <w:b/>
                <w:sz w:val="17"/>
              </w:rPr>
              <w:t>23,289</w:t>
            </w:r>
          </w:p>
        </w:tc>
        <w:tc>
          <w:tcPr>
            <w:tcW w:type="dxa" w:w="1440"/>
            <w:shd w:fill="C6EFCE" w:val="clear"/>
          </w:tcPr>
          <w:p>
            <w:r>
              <w:rPr>
                <w:sz w:val="17"/>
              </w:rPr>
              <w:t>24,171</w:t>
            </w:r>
          </w:p>
        </w:tc>
        <w:tc>
          <w:tcPr>
            <w:tcW w:type="dxa" w:w="1440"/>
            <w:shd w:fill="C6EFCE" w:val="clear"/>
          </w:tcPr>
          <w:p>
            <w:r>
              <w:rPr>
                <w:b/>
                <w:color w:val="008000"/>
                <w:sz w:val="17"/>
              </w:rPr>
              <w:t>+2.6%</w:t>
            </w:r>
          </w:p>
        </w:tc>
      </w:tr>
      <w:tr>
        <w:tc>
          <w:tcPr>
            <w:tcW w:type="dxa" w:w="1440"/>
            <w:shd w:fill="C6EFCE" w:val="clear"/>
          </w:tcPr>
          <w:p>
            <w:r>
              <w:rPr>
                <w:sz w:val="17"/>
              </w:rPr>
              <w:t>J+2  Moyenne</w:t>
            </w:r>
          </w:p>
        </w:tc>
        <w:tc>
          <w:tcPr>
            <w:tcW w:type="dxa" w:w="1440"/>
            <w:shd w:fill="C6EFCE" w:val="clear"/>
          </w:tcPr>
          <w:p>
            <w:r>
              <w:rPr>
                <w:sz w:val="17"/>
              </w:rPr>
              <w:t>2026-08-28</w:t>
            </w:r>
          </w:p>
        </w:tc>
        <w:tc>
          <w:tcPr>
            <w:tcW w:type="dxa" w:w="1440"/>
            <w:shd w:fill="C6EFCE" w:val="clear"/>
          </w:tcPr>
          <w:p>
            <w:r>
              <w:rPr>
                <w:sz w:val="17"/>
              </w:rPr>
              <w:t>22,437</w:t>
            </w:r>
          </w:p>
        </w:tc>
        <w:tc>
          <w:tcPr>
            <w:tcW w:type="dxa" w:w="1440"/>
            <w:shd w:fill="C6EFCE" w:val="clear"/>
          </w:tcPr>
          <w:p>
            <w:r>
              <w:rPr>
                <w:b/>
                <w:sz w:val="17"/>
              </w:rPr>
              <w:t>23,708</w:t>
            </w:r>
          </w:p>
        </w:tc>
        <w:tc>
          <w:tcPr>
            <w:tcW w:type="dxa" w:w="1440"/>
            <w:shd w:fill="C6EFCE" w:val="clear"/>
          </w:tcPr>
          <w:p>
            <w:r>
              <w:rPr>
                <w:sz w:val="17"/>
              </w:rPr>
              <w:t>24,978</w:t>
            </w:r>
          </w:p>
        </w:tc>
        <w:tc>
          <w:tcPr>
            <w:tcW w:type="dxa" w:w="1440"/>
            <w:shd w:fill="C6EFCE" w:val="clear"/>
          </w:tcPr>
          <w:p>
            <w:r>
              <w:rPr>
                <w:b/>
                <w:color w:val="008000"/>
                <w:sz w:val="17"/>
              </w:rPr>
              <w:t>+4.4%</w:t>
            </w:r>
          </w:p>
        </w:tc>
      </w:tr>
      <w:tr>
        <w:tc>
          <w:tcPr>
            <w:tcW w:type="dxa" w:w="1440"/>
            <w:shd w:fill="C6EFCE" w:val="clear"/>
          </w:tcPr>
          <w:p>
            <w:r>
              <w:rPr>
                <w:sz w:val="17"/>
              </w:rPr>
              <w:t>J+3  Moyenne</w:t>
            </w:r>
          </w:p>
        </w:tc>
        <w:tc>
          <w:tcPr>
            <w:tcW w:type="dxa" w:w="1440"/>
            <w:shd w:fill="C6EFCE" w:val="clear"/>
          </w:tcPr>
          <w:p>
            <w:r>
              <w:rPr>
                <w:sz w:val="17"/>
              </w:rPr>
              <w:t>2026-08-31</w:t>
            </w:r>
          </w:p>
        </w:tc>
        <w:tc>
          <w:tcPr>
            <w:tcW w:type="dxa" w:w="1440"/>
            <w:shd w:fill="C6EFCE" w:val="clear"/>
          </w:tcPr>
          <w:p>
            <w:r>
              <w:rPr>
                <w:sz w:val="17"/>
              </w:rPr>
              <w:t>22,531</w:t>
            </w:r>
          </w:p>
        </w:tc>
        <w:tc>
          <w:tcPr>
            <w:tcW w:type="dxa" w:w="1440"/>
            <w:shd w:fill="C6EFCE" w:val="clear"/>
          </w:tcPr>
          <w:p>
            <w:r>
              <w:rPr>
                <w:b/>
                <w:sz w:val="17"/>
              </w:rPr>
              <w:t>24,114</w:t>
            </w:r>
          </w:p>
        </w:tc>
        <w:tc>
          <w:tcPr>
            <w:tcW w:type="dxa" w:w="1440"/>
            <w:shd w:fill="C6EFCE" w:val="clear"/>
          </w:tcPr>
          <w:p>
            <w:r>
              <w:rPr>
                <w:sz w:val="17"/>
              </w:rPr>
              <w:t>25,696</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2026-09-01</w:t>
            </w:r>
          </w:p>
        </w:tc>
        <w:tc>
          <w:tcPr>
            <w:tcW w:type="dxa" w:w="1440"/>
            <w:shd w:fill="C6EFCE" w:val="clear"/>
          </w:tcPr>
          <w:p>
            <w:r>
              <w:rPr>
                <w:sz w:val="17"/>
              </w:rPr>
              <w:t>22,647</w:t>
            </w:r>
          </w:p>
        </w:tc>
        <w:tc>
          <w:tcPr>
            <w:tcW w:type="dxa" w:w="1440"/>
            <w:shd w:fill="C6EFCE" w:val="clear"/>
          </w:tcPr>
          <w:p>
            <w:r>
              <w:rPr>
                <w:b/>
                <w:sz w:val="17"/>
              </w:rPr>
              <w:t>24,504</w:t>
            </w:r>
          </w:p>
        </w:tc>
        <w:tc>
          <w:tcPr>
            <w:tcW w:type="dxa" w:w="1440"/>
            <w:shd w:fill="C6EFCE" w:val="clear"/>
          </w:tcPr>
          <w:p>
            <w:r>
              <w:rPr>
                <w:sz w:val="17"/>
              </w:rPr>
              <w:t>26,361</w:t>
            </w:r>
          </w:p>
        </w:tc>
        <w:tc>
          <w:tcPr>
            <w:tcW w:type="dxa" w:w="1440"/>
            <w:shd w:fill="C6EFCE" w:val="clear"/>
          </w:tcPr>
          <w:p>
            <w:r>
              <w:rPr>
                <w:b/>
                <w:color w:val="008000"/>
                <w:sz w:val="17"/>
              </w:rPr>
              <w:t>+7.9%</w:t>
            </w:r>
          </w:p>
        </w:tc>
      </w:tr>
      <w:tr>
        <w:tc>
          <w:tcPr>
            <w:tcW w:type="dxa" w:w="1440"/>
            <w:shd w:fill="C6EFCE" w:val="clear"/>
          </w:tcPr>
          <w:p>
            <w:r>
              <w:rPr>
                <w:sz w:val="17"/>
              </w:rPr>
              <w:t>J+5  ⭐</w:t>
            </w:r>
          </w:p>
        </w:tc>
        <w:tc>
          <w:tcPr>
            <w:tcW w:type="dxa" w:w="1440"/>
            <w:shd w:fill="C6EFCE" w:val="clear"/>
          </w:tcPr>
          <w:p>
            <w:r>
              <w:rPr>
                <w:sz w:val="17"/>
              </w:rPr>
              <w:t>2026-09-02</w:t>
            </w:r>
          </w:p>
        </w:tc>
        <w:tc>
          <w:tcPr>
            <w:tcW w:type="dxa" w:w="1440"/>
            <w:shd w:fill="C6EFCE" w:val="clear"/>
          </w:tcPr>
          <w:p>
            <w:r>
              <w:rPr>
                <w:sz w:val="17"/>
              </w:rPr>
              <w:t>22,782</w:t>
            </w:r>
          </w:p>
        </w:tc>
        <w:tc>
          <w:tcPr>
            <w:tcW w:type="dxa" w:w="1440"/>
            <w:shd w:fill="C6EFCE" w:val="clear"/>
          </w:tcPr>
          <w:p>
            <w:r>
              <w:rPr>
                <w:b/>
                <w:sz w:val="17"/>
              </w:rPr>
              <w:t>24,892</w:t>
            </w:r>
          </w:p>
        </w:tc>
        <w:tc>
          <w:tcPr>
            <w:tcW w:type="dxa" w:w="1440"/>
            <w:shd w:fill="C6EFCE" w:val="clear"/>
          </w:tcPr>
          <w:p>
            <w:r>
              <w:rPr>
                <w:sz w:val="17"/>
              </w:rPr>
              <w:t>27,001</w:t>
            </w:r>
          </w:p>
        </w:tc>
        <w:tc>
          <w:tcPr>
            <w:tcW w:type="dxa" w:w="1440"/>
            <w:shd w:fill="C6EFCE" w:val="clear"/>
          </w:tcPr>
          <w:p>
            <w:r>
              <w:rPr>
                <w:b/>
                <w:color w:val="008000"/>
                <w:sz w:val="17"/>
              </w:rPr>
              <w:t>+9.7%</w:t>
            </w:r>
          </w:p>
        </w:tc>
      </w:tr>
      <w:tr>
        <w:tc>
          <w:tcPr>
            <w:tcW w:type="dxa" w:w="1440"/>
            <w:shd w:fill="C6EFCE" w:val="clear"/>
          </w:tcPr>
          <w:p>
            <w:r>
              <w:rPr>
                <w:sz w:val="17"/>
              </w:rPr>
              <w:t>J+6  ⭐</w:t>
            </w:r>
          </w:p>
        </w:tc>
        <w:tc>
          <w:tcPr>
            <w:tcW w:type="dxa" w:w="1440"/>
            <w:shd w:fill="C6EFCE" w:val="clear"/>
          </w:tcPr>
          <w:p>
            <w:r>
              <w:rPr>
                <w:sz w:val="17"/>
              </w:rPr>
              <w:t>2026-09-03</w:t>
            </w:r>
          </w:p>
        </w:tc>
        <w:tc>
          <w:tcPr>
            <w:tcW w:type="dxa" w:w="1440"/>
            <w:shd w:fill="C6EFCE" w:val="clear"/>
          </w:tcPr>
          <w:p>
            <w:r>
              <w:rPr>
                <w:sz w:val="17"/>
              </w:rPr>
              <w:t>22,931</w:t>
            </w:r>
          </w:p>
        </w:tc>
        <w:tc>
          <w:tcPr>
            <w:tcW w:type="dxa" w:w="1440"/>
            <w:shd w:fill="C6EFCE" w:val="clear"/>
          </w:tcPr>
          <w:p>
            <w:r>
              <w:rPr>
                <w:b/>
                <w:sz w:val="17"/>
              </w:rPr>
              <w:t>25,278</w:t>
            </w:r>
          </w:p>
        </w:tc>
        <w:tc>
          <w:tcPr>
            <w:tcW w:type="dxa" w:w="1440"/>
            <w:shd w:fill="C6EFCE" w:val="clear"/>
          </w:tcPr>
          <w:p>
            <w:r>
              <w:rPr>
                <w:sz w:val="17"/>
              </w:rPr>
              <w:t>27,624</w:t>
            </w:r>
          </w:p>
        </w:tc>
        <w:tc>
          <w:tcPr>
            <w:tcW w:type="dxa" w:w="1440"/>
            <w:shd w:fill="C6EFCE" w:val="clear"/>
          </w:tcPr>
          <w:p>
            <w:r>
              <w:rPr>
                <w:b/>
                <w:color w:val="008000"/>
                <w:sz w:val="17"/>
              </w:rPr>
              <w:t>+11.4%</w:t>
            </w:r>
          </w:p>
        </w:tc>
      </w:tr>
      <w:tr>
        <w:tc>
          <w:tcPr>
            <w:tcW w:type="dxa" w:w="1440"/>
            <w:shd w:fill="C6EFCE" w:val="clear"/>
          </w:tcPr>
          <w:p>
            <w:r>
              <w:rPr>
                <w:sz w:val="17"/>
              </w:rPr>
              <w:t>J+7  ⭐</w:t>
            </w:r>
          </w:p>
        </w:tc>
        <w:tc>
          <w:tcPr>
            <w:tcW w:type="dxa" w:w="1440"/>
            <w:shd w:fill="C6EFCE" w:val="clear"/>
          </w:tcPr>
          <w:p>
            <w:r>
              <w:rPr>
                <w:sz w:val="17"/>
              </w:rPr>
              <w:t>2026-09-04</w:t>
            </w:r>
          </w:p>
        </w:tc>
        <w:tc>
          <w:tcPr>
            <w:tcW w:type="dxa" w:w="1440"/>
            <w:shd w:fill="C6EFCE" w:val="clear"/>
          </w:tcPr>
          <w:p>
            <w:r>
              <w:rPr>
                <w:sz w:val="17"/>
              </w:rPr>
              <w:t>23,090</w:t>
            </w:r>
          </w:p>
        </w:tc>
        <w:tc>
          <w:tcPr>
            <w:tcW w:type="dxa" w:w="1440"/>
            <w:shd w:fill="C6EFCE" w:val="clear"/>
          </w:tcPr>
          <w:p>
            <w:r>
              <w:rPr>
                <w:b/>
                <w:sz w:val="17"/>
              </w:rPr>
              <w:t>25,663</w:t>
            </w:r>
          </w:p>
        </w:tc>
        <w:tc>
          <w:tcPr>
            <w:tcW w:type="dxa" w:w="1440"/>
            <w:shd w:fill="C6EFCE" w:val="clear"/>
          </w:tcPr>
          <w:p>
            <w:r>
              <w:rPr>
                <w:sz w:val="17"/>
              </w:rPr>
              <w:t>28,236</w:t>
            </w:r>
          </w:p>
        </w:tc>
        <w:tc>
          <w:tcPr>
            <w:tcW w:type="dxa" w:w="1440"/>
            <w:shd w:fill="C6EFCE" w:val="clear"/>
          </w:tcPr>
          <w:p>
            <w:r>
              <w:rPr>
                <w:b/>
                <w:color w:val="008000"/>
                <w:sz w:val="17"/>
              </w:rPr>
              <w:t>+13.1%</w:t>
            </w:r>
          </w:p>
        </w:tc>
      </w:tr>
      <w:tr>
        <w:tc>
          <w:tcPr>
            <w:tcW w:type="dxa" w:w="1440"/>
            <w:shd w:fill="C6EFCE" w:val="clear"/>
          </w:tcPr>
          <w:p>
            <w:r>
              <w:rPr>
                <w:sz w:val="17"/>
              </w:rPr>
              <w:t>J+8  ⭐</w:t>
            </w:r>
          </w:p>
        </w:tc>
        <w:tc>
          <w:tcPr>
            <w:tcW w:type="dxa" w:w="1440"/>
            <w:shd w:fill="C6EFCE" w:val="clear"/>
          </w:tcPr>
          <w:p>
            <w:r>
              <w:rPr>
                <w:sz w:val="17"/>
              </w:rPr>
              <w:t>2026-09-07</w:t>
            </w:r>
          </w:p>
        </w:tc>
        <w:tc>
          <w:tcPr>
            <w:tcW w:type="dxa" w:w="1440"/>
            <w:shd w:fill="C6EFCE" w:val="clear"/>
          </w:tcPr>
          <w:p>
            <w:r>
              <w:rPr>
                <w:sz w:val="17"/>
              </w:rPr>
              <w:t>23,256</w:t>
            </w:r>
          </w:p>
        </w:tc>
        <w:tc>
          <w:tcPr>
            <w:tcW w:type="dxa" w:w="1440"/>
            <w:shd w:fill="C6EFCE" w:val="clear"/>
          </w:tcPr>
          <w:p>
            <w:r>
              <w:rPr>
                <w:b/>
                <w:sz w:val="17"/>
              </w:rPr>
              <w:t>26,048</w:t>
            </w:r>
          </w:p>
        </w:tc>
        <w:tc>
          <w:tcPr>
            <w:tcW w:type="dxa" w:w="1440"/>
            <w:shd w:fill="C6EFCE" w:val="clear"/>
          </w:tcPr>
          <w:p>
            <w:r>
              <w:rPr>
                <w:sz w:val="17"/>
              </w:rPr>
              <w:t>28,840</w:t>
            </w:r>
          </w:p>
        </w:tc>
        <w:tc>
          <w:tcPr>
            <w:tcW w:type="dxa" w:w="1440"/>
            <w:shd w:fill="C6EFCE" w:val="clear"/>
          </w:tcPr>
          <w:p>
            <w:r>
              <w:rPr>
                <w:b/>
                <w:color w:val="008000"/>
                <w:sz w:val="17"/>
              </w:rPr>
              <w:t>+14.7%</w:t>
            </w:r>
          </w:p>
        </w:tc>
      </w:tr>
      <w:tr>
        <w:tc>
          <w:tcPr>
            <w:tcW w:type="dxa" w:w="1440"/>
            <w:shd w:fill="C6EFCE" w:val="clear"/>
          </w:tcPr>
          <w:p>
            <w:r>
              <w:rPr>
                <w:sz w:val="17"/>
              </w:rPr>
              <w:t>J+9  ⭐</w:t>
            </w:r>
          </w:p>
        </w:tc>
        <w:tc>
          <w:tcPr>
            <w:tcW w:type="dxa" w:w="1440"/>
            <w:shd w:fill="C6EFCE" w:val="clear"/>
          </w:tcPr>
          <w:p>
            <w:r>
              <w:rPr>
                <w:sz w:val="17"/>
              </w:rPr>
              <w:t>2026-09-08</w:t>
            </w:r>
          </w:p>
        </w:tc>
        <w:tc>
          <w:tcPr>
            <w:tcW w:type="dxa" w:w="1440"/>
            <w:shd w:fill="C6EFCE" w:val="clear"/>
          </w:tcPr>
          <w:p>
            <w:r>
              <w:rPr>
                <w:sz w:val="17"/>
              </w:rPr>
              <w:t>23,428</w:t>
            </w:r>
          </w:p>
        </w:tc>
        <w:tc>
          <w:tcPr>
            <w:tcW w:type="dxa" w:w="1440"/>
            <w:shd w:fill="C6EFCE" w:val="clear"/>
          </w:tcPr>
          <w:p>
            <w:r>
              <w:rPr>
                <w:b/>
                <w:sz w:val="17"/>
              </w:rPr>
              <w:t>26,432</w:t>
            </w:r>
          </w:p>
        </w:tc>
        <w:tc>
          <w:tcPr>
            <w:tcW w:type="dxa" w:w="1440"/>
            <w:shd w:fill="C6EFCE" w:val="clear"/>
          </w:tcPr>
          <w:p>
            <w:r>
              <w:rPr>
                <w:sz w:val="17"/>
              </w:rPr>
              <w:t>29,437</w:t>
            </w:r>
          </w:p>
        </w:tc>
        <w:tc>
          <w:tcPr>
            <w:tcW w:type="dxa" w:w="1440"/>
            <w:shd w:fill="C6EFCE" w:val="clear"/>
          </w:tcPr>
          <w:p>
            <w:r>
              <w:rPr>
                <w:b/>
                <w:color w:val="008000"/>
                <w:sz w:val="17"/>
              </w:rPr>
              <w:t>+16.4%</w:t>
            </w:r>
          </w:p>
        </w:tc>
      </w:tr>
      <w:tr>
        <w:tc>
          <w:tcPr>
            <w:tcW w:type="dxa" w:w="1440"/>
            <w:shd w:fill="C6EFCE" w:val="clear"/>
          </w:tcPr>
          <w:p>
            <w:r>
              <w:rPr>
                <w:sz w:val="17"/>
              </w:rPr>
              <w:t>J+10  ⭐</w:t>
            </w:r>
          </w:p>
        </w:tc>
        <w:tc>
          <w:tcPr>
            <w:tcW w:type="dxa" w:w="1440"/>
            <w:shd w:fill="C6EFCE" w:val="clear"/>
          </w:tcPr>
          <w:p>
            <w:r>
              <w:rPr>
                <w:sz w:val="17"/>
              </w:rPr>
              <w:t>2026-09-09</w:t>
            </w:r>
          </w:p>
        </w:tc>
        <w:tc>
          <w:tcPr>
            <w:tcW w:type="dxa" w:w="1440"/>
            <w:shd w:fill="C6EFCE" w:val="clear"/>
          </w:tcPr>
          <w:p>
            <w:r>
              <w:rPr>
                <w:sz w:val="17"/>
              </w:rPr>
              <w:t>23,603</w:t>
            </w:r>
          </w:p>
        </w:tc>
        <w:tc>
          <w:tcPr>
            <w:tcW w:type="dxa" w:w="1440"/>
            <w:shd w:fill="C6EFCE" w:val="clear"/>
          </w:tcPr>
          <w:p>
            <w:r>
              <w:rPr>
                <w:b/>
                <w:sz w:val="17"/>
              </w:rPr>
              <w:t>26,816</w:t>
            </w:r>
          </w:p>
        </w:tc>
        <w:tc>
          <w:tcPr>
            <w:tcW w:type="dxa" w:w="1440"/>
            <w:shd w:fill="C6EFCE" w:val="clear"/>
          </w:tcPr>
          <w:p>
            <w:r>
              <w:rPr>
                <w:sz w:val="17"/>
              </w:rPr>
              <w:t>30,029</w:t>
            </w:r>
          </w:p>
        </w:tc>
        <w:tc>
          <w:tcPr>
            <w:tcW w:type="dxa" w:w="1440"/>
            <w:shd w:fill="C6EFCE" w:val="clear"/>
          </w:tcPr>
          <w:p>
            <w:r>
              <w:rPr>
                <w:b/>
                <w:color w:val="008000"/>
                <w:sz w:val="17"/>
              </w:rPr>
              <w:t>+18.1%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561,47 milliards FCFA, un niveau qui la positionne parmi les valeurs les plus significatives de la BRVM, reflétant la confiance des investisseurs dans le secteur bancaire ivoirien. Avec un BPA de 1 646 FCFA, le titre se négocie à un PER de 13,8x, légèrement supérieur à la moyenne historique de la place (~8-12x), ce qui indique que le marché accorde une prime de croissance à la banque. Le P/B de 2,41x confirme cette lecture, le cours dépassant de 141% la valeur comptable de l'action, signe d'une anticipation de création de valeur future. L'EV/EBITDA de 21,3x apparaît en revanche très exigeant, suggérant que la valorisation intègre déjà des hypothèses de performance opérationnelle soutenue. Ces ratios traduisent une valorisation généreuse mais cohérente avec la qualité perçue de l'actif.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NSBC a enregistré une progression spectaculaire de +60,99%, passant d'un plus bas de 13 810 FCFA à un plus haut de 24 020 FCFA, avant de se stabiliser à 22 700 FCFA, en léger repli de -0,44% sur la dernière séance. La moyenne du cours sur la période (18 788 FCFA) est inférieure à la médiane (19 152 FCFA), indiquant une asymétrie positive avec des épisodes de forte hausse plus marqués que les baisses. L'écart-type de 3 633 FCFA, soit un coefficient de variation de 19,3%, témoigne d'une dispersion modérée autour de la moyenne. Le kurtosis négatif (-1,436) révèle une distribution aplatie, avec peu de valeurs extrêmes, tandis que le skewness légèrement négatif (-0,135) suggère une quasi-symétrie. La volatilité annualisée de 37,7% classe le titre dans la catégorie des valeurs à forte volatilité, ce qui implique un risque élevé mais aussi un potentiel de rendement significatif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22 700 FCFA se situe sous la MM20 (23 292,75 FCFA) mais au-dessus de la MM50 (21 841 FCFA). Cette configuration, avec une MM20 qui reste supérieure à la MM50, maintient un signal d'achat à moyen terme, bien que le repli récent sous la MM20 suggère une consolidation à court terme.</w:t>
      </w:r>
    </w:p>
    <w:p>
      <w:pPr>
        <w:spacing w:after="120" w:line="276" w:lineRule="auto"/>
      </w:pPr>
      <w:r>
        <w:t>**Bandes de Bollinger** : Le prix évolue près de la borne inférieure (22 504,21 FCFA), très proche de la borne supérieure (24 081,29 FCFA), indiquant une volatilité élevée. La position actuelle, entre les deux bornes mais proche de la borne basse, génère un signal neutre, le marché cherchant une direction après la forte progression récente.</w:t>
      </w:r>
    </w:p>
    <w:p>
      <w:pPr>
        <w:spacing w:after="120" w:line="276" w:lineRule="auto"/>
      </w:pPr>
      <w:r>
        <w:t>**MACD** : La valeur du MACD (223,827) est inférieure à son signal (429,173), formant une divergence baissière. Ce croisement négatif, intervenu après une période de forte hausse, signale un essoufflement du momentum haussier et justifie la décision de vente, invitant à la prudence à court terme.</w:t>
      </w:r>
    </w:p>
    <w:p>
      <w:pPr>
        <w:spacing w:after="120" w:line="276" w:lineRule="auto"/>
      </w:pPr>
      <w:r>
        <w:t>**RSI** : Avec une valeur de 16,578, le RSI est profondément en zone de survente (&lt;30). Cette situation extrême suggère que le titre est techniquement survendu après le récent repli, ce qui pourrait précéder un rebond technique. La décision d'achat associée à cet indicateur est cohérente avec cette lecture.</w:t>
      </w:r>
    </w:p>
    <w:p>
      <w:pPr>
        <w:spacing w:after="120" w:line="276" w:lineRule="auto"/>
      </w:pPr>
      <w:r>
        <w:t>**Stochastique** : Le %K et le %D sont tous deux à 0,0, confirmant une condition de survente extrême. Ce niveau, rarement atteint, indique que la pression vendeuse s'est épuisée, ouvrant la voie à un potentiel retournement haussier. La décision d'achat est ici parfaitement justifiée.</w:t>
      </w:r>
    </w:p>
    <w:p>
      <w:pPr>
        <w:spacing w:after="120" w:line="276" w:lineRule="auto"/>
      </w:pPr>
      <w:r>
        <w:t>**Conclusion technique** : La convergence des indicateurs de survente (RSI et Stochastique) avec la divergence du MACD crée un tableau contrasté. Les signaux d'achat à court terme dominent, suggérant un rebond technique probable, mais la tendance de fond reste haussière, soutenue par les moyennes mobiles. L'horizon semble donc favorable à une reprise de la hausse après consolidation.</w:t>
      </w:r>
    </w:p>
    <w:p>
      <w:pPr>
        <w:spacing w:after="120" w:line="276" w:lineRule="auto"/>
      </w:pPr>
      <w:r>
        <w:t>---</w:t>
      </w:r>
    </w:p>
    <w:p>
      <w:pPr>
        <w:spacing w:after="120" w:line="276" w:lineRule="auto"/>
      </w:pPr>
      <w:r>
        <w:t>### PARTIE 3 : ANALYSE FONDAMENTALE (SECTION CRITIQUE)</w:t>
      </w:r>
    </w:p>
    <w:p>
      <w:pPr>
        <w:spacing w:after="120" w:line="276" w:lineRule="auto"/>
      </w:pPr>
      <w:r>
        <w:t>En 2025, NSBC a réalisé un Produit Net Bancaire de 112,928 milliards FCFA, en hausse de 15% par rapport à 2024, et un résultat net de 40,712 milliards FCFA, en progression de 7%. La rentabilité des fonds propres (ROE) atteint 17,45%, un niveau excellent, tandis que le ROA s'établit à 1,32%. Le coefficient d'exploitation de 54,59% témoigne d'une gestion efficace, sous le seuil de 60%. Cependant, le coût du risque de 7,54% est élevé, reflétant une dégradation de la qualité du portefeuille de crédits (provisions de -8,510 milliards). Les dépôts clientèle (2 242,218 milliards) couvrent largement les créances clientèle (1 818,671 milliards), soit un ratio de transformation de 81%, signe d'une liquidité abondante. Le rapport T1 2026, analysé en mai 2026, montre une accélération spectaculaire avec un PNB de 28,615 milliards (+28%) et un résultat net de 10,912 milliards (+53%), porté par l'activité titres. Sur la base de cette dynamique, on estime que l'exercice 2026 pourrait dépasser les 45 milliards de résultat net, soit une croissance de plus de 10%. Les fondamentaux restent solides, avec une banque bien capitalisée (233,303 milliards de capitaux propres) et une stratégie de digitalisation et de finance verte bien engagée, malgré un risque de concentration sur les revenus de titres.</w:t>
      </w:r>
    </w:p>
    <w:p>
      <w:pPr>
        <w:spacing w:after="120" w:line="276" w:lineRule="auto"/>
      </w:pPr>
      <w:r>
        <w:t>---</w:t>
      </w:r>
    </w:p>
    <w:p>
      <w:pPr>
        <w:spacing w:after="120" w:line="276" w:lineRule="auto"/>
      </w:pPr>
      <w:r>
        <w:t>### PARTIE 4 : CONCLUSION D'INVESTISSEMENT</w:t>
      </w:r>
    </w:p>
    <w:p>
      <w:pPr>
        <w:spacing w:after="120" w:line="276" w:lineRule="auto"/>
      </w:pPr>
      <w:r>
        <w:t>La valorisation actuelle de NSBC, avec un PER de 13,8x et un P/B de 2,41x, intègre déjà des attentes élevées de croissance, mais celles-ci semblent justifiées par la performance exceptionnelle du T1 2026. Le comportement du cours sur 100 jours (+60,99%) démontre une dynamique haussière puissante, bien que la volatilité de 37,7% et la distribution platykurtique appellent à la vigilance. Les signaux techniques sont mitigés : les indicateurs de survente (RSI à 16,6, Stochastique à 0) suggèrent un rebond imminent, tandis que le MACD négatif indique une consolidation nécessaire. Les fondamentaux restent le principal pilier, avec une banque rentable (ROE &gt;17%), efficace (coefficient d'exploitation &lt;55%) et en forte croissance. Les prédictions IA pour les 10 prochains jours (23 289 à 24 892 FCFA) confirment une trajectoire haussière, en cohérence avec les signaux de survente et la solidité fondamentale. La convergence entre les fondamentaux solides, les prédictions IA et les signaux de rebond technique plaide pour une recommandation **ACHAT**, avec un niveau de confiance **Élevé** et un risque global **Moyen**. L'horizon d'investissement optimal se situe à **moyen terme (3-12 mois)**, permettant de capter la croissance attendue tout en gérant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1,463 titres</w:t>
            </w:r>
          </w:p>
        </w:tc>
        <w:tc>
          <w:tcPr>
            <w:tcW w:type="dxa" w:w="2268"/>
            <w:shd w:fill="FFF2CC" w:val="clear"/>
          </w:tcPr>
          <w:p>
            <w:r>
              <w:rPr>
                <w:b/>
                <w:color w:val="503200"/>
                <w:sz w:val="16"/>
              </w:rPr>
              <w:t xml:space="preserve">Cours actuel : </w:t>
            </w:r>
            <w:r>
              <w:rPr>
                <w:color w:val="000000"/>
                <w:sz w:val="17"/>
              </w:rPr>
              <w:t>16,900 FCFA</w:t>
            </w:r>
          </w:p>
          <w:p>
            <w:r>
              <w:rPr>
                <w:b/>
                <w:color w:val="503200"/>
                <w:sz w:val="16"/>
              </w:rPr>
              <w:t xml:space="preserve">Var. 100 jours : </w:t>
            </w:r>
            <w:r>
              <w:rPr>
                <w:b/>
                <w:color w:val="007800"/>
                <w:sz w:val="17"/>
              </w:rPr>
              <w:t>+32.03%</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14.07% (Moyenne) — μ=14,391 FCFA, σ=2,025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β=0.0480 (Défensif) — Cov=0.000002, Var(idx)=0.000033, ρ=0.013,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16,515</w:t>
            </w:r>
          </w:p>
        </w:tc>
        <w:tc>
          <w:tcPr>
            <w:tcW w:type="dxa" w:w="1440"/>
            <w:shd w:fill="FAFAFA" w:val="clear"/>
          </w:tcPr>
          <w:p>
            <w:r>
              <w:rPr>
                <w:b/>
                <w:sz w:val="17"/>
              </w:rPr>
              <w:t>16,787</w:t>
            </w:r>
          </w:p>
        </w:tc>
        <w:tc>
          <w:tcPr>
            <w:tcW w:type="dxa" w:w="1440"/>
            <w:shd w:fill="FAFAFA" w:val="clear"/>
          </w:tcPr>
          <w:p>
            <w:r>
              <w:rPr>
                <w:sz w:val="17"/>
              </w:rPr>
              <w:t>17,059</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2026-08-28</w:t>
            </w:r>
          </w:p>
        </w:tc>
        <w:tc>
          <w:tcPr>
            <w:tcW w:type="dxa" w:w="1440"/>
            <w:shd w:fill="FAFAFA" w:val="clear"/>
          </w:tcPr>
          <w:p>
            <w:r>
              <w:rPr>
                <w:sz w:val="17"/>
              </w:rPr>
              <w:t>16,352</w:t>
            </w:r>
          </w:p>
        </w:tc>
        <w:tc>
          <w:tcPr>
            <w:tcW w:type="dxa" w:w="1440"/>
            <w:shd w:fill="FAFAFA" w:val="clear"/>
          </w:tcPr>
          <w:p>
            <w:r>
              <w:rPr>
                <w:b/>
                <w:sz w:val="17"/>
              </w:rPr>
              <w:t>16,736</w:t>
            </w:r>
          </w:p>
        </w:tc>
        <w:tc>
          <w:tcPr>
            <w:tcW w:type="dxa" w:w="1440"/>
            <w:shd w:fill="FAFAFA" w:val="clear"/>
          </w:tcPr>
          <w:p>
            <w:r>
              <w:rPr>
                <w:sz w:val="17"/>
              </w:rPr>
              <w:t>17,120</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16,213</w:t>
            </w:r>
          </w:p>
        </w:tc>
        <w:tc>
          <w:tcPr>
            <w:tcW w:type="dxa" w:w="1440"/>
            <w:shd w:fill="FAFAFA" w:val="clear"/>
          </w:tcPr>
          <w:p>
            <w:r>
              <w:rPr>
                <w:b/>
                <w:sz w:val="17"/>
              </w:rPr>
              <w:t>16,682</w:t>
            </w:r>
          </w:p>
        </w:tc>
        <w:tc>
          <w:tcPr>
            <w:tcW w:type="dxa" w:w="1440"/>
            <w:shd w:fill="FAFAFA" w:val="clear"/>
          </w:tcPr>
          <w:p>
            <w:r>
              <w:rPr>
                <w:sz w:val="17"/>
              </w:rPr>
              <w:t>17,151</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2026-09-01</w:t>
            </w:r>
          </w:p>
        </w:tc>
        <w:tc>
          <w:tcPr>
            <w:tcW w:type="dxa" w:w="1440"/>
            <w:shd w:fill="FAFAFA" w:val="clear"/>
          </w:tcPr>
          <w:p>
            <w:r>
              <w:rPr>
                <w:sz w:val="17"/>
              </w:rPr>
              <w:t>16,089</w:t>
            </w:r>
          </w:p>
        </w:tc>
        <w:tc>
          <w:tcPr>
            <w:tcW w:type="dxa" w:w="1440"/>
            <w:shd w:fill="FAFAFA" w:val="clear"/>
          </w:tcPr>
          <w:p>
            <w:r>
              <w:rPr>
                <w:b/>
                <w:sz w:val="17"/>
              </w:rPr>
              <w:t>16,629</w:t>
            </w:r>
          </w:p>
        </w:tc>
        <w:tc>
          <w:tcPr>
            <w:tcW w:type="dxa" w:w="1440"/>
            <w:shd w:fill="FAFAFA" w:val="clear"/>
          </w:tcPr>
          <w:p>
            <w:r>
              <w:rPr>
                <w:sz w:val="17"/>
              </w:rPr>
              <w:t>17,168</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2026-09-02</w:t>
            </w:r>
          </w:p>
        </w:tc>
        <w:tc>
          <w:tcPr>
            <w:tcW w:type="dxa" w:w="1440"/>
            <w:shd w:fill="FAFAFA" w:val="clear"/>
          </w:tcPr>
          <w:p>
            <w:r>
              <w:rPr>
                <w:sz w:val="17"/>
              </w:rPr>
              <w:t>15,975</w:t>
            </w:r>
          </w:p>
        </w:tc>
        <w:tc>
          <w:tcPr>
            <w:tcW w:type="dxa" w:w="1440"/>
            <w:shd w:fill="FAFAFA" w:val="clear"/>
          </w:tcPr>
          <w:p>
            <w:r>
              <w:rPr>
                <w:b/>
                <w:sz w:val="17"/>
              </w:rPr>
              <w:t>16,576</w:t>
            </w:r>
          </w:p>
        </w:tc>
        <w:tc>
          <w:tcPr>
            <w:tcW w:type="dxa" w:w="1440"/>
            <w:shd w:fill="FAFAFA" w:val="clear"/>
          </w:tcPr>
          <w:p>
            <w:r>
              <w:rPr>
                <w:sz w:val="17"/>
              </w:rPr>
              <w:t>17,178</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15,869</w:t>
            </w:r>
          </w:p>
        </w:tc>
        <w:tc>
          <w:tcPr>
            <w:tcW w:type="dxa" w:w="1440"/>
            <w:shd w:fill="FFDCE0" w:val="clear"/>
          </w:tcPr>
          <w:p>
            <w:r>
              <w:rPr>
                <w:b/>
                <w:sz w:val="17"/>
              </w:rPr>
              <w:t>16,525</w:t>
            </w:r>
          </w:p>
        </w:tc>
        <w:tc>
          <w:tcPr>
            <w:tcW w:type="dxa" w:w="1440"/>
            <w:shd w:fill="FFDCE0" w:val="clear"/>
          </w:tcPr>
          <w:p>
            <w:r>
              <w:rPr>
                <w:sz w:val="17"/>
              </w:rPr>
              <w:t>17,182</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15,768</w:t>
            </w:r>
          </w:p>
        </w:tc>
        <w:tc>
          <w:tcPr>
            <w:tcW w:type="dxa" w:w="1440"/>
            <w:shd w:fill="FFDCE0" w:val="clear"/>
          </w:tcPr>
          <w:p>
            <w:r>
              <w:rPr>
                <w:b/>
                <w:sz w:val="17"/>
              </w:rPr>
              <w:t>16,475</w:t>
            </w:r>
          </w:p>
        </w:tc>
        <w:tc>
          <w:tcPr>
            <w:tcW w:type="dxa" w:w="1440"/>
            <w:shd w:fill="FFDCE0" w:val="clear"/>
          </w:tcPr>
          <w:p>
            <w:r>
              <w:rPr>
                <w:sz w:val="17"/>
              </w:rPr>
              <w:t>17,183</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15,673</w:t>
            </w:r>
          </w:p>
        </w:tc>
        <w:tc>
          <w:tcPr>
            <w:tcW w:type="dxa" w:w="1440"/>
            <w:shd w:fill="FFDCE0" w:val="clear"/>
          </w:tcPr>
          <w:p>
            <w:r>
              <w:rPr>
                <w:b/>
                <w:sz w:val="17"/>
              </w:rPr>
              <w:t>16,427</w:t>
            </w:r>
          </w:p>
        </w:tc>
        <w:tc>
          <w:tcPr>
            <w:tcW w:type="dxa" w:w="1440"/>
            <w:shd w:fill="FFDCE0" w:val="clear"/>
          </w:tcPr>
          <w:p>
            <w:r>
              <w:rPr>
                <w:sz w:val="17"/>
              </w:rPr>
              <w:t>17,180</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15,582</w:t>
            </w:r>
          </w:p>
        </w:tc>
        <w:tc>
          <w:tcPr>
            <w:tcW w:type="dxa" w:w="1440"/>
            <w:shd w:fill="FFDCE0" w:val="clear"/>
          </w:tcPr>
          <w:p>
            <w:r>
              <w:rPr>
                <w:b/>
                <w:sz w:val="17"/>
              </w:rPr>
              <w:t>16,379</w:t>
            </w:r>
          </w:p>
        </w:tc>
        <w:tc>
          <w:tcPr>
            <w:tcW w:type="dxa" w:w="1440"/>
            <w:shd w:fill="FFDCE0" w:val="clear"/>
          </w:tcPr>
          <w:p>
            <w:r>
              <w:rPr>
                <w:sz w:val="17"/>
              </w:rPr>
              <w:t>17,176</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15,494</w:t>
            </w:r>
          </w:p>
        </w:tc>
        <w:tc>
          <w:tcPr>
            <w:tcW w:type="dxa" w:w="1440"/>
            <w:shd w:fill="FFDCE0" w:val="clear"/>
          </w:tcPr>
          <w:p>
            <w:r>
              <w:rPr>
                <w:b/>
                <w:sz w:val="17"/>
              </w:rPr>
              <w:t>16,332</w:t>
            </w:r>
          </w:p>
        </w:tc>
        <w:tc>
          <w:tcPr>
            <w:tcW w:type="dxa" w:w="1440"/>
            <w:shd w:fill="FFDCE0" w:val="clear"/>
          </w:tcPr>
          <w:p>
            <w:r>
              <w:rPr>
                <w:sz w:val="17"/>
              </w:rPr>
              <w:t>17,170</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 26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**372,99 milliards FCFA**, ce qui en fait l'une des plus importantes capitalisations de la BRVM, reflétant le statut de valeur de premier plan du titre. Avec un **BPA de 835 FCFA**, le **PER de 20,2x** est nettement supérieur à la moyenne historique du marché (8-12x), indiquant que les investisseurs intègrent des perspectives de croissance soutenue dans leur valorisation. Le **P/B de 12,61x** confirme cette prime, le marché valorisant le titre bien au-delà de sa valeur comptable, signe d'une forte confiance dans la capacité de l'entreprise à générer de la valeur. Enfin, l'**EV/EBITDA de 10,0x** se situe dans la fourchette haute des valeurs raisonnables, suggérant une valorisation exigeante mais justifiable par la solidité opérationnelle de la société.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**progression spectaculaire de +32,03%**, passant d'un plus bas de 11 150 FCFA à un plus haut de 17 450 FCFA, pour clôturer à 16 900 FCFA lors de la dernière séance, stable par rapport à la veille. La **moyenne de 14 391 FCFA** est inférieure à la **médiane de 14 922 FCFA**, indiquant une distribution légèrement asymétrique avec une concentration des cours vers le haut de la fourchette. L'**écart-type de 2 035 FCFA** (CV de 14,1%) révèle une dispersion modérée des cours autour de la moyenne. Le **kurtosis de -1,630** (platykurtique) suggère une distribution aplatie avec peu de valeurs extrêmes, tandis que le **skewness de -0,029** confirme une symétrie quasi parfaite. La **volatilité annualisée de 33,9%** classe le titre dans la catégorie des valeurs à forte volatilité, ce qui implique un risque de variation important mais aussi un potentiel de rendement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16 900 FCFA se positionne au-dessus de la MM20 (16 903,5 FCFA) et nettement au-dessus de la MM50 (16 222,6 FCFA), confirmant une tendance haussière de moyen terme. La configuration des moyennes mobiles, avec la MM20 au-dessus de la MM50, valide la dynamique positive et justifie la décision d'**Achat**.</w:t>
      </w:r>
    </w:p>
    <w:p>
      <w:pPr>
        <w:spacing w:after="120" w:line="276" w:lineRule="auto"/>
      </w:pPr>
      <w:r>
        <w:t>**Bandes de Bollinger :** Le prix se situe à 16 900 FCFA, entre la borne supérieure (17 605,91 FCFA) et la borne inférieure (16 201,09 FCFA), proche de la moyenne. Cette position indique une volatilité modérée sans excès, le cours évoluant dans un canal normal. La décision est **Neutre**, le titre n'étant ni suracheté ni survendu selon cet indicateur.</w:t>
      </w:r>
    </w:p>
    <w:p>
      <w:pPr>
        <w:spacing w:after="120" w:line="276" w:lineRule="auto"/>
      </w:pPr>
      <w:r>
        <w:t>**MACD :** La valeur du MACD (270,707) est inférieure à son signal (349,387), générant une décision de **Vente**. Cette configuration suggère un ralentissement du momentum haussier à court terme, bien que les valeurs restent positives, indiquant que la tendance de fond demeure haussière.</w:t>
      </w:r>
    </w:p>
    <w:p>
      <w:pPr>
        <w:spacing w:after="120" w:line="276" w:lineRule="auto"/>
      </w:pPr>
      <w:r>
        <w:t>**RSI :** Le RSI de 56,211 se situe dans la zone neutre (30-70), indiquant un équilibre entre pression acheteuse et vendeuse. Cette valeur ne signale ni surachat ni survente, laissant place à une poursuite de la tendance. La décision est **Neutre**.</w:t>
      </w:r>
    </w:p>
    <w:p>
      <w:pPr>
        <w:spacing w:after="120" w:line="276" w:lineRule="auto"/>
      </w:pPr>
      <w:r>
        <w:t>**Stochastique :** Le %K (35,673) est inférieur au %D (40,448), suggérant une dynamique baissière à court terme. Cependant, les valeurs restent dans la zone neutre, sans signal extrême. La décision est **Neutre**.</w:t>
      </w:r>
    </w:p>
    <w:p>
      <w:pPr>
        <w:spacing w:after="120" w:line="276" w:lineRule="auto"/>
      </w:pPr>
      <w:r>
        <w:t>**Conclusion technique :** Les indicateurs présentent un tableau contrasté. Les moyennes mobiles confirment la tendance haussière de fond, tandis que le MACD et le Stochastique signalent un essoufflement à court terme. Le RSI et les Bandes de Bollinger restent neutres. Cette configuration suggère une consolidation avant une éventuelle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Nestlé Côte d'Ivoire a réalisé un **chiffre d'affaires de 233,26 milliards FCFA**, en croissance de **+5,97%** par rapport à 2024 (220,11 milliards FCFA). Le **résultat net s'établit à 18,43 milliards FCFA**, en légère progression de +1,53% par rapport à 2024 (18,15 milliards FCFA). La **marge nette** reste stable à **7,9%**, tandis que le **ROE atteint 62,28%** et le **ROA 9,70%**, démontrant une excellente rentabilité des fonds propres et une utilisation efficace des actifs. Le **BFR de 22,63 milliards FCFA** est positif, avec un **délai clients de 74,3 jours** et une **durée de stockage de 59,4 jours**, indiquant une immobilisation de trésorerie dans le cycle d'exploitation. L'**endettement total de 40,2 milliards FCFA** représente un ratio d'endettement de 135,85%, avec une **autonomie financière de 15,58%**, inférieure au seuil de 30% considéré comme sain. Le **rapport T1 2026** (daté du 31 mars 2026) montre une **accélération spectaculaire** avec un chiffre d'affaires de 70,82 milliards FCFA (+31%) et un résultat net de 7,53 milliards FCFA (+37%), avec une marge nette améliorée à 10,6%. Sur la base de ce trimestre exceptionnel, on peut **estimer** que l'exercice 2026 devrait dépasser 280 milliards FCFA de chiffre d'affaires et 30 milliards FCFA de résultat net, soit une croissance de plus de 20% par rapport à 2025. Le **rapport S1 2025** (daté de juin 2025) montrait une stagnation du CA à 116,44 milliards FCFA et une baisse du résultat net de -23,5%, illustrant les pressions sur les marges en début d'année 2025. Le **rapport 9 mois 2025** (daté de septembre 2025) confirmait une reprise modérée avec un CA de 173,41 milliards FCFA (+1,36%) mais un résultat net en baisse de -21,3%. La **politique de dividende** a radicalement changé : le dividende proposé pour 2025 est de **9,27 milliards FCFA** (payout ratio de 50,3%), contre 18,10 milliards FCFA en 2024 (99,7%), traduisant une stratégie de réinvestissement des bénéfices. La recommandation fondamentale est **ACHAT**, portée par la dynamique exceptionnelle du T1 2026 et la solidité du modèle économique, malgré les risques liés à l'endettement et aux coûts des matières premières.</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une **valorisation exigeante** (PER de 20,2x, P/B de 12,61x) mais justifiée par la qualité des fondamentaux et les perspectives de croissance. Le **comportement du cours** est très positif avec une hausse de 32% sur 100 jours, soutenue par une volatilité élevée (33,9%) qui offre des opportunités mais implique un risque de correction. Les **signaux techniques** sont mitigés : la tendance de fond reste haussière (MM20 &gt; MM50) mais les indicateurs de momentum (MACD, Stochastique) suggèrent une consolidation à court terme. Les **fondamentaux** sont solides avec un ROE exceptionnel de 62,28%, une croissance du CA de +5,97% en 2025 et une accélération spectaculaire au T1 2026 (+31% de CA, +37% de résultat net). Les **prédictions IA** pour les 10 prochains jours (16 787 à 16 576 FCFA) indiquent une légère correction de -1,9%, confirmant la phase de consolidation technique. La convergence entre la solidité fondamentale, la tendance haussière de moyen terme et la correction technique à court terme conduit à une recommandation de **CONSERVER** avec un niveau de confiance **Moyen** et un risque global **Moyen**. L'horizon d'investissement optimal est le **moyen terme (3-12 mois)**, permettant de capter la croissance attendue de l'exercice 2026 tout en absorbant la volatilité à court terme. Les investisseurs pourront renforcer leur position lors d'une éventuelle correction vers les 16 000-16 200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196.18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4,779 titres</w:t>
            </w:r>
          </w:p>
        </w:tc>
        <w:tc>
          <w:tcPr>
            <w:tcW w:type="dxa" w:w="2268"/>
            <w:shd w:fill="FFF2CC" w:val="clear"/>
          </w:tcPr>
          <w:p>
            <w:r>
              <w:rPr>
                <w:b/>
                <w:color w:val="503200"/>
                <w:sz w:val="16"/>
              </w:rPr>
              <w:t xml:space="preserve">Cours actuel : </w:t>
            </w:r>
            <w:r>
              <w:rPr>
                <w:color w:val="000000"/>
                <w:sz w:val="17"/>
              </w:rPr>
              <w:t>2,885 FCFA</w:t>
            </w:r>
          </w:p>
          <w:p>
            <w:r>
              <w:rPr>
                <w:b/>
                <w:color w:val="503200"/>
                <w:sz w:val="16"/>
              </w:rPr>
              <w:t xml:space="preserve">Var. 100 jours : </w:t>
            </w:r>
            <w:r>
              <w:rPr>
                <w:b/>
                <w:color w:val="B40000"/>
                <w:sz w:val="17"/>
              </w:rPr>
              <w:t>-2.20%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3.07% (Faible) — μ=2,822 FCFA, σ=87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β=0.3384 (Défensif) — Cov=0.000011, Var(idx)=0.000033, ρ=0.100,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2,789</w:t>
            </w:r>
          </w:p>
        </w:tc>
        <w:tc>
          <w:tcPr>
            <w:tcW w:type="dxa" w:w="1440"/>
            <w:shd w:fill="FAFAFA" w:val="clear"/>
          </w:tcPr>
          <w:p>
            <w:r>
              <w:rPr>
                <w:b/>
                <w:sz w:val="17"/>
              </w:rPr>
              <w:t>2,878</w:t>
            </w:r>
          </w:p>
        </w:tc>
        <w:tc>
          <w:tcPr>
            <w:tcW w:type="dxa" w:w="1440"/>
            <w:shd w:fill="FAFAFA" w:val="clear"/>
          </w:tcPr>
          <w:p>
            <w:r>
              <w:rPr>
                <w:sz w:val="17"/>
              </w:rPr>
              <w:t>2,968</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2,747</w:t>
            </w:r>
          </w:p>
        </w:tc>
        <w:tc>
          <w:tcPr>
            <w:tcW w:type="dxa" w:w="1440"/>
            <w:shd w:fill="FAFAFA" w:val="clear"/>
          </w:tcPr>
          <w:p>
            <w:r>
              <w:rPr>
                <w:b/>
                <w:sz w:val="17"/>
              </w:rPr>
              <w:t>2,872</w:t>
            </w:r>
          </w:p>
        </w:tc>
        <w:tc>
          <w:tcPr>
            <w:tcW w:type="dxa" w:w="1440"/>
            <w:shd w:fill="FAFAFA" w:val="clear"/>
          </w:tcPr>
          <w:p>
            <w:r>
              <w:rPr>
                <w:sz w:val="17"/>
              </w:rPr>
              <w:t>2,998</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2,713</w:t>
            </w:r>
          </w:p>
        </w:tc>
        <w:tc>
          <w:tcPr>
            <w:tcW w:type="dxa" w:w="1440"/>
            <w:shd w:fill="FAFAFA" w:val="clear"/>
          </w:tcPr>
          <w:p>
            <w:r>
              <w:rPr>
                <w:b/>
                <w:sz w:val="17"/>
              </w:rPr>
              <w:t>2,867</w:t>
            </w:r>
          </w:p>
        </w:tc>
        <w:tc>
          <w:tcPr>
            <w:tcW w:type="dxa" w:w="1440"/>
            <w:shd w:fill="FAFAFA" w:val="clear"/>
          </w:tcPr>
          <w:p>
            <w:r>
              <w:rPr>
                <w:sz w:val="17"/>
              </w:rPr>
              <w:t>3,020</w:t>
            </w:r>
          </w:p>
        </w:tc>
        <w:tc>
          <w:tcPr>
            <w:tcW w:type="dxa" w:w="1440"/>
            <w:shd w:fill="FAFAFA" w:val="clear"/>
          </w:tcPr>
          <w:p>
            <w:r>
              <w:rPr>
                <w:b/>
                <w:color w:val="C00000"/>
                <w:sz w:val="17"/>
              </w:rPr>
              <w:t>-0.6%</w:t>
            </w:r>
          </w:p>
        </w:tc>
      </w:tr>
      <w:tr>
        <w:tc>
          <w:tcPr>
            <w:tcW w:type="dxa" w:w="1440"/>
            <w:shd w:fill="FAFAFA" w:val="clear"/>
          </w:tcPr>
          <w:p>
            <w:r>
              <w:rPr>
                <w:sz w:val="17"/>
              </w:rPr>
              <w:t>J+4  Moyenne</w:t>
            </w:r>
          </w:p>
        </w:tc>
        <w:tc>
          <w:tcPr>
            <w:tcW w:type="dxa" w:w="1440"/>
            <w:shd w:fill="FAFAFA" w:val="clear"/>
          </w:tcPr>
          <w:p>
            <w:r>
              <w:rPr>
                <w:sz w:val="17"/>
              </w:rPr>
              <w:t>2026-09-01</w:t>
            </w:r>
          </w:p>
        </w:tc>
        <w:tc>
          <w:tcPr>
            <w:tcW w:type="dxa" w:w="1440"/>
            <w:shd w:fill="FAFAFA" w:val="clear"/>
          </w:tcPr>
          <w:p>
            <w:r>
              <w:rPr>
                <w:sz w:val="17"/>
              </w:rPr>
              <w:t>2,684</w:t>
            </w:r>
          </w:p>
        </w:tc>
        <w:tc>
          <w:tcPr>
            <w:tcW w:type="dxa" w:w="1440"/>
            <w:shd w:fill="FAFAFA" w:val="clear"/>
          </w:tcPr>
          <w:p>
            <w:r>
              <w:rPr>
                <w:b/>
                <w:sz w:val="17"/>
              </w:rPr>
              <w:t>2,861</w:t>
            </w:r>
          </w:p>
        </w:tc>
        <w:tc>
          <w:tcPr>
            <w:tcW w:type="dxa" w:w="1440"/>
            <w:shd w:fill="FAFAFA" w:val="clear"/>
          </w:tcPr>
          <w:p>
            <w:r>
              <w:rPr>
                <w:sz w:val="17"/>
              </w:rPr>
              <w:t>3,038</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2026-09-02</w:t>
            </w:r>
          </w:p>
        </w:tc>
        <w:tc>
          <w:tcPr>
            <w:tcW w:type="dxa" w:w="1440"/>
            <w:shd w:fill="FAFAFA" w:val="clear"/>
          </w:tcPr>
          <w:p>
            <w:r>
              <w:rPr>
                <w:sz w:val="17"/>
              </w:rPr>
              <w:t>2,658</w:t>
            </w:r>
          </w:p>
        </w:tc>
        <w:tc>
          <w:tcPr>
            <w:tcW w:type="dxa" w:w="1440"/>
            <w:shd w:fill="FAFAFA" w:val="clear"/>
          </w:tcPr>
          <w:p>
            <w:r>
              <w:rPr>
                <w:b/>
                <w:sz w:val="17"/>
              </w:rPr>
              <w:t>2,855</w:t>
            </w:r>
          </w:p>
        </w:tc>
        <w:tc>
          <w:tcPr>
            <w:tcW w:type="dxa" w:w="1440"/>
            <w:shd w:fill="FAFAFA" w:val="clear"/>
          </w:tcPr>
          <w:p>
            <w:r>
              <w:rPr>
                <w:sz w:val="17"/>
              </w:rPr>
              <w:t>3,053</w:t>
            </w:r>
          </w:p>
        </w:tc>
        <w:tc>
          <w:tcPr>
            <w:tcW w:type="dxa" w:w="1440"/>
            <w:shd w:fill="FAFAFA" w:val="clear"/>
          </w:tcPr>
          <w:p>
            <w:r>
              <w:rPr>
                <w:b/>
                <w:color w:val="C00000"/>
                <w:sz w:val="17"/>
              </w:rPr>
              <w:t>-1.0%</w:t>
            </w:r>
          </w:p>
        </w:tc>
      </w:tr>
      <w:tr>
        <w:tc>
          <w:tcPr>
            <w:tcW w:type="dxa" w:w="1440"/>
            <w:shd w:fill="FAFAFA" w:val="clear"/>
          </w:tcPr>
          <w:p>
            <w:r>
              <w:rPr>
                <w:sz w:val="17"/>
              </w:rPr>
              <w:t>J+6  Moyenne</w:t>
            </w:r>
          </w:p>
        </w:tc>
        <w:tc>
          <w:tcPr>
            <w:tcW w:type="dxa" w:w="1440"/>
            <w:shd w:fill="FAFAFA" w:val="clear"/>
          </w:tcPr>
          <w:p>
            <w:r>
              <w:rPr>
                <w:sz w:val="17"/>
              </w:rPr>
              <w:t>2026-09-03</w:t>
            </w:r>
          </w:p>
        </w:tc>
        <w:tc>
          <w:tcPr>
            <w:tcW w:type="dxa" w:w="1440"/>
            <w:shd w:fill="FAFAFA" w:val="clear"/>
          </w:tcPr>
          <w:p>
            <w:r>
              <w:rPr>
                <w:sz w:val="17"/>
              </w:rPr>
              <w:t>2,634</w:t>
            </w:r>
          </w:p>
        </w:tc>
        <w:tc>
          <w:tcPr>
            <w:tcW w:type="dxa" w:w="1440"/>
            <w:shd w:fill="FAFAFA" w:val="clear"/>
          </w:tcPr>
          <w:p>
            <w:r>
              <w:rPr>
                <w:b/>
                <w:sz w:val="17"/>
              </w:rPr>
              <w:t>2,850</w:t>
            </w:r>
          </w:p>
        </w:tc>
        <w:tc>
          <w:tcPr>
            <w:tcW w:type="dxa" w:w="1440"/>
            <w:shd w:fill="FAFAFA" w:val="clear"/>
          </w:tcPr>
          <w:p>
            <w:r>
              <w:rPr>
                <w:sz w:val="17"/>
              </w:rPr>
              <w:t>3,066</w:t>
            </w:r>
          </w:p>
        </w:tc>
        <w:tc>
          <w:tcPr>
            <w:tcW w:type="dxa" w:w="1440"/>
            <w:shd w:fill="FAFAFA" w:val="clear"/>
          </w:tcPr>
          <w:p>
            <w:r>
              <w:rPr>
                <w:b/>
                <w:color w:val="C00000"/>
                <w:sz w:val="17"/>
              </w:rPr>
              <w:t>-1.2%</w:t>
            </w:r>
          </w:p>
        </w:tc>
      </w:tr>
      <w:tr>
        <w:tc>
          <w:tcPr>
            <w:tcW w:type="dxa" w:w="1440"/>
            <w:shd w:fill="FAFAFA" w:val="clear"/>
          </w:tcPr>
          <w:p>
            <w:r>
              <w:rPr>
                <w:sz w:val="17"/>
              </w:rPr>
              <w:t>J+7  Moyenne</w:t>
            </w:r>
          </w:p>
        </w:tc>
        <w:tc>
          <w:tcPr>
            <w:tcW w:type="dxa" w:w="1440"/>
            <w:shd w:fill="FAFAFA" w:val="clear"/>
          </w:tcPr>
          <w:p>
            <w:r>
              <w:rPr>
                <w:sz w:val="17"/>
              </w:rPr>
              <w:t>2026-09-04</w:t>
            </w:r>
          </w:p>
        </w:tc>
        <w:tc>
          <w:tcPr>
            <w:tcW w:type="dxa" w:w="1440"/>
            <w:shd w:fill="FAFAFA" w:val="clear"/>
          </w:tcPr>
          <w:p>
            <w:r>
              <w:rPr>
                <w:sz w:val="17"/>
              </w:rPr>
              <w:t>2,612</w:t>
            </w:r>
          </w:p>
        </w:tc>
        <w:tc>
          <w:tcPr>
            <w:tcW w:type="dxa" w:w="1440"/>
            <w:shd w:fill="FAFAFA" w:val="clear"/>
          </w:tcPr>
          <w:p>
            <w:r>
              <w:rPr>
                <w:b/>
                <w:sz w:val="17"/>
              </w:rPr>
              <w:t>2,844</w:t>
            </w:r>
          </w:p>
        </w:tc>
        <w:tc>
          <w:tcPr>
            <w:tcW w:type="dxa" w:w="1440"/>
            <w:shd w:fill="FAFAFA" w:val="clear"/>
          </w:tcPr>
          <w:p>
            <w:r>
              <w:rPr>
                <w:sz w:val="17"/>
              </w:rPr>
              <w:t>3,077</w:t>
            </w:r>
          </w:p>
        </w:tc>
        <w:tc>
          <w:tcPr>
            <w:tcW w:type="dxa" w:w="1440"/>
            <w:shd w:fill="FAFAFA" w:val="clear"/>
          </w:tcPr>
          <w:p>
            <w:r>
              <w:rPr>
                <w:b/>
                <w:color w:val="C00000"/>
                <w:sz w:val="17"/>
              </w:rPr>
              <w:t>-1.4%</w:t>
            </w:r>
          </w:p>
        </w:tc>
      </w:tr>
      <w:tr>
        <w:tc>
          <w:tcPr>
            <w:tcW w:type="dxa" w:w="1440"/>
            <w:shd w:fill="FAFAFA" w:val="clear"/>
          </w:tcPr>
          <w:p>
            <w:r>
              <w:rPr>
                <w:sz w:val="17"/>
              </w:rPr>
              <w:t>J+8  Moyenne</w:t>
            </w:r>
          </w:p>
        </w:tc>
        <w:tc>
          <w:tcPr>
            <w:tcW w:type="dxa" w:w="1440"/>
            <w:shd w:fill="FAFAFA" w:val="clear"/>
          </w:tcPr>
          <w:p>
            <w:r>
              <w:rPr>
                <w:sz w:val="17"/>
              </w:rPr>
              <w:t>2026-09-07</w:t>
            </w:r>
          </w:p>
        </w:tc>
        <w:tc>
          <w:tcPr>
            <w:tcW w:type="dxa" w:w="1440"/>
            <w:shd w:fill="FAFAFA" w:val="clear"/>
          </w:tcPr>
          <w:p>
            <w:r>
              <w:rPr>
                <w:sz w:val="17"/>
              </w:rPr>
              <w:t>2,590</w:t>
            </w:r>
          </w:p>
        </w:tc>
        <w:tc>
          <w:tcPr>
            <w:tcW w:type="dxa" w:w="1440"/>
            <w:shd w:fill="FAFAFA" w:val="clear"/>
          </w:tcPr>
          <w:p>
            <w:r>
              <w:rPr>
                <w:b/>
                <w:sz w:val="17"/>
              </w:rPr>
              <w:t>2,839</w:t>
            </w:r>
          </w:p>
        </w:tc>
        <w:tc>
          <w:tcPr>
            <w:tcW w:type="dxa" w:w="1440"/>
            <w:shd w:fill="FAFAFA" w:val="clear"/>
          </w:tcPr>
          <w:p>
            <w:r>
              <w:rPr>
                <w:sz w:val="17"/>
              </w:rPr>
              <w:t>3,087</w:t>
            </w:r>
          </w:p>
        </w:tc>
        <w:tc>
          <w:tcPr>
            <w:tcW w:type="dxa" w:w="1440"/>
            <w:shd w:fill="FAFAFA" w:val="clear"/>
          </w:tcPr>
          <w:p>
            <w:r>
              <w:rPr>
                <w:b/>
                <w:color w:val="C00000"/>
                <w:sz w:val="17"/>
              </w:rPr>
              <w:t>-1.6%</w:t>
            </w:r>
          </w:p>
        </w:tc>
      </w:tr>
      <w:tr>
        <w:tc>
          <w:tcPr>
            <w:tcW w:type="dxa" w:w="1440"/>
            <w:shd w:fill="FAFAFA" w:val="clear"/>
          </w:tcPr>
          <w:p>
            <w:r>
              <w:rPr>
                <w:sz w:val="17"/>
              </w:rPr>
              <w:t>J+9  Moyenne</w:t>
            </w:r>
          </w:p>
        </w:tc>
        <w:tc>
          <w:tcPr>
            <w:tcW w:type="dxa" w:w="1440"/>
            <w:shd w:fill="FAFAFA" w:val="clear"/>
          </w:tcPr>
          <w:p>
            <w:r>
              <w:rPr>
                <w:sz w:val="17"/>
              </w:rPr>
              <w:t>2026-09-08</w:t>
            </w:r>
          </w:p>
        </w:tc>
        <w:tc>
          <w:tcPr>
            <w:tcW w:type="dxa" w:w="1440"/>
            <w:shd w:fill="FAFAFA" w:val="clear"/>
          </w:tcPr>
          <w:p>
            <w:r>
              <w:rPr>
                <w:sz w:val="17"/>
              </w:rPr>
              <w:t>2,571</w:t>
            </w:r>
          </w:p>
        </w:tc>
        <w:tc>
          <w:tcPr>
            <w:tcW w:type="dxa" w:w="1440"/>
            <w:shd w:fill="FAFAFA" w:val="clear"/>
          </w:tcPr>
          <w:p>
            <w:r>
              <w:rPr>
                <w:b/>
                <w:sz w:val="17"/>
              </w:rPr>
              <w:t>2,833</w:t>
            </w:r>
          </w:p>
        </w:tc>
        <w:tc>
          <w:tcPr>
            <w:tcW w:type="dxa" w:w="1440"/>
            <w:shd w:fill="FAFAFA" w:val="clear"/>
          </w:tcPr>
          <w:p>
            <w:r>
              <w:rPr>
                <w:sz w:val="17"/>
              </w:rPr>
              <w:t>3,096</w:t>
            </w:r>
          </w:p>
        </w:tc>
        <w:tc>
          <w:tcPr>
            <w:tcW w:type="dxa" w:w="1440"/>
            <w:shd w:fill="FAFAFA" w:val="clear"/>
          </w:tcPr>
          <w:p>
            <w:r>
              <w:rPr>
                <w:b/>
                <w:color w:val="C00000"/>
                <w:sz w:val="17"/>
              </w:rPr>
              <w:t>-1.8%</w:t>
            </w:r>
          </w:p>
        </w:tc>
      </w:tr>
      <w:tr>
        <w:tc>
          <w:tcPr>
            <w:tcW w:type="dxa" w:w="1440"/>
            <w:shd w:fill="FAFAFA" w:val="clear"/>
          </w:tcPr>
          <w:p>
            <w:r>
              <w:rPr>
                <w:sz w:val="17"/>
              </w:rPr>
              <w:t>J+10  Moyenne</w:t>
            </w:r>
          </w:p>
        </w:tc>
        <w:tc>
          <w:tcPr>
            <w:tcW w:type="dxa" w:w="1440"/>
            <w:shd w:fill="FAFAFA" w:val="clear"/>
          </w:tcPr>
          <w:p>
            <w:r>
              <w:rPr>
                <w:sz w:val="17"/>
              </w:rPr>
              <w:t>2026-09-09</w:t>
            </w:r>
          </w:p>
        </w:tc>
        <w:tc>
          <w:tcPr>
            <w:tcW w:type="dxa" w:w="1440"/>
            <w:shd w:fill="FAFAFA" w:val="clear"/>
          </w:tcPr>
          <w:p>
            <w:r>
              <w:rPr>
                <w:sz w:val="17"/>
              </w:rPr>
              <w:t>2,552</w:t>
            </w:r>
          </w:p>
        </w:tc>
        <w:tc>
          <w:tcPr>
            <w:tcW w:type="dxa" w:w="1440"/>
            <w:shd w:fill="FAFAFA" w:val="clear"/>
          </w:tcPr>
          <w:p>
            <w:r>
              <w:rPr>
                <w:b/>
                <w:sz w:val="17"/>
              </w:rPr>
              <w:t>2,828</w:t>
            </w:r>
          </w:p>
        </w:tc>
        <w:tc>
          <w:tcPr>
            <w:tcW w:type="dxa" w:w="1440"/>
            <w:shd w:fill="FAFAFA" w:val="clear"/>
          </w:tcPr>
          <w:p>
            <w:r>
              <w:rPr>
                <w:sz w:val="17"/>
              </w:rPr>
              <w:t>3,105</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26 août 2026</w:t>
        <w:br/>
        <w:t>**Cours de référence :** 2 885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196,18 milliards FCFA positionne ONTBF parmi les valeurs moyennes à grandes capitalisations de la BRVM, reflétant son statut d'opérateur historique et leader sur le marché burkinabè. Avec un BPA de 234 FCFA, chaque action génère un bénéfice substantiel, justifiant un PER de 12,3x, légèrement au-dessus de la moyenne historique de la place (~8-12x), ce qui indique que le marché accorde une prime de croissance ou de stabilité à l'entreprise. Le P/B de 3,41x confirme cette prime, le marché valorisant le titre bien au-dessus de sa valeur comptable (2-4x), signe de confiance dans la rentabilité future des actifs. Enfin, un EV/EBITDA de 5,2x est particulièrement attractif, suggérant que la valeur totale de l'entreprise (dette incluse) reste raisonnable par rapport à sa capacité opérationnelle de génération de cash, offrant ainsi une marge de sécurité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légère baisse de -2,20%, avec une dernière séance en repli de -0,17%, s'établissant à 2 885 FCFA. Le cours a évolué dans un range de 2 610 FCFA (plus bas) à 3 070 FCFA (plus haut), montrant une amplitude de trading de 460 FCFA. La moyenne (2 822 FCFA) et la médiane (2 802 FCFA) étant très proches, la distribution des prix est quasi symétrique, ce que confirme un skewness de 0.216. L'écart-type de 87 FCFA (CV de 3,1%) indique une dispersion très faible autour de la moyenne, signe d'un marché calme et stable. Le kurtosis de -0.263 (mésokurtique) suggère l'absence de mouvements extrêmes ou de pics de volatilité soudains. La volatilité annualisée de 30,9% positionne le titre dans la catégorie "élevée" (&gt;30%), mais cette statistique contraste avec la stabilité récente du cours, indiquant potentiellement des épisodes de tension passés.</w:t>
      </w:r>
    </w:p>
    <w:p>
      <w:pPr>
        <w:spacing w:after="120" w:line="276" w:lineRule="auto"/>
      </w:pPr>
      <w:r>
        <w:t>---</w:t>
      </w:r>
    </w:p>
    <w:p>
      <w:pPr>
        <w:spacing w:after="120" w:line="276" w:lineRule="auto"/>
      </w:pPr>
      <w:r>
        <w:t>### PARTIE 2 : ANALYSE TECHNIQUE DÉTAILLÉE</w:t>
      </w:r>
    </w:p>
    <w:p>
      <w:pPr>
        <w:spacing w:after="120" w:line="276" w:lineRule="auto"/>
      </w:pPr>
      <w:r>
        <w:t>**Moyennes Mobiles :** La MM20 (2 898 FCFA) est supérieure à la MM50 (2 823,7 FCFA), et le cours actuel (2 885 FCFA) se situe sous la MM20 mais au-dessus de la MM50. Cette configuration en "croisement baissier" à court terme, mais avec un support à moyen terme, justifie la décision d'**Achat** signalée, car la tendance de fond reste positive malgré un léger repli immédiat.</w:t>
      </w:r>
    </w:p>
    <w:p>
      <w:pPr>
        <w:spacing w:after="120" w:line="276" w:lineRule="auto"/>
      </w:pPr>
      <w:r>
        <w:t>**Bandes de Bollinger :** Le prix (2 885 FCFA) se positionne entre la borne inférieure (2 772,9 FCFA) et la borne supérieure (3 023,1 FCFA), proche de la moyenne. La largeur des bandes est modérée, indiquant une volatilité normale. La décision **Neutre** est cohérente : le titre n'est ni suracheté ni survendu, évoluant dans une zone de consolidation.</w:t>
      </w:r>
    </w:p>
    <w:p>
      <w:pPr>
        <w:spacing w:after="120" w:line="276" w:lineRule="auto"/>
      </w:pPr>
      <w:r>
        <w:t>**MACD :** La valeur du MACD (20,4) est inférieure à son signal (24,0), formant une divergence baissière. Le momentum semble s'essouffler à court terme, ce qui justifie la décision de **Vente**. Cependant, les deux indicateurs restent en territoire positif, ce qui nuance ce signal, suggérant une correction technique plutôt qu'un retournement de tendance majeur.</w:t>
      </w:r>
    </w:p>
    <w:p>
      <w:pPr>
        <w:spacing w:after="120" w:line="276" w:lineRule="auto"/>
      </w:pPr>
      <w:r>
        <w:t>**RSI :** À 43,82, le RSI se situe en zone neutre (entre 30 et 70), indiquant que le titre n'est ni suracheté ni survendu. Il n'y a pas de pression d'achat ou de vente excessive. La décision **Neutre** est appropriée, laissant place à une évolution directionnelle sans contrainte technique forte.</w:t>
      </w:r>
    </w:p>
    <w:p>
      <w:pPr>
        <w:spacing w:after="120" w:line="276" w:lineRule="auto"/>
      </w:pPr>
      <w:r>
        <w:t>**Stochastique :** Les valeurs de %K (45,9) et %D (46,4) sont très proches et en zone neutre, sans croisement significatif. Cela reflète une absence de dynamique claire, cohérente avec la décision **Neutre**. Le marché attend un catalyseur pour définir une direction.</w:t>
      </w:r>
    </w:p>
    <w:p>
      <w:pPr>
        <w:spacing w:after="120" w:line="276" w:lineRule="auto"/>
      </w:pPr>
      <w:r>
        <w:t>**Conclusion technique :** La synthèse des indicateurs est mitigée. Les moyennes mobiles suggèrent une tendance de fond positive, mais le MACD et la position sous la MM20 indiquent un essoufflement à court terme. Les oscillateurs (RSI, Stochastique) sont neutres, ne fournissant pas de signal directionnel fort. Le titre semble donc dans une phase de consolidation, avec un biais légèrement positif à moyen terme.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ONTBF a réalisé un chiffre d'affaires (PNB) de 146,177 milliards FCFA, en croissance de +3,06% par rapport à 2024. Le résultat net s'établit à 15,887 milliards FCFA, en baisse significative de -26% par rapport à 2024 (21,47 Mds FCFA). Cette dégradation de la rentabilité est confirmée par la marge nette qui passe de 15,1% à 10,87%. Le ROE reste excellent à 27,61% (bien au-dessus du seuil de 15%), et le ROA est de 4,89%. Le coefficient d'exploitation de 67,07% indique une efficacité opérationnelle perfectible (au-dessus du seuil de 60%). Le coût du risque est élevé à 3,57%, reflétant un risque de crédit significatif. Les rapports narratifs (datés de 2025 et 2026) confirment cette tendance : le T1 2025 montrait déjà une baisse de -29% du résultat net, et le S1 2025 une baisse de -17,8%. Les rapports de 2026 indiquent une stabilisation au T1 2026 avec un résultat net de 3,577 Mds FCFA (marge nette de 9,6%), et un EBITDA maintenu à 41,3%. Sur la base de ces rapports trimestriels, on estime que l'exercice 2026 pourrait voir une stabilisation ou une légère amélioration de la rentabilité, mais à des niveaux inférieurs à ceux de 2024. La structure financière montre une dépendance aux dettes (82,29%), avec un ratio d'endettement élevé (186,99%), mais une solvabilité générale correcte (121,52%). La génération de cash-flow opérationnel reste très forte (46,95 Mds FCFA de CAF), permettant de financer un lourd programme d'investissements (-45,2 Mds FCFA). En conclusion, la solidité financière et la capacité de génération de cash sont réelles, mais la pression sur les marges et l'endettement croissant sont des points de vigilance majeurs.</w:t>
      </w:r>
    </w:p>
    <w:p>
      <w:pPr>
        <w:spacing w:after="120" w:line="276" w:lineRule="auto"/>
      </w:pPr>
      <w:r>
        <w:t>---</w:t>
      </w:r>
    </w:p>
    <w:p>
      <w:pPr>
        <w:spacing w:after="120" w:line="276" w:lineRule="auto"/>
      </w:pPr>
      <w:r>
        <w:t>### PARTIE 4 : CONCLUSION D'INVESTISSEMENT</w:t>
      </w:r>
    </w:p>
    <w:p>
      <w:pPr>
        <w:spacing w:after="120" w:line="276" w:lineRule="auto"/>
      </w:pPr>
      <w:r>
        <w:t>La valorisation d'ONTBF (PER 12,3x, P/B 3,41x) est modérée, avec un EV/EBITDA très attractif, indiquant que le marché ne surévalue pas le titre malgré une prime par rapport à la moyenne BRVM. Le comportement du cours sur 100 jours est stable et symétrique, avec une volatilité annualisée élevée mais une dispersion récente faible, suggérant un marché calme. Les signaux techniques sont mitigés (tendance positive à moyen terme, mais momentum court terme négatif et oscillateurs neutres), reflétant une phase de consolidation. Les fondamentaux montrent une entreprise solide, très rentable (ROE &gt;27%), générant un cash-flow abondant, mais confrontée à une baisse de sa rentabilité nette (-26% en 2025) due à des charges opérationnelles et un contexte sécuritaire difficiles. Les prédictions IA pour les 10 prochains jours (de 2 878 à 2 855 FCFA) confirment cette tendance baissière à très court terme, en ligne avec les signaux techniques. La convergence entre la faiblesse du momentum technique et la pression sur les marges, contrebalancée par une valorisation raisonnable et une solidité financière, conduit à une recommandation **CONSERVER**. Le niveau de confiance est **Moyen**, le risque global est **Élevé** (contexte sécuritaire, pression réglementaire, concurrence). L'horizon d'investissement optimal est le **moyen terme (3-12 mois)**, en attendant des signes tangibles d'amélioration de la rentabilité et de maîtrise des coûts.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3132.88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2,375 titres</w:t>
            </w:r>
          </w:p>
        </w:tc>
        <w:tc>
          <w:tcPr>
            <w:tcW w:type="dxa" w:w="2268"/>
            <w:shd w:fill="FFF2CC" w:val="clear"/>
          </w:tcPr>
          <w:p>
            <w:r>
              <w:rPr>
                <w:b/>
                <w:color w:val="503200"/>
                <w:sz w:val="16"/>
              </w:rPr>
              <w:t xml:space="preserve">Cours actuel : </w:t>
            </w:r>
            <w:r>
              <w:rPr>
                <w:color w:val="000000"/>
                <w:sz w:val="17"/>
              </w:rPr>
              <w:t>20,795 FCFA</w:t>
            </w:r>
          </w:p>
          <w:p>
            <w:r>
              <w:rPr>
                <w:b/>
                <w:color w:val="503200"/>
                <w:sz w:val="16"/>
              </w:rPr>
              <w:t xml:space="preserve">Var. 100 jours : </w:t>
            </w:r>
            <w:r>
              <w:rPr>
                <w:b/>
                <w:color w:val="007800"/>
                <w:sz w:val="17"/>
              </w:rPr>
              <w:t>+36.81%</w:t>
            </w:r>
          </w:p>
          <w:p>
            <w:r>
              <w:rPr>
                <w:b/>
                <w:color w:val="503200"/>
                <w:sz w:val="16"/>
              </w:rPr>
              <w:t xml:space="preserve">Plus haut 100j : </w:t>
            </w:r>
            <w:r>
              <w:rPr>
                <w:color w:val="000000"/>
                <w:sz w:val="17"/>
              </w:rPr>
              <w:t>21,200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8.18% (Moyenne) — μ=16,202 FCFA, σ=1,326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β=1.1892 (Neutre (suit le marché)) — Cov=0.000040, Var(idx)=0.000033, ρ=0.381,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2,375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19,803</w:t>
            </w:r>
          </w:p>
        </w:tc>
        <w:tc>
          <w:tcPr>
            <w:tcW w:type="dxa" w:w="1440"/>
            <w:shd w:fill="FFDCE0" w:val="clear"/>
          </w:tcPr>
          <w:p>
            <w:r>
              <w:rPr>
                <w:b/>
                <w:sz w:val="17"/>
              </w:rPr>
              <w:t>20,346</w:t>
            </w:r>
          </w:p>
        </w:tc>
        <w:tc>
          <w:tcPr>
            <w:tcW w:type="dxa" w:w="1440"/>
            <w:shd w:fill="FFDCE0" w:val="clear"/>
          </w:tcPr>
          <w:p>
            <w:r>
              <w:rPr>
                <w:sz w:val="17"/>
              </w:rPr>
              <w:t>20,888</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19,496</w:t>
            </w:r>
          </w:p>
        </w:tc>
        <w:tc>
          <w:tcPr>
            <w:tcW w:type="dxa" w:w="1440"/>
            <w:shd w:fill="FFDCE0" w:val="clear"/>
          </w:tcPr>
          <w:p>
            <w:r>
              <w:rPr>
                <w:b/>
                <w:sz w:val="17"/>
              </w:rPr>
              <w:t>20,261</w:t>
            </w:r>
          </w:p>
        </w:tc>
        <w:tc>
          <w:tcPr>
            <w:tcW w:type="dxa" w:w="1440"/>
            <w:shd w:fill="FFDCE0" w:val="clear"/>
          </w:tcPr>
          <w:p>
            <w:r>
              <w:rPr>
                <w:sz w:val="17"/>
              </w:rPr>
              <w:t>21,025</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19,206</w:t>
            </w:r>
          </w:p>
        </w:tc>
        <w:tc>
          <w:tcPr>
            <w:tcW w:type="dxa" w:w="1440"/>
            <w:shd w:fill="FFDCE0" w:val="clear"/>
          </w:tcPr>
          <w:p>
            <w:r>
              <w:rPr>
                <w:b/>
                <w:sz w:val="17"/>
              </w:rPr>
              <w:t>20,137</w:t>
            </w:r>
          </w:p>
        </w:tc>
        <w:tc>
          <w:tcPr>
            <w:tcW w:type="dxa" w:w="1440"/>
            <w:shd w:fill="FFDCE0" w:val="clear"/>
          </w:tcPr>
          <w:p>
            <w:r>
              <w:rPr>
                <w:sz w:val="17"/>
              </w:rPr>
              <w:t>21,067</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18,943</w:t>
            </w:r>
          </w:p>
        </w:tc>
        <w:tc>
          <w:tcPr>
            <w:tcW w:type="dxa" w:w="1440"/>
            <w:shd w:fill="FFDCE0" w:val="clear"/>
          </w:tcPr>
          <w:p>
            <w:r>
              <w:rPr>
                <w:b/>
                <w:sz w:val="17"/>
              </w:rPr>
              <w:t>20,011</w:t>
            </w:r>
          </w:p>
        </w:tc>
        <w:tc>
          <w:tcPr>
            <w:tcW w:type="dxa" w:w="1440"/>
            <w:shd w:fill="FFDCE0" w:val="clear"/>
          </w:tcPr>
          <w:p>
            <w:r>
              <w:rPr>
                <w:sz w:val="17"/>
              </w:rPr>
              <w:t>21,079</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18,703</w:t>
            </w:r>
          </w:p>
        </w:tc>
        <w:tc>
          <w:tcPr>
            <w:tcW w:type="dxa" w:w="1440"/>
            <w:shd w:fill="FFDCE0" w:val="clear"/>
          </w:tcPr>
          <w:p>
            <w:r>
              <w:rPr>
                <w:b/>
                <w:sz w:val="17"/>
              </w:rPr>
              <w:t>19,889</w:t>
            </w:r>
          </w:p>
        </w:tc>
        <w:tc>
          <w:tcPr>
            <w:tcW w:type="dxa" w:w="1440"/>
            <w:shd w:fill="FFDCE0" w:val="clear"/>
          </w:tcPr>
          <w:p>
            <w:r>
              <w:rPr>
                <w:sz w:val="17"/>
              </w:rPr>
              <w:t>21,076</w:t>
            </w:r>
          </w:p>
        </w:tc>
        <w:tc>
          <w:tcPr>
            <w:tcW w:type="dxa" w:w="1440"/>
            <w:shd w:fill="FFDCE0" w:val="clear"/>
          </w:tcPr>
          <w:p>
            <w:r>
              <w:rPr>
                <w:b/>
                <w:color w:val="C00000"/>
                <w:sz w:val="17"/>
              </w:rPr>
              <w:t>-4.4%</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18,480</w:t>
            </w:r>
          </w:p>
        </w:tc>
        <w:tc>
          <w:tcPr>
            <w:tcW w:type="dxa" w:w="1440"/>
            <w:shd w:fill="FFDCE0" w:val="clear"/>
          </w:tcPr>
          <w:p>
            <w:r>
              <w:rPr>
                <w:b/>
                <w:sz w:val="17"/>
              </w:rPr>
              <w:t>19,772</w:t>
            </w:r>
          </w:p>
        </w:tc>
        <w:tc>
          <w:tcPr>
            <w:tcW w:type="dxa" w:w="1440"/>
            <w:shd w:fill="FFDCE0" w:val="clear"/>
          </w:tcPr>
          <w:p>
            <w:r>
              <w:rPr>
                <w:sz w:val="17"/>
              </w:rPr>
              <w:t>21,065</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18,272</w:t>
            </w:r>
          </w:p>
        </w:tc>
        <w:tc>
          <w:tcPr>
            <w:tcW w:type="dxa" w:w="1440"/>
            <w:shd w:fill="FFDCE0" w:val="clear"/>
          </w:tcPr>
          <w:p>
            <w:r>
              <w:rPr>
                <w:b/>
                <w:sz w:val="17"/>
              </w:rPr>
              <w:t>19,659</w:t>
            </w:r>
          </w:p>
        </w:tc>
        <w:tc>
          <w:tcPr>
            <w:tcW w:type="dxa" w:w="1440"/>
            <w:shd w:fill="FFDCE0" w:val="clear"/>
          </w:tcPr>
          <w:p>
            <w:r>
              <w:rPr>
                <w:sz w:val="17"/>
              </w:rPr>
              <w:t>21,047</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18,075</w:t>
            </w:r>
          </w:p>
        </w:tc>
        <w:tc>
          <w:tcPr>
            <w:tcW w:type="dxa" w:w="1440"/>
            <w:shd w:fill="FFDCE0" w:val="clear"/>
          </w:tcPr>
          <w:p>
            <w:r>
              <w:rPr>
                <w:b/>
                <w:sz w:val="17"/>
              </w:rPr>
              <w:t>19,550</w:t>
            </w:r>
          </w:p>
        </w:tc>
        <w:tc>
          <w:tcPr>
            <w:tcW w:type="dxa" w:w="1440"/>
            <w:shd w:fill="FFDCE0" w:val="clear"/>
          </w:tcPr>
          <w:p>
            <w:r>
              <w:rPr>
                <w:sz w:val="17"/>
              </w:rPr>
              <w:t>21,026</w:t>
            </w:r>
          </w:p>
        </w:tc>
        <w:tc>
          <w:tcPr>
            <w:tcW w:type="dxa" w:w="1440"/>
            <w:shd w:fill="FFDCE0" w:val="clear"/>
          </w:tcPr>
          <w:p>
            <w:r>
              <w:rPr>
                <w:b/>
                <w:color w:val="C00000"/>
                <w:sz w:val="17"/>
              </w:rPr>
              <w:t>-6.0%</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17,888</w:t>
            </w:r>
          </w:p>
        </w:tc>
        <w:tc>
          <w:tcPr>
            <w:tcW w:type="dxa" w:w="1440"/>
            <w:shd w:fill="FFDCE0" w:val="clear"/>
          </w:tcPr>
          <w:p>
            <w:r>
              <w:rPr>
                <w:b/>
                <w:sz w:val="17"/>
              </w:rPr>
              <w:t>19,445</w:t>
            </w:r>
          </w:p>
        </w:tc>
        <w:tc>
          <w:tcPr>
            <w:tcW w:type="dxa" w:w="1440"/>
            <w:shd w:fill="FFDCE0" w:val="clear"/>
          </w:tcPr>
          <w:p>
            <w:r>
              <w:rPr>
                <w:sz w:val="17"/>
              </w:rPr>
              <w:t>21,001</w:t>
            </w:r>
          </w:p>
        </w:tc>
        <w:tc>
          <w:tcPr>
            <w:tcW w:type="dxa" w:w="1440"/>
            <w:shd w:fill="FFDCE0" w:val="clear"/>
          </w:tcPr>
          <w:p>
            <w:r>
              <w:rPr>
                <w:b/>
                <w:color w:val="C00000"/>
                <w:sz w:val="17"/>
              </w:rPr>
              <w:t>-6.5%</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17,711</w:t>
            </w:r>
          </w:p>
        </w:tc>
        <w:tc>
          <w:tcPr>
            <w:tcW w:type="dxa" w:w="1440"/>
            <w:shd w:fill="FFDCE0" w:val="clear"/>
          </w:tcPr>
          <w:p>
            <w:r>
              <w:rPr>
                <w:b/>
                <w:sz w:val="17"/>
              </w:rPr>
              <w:t>19,343</w:t>
            </w:r>
          </w:p>
        </w:tc>
        <w:tc>
          <w:tcPr>
            <w:tcW w:type="dxa" w:w="1440"/>
            <w:shd w:fill="FFDCE0" w:val="clear"/>
          </w:tcPr>
          <w:p>
            <w:r>
              <w:rPr>
                <w:sz w:val="17"/>
              </w:rPr>
              <w:t>20,975</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3 132,88 milliards FCFA, ce qui en fait l'une des plus importantes valeurs de la BRVM, représentant une part significative de la capitalisation totale du marché. Avec un BPA de 1 114 FCFA, chaque action génère un bénéfice substantiel, mais le PER de 18,7x indique que les investisseurs paient une prime notable par rapport à la moyenne historique de la BRVM (8-12x), traduisant des attentes de croissance élevées intégrées dans le cours. Le P/B de 4,43x confirme cette prime, le marché valorisant l'actif net comptable plus de quatre fois au-dessus de sa valeur, signe d'une confiance forte dans la création de valeur future. Enfin, l'EV/EBITDA de 7,5x reste dans une zone raisonnable (5-10x), ce qui tempère quelque peu la cherté relative du titre en le comparant à sa capacité opérationnelle de génération de cash.</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+36,81%, avec une légère correction de -1,91% lors de la dernière séance, portant le cours à 20 795 FCFA. Le titre a évolué dans une fourchette large de 14 650 à 21 200 FCFA, démontrant une dynamique haussière puissante, proche de ses plus hauts historiques. La moyenne du cours (16 202 FCFA) est nettement inférieure à la médiane (16 000 FCFA) et au mode, mais surtout au prix actuel, indiquant une accélération récente du cours qui s'éloigne de sa zone de consolidation. L'écart-type de 1 333 FCFA (CV=8,2%) révèle une dispersion modérée, mais le kurtosis de 4,026 signale un risque de mouvements extrêmes, tandis que le skewness positif de 1,847 indique que la distribution est asymétrique avec des journées majoritairement sous la moyenne mais des pics haussiers marqués. La volatilité annualisée de 28,7% classe le titre dans une zone modérée à élevée, nécessitant une gestion de risque attentive.</w:t>
      </w:r>
    </w:p>
    <w:p>
      <w:pPr>
        <w:spacing w:after="120" w:line="276" w:lineRule="auto" w:before="240"/>
      </w:pPr>
      <w:r>
        <w:rPr>
          <w:b/>
          <w:color w:val="003366"/>
          <w:sz w:val="24"/>
        </w:rPr>
        <w:t>**PARTIE 2 : ANALYSE TECHNIQUE DÉTAILLÉE**</w:t>
      </w:r>
    </w:p>
    <w:p>
      <w:pPr>
        <w:spacing w:after="120" w:line="276" w:lineRule="auto"/>
      </w:pPr>
      <w:r>
        <w:t>**Moyennes Mobiles** : Le cours actuel de 20 795 FCFA évolue nettement au-dessus de la MM20 (18 158 FCFA) et de la MM50 (17 070,6 FCFA), confirmant une tendance haussière solide à court et moyen terme. L'écart positif entre le prix et les moyennes mobiles valide la dynamique positive, justifiant la décision d'achat, bien que cet écart important puisse signaler une extension excessive à court terme.</w:t>
      </w:r>
    </w:p>
    <w:p>
      <w:pPr>
        <w:spacing w:after="120" w:line="276" w:lineRule="auto"/>
      </w:pPr>
      <w:r>
        <w:t>**Bandes de Bollinger** : Le prix se situe à 20 795 FCFA, très proche de la borne supérieure (21 291,6 FCFA), indiquant que le titre est en zone de surachat technique. La largeur des bandes reflète une volatilité accrue, et la décision neutre suggère que le marché attend une confirmation directionnelle, soit une poursuite au-delà de la borne, soit un repli vers la moyenne.</w:t>
      </w:r>
    </w:p>
    <w:p>
      <w:pPr>
        <w:spacing w:after="120" w:line="276" w:lineRule="auto"/>
      </w:pPr>
      <w:r>
        <w:t>**MACD** : Le MACD (1 109,7) est nettement supérieur à sa ligne de signal (747,5), avec un écart positif croissant, ce qui confirme un momentum haussier robuste. La décision d'achat est justifiée par cette configuration, bien que l'amplitude de l'écart puisse indiquer une maturité du mouvement et un risque de retournement.</w:t>
      </w:r>
    </w:p>
    <w:p>
      <w:pPr>
        <w:spacing w:after="120" w:line="276" w:lineRule="auto"/>
      </w:pPr>
      <w:r>
        <w:t>**RSI** : Le RSI à 88,3 est extrêmement élevé, bien au-delà du seuil de surachat de 70, signalant une pression acheteuse excessive et un risque élevé de correction technique. La décision de vente est cohérente avec cette lecture, le marché étant dans une zone dangereuse de saturation.</w:t>
      </w:r>
    </w:p>
    <w:p>
      <w:pPr>
        <w:spacing w:after="120" w:line="276" w:lineRule="auto"/>
      </w:pPr>
      <w:r>
        <w:t>**Stochastique** : Le %K (90,4) et le %D (96,8) sont tous deux en zone de surachat extrême, avec un %D au-dessus du %K, indiquant une possible divergence baissière imminente. La décision de vente est justifiée par cette configuration, suggérant un essoufflement du mouvement haussier.</w:t>
      </w:r>
    </w:p>
    <w:p>
      <w:pPr>
        <w:spacing w:after="120" w:line="276" w:lineRule="auto"/>
      </w:pPr>
      <w:r>
        <w:t>**Conclusion technique** : Les indicateurs de tendance (MM, MACD) restent positifs, mais les oscillateurs de momentum (RSI, Stochastique) sont en surachat extrême, créant une divergence classique entre tendance et momentum. Cette configuration suggère qu'une consolidation ou correction technique est probable à court terme, mais la tendance de fond demeure haussière. La prudence est recommandée pour les nouveaux achats à ces niveaux.</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santé financière solide pour ORAC : le chiffre d'affaires atteint 1 197,1 milliards FCFA (+10,4% vs 2024), avec un résultat net consolidé de 167,8 milliards FCFA et un résultat net part du groupe de 129,1 milliards FCFA. La rentabilité est excellente avec un ROE de 23,7% (largement au-dessus du seuil de 15% considéré comme excellent) et un ROA de 6,6%. La marge nette s'établit à 14,0%, la marge opérationnelle à 24,0%, et l'EBITDAaL à 424,1 milliards FCFA (35,4% du CA). La structure financière montre une autonomie de 27,7%, un BFR négatif de -198 milliards FCFA (favorable), et une capacité de remboursement de 0,99 an, indiquant une excellente solvabilité. Les délais clients (52 jours) et fournisseurs (211 jours) sont bien gérés. Les rapports trimestriels confirment cette dynamique : le T1 2026 affiche un CA de 325,6 milliards FCFA (+14,8%) et un résultat net de 48,3 milliards FCFA (+25,2%), suggérant une accélération de la croissance. Le dividende proposé de 800 FCFA brut par action offre un rendement attractif d'environ 3,8% au cours actuel. Les perspectives restent positives portées par la fibre, Orange Money et la data, malgré des risques réglementaires et concurrentiels.</w:t>
      </w:r>
    </w:p>
    <w:p>
      <w:pPr>
        <w:spacing w:after="120" w:line="276" w:lineRule="auto" w:before="240"/>
      </w:pPr>
      <w:r>
        <w:rPr>
          <w:b/>
          <w:color w:val="003366"/>
          <w:sz w:val="24"/>
        </w:rPr>
        <w:t>**PARTIE 4 : CONCLUSION D'INVESTISSEMENT**</w:t>
      </w:r>
    </w:p>
    <w:p>
      <w:pPr>
        <w:spacing w:after="120" w:line="276" w:lineRule="auto"/>
      </w:pPr>
      <w:r>
        <w:t>La valorisation d'ORAC (PER 18,7x, P/B 4,43x) est exigeante par rapport aux standards BRVM, mais justifiée par la qualité des fondamentaux et la croissance soutenue. Le comportement du cours montre une tendance haussière spectaculaire (+36,8% sur 100 jours) avec une volatilité modérée-élevée (28,7%) et un profil de risque de kurtosis élevé, indiquant des mouvements potentiellement brusques. Les signaux techniques sont mitigés : tendance positive (MM, MACD) mais surachat extrême (RSI 88,3, Stochastique 96,8), suggérant un risque de correction à court terme. Les fondamentaux sont excellents avec une croissance du CA de +10,4% en 2025, un ROE de 23,7%, et une accélération au T1 2026 (+14,8% CA, +25,2% RN). Les prédictions IA (20 346 à 19 889 FCFA sur 10 jours) indiquent une légère correction, confirmant les signaux techniques de surachat. La convergence entre les signaux techniques et les prédictions IA suggère une consolidation à court terme, mais la divergence avec les fondamentaux solides plaide pour une perspective positive à moyen terme. **Recommandation finale : CONSERVER** avec un niveau de confiance Moyen et un risque global Élevé. Horizon d'investissement optimal : moyen terme (3-12 mois), en attendant une correction technique pour renforcer les positions sur un titre aux fondamentaux exceptionnels.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221.78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5,478 titres</w:t>
            </w:r>
          </w:p>
        </w:tc>
        <w:tc>
          <w:tcPr>
            <w:tcW w:type="dxa" w:w="2268"/>
            <w:shd w:fill="FFF2CC" w:val="clear"/>
          </w:tcPr>
          <w:p>
            <w:r>
              <w:rPr>
                <w:b/>
                <w:color w:val="503200"/>
                <w:sz w:val="16"/>
              </w:rPr>
              <w:t xml:space="preserve">Cours actuel : </w:t>
            </w:r>
            <w:r>
              <w:rPr>
                <w:color w:val="000000"/>
                <w:sz w:val="17"/>
              </w:rPr>
              <w:t>3,195 FCFA</w:t>
            </w:r>
          </w:p>
          <w:p>
            <w:r>
              <w:rPr>
                <w:b/>
                <w:color w:val="503200"/>
                <w:sz w:val="16"/>
              </w:rPr>
              <w:t xml:space="preserve">Var. 100 jours : </w:t>
            </w:r>
            <w:r>
              <w:rPr>
                <w:b/>
                <w:color w:val="B40000"/>
                <w:sz w:val="17"/>
              </w:rPr>
              <w:t>-12.59%</w:t>
            </w:r>
          </w:p>
          <w:p>
            <w:r>
              <w:rPr>
                <w:b/>
                <w:color w:val="503200"/>
                <w:sz w:val="16"/>
              </w:rPr>
              <w:t xml:space="preserve">Plus haut 100j : </w:t>
            </w:r>
            <w:r>
              <w:rPr>
                <w:color w:val="000000"/>
                <w:sz w:val="17"/>
              </w:rPr>
              <w:t>3,660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11.32% (Moyenne) — μ=2,950 FCFA, σ=334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β=0.3816 (Défensif) — Cov=0.000013, Var(idx)=0.000033, ρ=0.080,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3,070</w:t>
            </w:r>
          </w:p>
        </w:tc>
        <w:tc>
          <w:tcPr>
            <w:tcW w:type="dxa" w:w="1440"/>
            <w:shd w:fill="FAFAFA" w:val="clear"/>
          </w:tcPr>
          <w:p>
            <w:r>
              <w:rPr>
                <w:b/>
                <w:sz w:val="17"/>
              </w:rPr>
              <w:t>3,165</w:t>
            </w:r>
          </w:p>
        </w:tc>
        <w:tc>
          <w:tcPr>
            <w:tcW w:type="dxa" w:w="1440"/>
            <w:shd w:fill="FAFAFA" w:val="clear"/>
          </w:tcPr>
          <w:p>
            <w:r>
              <w:rPr>
                <w:sz w:val="17"/>
              </w:rPr>
              <w:t>3,259</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3,027</w:t>
            </w:r>
          </w:p>
        </w:tc>
        <w:tc>
          <w:tcPr>
            <w:tcW w:type="dxa" w:w="1440"/>
            <w:shd w:fill="FAFAFA" w:val="clear"/>
          </w:tcPr>
          <w:p>
            <w:r>
              <w:rPr>
                <w:b/>
                <w:sz w:val="17"/>
              </w:rPr>
              <w:t>3,161</w:t>
            </w:r>
          </w:p>
        </w:tc>
        <w:tc>
          <w:tcPr>
            <w:tcW w:type="dxa" w:w="1440"/>
            <w:shd w:fill="FAFAFA" w:val="clear"/>
          </w:tcPr>
          <w:p>
            <w:r>
              <w:rPr>
                <w:sz w:val="17"/>
              </w:rPr>
              <w:t>3,295</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2,992</w:t>
            </w:r>
          </w:p>
        </w:tc>
        <w:tc>
          <w:tcPr>
            <w:tcW w:type="dxa" w:w="1440"/>
            <w:shd w:fill="FAFAFA" w:val="clear"/>
          </w:tcPr>
          <w:p>
            <w:r>
              <w:rPr>
                <w:b/>
                <w:sz w:val="17"/>
              </w:rPr>
              <w:t>3,156</w:t>
            </w:r>
          </w:p>
        </w:tc>
        <w:tc>
          <w:tcPr>
            <w:tcW w:type="dxa" w:w="1440"/>
            <w:shd w:fill="FAFAFA" w:val="clear"/>
          </w:tcPr>
          <w:p>
            <w:r>
              <w:rPr>
                <w:sz w:val="17"/>
              </w:rPr>
              <w:t>3,320</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2026-09-01</w:t>
            </w:r>
          </w:p>
        </w:tc>
        <w:tc>
          <w:tcPr>
            <w:tcW w:type="dxa" w:w="1440"/>
            <w:shd w:fill="FAFAFA" w:val="clear"/>
          </w:tcPr>
          <w:p>
            <w:r>
              <w:rPr>
                <w:sz w:val="17"/>
              </w:rPr>
              <w:t>2,963</w:t>
            </w:r>
          </w:p>
        </w:tc>
        <w:tc>
          <w:tcPr>
            <w:tcW w:type="dxa" w:w="1440"/>
            <w:shd w:fill="FAFAFA" w:val="clear"/>
          </w:tcPr>
          <w:p>
            <w:r>
              <w:rPr>
                <w:b/>
                <w:sz w:val="17"/>
              </w:rPr>
              <w:t>3,152</w:t>
            </w:r>
          </w:p>
        </w:tc>
        <w:tc>
          <w:tcPr>
            <w:tcW w:type="dxa" w:w="1440"/>
            <w:shd w:fill="FAFAFA" w:val="clear"/>
          </w:tcPr>
          <w:p>
            <w:r>
              <w:rPr>
                <w:sz w:val="17"/>
              </w:rPr>
              <w:t>3,341</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2026-09-02</w:t>
            </w:r>
          </w:p>
        </w:tc>
        <w:tc>
          <w:tcPr>
            <w:tcW w:type="dxa" w:w="1440"/>
            <w:shd w:fill="FAFAFA" w:val="clear"/>
          </w:tcPr>
          <w:p>
            <w:r>
              <w:rPr>
                <w:sz w:val="17"/>
              </w:rPr>
              <w:t>2,938</w:t>
            </w:r>
          </w:p>
        </w:tc>
        <w:tc>
          <w:tcPr>
            <w:tcW w:type="dxa" w:w="1440"/>
            <w:shd w:fill="FAFAFA" w:val="clear"/>
          </w:tcPr>
          <w:p>
            <w:r>
              <w:rPr>
                <w:b/>
                <w:sz w:val="17"/>
              </w:rPr>
              <w:t>3,148</w:t>
            </w:r>
          </w:p>
        </w:tc>
        <w:tc>
          <w:tcPr>
            <w:tcW w:type="dxa" w:w="1440"/>
            <w:shd w:fill="FAFAFA" w:val="clear"/>
          </w:tcPr>
          <w:p>
            <w:r>
              <w:rPr>
                <w:sz w:val="17"/>
              </w:rPr>
              <w:t>3,359</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2026-09-03</w:t>
            </w:r>
          </w:p>
        </w:tc>
        <w:tc>
          <w:tcPr>
            <w:tcW w:type="dxa" w:w="1440"/>
            <w:shd w:fill="FAFAFA" w:val="clear"/>
          </w:tcPr>
          <w:p>
            <w:r>
              <w:rPr>
                <w:sz w:val="17"/>
              </w:rPr>
              <w:t>2,915</w:t>
            </w:r>
          </w:p>
        </w:tc>
        <w:tc>
          <w:tcPr>
            <w:tcW w:type="dxa" w:w="1440"/>
            <w:shd w:fill="FAFAFA" w:val="clear"/>
          </w:tcPr>
          <w:p>
            <w:r>
              <w:rPr>
                <w:b/>
                <w:sz w:val="17"/>
              </w:rPr>
              <w:t>3,145</w:t>
            </w:r>
          </w:p>
        </w:tc>
        <w:tc>
          <w:tcPr>
            <w:tcW w:type="dxa" w:w="1440"/>
            <w:shd w:fill="FAFAFA" w:val="clear"/>
          </w:tcPr>
          <w:p>
            <w:r>
              <w:rPr>
                <w:sz w:val="17"/>
              </w:rPr>
              <w:t>3,376</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2026-09-04</w:t>
            </w:r>
          </w:p>
        </w:tc>
        <w:tc>
          <w:tcPr>
            <w:tcW w:type="dxa" w:w="1440"/>
            <w:shd w:fill="FAFAFA" w:val="clear"/>
          </w:tcPr>
          <w:p>
            <w:r>
              <w:rPr>
                <w:sz w:val="17"/>
              </w:rPr>
              <w:t>2,894</w:t>
            </w:r>
          </w:p>
        </w:tc>
        <w:tc>
          <w:tcPr>
            <w:tcW w:type="dxa" w:w="1440"/>
            <w:shd w:fill="FAFAFA" w:val="clear"/>
          </w:tcPr>
          <w:p>
            <w:r>
              <w:rPr>
                <w:b/>
                <w:sz w:val="17"/>
              </w:rPr>
              <w:t>3,142</w:t>
            </w:r>
          </w:p>
        </w:tc>
        <w:tc>
          <w:tcPr>
            <w:tcW w:type="dxa" w:w="1440"/>
            <w:shd w:fill="FAFAFA" w:val="clear"/>
          </w:tcPr>
          <w:p>
            <w:r>
              <w:rPr>
                <w:sz w:val="17"/>
              </w:rPr>
              <w:t>3,391</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2026-09-07</w:t>
            </w:r>
          </w:p>
        </w:tc>
        <w:tc>
          <w:tcPr>
            <w:tcW w:type="dxa" w:w="1440"/>
            <w:shd w:fill="FAFAFA" w:val="clear"/>
          </w:tcPr>
          <w:p>
            <w:r>
              <w:rPr>
                <w:sz w:val="17"/>
              </w:rPr>
              <w:t>2,874</w:t>
            </w:r>
          </w:p>
        </w:tc>
        <w:tc>
          <w:tcPr>
            <w:tcW w:type="dxa" w:w="1440"/>
            <w:shd w:fill="FAFAFA" w:val="clear"/>
          </w:tcPr>
          <w:p>
            <w:r>
              <w:rPr>
                <w:b/>
                <w:sz w:val="17"/>
              </w:rPr>
              <w:t>3,140</w:t>
            </w:r>
          </w:p>
        </w:tc>
        <w:tc>
          <w:tcPr>
            <w:tcW w:type="dxa" w:w="1440"/>
            <w:shd w:fill="FAFAFA" w:val="clear"/>
          </w:tcPr>
          <w:p>
            <w:r>
              <w:rPr>
                <w:sz w:val="17"/>
              </w:rPr>
              <w:t>3,405</w:t>
            </w:r>
          </w:p>
        </w:tc>
        <w:tc>
          <w:tcPr>
            <w:tcW w:type="dxa" w:w="1440"/>
            <w:shd w:fill="FAFAFA" w:val="clear"/>
          </w:tcPr>
          <w:p>
            <w:r>
              <w:rPr>
                <w:b/>
                <w:color w:val="C00000"/>
                <w:sz w:val="17"/>
              </w:rPr>
              <w:t>-1.7%</w:t>
            </w:r>
          </w:p>
        </w:tc>
      </w:tr>
      <w:tr>
        <w:tc>
          <w:tcPr>
            <w:tcW w:type="dxa" w:w="1440"/>
            <w:shd w:fill="FAFAFA" w:val="clear"/>
          </w:tcPr>
          <w:p>
            <w:r>
              <w:rPr>
                <w:sz w:val="17"/>
              </w:rPr>
              <w:t>J+9  Moyenne</w:t>
            </w:r>
          </w:p>
        </w:tc>
        <w:tc>
          <w:tcPr>
            <w:tcW w:type="dxa" w:w="1440"/>
            <w:shd w:fill="FAFAFA" w:val="clear"/>
          </w:tcPr>
          <w:p>
            <w:r>
              <w:rPr>
                <w:sz w:val="17"/>
              </w:rPr>
              <w:t>2026-09-08</w:t>
            </w:r>
          </w:p>
        </w:tc>
        <w:tc>
          <w:tcPr>
            <w:tcW w:type="dxa" w:w="1440"/>
            <w:shd w:fill="FAFAFA" w:val="clear"/>
          </w:tcPr>
          <w:p>
            <w:r>
              <w:rPr>
                <w:sz w:val="17"/>
              </w:rPr>
              <w:t>2,855</w:t>
            </w:r>
          </w:p>
        </w:tc>
        <w:tc>
          <w:tcPr>
            <w:tcW w:type="dxa" w:w="1440"/>
            <w:shd w:fill="FAFAFA" w:val="clear"/>
          </w:tcPr>
          <w:p>
            <w:r>
              <w:rPr>
                <w:b/>
                <w:sz w:val="17"/>
              </w:rPr>
              <w:t>3,137</w:t>
            </w:r>
          </w:p>
        </w:tc>
        <w:tc>
          <w:tcPr>
            <w:tcW w:type="dxa" w:w="1440"/>
            <w:shd w:fill="FAFAFA" w:val="clear"/>
          </w:tcPr>
          <w:p>
            <w:r>
              <w:rPr>
                <w:sz w:val="17"/>
              </w:rPr>
              <w:t>3,418</w:t>
            </w:r>
          </w:p>
        </w:tc>
        <w:tc>
          <w:tcPr>
            <w:tcW w:type="dxa" w:w="1440"/>
            <w:shd w:fill="FAFAFA" w:val="clear"/>
          </w:tcPr>
          <w:p>
            <w:r>
              <w:rPr>
                <w:b/>
                <w:color w:val="C00000"/>
                <w:sz w:val="17"/>
              </w:rPr>
              <w:t>-1.8%</w:t>
            </w:r>
          </w:p>
        </w:tc>
      </w:tr>
      <w:tr>
        <w:tc>
          <w:tcPr>
            <w:tcW w:type="dxa" w:w="1440"/>
            <w:shd w:fill="FAFAFA" w:val="clear"/>
          </w:tcPr>
          <w:p>
            <w:r>
              <w:rPr>
                <w:sz w:val="17"/>
              </w:rPr>
              <w:t>J+10  Moyenne</w:t>
            </w:r>
          </w:p>
        </w:tc>
        <w:tc>
          <w:tcPr>
            <w:tcW w:type="dxa" w:w="1440"/>
            <w:shd w:fill="FAFAFA" w:val="clear"/>
          </w:tcPr>
          <w:p>
            <w:r>
              <w:rPr>
                <w:sz w:val="17"/>
              </w:rPr>
              <w:t>2026-09-09</w:t>
            </w:r>
          </w:p>
        </w:tc>
        <w:tc>
          <w:tcPr>
            <w:tcW w:type="dxa" w:w="1440"/>
            <w:shd w:fill="FAFAFA" w:val="clear"/>
          </w:tcPr>
          <w:p>
            <w:r>
              <w:rPr>
                <w:sz w:val="17"/>
              </w:rPr>
              <w:t>2,837</w:t>
            </w:r>
          </w:p>
        </w:tc>
        <w:tc>
          <w:tcPr>
            <w:tcW w:type="dxa" w:w="1440"/>
            <w:shd w:fill="FAFAFA" w:val="clear"/>
          </w:tcPr>
          <w:p>
            <w:r>
              <w:rPr>
                <w:b/>
                <w:sz w:val="17"/>
              </w:rPr>
              <w:t>3,134</w:t>
            </w:r>
          </w:p>
        </w:tc>
        <w:tc>
          <w:tcPr>
            <w:tcW w:type="dxa" w:w="1440"/>
            <w:shd w:fill="FAFAFA" w:val="clear"/>
          </w:tcPr>
          <w:p>
            <w:r>
              <w:rPr>
                <w:sz w:val="17"/>
              </w:rPr>
              <w:t>3,431</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**Date : 26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221,78 milliards FCFA, un niveau significatif qui positionne le titre parmi les valeurs moyennes du compartiment A de la BRVM. Avec un BPA de 312 FCFA, chaque action génère un bénéfice confortable, justifiant un PER de 10,2x, en phase avec la moyenne historique du marché (8-12x), ce qui indique une valorisation raisonnable sans prime excessive. Le P/B de 1,96x montre que le marché valorise la société à près de deux fois ses capitaux propres, un niveau modéré qui traduit une confiance mesurée des investisseurs dans la qualité du bilan. En revanche, l'EV/EBITDA de 20,1x apparaît très exigeant, suggérant que la valeur d'entreprise intègre des hypothèses de redressement opérationnel déjà largement anticipées par le marché, ce qui limite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ORGT a enregistré une baisse de 12,59%, malgré un léger rebond de +0,16% lors de la dernière séance, clôturant à 3 195 FCFA. Le cours a évolué dans une fourchette large de 2 435 à 3 660 FCFA, illustrant une volatilité marquée et des phases d'accumulation et de distribution. La moyenne de 2 950 FCFA, supérieure à la médiane de 2 780 FCFA, confirme une asymétrie positive (skewness de 0,684), avec un plus grand nombre de journées sous la moyenne, mais des pics de hausse ponctuels. L'écart-type de 336 FCFA (CV de 11,4%) révèle une dispersion modérée des prix autour de la moyenne. Le kurtosis de -0,674 (mésokurtique) indique une distribution proche de la normale, sans risque de variations extrêmes fréquentes. La volatilité annualisée de 43,6% classe le titre dans la catégorie des valeurs à forte volatilité (&gt;30%), ce qui implique un risque élevé mais aussi un potentiel de rendement significatif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La MM20 (3 086 FCFA) et la MM50 (2 846,8 FCFA) sont toutes deux inférieures au cours actuel (3 195 FCFA), indiquant une configuration haussière de court et moyen terme. La pente positive des moyennes et l'écart croissant entre elles suggèrent un momentum acheteur soutenu, justifiant la décision d'achat.</w:t>
      </w:r>
    </w:p>
    <w:p>
      <w:pPr>
        <w:spacing w:after="120" w:line="276" w:lineRule="auto"/>
      </w:pPr>
      <w:r>
        <w:t>**Bandes de Bollinger :** Le cours se situe à 3 195 FCFA, proche de la borne supérieure (3 286 FCFA) mais dans la zone neutre. La largeur des bandes (2886-3286) reflète une volatilité modérée. Le prix n'étant pas en situation de surachat extrême, la décision neutre est cohérente, laissant place à une poursuite de la tendance ou un repli vers la moyenne mobile.</w:t>
      </w:r>
    </w:p>
    <w:p>
      <w:pPr>
        <w:spacing w:after="120" w:line="276" w:lineRule="auto"/>
      </w:pPr>
      <w:r>
        <w:t>**MACD :** La valeur du MACD (93,12) est légèrement inférieure à son signal (93,95), indiquant un affaiblissement du momentum haussier. Cette divergence négative, bien que minime, suggère une possible consolidation ou correction à court terme, justifiant la décision de vente.</w:t>
      </w:r>
    </w:p>
    <w:p>
      <w:pPr>
        <w:spacing w:after="120" w:line="276" w:lineRule="auto"/>
      </w:pPr>
      <w:r>
        <w:t>**RSI :** À 55,84, le RSI se situe en zone neutre (30-70), sans signal de surachat ni de survente. Cette valeur indique un équilibre entre acheteurs et vendeurs, avec une légère prédominance haussière, cohérente avec la décision neutre.</w:t>
      </w:r>
    </w:p>
    <w:p>
      <w:pPr>
        <w:spacing w:after="120" w:line="276" w:lineRule="auto"/>
      </w:pPr>
      <w:r>
        <w:t>**Stochastique :** Le %K (100) et le %D (87,36) sont en zone de surachat extrême, signalant une possible correction imminente. Le croisement baissier potentiel du %K sous le %D renforcerait ce signal, justifiant la décision de vente.</w:t>
      </w:r>
    </w:p>
    <w:p>
      <w:pPr>
        <w:spacing w:after="120" w:line="276" w:lineRule="auto"/>
      </w:pPr>
      <w:r>
        <w:t>**Conclusion technique :** Les indicateurs sont mitigés : les moyennes mobiles soutiennent une tendance haussière, tandis que le MACD et le stochastique signalent un essoufflement à court terme. Le RSI neutre et les bandes de Bollinger suggèrent une consolidation. Globalement, le titre est en phase de digestion des gains récents, avec un biais haussier à moyen terme mais un risque de repli technique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Oragroup a réalisé un PNB de 186,609 milliards FCFA, en baisse de 4,5% par rapport à 2024 (195,4 milliards), mais a renoué avec un résultat net positif de 21,643 milliards FCFA, contre une perte de 44,4 milliards en 2024. Le ROE s'établit à 19,13%, un niveau excellent (&gt;15%), tandis que le ROA reste faible à 0,54%, reflétant la lourdeur du bilan (4 014 milliards FCFA). Le coefficient d'exploitation de 42,85% témoigne d'une excellente maîtrise des coûts, et le coût du risque de 3,74% indique une amélioration spectaculaire de la qualité du portefeuille de crédits. Les dépôts clientèle (3 088,7 milliards) couvrent largement les créances clientèle (1 523,8 milliards), assurant une transformation saine. **Sur la base des rapports trimestriels 2025** (T1 : résultat net de 4,8 milliards ; S1 : 18,3 milliards ; T3 : 19,6 milliards), le redressement s'est confirmé tout au long de l'année. **Le rapport T1 2026** (résultat net de 6,555 milliards, +37% vs T1 2025) confirme la poursuite de la dynamique positive, avec une hausse des dépôts de 14% et une maîtrise continue des coûts. On estime que l'exercice 2026 devrait voir une stabilisation du PNB et une nouvelle progression du résultat net, porté par l'amélioration du coût du risque et la croissance des dépôts.</w:t>
      </w:r>
    </w:p>
    <w:p>
      <w:pPr>
        <w:spacing w:after="120" w:line="276" w:lineRule="auto"/>
      </w:pPr>
      <w:r>
        <w:t>---</w:t>
      </w:r>
    </w:p>
    <w:p>
      <w:pPr>
        <w:spacing w:after="120" w:line="276" w:lineRule="auto"/>
      </w:pPr>
      <w:r>
        <w:t>### PARTIE 4 : CONCLUSION D'INVESTISSEMENT</w:t>
      </w:r>
    </w:p>
    <w:p>
      <w:pPr>
        <w:spacing w:after="120" w:line="276" w:lineRule="auto"/>
      </w:pPr>
      <w:r>
        <w:t>La valorisation d'ORGT (PER 10,2x, P/B 1,96x) est raisonnable, mais l'EV/EBITDA de 20,1x suggère que le marché anticipe déjà une forte amélioration opérationnelle. Le comportement du cours sur 100 jours (-12,59%) montre une correction significative, avec une volatilité élevée (43,6%) et une distribution des rendements proche de la normale, sans risque de kurtosis extrême. Les signaux techniques sont mitigés : les moyennes mobiles sont haussières, mais le MACD et le stochastique indiquent un essoufflement à court terme, tandis que le RSI reste neutre. Les fondamentaux sont solides, avec un retour spectaculaire à la rentabilité en 2025 (résultat net de 21,6 milliards, ROE de 19,1%) et une dynamique positive confirmée au T1 2026 (+37% de résultat net). Les prédictions IA (3 165 à 3 148 FCFA sur 10 jours) suggèrent une légère consolidation, en ligne avec les signaux techniques de court terme. En synthèse, la convergence entre des fondamentaux en amélioration et une valorisation modérée, malgré des signaux techniques mixtes, conduit à une recommandation **CONSERVER**. Le niveau de confiance est **Moyen**, le risque global **Élevé** (volatilité et environnement macroéconomique), et l'horizon d'investissement optimal est le **moyen terme (3-12 mois)**, en attendant une confirmation de la croissance du PNB et une clarification de la politique de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142.84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3,572 titres</w:t>
            </w:r>
          </w:p>
        </w:tc>
        <w:tc>
          <w:tcPr>
            <w:tcW w:type="dxa" w:w="2268"/>
            <w:shd w:fill="FFF2CC" w:val="clear"/>
          </w:tcPr>
          <w:p>
            <w:r>
              <w:rPr>
                <w:b/>
                <w:color w:val="503200"/>
                <w:sz w:val="16"/>
              </w:rPr>
              <w:t xml:space="preserve">Cours actuel : </w:t>
            </w:r>
            <w:r>
              <w:rPr>
                <w:color w:val="000000"/>
                <w:sz w:val="17"/>
              </w:rPr>
              <w:t>9,240 FCFA</w:t>
            </w:r>
          </w:p>
          <w:p>
            <w:r>
              <w:rPr>
                <w:b/>
                <w:color w:val="503200"/>
                <w:sz w:val="16"/>
              </w:rPr>
              <w:t xml:space="preserve">Var. 100 jours : </w:t>
            </w:r>
            <w:r>
              <w:rPr>
                <w:b/>
                <w:color w:val="007800"/>
                <w:sz w:val="17"/>
              </w:rPr>
              <w:t>+14.07%</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6.47% (Moyenne) — μ=8,460 FCFA, σ=547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β=-0.3575 (Contre-cyclique) — Cov=-0.000012, Var(idx)=0.000033, ρ=-0.088,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2026-08-27</w:t>
            </w:r>
          </w:p>
        </w:tc>
        <w:tc>
          <w:tcPr>
            <w:tcW w:type="dxa" w:w="1440"/>
            <w:shd w:fill="C6EFCE" w:val="clear"/>
          </w:tcPr>
          <w:p>
            <w:r>
              <w:rPr>
                <w:sz w:val="17"/>
              </w:rPr>
              <w:t>9,154</w:t>
            </w:r>
          </w:p>
        </w:tc>
        <w:tc>
          <w:tcPr>
            <w:tcW w:type="dxa" w:w="1440"/>
            <w:shd w:fill="C6EFCE" w:val="clear"/>
          </w:tcPr>
          <w:p>
            <w:r>
              <w:rPr>
                <w:b/>
                <w:sz w:val="17"/>
              </w:rPr>
              <w:t>9,435</w:t>
            </w:r>
          </w:p>
        </w:tc>
        <w:tc>
          <w:tcPr>
            <w:tcW w:type="dxa" w:w="1440"/>
            <w:shd w:fill="C6EFCE" w:val="clear"/>
          </w:tcPr>
          <w:p>
            <w:r>
              <w:rPr>
                <w:sz w:val="17"/>
              </w:rPr>
              <w:t>9,717</w:t>
            </w:r>
          </w:p>
        </w:tc>
        <w:tc>
          <w:tcPr>
            <w:tcW w:type="dxa" w:w="1440"/>
            <w:shd w:fill="C6EFCE" w:val="clear"/>
          </w:tcPr>
          <w:p>
            <w:r>
              <w:rPr>
                <w:b/>
                <w:color w:val="008000"/>
                <w:sz w:val="17"/>
              </w:rPr>
              <w:t>+2.1%</w:t>
            </w:r>
          </w:p>
        </w:tc>
      </w:tr>
      <w:tr>
        <w:tc>
          <w:tcPr>
            <w:tcW w:type="dxa" w:w="1440"/>
            <w:shd w:fill="C6EFCE" w:val="clear"/>
          </w:tcPr>
          <w:p>
            <w:r>
              <w:rPr>
                <w:sz w:val="17"/>
              </w:rPr>
              <w:t>J+2  ⭐⭐⭐</w:t>
            </w:r>
          </w:p>
        </w:tc>
        <w:tc>
          <w:tcPr>
            <w:tcW w:type="dxa" w:w="1440"/>
            <w:shd w:fill="C6EFCE" w:val="clear"/>
          </w:tcPr>
          <w:p>
            <w:r>
              <w:rPr>
                <w:sz w:val="17"/>
              </w:rPr>
              <w:t>2026-08-28</w:t>
            </w:r>
          </w:p>
        </w:tc>
        <w:tc>
          <w:tcPr>
            <w:tcW w:type="dxa" w:w="1440"/>
            <w:shd w:fill="C6EFCE" w:val="clear"/>
          </w:tcPr>
          <w:p>
            <w:r>
              <w:rPr>
                <w:sz w:val="17"/>
              </w:rPr>
              <w:t>9,036</w:t>
            </w:r>
          </w:p>
        </w:tc>
        <w:tc>
          <w:tcPr>
            <w:tcW w:type="dxa" w:w="1440"/>
            <w:shd w:fill="C6EFCE" w:val="clear"/>
          </w:tcPr>
          <w:p>
            <w:r>
              <w:rPr>
                <w:b/>
                <w:sz w:val="17"/>
              </w:rPr>
              <w:t>9,435</w:t>
            </w:r>
          </w:p>
        </w:tc>
        <w:tc>
          <w:tcPr>
            <w:tcW w:type="dxa" w:w="1440"/>
            <w:shd w:fill="C6EFCE" w:val="clear"/>
          </w:tcPr>
          <w:p>
            <w:r>
              <w:rPr>
                <w:sz w:val="17"/>
              </w:rPr>
              <w:t>9,833</w:t>
            </w:r>
          </w:p>
        </w:tc>
        <w:tc>
          <w:tcPr>
            <w:tcW w:type="dxa" w:w="1440"/>
            <w:shd w:fill="C6EFCE" w:val="clear"/>
          </w:tcPr>
          <w:p>
            <w:r>
              <w:rPr>
                <w:b/>
                <w:color w:val="008000"/>
                <w:sz w:val="17"/>
              </w:rPr>
              <w:t>+2.1%</w:t>
            </w:r>
          </w:p>
        </w:tc>
      </w:tr>
      <w:tr>
        <w:tc>
          <w:tcPr>
            <w:tcW w:type="dxa" w:w="1440"/>
            <w:shd w:fill="C6EFCE" w:val="clear"/>
          </w:tcPr>
          <w:p>
            <w:r>
              <w:rPr>
                <w:sz w:val="17"/>
              </w:rPr>
              <w:t>J+3  ⭐⭐⭐</w:t>
            </w:r>
          </w:p>
        </w:tc>
        <w:tc>
          <w:tcPr>
            <w:tcW w:type="dxa" w:w="1440"/>
            <w:shd w:fill="C6EFCE" w:val="clear"/>
          </w:tcPr>
          <w:p>
            <w:r>
              <w:rPr>
                <w:sz w:val="17"/>
              </w:rPr>
              <w:t>2026-08-31</w:t>
            </w:r>
          </w:p>
        </w:tc>
        <w:tc>
          <w:tcPr>
            <w:tcW w:type="dxa" w:w="1440"/>
            <w:shd w:fill="C6EFCE" w:val="clear"/>
          </w:tcPr>
          <w:p>
            <w:r>
              <w:rPr>
                <w:sz w:val="17"/>
              </w:rPr>
              <w:t>8,972</w:t>
            </w:r>
          </w:p>
        </w:tc>
        <w:tc>
          <w:tcPr>
            <w:tcW w:type="dxa" w:w="1440"/>
            <w:shd w:fill="C6EFCE" w:val="clear"/>
          </w:tcPr>
          <w:p>
            <w:r>
              <w:rPr>
                <w:b/>
                <w:sz w:val="17"/>
              </w:rPr>
              <w:t>9,462</w:t>
            </w:r>
          </w:p>
        </w:tc>
        <w:tc>
          <w:tcPr>
            <w:tcW w:type="dxa" w:w="1440"/>
            <w:shd w:fill="C6EFCE" w:val="clear"/>
          </w:tcPr>
          <w:p>
            <w:r>
              <w:rPr>
                <w:sz w:val="17"/>
              </w:rPr>
              <w:t>9,951</w:t>
            </w:r>
          </w:p>
        </w:tc>
        <w:tc>
          <w:tcPr>
            <w:tcW w:type="dxa" w:w="1440"/>
            <w:shd w:fill="C6EFCE" w:val="clear"/>
          </w:tcPr>
          <w:p>
            <w:r>
              <w:rPr>
                <w:b/>
                <w:color w:val="008000"/>
                <w:sz w:val="17"/>
              </w:rPr>
              <w:t>+2.4%</w:t>
            </w:r>
          </w:p>
        </w:tc>
      </w:tr>
      <w:tr>
        <w:tc>
          <w:tcPr>
            <w:tcW w:type="dxa" w:w="1440"/>
            <w:shd w:fill="C6EFCE" w:val="clear"/>
          </w:tcPr>
          <w:p>
            <w:r>
              <w:rPr>
                <w:sz w:val="17"/>
              </w:rPr>
              <w:t>J+4  Moyenne</w:t>
            </w:r>
          </w:p>
        </w:tc>
        <w:tc>
          <w:tcPr>
            <w:tcW w:type="dxa" w:w="1440"/>
            <w:shd w:fill="C6EFCE" w:val="clear"/>
          </w:tcPr>
          <w:p>
            <w:r>
              <w:rPr>
                <w:sz w:val="17"/>
              </w:rPr>
              <w:t>2026-09-01</w:t>
            </w:r>
          </w:p>
        </w:tc>
        <w:tc>
          <w:tcPr>
            <w:tcW w:type="dxa" w:w="1440"/>
            <w:shd w:fill="C6EFCE" w:val="clear"/>
          </w:tcPr>
          <w:p>
            <w:r>
              <w:rPr>
                <w:sz w:val="17"/>
              </w:rPr>
              <w:t>8,923</w:t>
            </w:r>
          </w:p>
        </w:tc>
        <w:tc>
          <w:tcPr>
            <w:tcW w:type="dxa" w:w="1440"/>
            <w:shd w:fill="C6EFCE" w:val="clear"/>
          </w:tcPr>
          <w:p>
            <w:r>
              <w:rPr>
                <w:b/>
                <w:sz w:val="17"/>
              </w:rPr>
              <w:t>9,490</w:t>
            </w:r>
          </w:p>
        </w:tc>
        <w:tc>
          <w:tcPr>
            <w:tcW w:type="dxa" w:w="1440"/>
            <w:shd w:fill="C6EFCE" w:val="clear"/>
          </w:tcPr>
          <w:p>
            <w:r>
              <w:rPr>
                <w:sz w:val="17"/>
              </w:rPr>
              <w:t>10,056</w:t>
            </w:r>
          </w:p>
        </w:tc>
        <w:tc>
          <w:tcPr>
            <w:tcW w:type="dxa" w:w="1440"/>
            <w:shd w:fill="C6EFCE" w:val="clear"/>
          </w:tcPr>
          <w:p>
            <w:r>
              <w:rPr>
                <w:b/>
                <w:color w:val="008000"/>
                <w:sz w:val="17"/>
              </w:rPr>
              <w:t>+2.7%</w:t>
            </w:r>
          </w:p>
        </w:tc>
      </w:tr>
      <w:tr>
        <w:tc>
          <w:tcPr>
            <w:tcW w:type="dxa" w:w="1440"/>
            <w:shd w:fill="C6EFCE" w:val="clear"/>
          </w:tcPr>
          <w:p>
            <w:r>
              <w:rPr>
                <w:sz w:val="17"/>
              </w:rPr>
              <w:t>J+5  Moyenne</w:t>
            </w:r>
          </w:p>
        </w:tc>
        <w:tc>
          <w:tcPr>
            <w:tcW w:type="dxa" w:w="1440"/>
            <w:shd w:fill="C6EFCE" w:val="clear"/>
          </w:tcPr>
          <w:p>
            <w:r>
              <w:rPr>
                <w:sz w:val="17"/>
              </w:rPr>
              <w:t>2026-09-02</w:t>
            </w:r>
          </w:p>
        </w:tc>
        <w:tc>
          <w:tcPr>
            <w:tcW w:type="dxa" w:w="1440"/>
            <w:shd w:fill="C6EFCE" w:val="clear"/>
          </w:tcPr>
          <w:p>
            <w:r>
              <w:rPr>
                <w:sz w:val="17"/>
              </w:rPr>
              <w:t>8,881</w:t>
            </w:r>
          </w:p>
        </w:tc>
        <w:tc>
          <w:tcPr>
            <w:tcW w:type="dxa" w:w="1440"/>
            <w:shd w:fill="C6EFCE" w:val="clear"/>
          </w:tcPr>
          <w:p>
            <w:r>
              <w:rPr>
                <w:b/>
                <w:sz w:val="17"/>
              </w:rPr>
              <w:t>9,516</w:t>
            </w:r>
          </w:p>
        </w:tc>
        <w:tc>
          <w:tcPr>
            <w:tcW w:type="dxa" w:w="1440"/>
            <w:shd w:fill="C6EFCE" w:val="clear"/>
          </w:tcPr>
          <w:p>
            <w:r>
              <w:rPr>
                <w:sz w:val="17"/>
              </w:rPr>
              <w:t>10,151</w:t>
            </w:r>
          </w:p>
        </w:tc>
        <w:tc>
          <w:tcPr>
            <w:tcW w:type="dxa" w:w="1440"/>
            <w:shd w:fill="C6EFCE" w:val="clear"/>
          </w:tcPr>
          <w:p>
            <w:r>
              <w:rPr>
                <w:b/>
                <w:color w:val="008000"/>
                <w:sz w:val="17"/>
              </w:rPr>
              <w:t>+3.0%</w:t>
            </w:r>
          </w:p>
        </w:tc>
      </w:tr>
      <w:tr>
        <w:tc>
          <w:tcPr>
            <w:tcW w:type="dxa" w:w="1440"/>
            <w:shd w:fill="C6EFCE" w:val="clear"/>
          </w:tcPr>
          <w:p>
            <w:r>
              <w:rPr>
                <w:sz w:val="17"/>
              </w:rPr>
              <w:t>J+6  Moyenne</w:t>
            </w:r>
          </w:p>
        </w:tc>
        <w:tc>
          <w:tcPr>
            <w:tcW w:type="dxa" w:w="1440"/>
            <w:shd w:fill="C6EFCE" w:val="clear"/>
          </w:tcPr>
          <w:p>
            <w:r>
              <w:rPr>
                <w:sz w:val="17"/>
              </w:rPr>
              <w:t>2026-09-03</w:t>
            </w:r>
          </w:p>
        </w:tc>
        <w:tc>
          <w:tcPr>
            <w:tcW w:type="dxa" w:w="1440"/>
            <w:shd w:fill="C6EFCE" w:val="clear"/>
          </w:tcPr>
          <w:p>
            <w:r>
              <w:rPr>
                <w:sz w:val="17"/>
              </w:rPr>
              <w:t>8,844</w:t>
            </w:r>
          </w:p>
        </w:tc>
        <w:tc>
          <w:tcPr>
            <w:tcW w:type="dxa" w:w="1440"/>
            <w:shd w:fill="C6EFCE" w:val="clear"/>
          </w:tcPr>
          <w:p>
            <w:r>
              <w:rPr>
                <w:b/>
                <w:sz w:val="17"/>
              </w:rPr>
              <w:t>9,542</w:t>
            </w:r>
          </w:p>
        </w:tc>
        <w:tc>
          <w:tcPr>
            <w:tcW w:type="dxa" w:w="1440"/>
            <w:shd w:fill="C6EFCE" w:val="clear"/>
          </w:tcPr>
          <w:p>
            <w:r>
              <w:rPr>
                <w:sz w:val="17"/>
              </w:rPr>
              <w:t>10,239</w:t>
            </w:r>
          </w:p>
        </w:tc>
        <w:tc>
          <w:tcPr>
            <w:tcW w:type="dxa" w:w="1440"/>
            <w:shd w:fill="C6EFCE" w:val="clear"/>
          </w:tcPr>
          <w:p>
            <w:r>
              <w:rPr>
                <w:b/>
                <w:color w:val="008000"/>
                <w:sz w:val="17"/>
              </w:rPr>
              <w:t>+3.3%</w:t>
            </w:r>
          </w:p>
        </w:tc>
      </w:tr>
      <w:tr>
        <w:tc>
          <w:tcPr>
            <w:tcW w:type="dxa" w:w="1440"/>
            <w:shd w:fill="C6EFCE" w:val="clear"/>
          </w:tcPr>
          <w:p>
            <w:r>
              <w:rPr>
                <w:sz w:val="17"/>
              </w:rPr>
              <w:t>J+7  Moyenne</w:t>
            </w:r>
          </w:p>
        </w:tc>
        <w:tc>
          <w:tcPr>
            <w:tcW w:type="dxa" w:w="1440"/>
            <w:shd w:fill="C6EFCE" w:val="clear"/>
          </w:tcPr>
          <w:p>
            <w:r>
              <w:rPr>
                <w:sz w:val="17"/>
              </w:rPr>
              <w:t>2026-09-04</w:t>
            </w:r>
          </w:p>
        </w:tc>
        <w:tc>
          <w:tcPr>
            <w:tcW w:type="dxa" w:w="1440"/>
            <w:shd w:fill="C6EFCE" w:val="clear"/>
          </w:tcPr>
          <w:p>
            <w:r>
              <w:rPr>
                <w:sz w:val="17"/>
              </w:rPr>
              <w:t>8,811</w:t>
            </w:r>
          </w:p>
        </w:tc>
        <w:tc>
          <w:tcPr>
            <w:tcW w:type="dxa" w:w="1440"/>
            <w:shd w:fill="C6EFCE" w:val="clear"/>
          </w:tcPr>
          <w:p>
            <w:r>
              <w:rPr>
                <w:b/>
                <w:sz w:val="17"/>
              </w:rPr>
              <w:t>9,567</w:t>
            </w:r>
          </w:p>
        </w:tc>
        <w:tc>
          <w:tcPr>
            <w:tcW w:type="dxa" w:w="1440"/>
            <w:shd w:fill="C6EFCE" w:val="clear"/>
          </w:tcPr>
          <w:p>
            <w:r>
              <w:rPr>
                <w:sz w:val="17"/>
              </w:rPr>
              <w:t>10,323</w:t>
            </w:r>
          </w:p>
        </w:tc>
        <w:tc>
          <w:tcPr>
            <w:tcW w:type="dxa" w:w="1440"/>
            <w:shd w:fill="C6EFCE" w:val="clear"/>
          </w:tcPr>
          <w:p>
            <w:r>
              <w:rPr>
                <w:b/>
                <w:color w:val="008000"/>
                <w:sz w:val="17"/>
              </w:rPr>
              <w:t>+3.5%</w:t>
            </w:r>
          </w:p>
        </w:tc>
      </w:tr>
      <w:tr>
        <w:tc>
          <w:tcPr>
            <w:tcW w:type="dxa" w:w="1440"/>
            <w:shd w:fill="C6EFCE" w:val="clear"/>
          </w:tcPr>
          <w:p>
            <w:r>
              <w:rPr>
                <w:sz w:val="17"/>
              </w:rPr>
              <w:t>J+8  Moyenne</w:t>
            </w:r>
          </w:p>
        </w:tc>
        <w:tc>
          <w:tcPr>
            <w:tcW w:type="dxa" w:w="1440"/>
            <w:shd w:fill="C6EFCE" w:val="clear"/>
          </w:tcPr>
          <w:p>
            <w:r>
              <w:rPr>
                <w:sz w:val="17"/>
              </w:rPr>
              <w:t>2026-09-07</w:t>
            </w:r>
          </w:p>
        </w:tc>
        <w:tc>
          <w:tcPr>
            <w:tcW w:type="dxa" w:w="1440"/>
            <w:shd w:fill="C6EFCE" w:val="clear"/>
          </w:tcPr>
          <w:p>
            <w:r>
              <w:rPr>
                <w:sz w:val="17"/>
              </w:rPr>
              <w:t>8,783</w:t>
            </w:r>
          </w:p>
        </w:tc>
        <w:tc>
          <w:tcPr>
            <w:tcW w:type="dxa" w:w="1440"/>
            <w:shd w:fill="C6EFCE" w:val="clear"/>
          </w:tcPr>
          <w:p>
            <w:r>
              <w:rPr>
                <w:b/>
                <w:sz w:val="17"/>
              </w:rPr>
              <w:t>9,593</w:t>
            </w:r>
          </w:p>
        </w:tc>
        <w:tc>
          <w:tcPr>
            <w:tcW w:type="dxa" w:w="1440"/>
            <w:shd w:fill="C6EFCE" w:val="clear"/>
          </w:tcPr>
          <w:p>
            <w:r>
              <w:rPr>
                <w:sz w:val="17"/>
              </w:rPr>
              <w:t>10,403</w:t>
            </w:r>
          </w:p>
        </w:tc>
        <w:tc>
          <w:tcPr>
            <w:tcW w:type="dxa" w:w="1440"/>
            <w:shd w:fill="C6EFCE" w:val="clear"/>
          </w:tcPr>
          <w:p>
            <w:r>
              <w:rPr>
                <w:b/>
                <w:color w:val="008000"/>
                <w:sz w:val="17"/>
              </w:rPr>
              <w:t>+3.8%</w:t>
            </w:r>
          </w:p>
        </w:tc>
      </w:tr>
      <w:tr>
        <w:tc>
          <w:tcPr>
            <w:tcW w:type="dxa" w:w="1440"/>
            <w:shd w:fill="C6EFCE" w:val="clear"/>
          </w:tcPr>
          <w:p>
            <w:r>
              <w:rPr>
                <w:sz w:val="17"/>
              </w:rPr>
              <w:t>J+9  Moyenne</w:t>
            </w:r>
          </w:p>
        </w:tc>
        <w:tc>
          <w:tcPr>
            <w:tcW w:type="dxa" w:w="1440"/>
            <w:shd w:fill="C6EFCE" w:val="clear"/>
          </w:tcPr>
          <w:p>
            <w:r>
              <w:rPr>
                <w:sz w:val="17"/>
              </w:rPr>
              <w:t>2026-09-08</w:t>
            </w:r>
          </w:p>
        </w:tc>
        <w:tc>
          <w:tcPr>
            <w:tcW w:type="dxa" w:w="1440"/>
            <w:shd w:fill="C6EFCE" w:val="clear"/>
          </w:tcPr>
          <w:p>
            <w:r>
              <w:rPr>
                <w:sz w:val="17"/>
              </w:rPr>
              <w:t>8,757</w:t>
            </w:r>
          </w:p>
        </w:tc>
        <w:tc>
          <w:tcPr>
            <w:tcW w:type="dxa" w:w="1440"/>
            <w:shd w:fill="C6EFCE" w:val="clear"/>
          </w:tcPr>
          <w:p>
            <w:r>
              <w:rPr>
                <w:b/>
                <w:sz w:val="17"/>
              </w:rPr>
              <w:t>9,618</w:t>
            </w:r>
          </w:p>
        </w:tc>
        <w:tc>
          <w:tcPr>
            <w:tcW w:type="dxa" w:w="1440"/>
            <w:shd w:fill="C6EFCE" w:val="clear"/>
          </w:tcPr>
          <w:p>
            <w:r>
              <w:rPr>
                <w:sz w:val="17"/>
              </w:rPr>
              <w:t>10,479</w:t>
            </w:r>
          </w:p>
        </w:tc>
        <w:tc>
          <w:tcPr>
            <w:tcW w:type="dxa" w:w="1440"/>
            <w:shd w:fill="C6EFCE" w:val="clear"/>
          </w:tcPr>
          <w:p>
            <w:r>
              <w:rPr>
                <w:b/>
                <w:color w:val="008000"/>
                <w:sz w:val="17"/>
              </w:rPr>
              <w:t>+4.1%</w:t>
            </w:r>
          </w:p>
        </w:tc>
      </w:tr>
      <w:tr>
        <w:tc>
          <w:tcPr>
            <w:tcW w:type="dxa" w:w="1440"/>
            <w:shd w:fill="C6EFCE" w:val="clear"/>
          </w:tcPr>
          <w:p>
            <w:r>
              <w:rPr>
                <w:sz w:val="17"/>
              </w:rPr>
              <w:t>J+10  Moyenne</w:t>
            </w:r>
          </w:p>
        </w:tc>
        <w:tc>
          <w:tcPr>
            <w:tcW w:type="dxa" w:w="1440"/>
            <w:shd w:fill="C6EFCE" w:val="clear"/>
          </w:tcPr>
          <w:p>
            <w:r>
              <w:rPr>
                <w:sz w:val="17"/>
              </w:rPr>
              <w:t>2026-09-09</w:t>
            </w:r>
          </w:p>
        </w:tc>
        <w:tc>
          <w:tcPr>
            <w:tcW w:type="dxa" w:w="1440"/>
            <w:shd w:fill="C6EFCE" w:val="clear"/>
          </w:tcPr>
          <w:p>
            <w:r>
              <w:rPr>
                <w:sz w:val="17"/>
              </w:rPr>
              <w:t>8,733</w:t>
            </w:r>
          </w:p>
        </w:tc>
        <w:tc>
          <w:tcPr>
            <w:tcW w:type="dxa" w:w="1440"/>
            <w:shd w:fill="C6EFCE" w:val="clear"/>
          </w:tcPr>
          <w:p>
            <w:r>
              <w:rPr>
                <w:b/>
                <w:sz w:val="17"/>
              </w:rPr>
              <w:t>9,643</w:t>
            </w:r>
          </w:p>
        </w:tc>
        <w:tc>
          <w:tcPr>
            <w:tcW w:type="dxa" w:w="1440"/>
            <w:shd w:fill="C6EFCE" w:val="clear"/>
          </w:tcPr>
          <w:p>
            <w:r>
              <w:rPr>
                <w:sz w:val="17"/>
              </w:rPr>
              <w:t>10,554</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142,84 milliards FCFA, ce qui positionne le titre parmi les valeurs moyennes de la cote de la BRVM, avec un poids significatif dans le secteur agro-industriel. Le BPA de 1 003 FCFA indique que chaque action génère un bénéfice substantiel, justifiant un PER de 9,2x, légèrement inférieur à la moyenne historique de la place (~8-12x), ce qui suggère une sous-évaluation relative du titre. Le P/B de 1,00x est particulièrement attractif, le marché valorisant la société exactement à hauteur de ses capitaux propres, tandis que l'EV/EBITDA de 4,5x (largement sous le seuil de 5x) confirme une décote notable sur la capacité opérationnelle de l'entreprise. Ces ratios combinés indiquent que le marché n'intègre pas pleinement la solidité financière et la génération de cash-flow de PALC, offrant potentiellement une marge de sécurité pour l'investisseur.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PALC affiche une progression totale de +14,07%, avec une légère correction de -2,74% lors de la dernière séance, reflétant une prise de profit après un mouvement haussier soutenu. Le cours a évolué dans une fourchette de 7 000 à 9 640 FCFA, démontrant une amplitude de trading de près de 38%, caractéristique d'un titre dynamique. La moyenne de 8 460 FCFA est inférieure à la médiane de 8 662 FCFA, indiquant une asymétrie positive de la distribution des prix, tandis que le mode à 7 800 FCFA suggère une concentration des échanges à des niveaux inférieurs. L'écart-type de 550 FCFA (CV=6,5%) révèle une dispersion modérée autour de la moyenne, avec un kurtosis de -0,479 (mésokurtique) indiquant l'absence de risques extrêmes de pics, et un skewness de -0,168 confirmant une distribution quasi symétrique. La volatilité annualisée de 37,4% classe le titre dans la catégorie des valeurs à forte volatilité (&gt;30%), impliquant un risque élevé mais aussi un potentiel de rendement substantiel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de 9 240 FCFA se positionne au-dessus de la MM20 (9 147,75 FCFA) et de la MM50 (8 890,9 FCFA), confirmant une tendance haussière de court et moyen terme. La configuration en "courbe ascendante" des moyennes mobiles, avec le cours évoluant au-dessus des deux niveaux, génère un signal d'achat cohérent, indiquant que la dynamique positive reste intacte malgré la récente consolidation.</w:t>
      </w:r>
    </w:p>
    <w:p>
      <w:pPr>
        <w:spacing w:after="120" w:line="276" w:lineRule="auto"/>
      </w:pPr>
      <w:r>
        <w:t>**Bandes de Bollinger** : Le prix se situe à 9 240 FCFA, entre la borne inférieure (8 581,54 FCFA) et la borne supérieure (9 713,96 FCFA), occupant une position médiane dans le canal. Cette localisation suggère une volatilité modérée sans excès, le signal neutre reflétant une phase de consolidation après le mouvement haussier. La largeur des bandes indique une volatilité encore élevée, mais le cours n'atteint pas les extrêmes, laissant présager une poursuite de la tendance sans surachat immédiat.</w:t>
      </w:r>
    </w:p>
    <w:p>
      <w:pPr>
        <w:spacing w:after="120" w:line="276" w:lineRule="auto"/>
      </w:pPr>
      <w:r>
        <w:t>**MACD** : La valeur du MACD (193,176) est supérieure à son signal (172,723), avec un écart positif de 20,45 points, confirmant un momentum haussier toujours actif. La divergence positive entre la ligne MACD et la ligne de signal, bien que modérée, valide la poursuite de la tendance haussière à moyen terme, le signal d'achat étant renforcé par la position au-dessus de la ligne zéro.</w:t>
      </w:r>
    </w:p>
    <w:p>
      <w:pPr>
        <w:spacing w:after="120" w:line="276" w:lineRule="auto"/>
      </w:pPr>
      <w:r>
        <w:t>**RSI** : Le RSI à 58,667 se situe dans la zone neutre (30-70), indiquant un équilibre entre pression acheteuse et vendeuse sans surachat ni survente. Cette valeur reflète une dynamique positive mais non excessive, laissant une marge de progression avant d'atteindre la zone de surachat (&gt;70), ce qui est favorable pour la poursuite du mouvement haussier.</w:t>
      </w:r>
    </w:p>
    <w:p>
      <w:pPr>
        <w:spacing w:after="120" w:line="276" w:lineRule="auto"/>
      </w:pPr>
      <w:r>
        <w:t>**Stochastique** : Le %K (39,394) est inférieur au %D (72,222), indiquant un croisement baissier récent qui suggère un ralentissement du momentum à court terme. Cette configuration, bien que neutre, signale une possible consolidation dans les prochaines séances, le %K devant potentiellement remonter vers le %D pour confirmer une reprise.</w:t>
      </w:r>
    </w:p>
    <w:p>
      <w:pPr>
        <w:spacing w:after="120" w:line="276" w:lineRule="auto"/>
      </w:pPr>
      <w:r>
        <w:t>**Conclusion technique** : La convergence des signaux est globalement positive, avec les moyennes mobiles et le MACD en configuration d'achat, tandis que le RSI et les bandes de Bollinger restent neutres. Le stochastique, en revanche, suggère un essoufflement à court terme. Cette combinaison indique une tendance haussière solide à moyen terme, mais avec un risque de correction temporaire, l'ensemble des indicateurs plaidant pour une stratégie d'achat sur les replis.</w:t>
      </w:r>
    </w:p>
    <w:p>
      <w:pPr>
        <w:spacing w:after="120" w:line="276" w:lineRule="auto" w:before="240"/>
      </w:pPr>
      <w:r>
        <w:rPr>
          <w:b/>
          <w:color w:val="003366"/>
          <w:sz w:val="24"/>
        </w:rPr>
        <w:t>**PARTIE 3 : ANALYSE FONDAMENTALE (SECTION CRITIQUE)**</w:t>
      </w:r>
    </w:p>
    <w:p>
      <w:pPr>
        <w:spacing w:after="120" w:line="276" w:lineRule="auto"/>
      </w:pPr>
      <w:r>
        <w:t>En 2025, PALC affiche un chiffre d'affaires de 197,63 milliards FCFA, en croissance de +14,8% par rapport à 2024 (172,2 milliards), avec un résultat net de 15,51 milliards FCFA, en légère baisse de -2,2% (vs 15,9 milliards en 2024), reflétant une pression sur les marges. La marge nette s'établit à 7,85%, en recul de 1,4 point, tandis que le ROE atteint 10,87% et le ROA 7,79%, des niveaux corrects mais en deçà des standards d'excellence (&gt;15%). La structure financière demeure très saine avec une autonomie financière de 71,64%, un endettement minimal (ratio d'endettement de 0,56%) et une solvabilité générale de 352,56%. Le délai clients de 142,58 jours constitue un point de vigilance majeur pour la trésorerie, malgré un BFR de 44,62 milliards et une trésorerie nette négative de -4,56 milliards. Les rapports trimestriels 2025 confirment la dynamique : T1 2025 (CA +32%, RN +65% à 11,6 milliards), S1 2025 (CA +25%, RN +37% à 22,9 milliards), T3 2025 (CA cumulé +18%, RN +11% à 18 milliards). Cependant, le T1 2026 publié en 2026 révèle une chute drastique de -27% du CA (49,4 milliards) et de -86% du résultat net (1,6 milliard), attribuée à un décalage temporel des ventes. Sur la base de ces données, on estime que l'exercice 2026 pourrait être contrasté, avec un redressement attendu au S2 2026, mais la prudence reste de mise.</w:t>
      </w:r>
    </w:p>
    <w:p>
      <w:pPr>
        <w:spacing w:after="120" w:line="276" w:lineRule="auto" w:before="240"/>
      </w:pPr>
      <w:r>
        <w:rPr>
          <w:b/>
          <w:color w:val="003366"/>
          <w:sz w:val="24"/>
        </w:rPr>
        <w:t>**PARTIE 4 : CONCLUSION D'INVESTISSEMENT**</w:t>
      </w:r>
    </w:p>
    <w:p>
      <w:pPr>
        <w:spacing w:after="120" w:line="276" w:lineRule="auto"/>
      </w:pPr>
      <w:r>
        <w:t>La synthèse globale révèle une configuration contrastée : la valorisation (PER 9,2x, P/B 1,0x, EV/EBITDA 4,5x) indique une sous-évaluation attractive, tandis que le comportement du cours (+14,07% sur 100 jours) démontre une dynamique positive malgré une volatilité élevée (37,4%). Les signaux techniques convergent vers une tendance haussière à moyen terme, avec des indicateurs majoritairement en configuration d'achat, malgré un stochastique en léger essoufflement. Les fondamentaux 2025 restent solides (CA +14,8%, structure financière robuste), mais la chute du T1 2026 (-86% du RN) constitue un signal d'alerte majeur, même si la direction l'attribue à un décalage temporel. Les prédictions IA (9 435 à 9 516 FCFA sur 10 jours) confirment une poursuite modérée de la hausse, en cohérence avec les signaux techniques. La recommandation finale est **CONSERVER**, avec un niveau de confiance **Moyen** et un risque global **Élevé**, l'horizon d'investissement optimal étant le **moyen terme (3-12 mois)** pour observer le redressement annoncé et la confirmation des fondamentaux.</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46.59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893 titres</w:t>
            </w:r>
          </w:p>
        </w:tc>
        <w:tc>
          <w:tcPr>
            <w:tcW w:type="dxa" w:w="2268"/>
            <w:shd w:fill="FFF2CC" w:val="clear"/>
          </w:tcPr>
          <w:p>
            <w:r>
              <w:rPr>
                <w:b/>
                <w:color w:val="503200"/>
                <w:sz w:val="16"/>
              </w:rPr>
              <w:t xml:space="preserve">Cours actuel : </w:t>
            </w:r>
            <w:r>
              <w:rPr>
                <w:color w:val="000000"/>
                <w:sz w:val="17"/>
              </w:rPr>
              <w:t>4,550 FCFA</w:t>
            </w:r>
          </w:p>
          <w:p>
            <w:r>
              <w:rPr>
                <w:b/>
                <w:color w:val="503200"/>
                <w:sz w:val="16"/>
              </w:rPr>
              <w:t xml:space="preserve">Var. 100 jours : </w:t>
            </w:r>
            <w:r>
              <w:rPr>
                <w:b/>
                <w:color w:val="B40000"/>
                <w:sz w:val="17"/>
              </w:rPr>
              <w:t>-6.67%</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7.89% (Moyenne) — μ=4,452 FCFA, σ=351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β=-0.2937 (Contre-cyclique) — Cov=-0.000010, Var(idx)=0.000033, ρ=-0.067,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893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4,370</w:t>
            </w:r>
          </w:p>
        </w:tc>
        <w:tc>
          <w:tcPr>
            <w:tcW w:type="dxa" w:w="1440"/>
            <w:shd w:fill="FAFAFA" w:val="clear"/>
          </w:tcPr>
          <w:p>
            <w:r>
              <w:rPr>
                <w:b/>
                <w:sz w:val="17"/>
              </w:rPr>
              <w:t>4,473</w:t>
            </w:r>
          </w:p>
        </w:tc>
        <w:tc>
          <w:tcPr>
            <w:tcW w:type="dxa" w:w="1440"/>
            <w:shd w:fill="FAFAFA" w:val="clear"/>
          </w:tcPr>
          <w:p>
            <w:r>
              <w:rPr>
                <w:sz w:val="17"/>
              </w:rPr>
              <w:t>4,576</w:t>
            </w:r>
          </w:p>
        </w:tc>
        <w:tc>
          <w:tcPr>
            <w:tcW w:type="dxa" w:w="1440"/>
            <w:shd w:fill="FAFAFA" w:val="clear"/>
          </w:tcPr>
          <w:p>
            <w:r>
              <w:rPr>
                <w:b/>
                <w:color w:val="C00000"/>
                <w:sz w:val="17"/>
              </w:rPr>
              <w:t>-1.7%</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4,314</w:t>
            </w:r>
          </w:p>
        </w:tc>
        <w:tc>
          <w:tcPr>
            <w:tcW w:type="dxa" w:w="1440"/>
            <w:shd w:fill="FAFAFA" w:val="clear"/>
          </w:tcPr>
          <w:p>
            <w:r>
              <w:rPr>
                <w:b/>
                <w:sz w:val="17"/>
              </w:rPr>
              <w:t>4,459</w:t>
            </w:r>
          </w:p>
        </w:tc>
        <w:tc>
          <w:tcPr>
            <w:tcW w:type="dxa" w:w="1440"/>
            <w:shd w:fill="FAFAFA" w:val="clear"/>
          </w:tcPr>
          <w:p>
            <w:r>
              <w:rPr>
                <w:sz w:val="17"/>
              </w:rPr>
              <w:t>4,605</w:t>
            </w:r>
          </w:p>
        </w:tc>
        <w:tc>
          <w:tcPr>
            <w:tcW w:type="dxa" w:w="1440"/>
            <w:shd w:fill="FAFAFA"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4,258</w:t>
            </w:r>
          </w:p>
        </w:tc>
        <w:tc>
          <w:tcPr>
            <w:tcW w:type="dxa" w:w="1440"/>
            <w:shd w:fill="FFDCE0" w:val="clear"/>
          </w:tcPr>
          <w:p>
            <w:r>
              <w:rPr>
                <w:b/>
                <w:sz w:val="17"/>
              </w:rPr>
              <w:t>4,436</w:t>
            </w:r>
          </w:p>
        </w:tc>
        <w:tc>
          <w:tcPr>
            <w:tcW w:type="dxa" w:w="1440"/>
            <w:shd w:fill="FFDCE0" w:val="clear"/>
          </w:tcPr>
          <w:p>
            <w:r>
              <w:rPr>
                <w:sz w:val="17"/>
              </w:rPr>
              <w:t>4,613</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4,209</w:t>
            </w:r>
          </w:p>
        </w:tc>
        <w:tc>
          <w:tcPr>
            <w:tcW w:type="dxa" w:w="1440"/>
            <w:shd w:fill="FFDCE0" w:val="clear"/>
          </w:tcPr>
          <w:p>
            <w:r>
              <w:rPr>
                <w:b/>
                <w:sz w:val="17"/>
              </w:rPr>
              <w:t>4,413</w:t>
            </w:r>
          </w:p>
        </w:tc>
        <w:tc>
          <w:tcPr>
            <w:tcW w:type="dxa" w:w="1440"/>
            <w:shd w:fill="FFDCE0" w:val="clear"/>
          </w:tcPr>
          <w:p>
            <w:r>
              <w:rPr>
                <w:sz w:val="17"/>
              </w:rPr>
              <w:t>4,616</w:t>
            </w:r>
          </w:p>
        </w:tc>
        <w:tc>
          <w:tcPr>
            <w:tcW w:type="dxa" w:w="1440"/>
            <w:shd w:fill="FFDCE0" w:val="clear"/>
          </w:tcPr>
          <w:p>
            <w:r>
              <w:rPr>
                <w:b/>
                <w:color w:val="C00000"/>
                <w:sz w:val="17"/>
              </w:rPr>
              <w:t>-3.0%</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4,164</w:t>
            </w:r>
          </w:p>
        </w:tc>
        <w:tc>
          <w:tcPr>
            <w:tcW w:type="dxa" w:w="1440"/>
            <w:shd w:fill="FFDCE0" w:val="clear"/>
          </w:tcPr>
          <w:p>
            <w:r>
              <w:rPr>
                <w:b/>
                <w:sz w:val="17"/>
              </w:rPr>
              <w:t>4,391</w:t>
            </w:r>
          </w:p>
        </w:tc>
        <w:tc>
          <w:tcPr>
            <w:tcW w:type="dxa" w:w="1440"/>
            <w:shd w:fill="FFDCE0" w:val="clear"/>
          </w:tcPr>
          <w:p>
            <w:r>
              <w:rPr>
                <w:sz w:val="17"/>
              </w:rPr>
              <w:t>4,617</w:t>
            </w:r>
          </w:p>
        </w:tc>
        <w:tc>
          <w:tcPr>
            <w:tcW w:type="dxa" w:w="1440"/>
            <w:shd w:fill="FFDCE0" w:val="clear"/>
          </w:tcPr>
          <w:p>
            <w:r>
              <w:rPr>
                <w:b/>
                <w:color w:val="C00000"/>
                <w:sz w:val="17"/>
              </w:rPr>
              <w:t>-3.5%</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4,122</w:t>
            </w:r>
          </w:p>
        </w:tc>
        <w:tc>
          <w:tcPr>
            <w:tcW w:type="dxa" w:w="1440"/>
            <w:shd w:fill="FFDCE0" w:val="clear"/>
          </w:tcPr>
          <w:p>
            <w:r>
              <w:rPr>
                <w:b/>
                <w:sz w:val="17"/>
              </w:rPr>
              <w:t>4,369</w:t>
            </w:r>
          </w:p>
        </w:tc>
        <w:tc>
          <w:tcPr>
            <w:tcW w:type="dxa" w:w="1440"/>
            <w:shd w:fill="FFDCE0" w:val="clear"/>
          </w:tcPr>
          <w:p>
            <w:r>
              <w:rPr>
                <w:sz w:val="17"/>
              </w:rPr>
              <w:t>4,616</w:t>
            </w:r>
          </w:p>
        </w:tc>
        <w:tc>
          <w:tcPr>
            <w:tcW w:type="dxa" w:w="1440"/>
            <w:shd w:fill="FFDCE0" w:val="clear"/>
          </w:tcPr>
          <w:p>
            <w:r>
              <w:rPr>
                <w:b/>
                <w:color w:val="C00000"/>
                <w:sz w:val="17"/>
              </w:rPr>
              <w:t>-4.0%</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4,083</w:t>
            </w:r>
          </w:p>
        </w:tc>
        <w:tc>
          <w:tcPr>
            <w:tcW w:type="dxa" w:w="1440"/>
            <w:shd w:fill="FFDCE0" w:val="clear"/>
          </w:tcPr>
          <w:p>
            <w:r>
              <w:rPr>
                <w:b/>
                <w:sz w:val="17"/>
              </w:rPr>
              <w:t>4,348</w:t>
            </w:r>
          </w:p>
        </w:tc>
        <w:tc>
          <w:tcPr>
            <w:tcW w:type="dxa" w:w="1440"/>
            <w:shd w:fill="FFDCE0" w:val="clear"/>
          </w:tcPr>
          <w:p>
            <w:r>
              <w:rPr>
                <w:sz w:val="17"/>
              </w:rPr>
              <w:t>4,614</w:t>
            </w:r>
          </w:p>
        </w:tc>
        <w:tc>
          <w:tcPr>
            <w:tcW w:type="dxa" w:w="1440"/>
            <w:shd w:fill="FFDCE0" w:val="clear"/>
          </w:tcPr>
          <w:p>
            <w:r>
              <w:rPr>
                <w:b/>
                <w:color w:val="C00000"/>
                <w:sz w:val="17"/>
              </w:rPr>
              <w:t>-4.4%</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4,046</w:t>
            </w:r>
          </w:p>
        </w:tc>
        <w:tc>
          <w:tcPr>
            <w:tcW w:type="dxa" w:w="1440"/>
            <w:shd w:fill="FFDCE0" w:val="clear"/>
          </w:tcPr>
          <w:p>
            <w:r>
              <w:rPr>
                <w:b/>
                <w:sz w:val="17"/>
              </w:rPr>
              <w:t>4,328</w:t>
            </w:r>
          </w:p>
        </w:tc>
        <w:tc>
          <w:tcPr>
            <w:tcW w:type="dxa" w:w="1440"/>
            <w:shd w:fill="FFDCE0" w:val="clear"/>
          </w:tcPr>
          <w:p>
            <w:r>
              <w:rPr>
                <w:sz w:val="17"/>
              </w:rPr>
              <w:t>4,610</w:t>
            </w:r>
          </w:p>
        </w:tc>
        <w:tc>
          <w:tcPr>
            <w:tcW w:type="dxa" w:w="1440"/>
            <w:shd w:fill="FFDCE0" w:val="clear"/>
          </w:tcPr>
          <w:p>
            <w:r>
              <w:rPr>
                <w:b/>
                <w:color w:val="C00000"/>
                <w:sz w:val="17"/>
              </w:rPr>
              <w:t>-4.9%</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4,010</w:t>
            </w:r>
          </w:p>
        </w:tc>
        <w:tc>
          <w:tcPr>
            <w:tcW w:type="dxa" w:w="1440"/>
            <w:shd w:fill="FFDCE0" w:val="clear"/>
          </w:tcPr>
          <w:p>
            <w:r>
              <w:rPr>
                <w:b/>
                <w:sz w:val="17"/>
              </w:rPr>
              <w:t>4,308</w:t>
            </w:r>
          </w:p>
        </w:tc>
        <w:tc>
          <w:tcPr>
            <w:tcW w:type="dxa" w:w="1440"/>
            <w:shd w:fill="FFDCE0" w:val="clear"/>
          </w:tcPr>
          <w:p>
            <w:r>
              <w:rPr>
                <w:sz w:val="17"/>
              </w:rPr>
              <w:t>4,606</w:t>
            </w:r>
          </w:p>
        </w:tc>
        <w:tc>
          <w:tcPr>
            <w:tcW w:type="dxa" w:w="1440"/>
            <w:shd w:fill="FFDCE0" w:val="clear"/>
          </w:tcPr>
          <w:p>
            <w:r>
              <w:rPr>
                <w:b/>
                <w:color w:val="C00000"/>
                <w:sz w:val="17"/>
              </w:rPr>
              <w:t>-5.3%</w:t>
            </w:r>
          </w:p>
        </w:tc>
      </w:tr>
      <w:tr>
        <w:tc>
          <w:tcPr>
            <w:tcW w:type="dxa" w:w="1440"/>
            <w:shd w:fill="FFDCE0" w:val="clear"/>
          </w:tcPr>
          <w:p>
            <w:r>
              <w:rPr>
                <w:sz w:val="17"/>
              </w:rPr>
              <w:t>J+10  Moyenne</w:t>
            </w:r>
          </w:p>
        </w:tc>
        <w:tc>
          <w:tcPr>
            <w:tcW w:type="dxa" w:w="1440"/>
            <w:shd w:fill="FFDCE0" w:val="clear"/>
          </w:tcPr>
          <w:p>
            <w:r>
              <w:rPr>
                <w:sz w:val="17"/>
              </w:rPr>
              <w:t>2026-09-09</w:t>
            </w:r>
          </w:p>
        </w:tc>
        <w:tc>
          <w:tcPr>
            <w:tcW w:type="dxa" w:w="1440"/>
            <w:shd w:fill="FFDCE0" w:val="clear"/>
          </w:tcPr>
          <w:p>
            <w:r>
              <w:rPr>
                <w:sz w:val="17"/>
              </w:rPr>
              <w:t>3,976</w:t>
            </w:r>
          </w:p>
        </w:tc>
        <w:tc>
          <w:tcPr>
            <w:tcW w:type="dxa" w:w="1440"/>
            <w:shd w:fill="FFDCE0" w:val="clear"/>
          </w:tcPr>
          <w:p>
            <w:r>
              <w:rPr>
                <w:b/>
                <w:sz w:val="17"/>
              </w:rPr>
              <w:t>4,288</w:t>
            </w:r>
          </w:p>
        </w:tc>
        <w:tc>
          <w:tcPr>
            <w:tcW w:type="dxa" w:w="1440"/>
            <w:shd w:fill="FFDCE0" w:val="clear"/>
          </w:tcPr>
          <w:p>
            <w:r>
              <w:rPr>
                <w:sz w:val="17"/>
              </w:rPr>
              <w:t>4,601</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 AFRIC MOTORS CI)**</w:t>
        <w:br/>
        <w:t>**Date : 27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46,59 milliards FCFA, un niveau significatif qui la positionne comme une valeur de taille moyenne sur la BRVM. Avec un BPA de 231 FCFA, le titre se négocie à un PER de 19,7x, nettement supérieur à la moyenne historique du marché (8-12x), indiquant que les investisseurs paient une prime substantielle pour les bénéfices de l'entreprise. Le P/B de 4,04x confirme cette valorisation exigeante, le marché valorisant le titre plus de quatre fois sa valeur comptable, ce qui reflète des attentes élevées de croissance future. Enfin, l'EV/EBITDA de 10,0x se situe dans la fourchette haute des valeurs raisonnables (5-10x), suggérant que la valorisation globale de l'entreprise, dettes incluses, reste soutenable mais sans marge de sécurité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affiche une variation totale de -6,67%, passant de son plus haut à 5 100 FCFA à un plus bas de 3 620 FCFA, avant de se stabiliser à 4 550 FCFA, enregistrant une hausse de +1,79% lors de la dernière séance. La moyenne du cours sur la période (4 452 FCFA) est légèrement inférieure à la médiane (4 495 FCFA), indiquant une distribution légèrement asymétrique avec quelques fortes baisses. L'écart-type de 353 FCFA (CV=7,9%) révèle une dispersion modérée autour de la moyenne. Le kurtosis de 0,167 (mésokurtique) suggère une distribution proche de la normale, sans risque de pics extrêmes, tandis que le skewness négatif de -0,683 indique que les journées de hausse sont plus fréquentes mais de moindre ampleur que les baisses. La volatilité annualisée de 40,1% classe le titre comme très volatil, un niveau élevé qui reflète une incertitude marquée des investisseurs sur la valeur.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4 550 FCFA se situe au-dessus de la MM20 (4 465,5 FCFA) mais en dessous de la MM50 (4 502,3 FCFA), créant une configuration baissière à moyen terme. La décision de Vente est justifiée par la position du prix sous la MM50, signalant une tendance de fond encore négative malgré le rebond récent.</w:t>
      </w:r>
    </w:p>
    <w:p>
      <w:pPr>
        <w:spacing w:after="120" w:line="276" w:lineRule="auto"/>
      </w:pPr>
      <w:r>
        <w:t>**Bandes de Bollinger :** Le cours à 4 550 FCFA se positionne près de la borne supérieure (4 566 FCFA), indiquant une pression acheteuse récente. La décision Neutre s'explique par le fait que le prix reste dans l'enveloppe sans la franchir, suggérant une volatilité normale sans signal directionnel fort.</w:t>
      </w:r>
    </w:p>
    <w:p>
      <w:pPr>
        <w:spacing w:after="120" w:line="276" w:lineRule="auto"/>
      </w:pPr>
      <w:r>
        <w:t>**MACD :** La valeur positive de 3,723 par rapport au signal négatif (-0,786) constitue un croisement haussier net, signalant un momentum positif en cours de formation. La décision Achat est cohérente avec cette dynamique, indiquant un potentiel de poursuite du mouvement haussier à court terme.</w:t>
      </w:r>
    </w:p>
    <w:p>
      <w:pPr>
        <w:spacing w:after="120" w:line="276" w:lineRule="auto"/>
      </w:pPr>
      <w:r>
        <w:t>**RSI :** À 64,706, le RSI se situe en zone neutre-haute, proche du seuil de surachat (70). La décision Neutre reflète un équilibre entre pression acheteuse et risque de correction, le titre n'étant pas encore en situation de surachat extrême.</w:t>
      </w:r>
    </w:p>
    <w:p>
      <w:pPr>
        <w:spacing w:after="120" w:line="276" w:lineRule="auto"/>
      </w:pPr>
      <w:r>
        <w:t>**Stochastique :** Avec %K à 100 et %D à 82,456, l'oscillateur est en zone de surachat prononcé. La décision Vente est justifiée par ce niveau extrême, signalant un risque élevé de retournement baissier à très court terme.</w:t>
      </w:r>
    </w:p>
    <w:p>
      <w:pPr>
        <w:spacing w:after="120" w:line="276" w:lineRule="auto"/>
      </w:pPr>
      <w:r>
        <w:t>**Conclusion technique :** Les signaux sont mitigés avec une divergence nette entre le MACD (Achat) et le Stochastique (Vente). Le titre est dans une phase de rebond technique après une période baissière, mais les conditions de surachat à court terme suggèrent une consolidation probable avant toute poursuite haussière durable.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révèlent une entreprise en croissance avec un chiffre d'affaires de 81,127 milliards FCFA (+9,5% par rapport à 2024), un résultat net de 2,367 milliards FCFA et un ROE excellent de 20,53%, bien au-dessus du seuil de 15% considéré comme performant. Le ROA de 4,95% reste modeste, reflétant une rotation des actifs élevée (169,6%) mais des marges faibles (marge nette de 2,92%). La structure financière montre un endettement important (ratio d'endettement de 314,9%) mais une solvabilité correcte (131,8%). Le BFR de 11,267 milliards FCFA, avec un délai clients de 46 jours et un délai fournisseurs de 102,7 jours, indique une gestion de trésorerie sous tension. Le rapport du S1 2025 (30/06/2025) confirme cette dynamique avec un CA en hausse de 15,1% et un résultat net multiplié par 28, mais la direction anticipe un ralentissement au S2 lié au contexte électoral. Le rapport 2025 mentionne un dividende de 209 FCFA par action, offrant un rendement de 4,6%, et la convocation à l'AG du 30 juin 2026 confirme cette distribution. Les perspectives restent positives grâce à la croissance du marché automobile ivoirien, mais la dépendance aux produits non courants (1,9 milliard en 2024) et la pression sur les marges opérationnelles constituent des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de PRSC apparaît exigeante avec un PER de 19,7x et un P/B de 4,04x, nettement supérieurs aux moyennes du marché BRVM, ce qui limite le potentiel de hausse. Le comportement du cours sur 100 jours montre une tendance baissière (-6,67%) avec une volatilité élevée (40,1%), mais les statistiques révèlent une distribution relativement normale sans risque extrême. Les signaux techniques sont divergents : le MACD est positif tandis que le Stochastique indique un surachat, suggérant une consolidation à court terme. Les fondamentaux sont solides avec une croissance du CA de 9,5% en 2025, un ROE de 20,5% et un dividende de 209 FCFA, mais la marge nette faible (2,9%) et l'endettement élevé tempèrent l'enthousiasme. Les prédictions IA (4 473 à 4 391 FCFA sur 10 jours) confirment une tendance baissière à court terme, en cohérence avec les signaux techniques de surachat. **Recommandation finale : CONSERVER** avec un niveau de confiance Moyen et un risque global Élevé. L'horizon d'investissement optimal est le moyen terme (3-12 mois), en attendant une clarification de la politique de dividende et une amélioration des marges opérationnelles.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47.91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7,357 titres</w:t>
            </w:r>
          </w:p>
        </w:tc>
        <w:tc>
          <w:tcPr>
            <w:tcW w:type="dxa" w:w="2268"/>
            <w:shd w:fill="FFF2CC" w:val="clear"/>
          </w:tcPr>
          <w:p>
            <w:r>
              <w:rPr>
                <w:b/>
                <w:color w:val="503200"/>
                <w:sz w:val="16"/>
              </w:rPr>
              <w:t xml:space="preserve">Cours actuel : </w:t>
            </w:r>
            <w:r>
              <w:rPr>
                <w:color w:val="000000"/>
                <w:sz w:val="17"/>
              </w:rPr>
              <w:t>5,900 FCFA</w:t>
            </w:r>
          </w:p>
          <w:p>
            <w:r>
              <w:rPr>
                <w:b/>
                <w:color w:val="503200"/>
                <w:sz w:val="16"/>
              </w:rPr>
              <w:t xml:space="preserve">Var. 100 jours : </w:t>
            </w:r>
            <w:r>
              <w:rPr>
                <w:b/>
                <w:color w:val="B40000"/>
                <w:sz w:val="17"/>
              </w:rPr>
              <w:t>-16.07%</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22.96% (Élevée) — μ=4,764 FCFA, σ=1,094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β=0.4952 (Défensif) — Cov=0.000017, Var(idx)=0.000033, ρ=0.054,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7,357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σ_j=5.24%/j (Instable) — Vol. annualisée≈83.2%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5,134</w:t>
            </w:r>
          </w:p>
        </w:tc>
        <w:tc>
          <w:tcPr>
            <w:tcW w:type="dxa" w:w="1440"/>
            <w:shd w:fill="FFDCE0" w:val="clear"/>
          </w:tcPr>
          <w:p>
            <w:r>
              <w:rPr>
                <w:b/>
                <w:sz w:val="17"/>
              </w:rPr>
              <w:t>5,458</w:t>
            </w:r>
          </w:p>
        </w:tc>
        <w:tc>
          <w:tcPr>
            <w:tcW w:type="dxa" w:w="1440"/>
            <w:shd w:fill="FFDCE0" w:val="clear"/>
          </w:tcPr>
          <w:p>
            <w:r>
              <w:rPr>
                <w:sz w:val="17"/>
              </w:rPr>
              <w:t>5,781</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4,626</w:t>
            </w:r>
          </w:p>
        </w:tc>
        <w:tc>
          <w:tcPr>
            <w:tcW w:type="dxa" w:w="1440"/>
            <w:shd w:fill="FFDCE0" w:val="clear"/>
          </w:tcPr>
          <w:p>
            <w:r>
              <w:rPr>
                <w:b/>
                <w:sz w:val="17"/>
              </w:rPr>
              <w:t>5,048</w:t>
            </w:r>
          </w:p>
        </w:tc>
        <w:tc>
          <w:tcPr>
            <w:tcW w:type="dxa" w:w="1440"/>
            <w:shd w:fill="FFDCE0" w:val="clear"/>
          </w:tcPr>
          <w:p>
            <w:r>
              <w:rPr>
                <w:sz w:val="17"/>
              </w:rPr>
              <w:t>5,471</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4,191</w:t>
            </w:r>
          </w:p>
        </w:tc>
        <w:tc>
          <w:tcPr>
            <w:tcW w:type="dxa" w:w="1440"/>
            <w:shd w:fill="FFDCE0" w:val="clear"/>
          </w:tcPr>
          <w:p>
            <w:r>
              <w:rPr>
                <w:b/>
                <w:sz w:val="17"/>
              </w:rPr>
              <w:t>4,670</w:t>
            </w:r>
          </w:p>
        </w:tc>
        <w:tc>
          <w:tcPr>
            <w:tcW w:type="dxa" w:w="1440"/>
            <w:shd w:fill="FFDCE0" w:val="clear"/>
          </w:tcPr>
          <w:p>
            <w:r>
              <w:rPr>
                <w:sz w:val="17"/>
              </w:rPr>
              <w:t>5,148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3,808</w:t>
            </w:r>
          </w:p>
        </w:tc>
        <w:tc>
          <w:tcPr>
            <w:tcW w:type="dxa" w:w="1440"/>
            <w:shd w:fill="FFDCE0" w:val="clear"/>
          </w:tcPr>
          <w:p>
            <w:r>
              <w:rPr>
                <w:b/>
                <w:sz w:val="17"/>
              </w:rPr>
              <w:t>4,319</w:t>
            </w:r>
          </w:p>
        </w:tc>
        <w:tc>
          <w:tcPr>
            <w:tcW w:type="dxa" w:w="1440"/>
            <w:shd w:fill="FFDCE0" w:val="clear"/>
          </w:tcPr>
          <w:p>
            <w:r>
              <w:rPr>
                <w:sz w:val="17"/>
              </w:rPr>
              <w:t>4,831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3,467</w:t>
            </w:r>
          </w:p>
        </w:tc>
        <w:tc>
          <w:tcPr>
            <w:tcW w:type="dxa" w:w="1440"/>
            <w:shd w:fill="FFDCE0" w:val="clear"/>
          </w:tcPr>
          <w:p>
            <w:r>
              <w:rPr>
                <w:b/>
                <w:sz w:val="17"/>
              </w:rPr>
              <w:t>3,995</w:t>
            </w:r>
          </w:p>
        </w:tc>
        <w:tc>
          <w:tcPr>
            <w:tcW w:type="dxa" w:w="1440"/>
            <w:shd w:fill="FFDCE0" w:val="clear"/>
          </w:tcPr>
          <w:p>
            <w:r>
              <w:rPr>
                <w:sz w:val="17"/>
              </w:rPr>
              <w:t>4,524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3,160</w:t>
            </w:r>
          </w:p>
        </w:tc>
        <w:tc>
          <w:tcPr>
            <w:tcW w:type="dxa" w:w="1440"/>
            <w:shd w:fill="FFDCE0" w:val="clear"/>
          </w:tcPr>
          <w:p>
            <w:r>
              <w:rPr>
                <w:b/>
                <w:sz w:val="17"/>
              </w:rPr>
              <w:t>3,696</w:t>
            </w:r>
          </w:p>
        </w:tc>
        <w:tc>
          <w:tcPr>
            <w:tcW w:type="dxa" w:w="1440"/>
            <w:shd w:fill="FFDCE0" w:val="clear"/>
          </w:tcPr>
          <w:p>
            <w:r>
              <w:rPr>
                <w:sz w:val="17"/>
              </w:rPr>
              <w:t>4,232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2,883</w:t>
            </w:r>
          </w:p>
        </w:tc>
        <w:tc>
          <w:tcPr>
            <w:tcW w:type="dxa" w:w="1440"/>
            <w:shd w:fill="FFDCE0" w:val="clear"/>
          </w:tcPr>
          <w:p>
            <w:r>
              <w:rPr>
                <w:b/>
                <w:sz w:val="17"/>
              </w:rPr>
              <w:t>3,419</w:t>
            </w:r>
          </w:p>
        </w:tc>
        <w:tc>
          <w:tcPr>
            <w:tcW w:type="dxa" w:w="1440"/>
            <w:shd w:fill="FFDCE0" w:val="clear"/>
          </w:tcPr>
          <w:p>
            <w:r>
              <w:rPr>
                <w:sz w:val="17"/>
              </w:rPr>
              <w:t>3,954</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2,633</w:t>
            </w:r>
          </w:p>
        </w:tc>
        <w:tc>
          <w:tcPr>
            <w:tcW w:type="dxa" w:w="1440"/>
            <w:shd w:fill="FFDCE0" w:val="clear"/>
          </w:tcPr>
          <w:p>
            <w:r>
              <w:rPr>
                <w:b/>
                <w:sz w:val="17"/>
              </w:rPr>
              <w:t>3,162</w:t>
            </w:r>
          </w:p>
        </w:tc>
        <w:tc>
          <w:tcPr>
            <w:tcW w:type="dxa" w:w="1440"/>
            <w:shd w:fill="FFDCE0" w:val="clear"/>
          </w:tcPr>
          <w:p>
            <w:r>
              <w:rPr>
                <w:sz w:val="17"/>
              </w:rPr>
              <w:t>3,692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2,406</w:t>
            </w:r>
          </w:p>
        </w:tc>
        <w:tc>
          <w:tcPr>
            <w:tcW w:type="dxa" w:w="1440"/>
            <w:shd w:fill="FFDCE0" w:val="clear"/>
          </w:tcPr>
          <w:p>
            <w:r>
              <w:rPr>
                <w:b/>
                <w:sz w:val="17"/>
              </w:rPr>
              <w:t>2,925</w:t>
            </w:r>
          </w:p>
        </w:tc>
        <w:tc>
          <w:tcPr>
            <w:tcW w:type="dxa" w:w="1440"/>
            <w:shd w:fill="FFDCE0" w:val="clear"/>
          </w:tcPr>
          <w:p>
            <w:r>
              <w:rPr>
                <w:sz w:val="17"/>
              </w:rPr>
              <w:t>3,444</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2,199</w:t>
            </w:r>
          </w:p>
        </w:tc>
        <w:tc>
          <w:tcPr>
            <w:tcW w:type="dxa" w:w="1440"/>
            <w:shd w:fill="FFDCE0" w:val="clear"/>
          </w:tcPr>
          <w:p>
            <w:r>
              <w:rPr>
                <w:b/>
                <w:sz w:val="17"/>
              </w:rPr>
              <w:t>2,706</w:t>
            </w:r>
          </w:p>
        </w:tc>
        <w:tc>
          <w:tcPr>
            <w:tcW w:type="dxa" w:w="1440"/>
            <w:shd w:fill="FFDCE0" w:val="clear"/>
          </w:tcPr>
          <w:p>
            <w:r>
              <w:rPr>
                <w:sz w:val="17"/>
              </w:rPr>
              <w:t>3,212</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de l'analyse : 26 août 2026**</w:t>
        <w:br/>
        <w:t>**Cours de référence : 5 900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47,91 milliards FCFA, un niveau significatif pour une institution financière de taille moyenne sur la BRVM. Avec un BPA de 86 FCFA, le titre se paie un PER de 68,3x, soit près de 6 à 8 fois le PER moyen du marché (8-12x). Cette valorisation extrêmement élevée traduit des attentes de croissance bénéficiaire très fortes, probablement liées au redressement spectaculaire de 2025. Le P/B de 8,10x confirme cette prime, le marché valorisant le titre à plus de 8 fois sa valeur comptable, ce qui est exigeant pour une banque en phase de consolidation. Enfin, l'EV/EBITDA de 82,0x est également très élevé, indiquant que les investisseurs paient une prime substantielle pour la capacité opérationnelle actuelle, ce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**baisse de 16,07%**, mais a rebondi de +1,72% lors de la dernière séance. Le cours a évolué dans une fourchette très large, entre un plus bas de 3 340 FCFA et un plus haut de 7 555 FCFA, illustrant une volatilité extrême. La moyenne du cours sur la période est de 4 764 FCFA, supérieure à la médiane (4 505 FCFA), ce qui, combiné à un skewness positif (0,996), indique une distribution asymétrique avec des journées majoritairement sous la moyenne mais ponctuées de fortes hausses. L'écart-type de 1 099 FCFA (CV=23,1%) confirme une dispersion élevée. Le kurtosis proche de zéro (0,182) suggère une distribution mésokurtique, sans risque de pics extrêmes particulier. La **volatilité annualisée de 83,2%** est extrêmement élevée, plaçant ce titre parmi les plus risqués de la cote, avec des mouvements de prix amples dans les deux sens.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(5 900 FCFA) est nettement au-dessus de la MM20 (5 376,5 FCFA) et de la MM50 (4 823,8 FCFA). Cette configuration haussière, avec le cours au-dessus des deux moyennes, confirme une dynamique positive à court et moyen terme. La décision d'**Achat** est justifiée par cette structure de prix.</w:t>
      </w:r>
    </w:p>
    <w:p>
      <w:pPr>
        <w:spacing w:after="120" w:line="276" w:lineRule="auto"/>
      </w:pPr>
      <w:r>
        <w:t>**Bandes de Bollinger** : Le cours se situe près de la borne supérieure (6 076,3 FCFA), indiquant une pression acheteuse soutenue. La largeur des bandes reflète la forte volatilité du titre. La décision **Neutre** suggère que le marché attend une confirmation de la sortie ou un repli vers la moyenne.</w:t>
      </w:r>
    </w:p>
    <w:p>
      <w:pPr>
        <w:spacing w:after="120" w:line="276" w:lineRule="auto"/>
      </w:pPr>
      <w:r>
        <w:t>**MACD** : Le MACD (314,2) est nettement au-dessus de sa ligne de signal (284,4), indiquant un momentum haussier positif. Cette divergence positive confirme la tendance haussière en cours. La décision d'**Achat** est cohérente avec cette configuration.</w:t>
      </w:r>
    </w:p>
    <w:p>
      <w:pPr>
        <w:spacing w:after="120" w:line="276" w:lineRule="auto"/>
      </w:pPr>
      <w:r>
        <w:t>**RSI** : À 67,1, le RSI est en zone neutre-haute, proche du seuil de surachat (70). Cela indique une dynamique positive mais un potentiel de correction à court terme. La décision **Neutre** est prudente, car le titre pourrait être proche d'une zone de consolidation.</w:t>
      </w:r>
    </w:p>
    <w:p>
      <w:pPr>
        <w:spacing w:after="120" w:line="276" w:lineRule="auto"/>
      </w:pPr>
      <w:r>
        <w:t>**Stochastique** : Le %K (100,0) et le %D (94,2) sont en zone de surachat extrême, avec %K au maximum. Cette configuration signale un risque élevé de retournement baissier à très court terme. La décision de **Vente** est justifiée par cette situation de surachat technique.</w:t>
      </w:r>
    </w:p>
    <w:p>
      <w:pPr>
        <w:spacing w:after="120" w:line="276" w:lineRule="auto"/>
      </w:pPr>
      <w:r>
        <w:t>**Conclusion technique** : Les indicateurs de tendance (MM, MACD) sont positifs, mais les oscillateurs (RSI, Stochastique) signalent un risque de correction imminente. Le titre est en surachat technique, et un repli vers les 5 400-5 500 FCFA est possible avant une poursuite de la hausse. La prudence est de mise à court terme.</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**PNB de 5,735 milliards FCFA** (+44,1% vs 2024) et un **résultat net positif de 701 millions FCFA**, contre une perte de 165 millions en 2024. La marge nette s'établit à 12,2%, le ROE à 11,85% et le ROA à 0,88%. Le coefficient d'exploitation de 77,6% reste élevé, indiquant une efficacité opérationnelle encore perfectible. Le coût du risque (6,57% des charges financières) demeure significatif, reflétant un portefeuille de crédits encore fragile. La structure de bilan montre une forte dépendance aux dettes interbancaires (35,7 Mds FCFA) et un ratio de fonds propres de seulement 7,4%, un point de vigilance. **Sur la base du rapport T1 2026** (PNB de 1,395 Md FCFA, +29%, et résultat net de 151 M FCFA, +1062%), on estime que l'exercice 2026 pourrait voir un PNB annuel autour de 6,5-7 Mds FCFA et un résultat net de 600-800 millions FCFA, confirmant la tendance de redressement. L'augmentation de capital de 1,5 milliard FCFA (avril 2026) et l'arrivée de CREDAF Group renforcent les perspectives, mais la prudence reste de mise.</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(PER 68x, P/B 8,1x), intégrant des attentes de croissance très optimistes. Le comportement du cours est marqué par une **volatilité extrême** (83,2% annualisée) et une asymétrie positive, avec un risque de correction technique élevé (Stochastique en surachat). Les signaux techniques sont **mitigés** : tendance haussière (MM, MACD) mais oscillateurs surachetés. Les fondamentaux montrent un **redressement réel** mais fragile, avec des capitaux propres encore insuffisants et un coût du risque élevé. Les prédictions IA (5 458 FCFA à J+1, puis baisse progressive à 3 995 FCFA à J+10) **contredisent fortement** la tendance actuelle, anticipant une correction majeure. Cette divergence entre le momentum technique et les prédictions algorithmiques suggère un **risque élevé de retournement**. **Recommandation finale : VENTE** (ou prudence extrême pour les détenteurs). Niveau de confiance : **Moyen**. Risque global : **Élevé**. Horizon d'investissement : **Court terme (&lt;3 mois)** pour les traders, avec un stop-loss serré ; les investisseurs long terme devraient attendre une consolidation et un renforcement des fonds propres avant d'envisager une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66.15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12,867 titres</w:t>
            </w:r>
          </w:p>
        </w:tc>
        <w:tc>
          <w:tcPr>
            <w:tcW w:type="dxa" w:w="2268"/>
            <w:shd w:fill="FFF2CC" w:val="clear"/>
          </w:tcPr>
          <w:p>
            <w:r>
              <w:rPr>
                <w:b/>
                <w:color w:val="503200"/>
                <w:sz w:val="16"/>
              </w:rPr>
              <w:t xml:space="preserve">Cours actuel : </w:t>
            </w:r>
            <w:r>
              <w:rPr>
                <w:color w:val="000000"/>
                <w:sz w:val="17"/>
              </w:rPr>
              <w:t>3,375 FCFA</w:t>
            </w:r>
          </w:p>
          <w:p>
            <w:r>
              <w:rPr>
                <w:b/>
                <w:color w:val="503200"/>
                <w:sz w:val="16"/>
              </w:rPr>
              <w:t xml:space="preserve">Var. 100 jours : </w:t>
            </w:r>
            <w:r>
              <w:rPr>
                <w:b/>
                <w:color w:val="007800"/>
                <w:sz w:val="17"/>
              </w:rPr>
              <w:t>+109.63%</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1,610 FCFA</w:t>
            </w:r>
          </w:p>
          <w:p>
            <w:r>
              <w:rPr>
                <w:b/>
                <w:color w:val="503200"/>
                <w:sz w:val="16"/>
              </w:rPr>
              <w:t xml:space="preserve">Volatilité ann. : </w:t>
            </w:r>
            <w:r>
              <w:rPr>
                <w:color w:val="000000"/>
                <w:sz w:val="17"/>
              </w:rPr>
              <w:t>56.8%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22.93% (Élevée) — μ=2,892 FCFA, σ=663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β=0.4354 (Défensif) — Cov=0.000015, Var(idx)=0.000033, ρ=0.070,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12,867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σ_j=3.58%/j (Modérée) — Vol. annualisée≈56.8%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2,976</w:t>
            </w:r>
          </w:p>
        </w:tc>
        <w:tc>
          <w:tcPr>
            <w:tcW w:type="dxa" w:w="1440"/>
            <w:shd w:fill="FFDCE0" w:val="clear"/>
          </w:tcPr>
          <w:p>
            <w:r>
              <w:rPr>
                <w:b/>
                <w:sz w:val="17"/>
              </w:rPr>
              <w:t>3,122</w:t>
            </w:r>
          </w:p>
        </w:tc>
        <w:tc>
          <w:tcPr>
            <w:tcW w:type="dxa" w:w="1440"/>
            <w:shd w:fill="FFDCE0" w:val="clear"/>
          </w:tcPr>
          <w:p>
            <w:r>
              <w:rPr>
                <w:sz w:val="17"/>
              </w:rPr>
              <w:t>3,268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2,697</w:t>
            </w:r>
          </w:p>
        </w:tc>
        <w:tc>
          <w:tcPr>
            <w:tcW w:type="dxa" w:w="1440"/>
            <w:shd w:fill="FFDCE0" w:val="clear"/>
          </w:tcPr>
          <w:p>
            <w:r>
              <w:rPr>
                <w:b/>
                <w:sz w:val="17"/>
              </w:rPr>
              <w:t>2,888</w:t>
            </w:r>
          </w:p>
        </w:tc>
        <w:tc>
          <w:tcPr>
            <w:tcW w:type="dxa" w:w="1440"/>
            <w:shd w:fill="FFDCE0" w:val="clear"/>
          </w:tcPr>
          <w:p>
            <w:r>
              <w:rPr>
                <w:sz w:val="17"/>
              </w:rPr>
              <w:t>3,079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2,455</w:t>
            </w:r>
          </w:p>
        </w:tc>
        <w:tc>
          <w:tcPr>
            <w:tcW w:type="dxa" w:w="1440"/>
            <w:shd w:fill="FFDCE0" w:val="clear"/>
          </w:tcPr>
          <w:p>
            <w:r>
              <w:rPr>
                <w:b/>
                <w:sz w:val="17"/>
              </w:rPr>
              <w:t>2,671</w:t>
            </w:r>
          </w:p>
        </w:tc>
        <w:tc>
          <w:tcPr>
            <w:tcW w:type="dxa" w:w="1440"/>
            <w:shd w:fill="FFDCE0" w:val="clear"/>
          </w:tcPr>
          <w:p>
            <w:r>
              <w:rPr>
                <w:sz w:val="17"/>
              </w:rPr>
              <w:t>2,888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2,239</w:t>
            </w:r>
          </w:p>
        </w:tc>
        <w:tc>
          <w:tcPr>
            <w:tcW w:type="dxa" w:w="1440"/>
            <w:shd w:fill="FFDCE0" w:val="clear"/>
          </w:tcPr>
          <w:p>
            <w:r>
              <w:rPr>
                <w:b/>
                <w:sz w:val="17"/>
              </w:rPr>
              <w:t>2,471</w:t>
            </w:r>
          </w:p>
        </w:tc>
        <w:tc>
          <w:tcPr>
            <w:tcW w:type="dxa" w:w="1440"/>
            <w:shd w:fill="FFDCE0" w:val="clear"/>
          </w:tcPr>
          <w:p>
            <w:r>
              <w:rPr>
                <w:sz w:val="17"/>
              </w:rPr>
              <w:t>2,702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2,046</w:t>
            </w:r>
          </w:p>
        </w:tc>
        <w:tc>
          <w:tcPr>
            <w:tcW w:type="dxa" w:w="1440"/>
            <w:shd w:fill="FFDCE0" w:val="clear"/>
          </w:tcPr>
          <w:p>
            <w:r>
              <w:rPr>
                <w:b/>
                <w:sz w:val="17"/>
              </w:rPr>
              <w:t>2,286</w:t>
            </w:r>
          </w:p>
        </w:tc>
        <w:tc>
          <w:tcPr>
            <w:tcW w:type="dxa" w:w="1440"/>
            <w:shd w:fill="FFDCE0" w:val="clear"/>
          </w:tcPr>
          <w:p>
            <w:r>
              <w:rPr>
                <w:sz w:val="17"/>
              </w:rPr>
              <w:t>2,525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1,872</w:t>
            </w:r>
          </w:p>
        </w:tc>
        <w:tc>
          <w:tcPr>
            <w:tcW w:type="dxa" w:w="1440"/>
            <w:shd w:fill="FFDCE0" w:val="clear"/>
          </w:tcPr>
          <w:p>
            <w:r>
              <w:rPr>
                <w:b/>
                <w:sz w:val="17"/>
              </w:rPr>
              <w:t>2,114</w:t>
            </w:r>
          </w:p>
        </w:tc>
        <w:tc>
          <w:tcPr>
            <w:tcW w:type="dxa" w:w="1440"/>
            <w:shd w:fill="FFDCE0" w:val="clear"/>
          </w:tcPr>
          <w:p>
            <w:r>
              <w:rPr>
                <w:sz w:val="17"/>
              </w:rPr>
              <w:t>2,357</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1,713</w:t>
            </w:r>
          </w:p>
        </w:tc>
        <w:tc>
          <w:tcPr>
            <w:tcW w:type="dxa" w:w="1440"/>
            <w:shd w:fill="FFDCE0" w:val="clear"/>
          </w:tcPr>
          <w:p>
            <w:r>
              <w:rPr>
                <w:b/>
                <w:sz w:val="17"/>
              </w:rPr>
              <w:t>1,956</w:t>
            </w:r>
          </w:p>
        </w:tc>
        <w:tc>
          <w:tcPr>
            <w:tcW w:type="dxa" w:w="1440"/>
            <w:shd w:fill="FFDCE0" w:val="clear"/>
          </w:tcPr>
          <w:p>
            <w:r>
              <w:rPr>
                <w:sz w:val="17"/>
              </w:rPr>
              <w:t>2,198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1,569</w:t>
            </w:r>
          </w:p>
        </w:tc>
        <w:tc>
          <w:tcPr>
            <w:tcW w:type="dxa" w:w="1440"/>
            <w:shd w:fill="FFDCE0" w:val="clear"/>
          </w:tcPr>
          <w:p>
            <w:r>
              <w:rPr>
                <w:b/>
                <w:sz w:val="17"/>
              </w:rPr>
              <w:t>1,809</w:t>
            </w:r>
          </w:p>
        </w:tc>
        <w:tc>
          <w:tcPr>
            <w:tcW w:type="dxa" w:w="1440"/>
            <w:shd w:fill="FFDCE0" w:val="clear"/>
          </w:tcPr>
          <w:p>
            <w:r>
              <w:rPr>
                <w:sz w:val="17"/>
              </w:rPr>
              <w:t>2,048</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1,438</w:t>
            </w:r>
          </w:p>
        </w:tc>
        <w:tc>
          <w:tcPr>
            <w:tcW w:type="dxa" w:w="1440"/>
            <w:shd w:fill="FFDCE0" w:val="clear"/>
          </w:tcPr>
          <w:p>
            <w:r>
              <w:rPr>
                <w:b/>
                <w:sz w:val="17"/>
              </w:rPr>
              <w:t>1,673</w:t>
            </w:r>
          </w:p>
        </w:tc>
        <w:tc>
          <w:tcPr>
            <w:tcW w:type="dxa" w:w="1440"/>
            <w:shd w:fill="FFDCE0" w:val="clear"/>
          </w:tcPr>
          <w:p>
            <w:r>
              <w:rPr>
                <w:sz w:val="17"/>
              </w:rPr>
              <w:t>1,908</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1,319</w:t>
            </w:r>
          </w:p>
        </w:tc>
        <w:tc>
          <w:tcPr>
            <w:tcW w:type="dxa" w:w="1440"/>
            <w:shd w:fill="FFDCE0" w:val="clear"/>
          </w:tcPr>
          <w:p>
            <w:r>
              <w:rPr>
                <w:b/>
                <w:sz w:val="17"/>
              </w:rPr>
              <w:t>1,548</w:t>
            </w:r>
          </w:p>
        </w:tc>
        <w:tc>
          <w:tcPr>
            <w:tcW w:type="dxa" w:w="1440"/>
            <w:shd w:fill="FFDCE0" w:val="clear"/>
          </w:tcPr>
          <w:p>
            <w:r>
              <w:rPr>
                <w:sz w:val="17"/>
              </w:rPr>
              <w:t>1,777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**Date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SCRC s'établit à 66,15 milliards FCFA, un niveau significatif sur la BRVM qui reflète l'importance du titre dans l'indice, malgré une situation financière dégradée. Le BPA est négatif à -406 FCFA, ce qui rend le PER non significatif (-8,3x), les investisseurs ne pouvant valoriser la société sur la base de ses bénéfices actuels. Le P/B de 3,84x indique que le marché valorise les actifs nets à près de quatre fois leur valeur comptable, une prime substantielle qui suggère que les investisseurs anticipent un redressement futur. L'EV/EBITDA de 10,6x se situe dans la fourchette haute (10-15x), signalant une valorisation exigeante par rapport à la capacité opérationnelle de l'entreprise. Ces ratios, combinés à un BPA négatif, témoignent d'une valorisation spéculative qui ne repose pas sur les fondamentaux actuels mais sur des anticipations de retournement.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SCRC a enregistré une progression spectaculaire de +109,63%, passant d'un plus bas de 1 610 FCFA à un plus haut de 3 920 FCFA, avec un cours actuel de 3 375 FCFA. La variation de +0,45% lors de la dernière séance suggère un ralentissement du momentum haussier. La moyenne du cours sur la période (2 892 FCFA) est inférieure à la médiane (3 062 FCFA), indiquant une distribution légèrement asymétrique avec une concentration des valeurs vers le haut de la fourchette. L'écart-type de 667 FCFA (CV = 23,0%) révèle une dispersion modérée des prix autour de la moyenne. Le kurtosis négatif (-1,426) traduit une distribution platykurtique, avec moins de valeurs extrêmes que la normale, tandis que le skewness de -0,264 indique une asymétrie négative légère, suggérant des baisses plus marquées que les hausses. La volatilité annualisée de 56,8% classe le titre comme extrêmement volatil, bien au-dessus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(3 375 FCFA) est inférieur à la MM20 (3 582 FCFA) et à la MM50 (3 472,6 FCFA), ce qui indique une tendance baissière à court et moyen terme. La décision "Achat" semble paradoxale au vu de cette configuration, mais pourrait s'expliquer par un croisement haussier récent des moyennes mobiles. La position sous les deux moyennes suggère néanmoins une faiblesse technique persistante.</w:t>
      </w:r>
    </w:p>
    <w:p>
      <w:pPr>
        <w:spacing w:after="120" w:line="276" w:lineRule="auto"/>
      </w:pPr>
      <w:r>
        <w:t>**Bandes de Bollinger** : Le prix se situe à 3 375 FCFA, proche de la borne inférieure (3 318,9 FCFA) et nettement sous la borne supérieure (3 845 FCFA). Cette position indique une pression vendeuse et une volatilité en expansion. La décision "Neutre" reflète l'absence de signal directionnel clair, mais la proximité de la borne inférieure pourrait annoncer un rebond technique ou une poursuite de la baisse.</w:t>
      </w:r>
    </w:p>
    <w:p>
      <w:pPr>
        <w:spacing w:after="120" w:line="276" w:lineRule="auto"/>
      </w:pPr>
      <w:r>
        <w:t>**MACD** : La valeur négative du MACD (-24,476) par rapport au signal (22,028) constitue une divergence baissière nette. Le momentum est clairement négatif, confirmant la tendance baissière récente. La décision "Vente" est cohérente avec cette configuration, signalant une perte de dynamisme haussier après la forte progression.</w:t>
      </w:r>
    </w:p>
    <w:p>
      <w:pPr>
        <w:spacing w:after="120" w:line="276" w:lineRule="auto"/>
      </w:pPr>
      <w:r>
        <w:t>**RSI** : À 32,278, le RSI se situe en zone neutre mais proche du seuil de survente (30). Cette valeur indique que le titre est faible mais pas encore survendu, laissant une marge de baisse potentielle. La décision "Neutre" est appropriée, bien que la proximité du seuil de survente puisse attirer des acheteurs opportunistes.</w:t>
      </w:r>
    </w:p>
    <w:p>
      <w:pPr>
        <w:spacing w:after="120" w:line="276" w:lineRule="auto"/>
      </w:pPr>
      <w:r>
        <w:t>**Stochastique** : Le %K (7,246) et le %D (6,239) sont tous deux en zone de survente profonde (&lt;20), avec un %K au-dessus du %D, suggérant un potentiel retournement haussier imminent. La décision "Achat" est justifiée par cette configuration de survente extrême, qui précède souvent un rebond technique.</w:t>
      </w:r>
    </w:p>
    <w:p>
      <w:pPr>
        <w:spacing w:after="120" w:line="276" w:lineRule="auto"/>
      </w:pPr>
      <w:r>
        <w:t>**Conclusion technique** : Les indicateurs sont mitigés avec une prédominance baissière (MACD négatif, prix sous les moyennes mobiles) mais des signaux de survente (Stochastique, RSI proche de 30) qui pourraient déclencher un rebond technique. La configuration suggère une phase de consolidation après la forte hausse, avec un risque de correction supplémentaire avant un éventuel retournement.</w:t>
      </w:r>
    </w:p>
    <w:p>
      <w:pPr>
        <w:spacing w:after="120" w:line="276" w:lineRule="auto"/>
      </w:pPr>
      <w:r>
        <w:t>---</w:t>
      </w:r>
    </w:p>
    <w:p>
      <w:pPr>
        <w:spacing w:after="120" w:line="276" w:lineRule="auto"/>
      </w:pPr>
      <w:r>
        <w:t>### PARTIE 3 : ANALYSE FONDAMENTALE (SECTION CRITIQUE)</w:t>
      </w:r>
    </w:p>
    <w:p>
      <w:pPr>
        <w:spacing w:after="120" w:line="276" w:lineRule="auto"/>
      </w:pPr>
      <w:r>
        <w:t>**En 2025**, la SCRC affiche un chiffre d'affaires de 80,57 milliards FCFA, en baisse de 7,6% par rapport à 2024 (87,22 milliards FCFA). Le résultat net est fortement déficitaire à -7,95 milliards FCFA, contre un bénéfice de 2,47 milliards FCFA en 2024, soit une dégradation de 421%. La marge nette ressort à -9,9%, le ROE à -46,1% et le ROA à -5,1%, traduisant une rentabilité fortement négative. La structure financière est préoccupante : le ratio d'endettement atteint 89% des capitaux propres, la dépendance financière est de 492%, et la capacité de remboursement est de 11,2 ans. Le BFR est positif à 6,53 milliards FCFA, avec un délai fournisseurs de 366 jours et une durée de stockage de 361 jours, indiquant une immobilisation importante du capital. **Sur la base du rapport T1 2025** (CA de 25,09 milliards FCFA, résultat net de 3,21 milliards FCFA), on estime que l'exercice 2025 aurait pu être meilleur, mais le S1 2025 a montré une perte de -6,71 milliards FCFA, confirmant la tendance négative. Les rapports de 2026 (datés du 30 avril 2026) confirment la perte nette de 7,95 milliards FCFA (IFRS) et l'explosion des charges financières à 6,79 milliards FCFA (+262%). Les capitaux propres ont fondu à 17,24 milliards FCFA, et la trésorerie nette est négative à -6,5 milliards FCFA. Les perspectives 2026 restent très incertaines, avec un endettement massif et une rentabilité opérationnelle fragile.</w:t>
      </w:r>
    </w:p>
    <w:p>
      <w:pPr>
        <w:spacing w:after="120" w:line="276" w:lineRule="auto"/>
      </w:pPr>
      <w:r>
        <w:t>---</w:t>
      </w:r>
    </w:p>
    <w:p>
      <w:pPr>
        <w:spacing w:after="120" w:line="276" w:lineRule="auto"/>
      </w:pPr>
      <w:r>
        <w:t>### PARTIE 4 : CONCLUSION D'INVESTISSEMENT</w:t>
      </w:r>
    </w:p>
    <w:p>
      <w:pPr>
        <w:spacing w:after="120" w:line="276" w:lineRule="auto"/>
      </w:pPr>
      <w:r>
        <w:t>La valorisation de la SCRC est clairement surévaluée au regard des fondamentaux : un PER négatif, un P/B de 3,84x et un EV/EBITDA de 10,6x ne se justifient pas avec une perte nette de 7,95 milliards FCFA. Le comportement du cours (+109,63% sur 100 jours) contraste fortement avec la dégradation des fondamentaux, créant une divergence majeure. Les signaux techniques sont mitigés : les moyennes mobiles et le MACD indiquent une tendance baissière, tandis que le stochastique suggère un rebond technique imminent. Les fondamentaux sont très préoccupants : endettement massif, charges financières explosives, CA en baisse et pertes récurrentes. Les prédictions IA (baisse de 3 375 à 2 286 FCFA sur 10 jours) confirment la trajectoire baissière attendue. La convergence des signaux (valorisation excessive, technique baissier, fondamentaux dégradés, prédictions négatives) justifie une recommandation de **VENTE FORTE**. Le niveau de confiance est **Élevé**, le risque global est **Élevé**, et l'horizon d'investissement optimal est le **court terme (&lt;3 mois)** pour les investisseurs cherchant à réduire leur exposition.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112.41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1,071 titres</w:t>
            </w:r>
          </w:p>
        </w:tc>
        <w:tc>
          <w:tcPr>
            <w:tcW w:type="dxa" w:w="2268"/>
            <w:shd w:fill="FFF2CC" w:val="clear"/>
          </w:tcPr>
          <w:p>
            <w:r>
              <w:rPr>
                <w:b/>
                <w:color w:val="503200"/>
                <w:sz w:val="16"/>
              </w:rPr>
              <w:t xml:space="preserve">Cours actuel : </w:t>
            </w:r>
            <w:r>
              <w:rPr>
                <w:color w:val="000000"/>
                <w:sz w:val="17"/>
              </w:rPr>
              <w:t>12,490 FCFA</w:t>
            </w:r>
          </w:p>
          <w:p>
            <w:r>
              <w:rPr>
                <w:b/>
                <w:color w:val="503200"/>
                <w:sz w:val="16"/>
              </w:rPr>
              <w:t xml:space="preserve">Var. 100 jours : </w:t>
            </w:r>
            <w:r>
              <w:rPr>
                <w:b/>
                <w:color w:val="007800"/>
                <w:sz w:val="17"/>
              </w:rPr>
              <w:t>+66.53%</w:t>
            </w:r>
          </w:p>
          <w:p>
            <w:r>
              <w:rPr>
                <w:b/>
                <w:color w:val="503200"/>
                <w:sz w:val="16"/>
              </w:rPr>
              <w:t xml:space="preserve">Plus haut 100j : </w:t>
            </w:r>
            <w:r>
              <w:rPr>
                <w:color w:val="000000"/>
                <w:sz w:val="17"/>
              </w:rPr>
              <w:t>12,490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17.45% (Élevée) — μ=10,562 FCFA, σ=1,843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β=0.2860 (Défensif) — Cov=0.000010, Var(idx)=0.000033, ρ=0.073,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11,532</w:t>
            </w:r>
          </w:p>
        </w:tc>
        <w:tc>
          <w:tcPr>
            <w:tcW w:type="dxa" w:w="1440"/>
            <w:shd w:fill="FFDCE0" w:val="clear"/>
          </w:tcPr>
          <w:p>
            <w:r>
              <w:rPr>
                <w:b/>
                <w:sz w:val="17"/>
              </w:rPr>
              <w:t>11,896</w:t>
            </w:r>
          </w:p>
        </w:tc>
        <w:tc>
          <w:tcPr>
            <w:tcW w:type="dxa" w:w="1440"/>
            <w:shd w:fill="FFDCE0" w:val="clear"/>
          </w:tcPr>
          <w:p>
            <w:r>
              <w:rPr>
                <w:sz w:val="17"/>
              </w:rPr>
              <w:t>12,259</w:t>
            </w:r>
          </w:p>
        </w:tc>
        <w:tc>
          <w:tcPr>
            <w:tcW w:type="dxa" w:w="1440"/>
            <w:shd w:fill="FFDCE0" w:val="clear"/>
          </w:tcPr>
          <w:p>
            <w:r>
              <w:rPr>
                <w:b/>
                <w:color w:val="C00000"/>
                <w:sz w:val="17"/>
              </w:rPr>
              <w:t>-4.8%</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11,249</w:t>
            </w:r>
          </w:p>
        </w:tc>
        <w:tc>
          <w:tcPr>
            <w:tcW w:type="dxa" w:w="1440"/>
            <w:shd w:fill="FFDCE0" w:val="clear"/>
          </w:tcPr>
          <w:p>
            <w:r>
              <w:rPr>
                <w:b/>
                <w:sz w:val="17"/>
              </w:rPr>
              <w:t>11,757</w:t>
            </w:r>
          </w:p>
        </w:tc>
        <w:tc>
          <w:tcPr>
            <w:tcW w:type="dxa" w:w="1440"/>
            <w:shd w:fill="FFDCE0" w:val="clear"/>
          </w:tcPr>
          <w:p>
            <w:r>
              <w:rPr>
                <w:sz w:val="17"/>
              </w:rPr>
              <w:t>12,265</w:t>
            </w:r>
          </w:p>
        </w:tc>
        <w:tc>
          <w:tcPr>
            <w:tcW w:type="dxa" w:w="1440"/>
            <w:shd w:fill="FFDCE0" w:val="clear"/>
          </w:tcPr>
          <w:p>
            <w:r>
              <w:rPr>
                <w:b/>
                <w:color w:val="C00000"/>
                <w:sz w:val="17"/>
              </w:rPr>
              <w:t>-5.9%</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11,012</w:t>
            </w:r>
          </w:p>
        </w:tc>
        <w:tc>
          <w:tcPr>
            <w:tcW w:type="dxa" w:w="1440"/>
            <w:shd w:fill="FFDCE0" w:val="clear"/>
          </w:tcPr>
          <w:p>
            <w:r>
              <w:rPr>
                <w:b/>
                <w:sz w:val="17"/>
              </w:rPr>
              <w:t>11,627</w:t>
            </w:r>
          </w:p>
        </w:tc>
        <w:tc>
          <w:tcPr>
            <w:tcW w:type="dxa" w:w="1440"/>
            <w:shd w:fill="FFDCE0" w:val="clear"/>
          </w:tcPr>
          <w:p>
            <w:r>
              <w:rPr>
                <w:sz w:val="17"/>
              </w:rPr>
              <w:t>12,242</w:t>
            </w:r>
          </w:p>
        </w:tc>
        <w:tc>
          <w:tcPr>
            <w:tcW w:type="dxa" w:w="1440"/>
            <w:shd w:fill="FFDCE0" w:val="clear"/>
          </w:tcPr>
          <w:p>
            <w:r>
              <w:rPr>
                <w:b/>
                <w:color w:val="C00000"/>
                <w:sz w:val="17"/>
              </w:rPr>
              <w:t>-6.9%</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10,808</w:t>
            </w:r>
          </w:p>
        </w:tc>
        <w:tc>
          <w:tcPr>
            <w:tcW w:type="dxa" w:w="1440"/>
            <w:shd w:fill="FFDCE0" w:val="clear"/>
          </w:tcPr>
          <w:p>
            <w:r>
              <w:rPr>
                <w:b/>
                <w:sz w:val="17"/>
              </w:rPr>
              <w:t>11,510</w:t>
            </w:r>
          </w:p>
        </w:tc>
        <w:tc>
          <w:tcPr>
            <w:tcW w:type="dxa" w:w="1440"/>
            <w:shd w:fill="FFDCE0" w:val="clear"/>
          </w:tcPr>
          <w:p>
            <w:r>
              <w:rPr>
                <w:sz w:val="17"/>
              </w:rPr>
              <w:t>12,213</w:t>
            </w:r>
          </w:p>
        </w:tc>
        <w:tc>
          <w:tcPr>
            <w:tcW w:type="dxa" w:w="1440"/>
            <w:shd w:fill="FFDCE0" w:val="clear"/>
          </w:tcPr>
          <w:p>
            <w:r>
              <w:rPr>
                <w:b/>
                <w:color w:val="C00000"/>
                <w:sz w:val="17"/>
              </w:rPr>
              <w:t>-7.8%</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10,629</w:t>
            </w:r>
          </w:p>
        </w:tc>
        <w:tc>
          <w:tcPr>
            <w:tcW w:type="dxa" w:w="1440"/>
            <w:shd w:fill="FFDCE0" w:val="clear"/>
          </w:tcPr>
          <w:p>
            <w:r>
              <w:rPr>
                <w:b/>
                <w:sz w:val="17"/>
              </w:rPr>
              <w:t>11,408</w:t>
            </w:r>
          </w:p>
        </w:tc>
        <w:tc>
          <w:tcPr>
            <w:tcW w:type="dxa" w:w="1440"/>
            <w:shd w:fill="FFDCE0" w:val="clear"/>
          </w:tcPr>
          <w:p>
            <w:r>
              <w:rPr>
                <w:sz w:val="17"/>
              </w:rPr>
              <w:t>12,187</w:t>
            </w:r>
          </w:p>
        </w:tc>
        <w:tc>
          <w:tcPr>
            <w:tcW w:type="dxa" w:w="1440"/>
            <w:shd w:fill="FFDCE0" w:val="clear"/>
          </w:tcPr>
          <w:p>
            <w:r>
              <w:rPr>
                <w:b/>
                <w:color w:val="C00000"/>
                <w:sz w:val="17"/>
              </w:rPr>
              <w:t>-8.7%</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10,467</w:t>
            </w:r>
          </w:p>
        </w:tc>
        <w:tc>
          <w:tcPr>
            <w:tcW w:type="dxa" w:w="1440"/>
            <w:shd w:fill="FFDCE0" w:val="clear"/>
          </w:tcPr>
          <w:p>
            <w:r>
              <w:rPr>
                <w:b/>
                <w:sz w:val="17"/>
              </w:rPr>
              <w:t>11,313</w:t>
            </w:r>
          </w:p>
        </w:tc>
        <w:tc>
          <w:tcPr>
            <w:tcW w:type="dxa" w:w="1440"/>
            <w:shd w:fill="FFDCE0" w:val="clear"/>
          </w:tcPr>
          <w:p>
            <w:r>
              <w:rPr>
                <w:sz w:val="17"/>
              </w:rPr>
              <w:t>12,159</w:t>
            </w:r>
          </w:p>
        </w:tc>
        <w:tc>
          <w:tcPr>
            <w:tcW w:type="dxa" w:w="1440"/>
            <w:shd w:fill="FFDCE0" w:val="clear"/>
          </w:tcPr>
          <w:p>
            <w:r>
              <w:rPr>
                <w:b/>
                <w:color w:val="C00000"/>
                <w:sz w:val="17"/>
              </w:rPr>
              <w:t>-9.4%</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10,317</w:t>
            </w:r>
          </w:p>
        </w:tc>
        <w:tc>
          <w:tcPr>
            <w:tcW w:type="dxa" w:w="1440"/>
            <w:shd w:fill="FFDCE0" w:val="clear"/>
          </w:tcPr>
          <w:p>
            <w:r>
              <w:rPr>
                <w:b/>
                <w:sz w:val="17"/>
              </w:rPr>
              <w:t>11,224</w:t>
            </w:r>
          </w:p>
        </w:tc>
        <w:tc>
          <w:tcPr>
            <w:tcW w:type="dxa" w:w="1440"/>
            <w:shd w:fill="FFDCE0" w:val="clear"/>
          </w:tcPr>
          <w:p>
            <w:r>
              <w:rPr>
                <w:sz w:val="17"/>
              </w:rPr>
              <w:t>12,131</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10,180</w:t>
            </w:r>
          </w:p>
        </w:tc>
        <w:tc>
          <w:tcPr>
            <w:tcW w:type="dxa" w:w="1440"/>
            <w:shd w:fill="FFDCE0" w:val="clear"/>
          </w:tcPr>
          <w:p>
            <w:r>
              <w:rPr>
                <w:b/>
                <w:sz w:val="17"/>
              </w:rPr>
              <w:t>11,142</w:t>
            </w:r>
          </w:p>
        </w:tc>
        <w:tc>
          <w:tcPr>
            <w:tcW w:type="dxa" w:w="1440"/>
            <w:shd w:fill="FFDCE0" w:val="clear"/>
          </w:tcPr>
          <w:p>
            <w:r>
              <w:rPr>
                <w:sz w:val="17"/>
              </w:rPr>
              <w:t>12,104</w:t>
            </w:r>
          </w:p>
        </w:tc>
        <w:tc>
          <w:tcPr>
            <w:tcW w:type="dxa" w:w="1440"/>
            <w:shd w:fill="FFDCE0" w:val="clear"/>
          </w:tcPr>
          <w:p>
            <w:r>
              <w:rPr>
                <w:b/>
                <w:color w:val="C00000"/>
                <w:sz w:val="17"/>
              </w:rPr>
              <w:t>-10.8%</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10,052</w:t>
            </w:r>
          </w:p>
        </w:tc>
        <w:tc>
          <w:tcPr>
            <w:tcW w:type="dxa" w:w="1440"/>
            <w:shd w:fill="FFDCE0" w:val="clear"/>
          </w:tcPr>
          <w:p>
            <w:r>
              <w:rPr>
                <w:b/>
                <w:sz w:val="17"/>
              </w:rPr>
              <w:t>11,065</w:t>
            </w:r>
          </w:p>
        </w:tc>
        <w:tc>
          <w:tcPr>
            <w:tcW w:type="dxa" w:w="1440"/>
            <w:shd w:fill="FFDCE0" w:val="clear"/>
          </w:tcPr>
          <w:p>
            <w:r>
              <w:rPr>
                <w:sz w:val="17"/>
              </w:rPr>
              <w:t>12,079</w:t>
            </w:r>
          </w:p>
        </w:tc>
        <w:tc>
          <w:tcPr>
            <w:tcW w:type="dxa" w:w="1440"/>
            <w:shd w:fill="FFDCE0" w:val="clear"/>
          </w:tcPr>
          <w:p>
            <w:r>
              <w:rPr>
                <w:b/>
                <w:color w:val="C00000"/>
                <w:sz w:val="17"/>
              </w:rPr>
              <w:t>-11.4%</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9,931</w:t>
            </w:r>
          </w:p>
        </w:tc>
        <w:tc>
          <w:tcPr>
            <w:tcW w:type="dxa" w:w="1440"/>
            <w:shd w:fill="FFDCE0" w:val="clear"/>
          </w:tcPr>
          <w:p>
            <w:r>
              <w:rPr>
                <w:b/>
                <w:sz w:val="17"/>
              </w:rPr>
              <w:t>10,992</w:t>
            </w:r>
          </w:p>
        </w:tc>
        <w:tc>
          <w:tcPr>
            <w:tcW w:type="dxa" w:w="1440"/>
            <w:shd w:fill="FFDCE0" w:val="clear"/>
          </w:tcPr>
          <w:p>
            <w:r>
              <w:rPr>
                <w:sz w:val="17"/>
              </w:rPr>
              <w:t>12,053</w:t>
            </w:r>
          </w:p>
        </w:tc>
        <w:tc>
          <w:tcPr>
            <w:tcW w:type="dxa" w:w="1440"/>
            <w:shd w:fill="FFDCE0" w:val="clear"/>
          </w:tcPr>
          <w:p>
            <w:r>
              <w:rPr>
                <w:b/>
                <w:color w:val="C00000"/>
                <w:sz w:val="17"/>
              </w:rPr>
              <w:t>-12.0%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SODECI (SDCC)**</w:t>
        <w:br/>
        <w:t>**Bourse Régionale des Valeurs Mobilières (BRVM)**</w:t>
        <w:br/>
        <w:t>**Date de l'analyse : 26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112,41 milliards FCFA, un niveau significatif qui la place parmi les valeurs moyennes de la cote BRVM. Avec un BPA de 518 FCFA, le titre se négocie à un PER de 24,1x, soit un niveau nettement supérieur à la moyenne historique du marché (8-12x). Cette prime de valorisation suggère que les investisseurs anticipent une croissance soutenue des bénéfices futurs. Le P/B de 5,70x confirme cette lecture, indiquant que le marché valorise fortement l'actif net de la société, bien au-delà de sa valeur comptable. Enfin, l'EV/EBITDA de 14,7x, dans le haut de la fourchette de 10-15x, souligne que la valeur d'entreprise intègre une capacité opérationnelle solide, mais à un prix exigeant.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SDCC a enregistré une progression spectaculaire de +66,53%, avec une dernière séance en hausse de +4,08%, clôturant à 12 490 FCFA. Le titre a évolué dans une fourchette très large, entre un plus bas de 7 140 FCFA et un plus haut de 12 490 FCFA, démontrant une forte dynamique haussière. La moyenne du cours sur la période (10 562 FCFA) est inférieure à la médiane (11 502 FCFA), et le skewness négatif (-0,928) indique une distribution asymétrique avec des journées majoritairement au-dessus de la moyenne, typique d'un rallye soutenu. L'écart-type de 1 852 FCFA (CV de 17,5%) reflète une dispersion modérée, tandis que le kurtosis de -0,812 (mésokurtique) suggère une absence de pics de volatilité extrêmes. La volatilité annualisée de 36,2% classe le titre comme très volatil, un niveau élevé qui implique un risque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(11 874 FCFA) et MM50 (11 875 FCFA) sont quasi identiques et situées sous le cours actuel (12 490 FCFA). Bien que le prix soit au-dessus de ces moyennes, leur convergence et la décision de "Vente" suggèrent un essoufflement potentiel de la tendance haussière à court terme, signalant une possible consolidation.</w:t>
      </w:r>
    </w:p>
    <w:p>
      <w:pPr>
        <w:spacing w:after="120" w:line="276" w:lineRule="auto"/>
      </w:pPr>
      <w:r>
        <w:t>**Bandes de Bollinger** : Le cours (12 490 FCFA) se positionne au-dessus de la borne supérieure (12 365 FCFA), indiquant une condition de surachat extrême. Cette sortie de bande, couplée à la décision de "Vente", signale une volatilité accrue et un risque élevé de retour vers la moyenne, appelant à la prudence.</w:t>
      </w:r>
    </w:p>
    <w:p>
      <w:pPr>
        <w:spacing w:after="120" w:line="276" w:lineRule="auto"/>
      </w:pPr>
      <w:r>
        <w:t>**MACD** : La valeur du MACD (111,26) est nettement supérieure à son signal (49,098), avec une décision d'"Achat". Cette configuration positive indique un momentum haussier toujours en vigueur, bien que l'écart important puisse suggérer une maturité du mouvement.</w:t>
      </w:r>
    </w:p>
    <w:p>
      <w:pPr>
        <w:spacing w:after="120" w:line="276" w:lineRule="auto"/>
      </w:pPr>
      <w:r>
        <w:t>**RSI** : À 61,43, le RSI se situe en zone neutre, en dessous du seuil de surachat (70). La décision "Neutre" indique que la pression acheteuse reste présente sans être excessive, laissant une marge de progression avant une éventuelle correction.</w:t>
      </w:r>
    </w:p>
    <w:p>
      <w:pPr>
        <w:spacing w:after="120" w:line="276" w:lineRule="auto"/>
      </w:pPr>
      <w:r>
        <w:t>**Stochastique** : Le %K (100,0) et le %D (93,51) sont en zone de surachat extrême, avec une décision de "Vente". Cette configuration signale un épuisement probable de la dynamique haussière à très court terme, renforçant l'idée d'une consolidation imminente.</w:t>
      </w:r>
    </w:p>
    <w:p>
      <w:pPr>
        <w:spacing w:after="120" w:line="276" w:lineRule="auto"/>
      </w:pPr>
      <w:r>
        <w:t>**Conclusion technique** : Les signaux sont mitigés. Le MACD et le RSI plaident pour une poursuite de la tendance, tandis que les bandes de Bollinger et le stochastique indiquent une surachete sévère. La convergence des MM20/MM50 sous le cours suggère un support solide, mais la pression vendeuse à court terme pourrait conduire à un repli technique avant une éventuelle reprise.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tant qu'entreprise non bancaire, l'analyse de SDCC se concentre sur son chiffre d'affaires, ses marges et sa structure financière. Pour l'exercice 2025, le CA s'établit à 189,430 milliards FCFA, en croissance de +10% par rapport à 2024 (172,2 Mds), avec un résultat net de 4,663 milliards FCFA, en hausse de +31%. La marge nette est de 2,46%, et le ROE est excellent à 23,65%, démontrant une forte rentabilité des capitaux propres. Cependant, le ROA est faible (0,99%), et le ratio d'autonomie financière (4,17%) est très préoccupant, indiquant une dépendance élevée aux dettes (95,83% d'endettement). Le délai de paiement des clients est extrêmement long (749 jours), créant un BFR massif de 104,7 milliards FCFA et une trésorerie nette négative de -61,7 milliards FCFA. Selon le rapport annuel 2025 (daté de 2026), la société a amélioré son EBE (+21%) et son résultat d'exploitation (+34%), et propose un dividende de 525 FCFA par action. Le rapport T1 2026 (daté de 2026) montre une amélioration spectaculaire de la rentabilité avec un résultat net en hausse de +118% à 1,318 milliard FCFA, malgré un CA en léger repli de -2%. Sur la base de ces données, on estime que l'exercice 2026 pourrait voir une poursuite de l'amélioration de la rentabilité, mais la pression sur la trésorerie et le besoin de financement restent des risques majeurs. La recommandation fondamentale est de **CONSERVER**, la société étant solide mais confrontée à des défis structurels de liquidité.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est exigeante (PER 24,1x, P/B 5,70x), indiquant une surévaluation relative par rapport au marché BRVM, mais justifiée par un ROE élevé et des perspectives de croissance. Le comportement du cours, avec une hausse de +66,5% et une volatilité élevée (36,2%), est favorable mais suggère un risque de correction. Les signaux techniques sont divergents : le MACD est haussier, mais les bandes de Bollinger et le stochastique signalent une surachete, tandis que les MM indiquent une prudence. Les fondamentaux montrent une amélioration de la rentabilité (RN +31% en 2025, +118% au T1 2026) mais une fragilité de la trésorerie. Les prédictions IA (J+1 à J+10) prévoient une baisse progressive du cours vers 11 408 FCFA, contredisant la tendance haussière récente et confirmant les signaux de surachete technique. En synthèse, la convergence entre la surévaluation, les signaux techniques de surachat et les prédictions baissières suggère une **VENTE** à court terme pour profiter des gains accumulés. La recommandation finale est **VENTE**, avec un niveau de confiance **Moyen** et un risque global **Élevé**. L'horizon d'investissement optimal serait de **court terme (&lt;3 mois)** pour les investisseurs cherchant à sécuriser leurs profits, tandis qu'un réinvestissement pourrait être envisagé après une correction.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139.35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17,040 titres</w:t>
            </w:r>
          </w:p>
        </w:tc>
        <w:tc>
          <w:tcPr>
            <w:tcW w:type="dxa" w:w="2268"/>
            <w:shd w:fill="FFF2CC" w:val="clear"/>
          </w:tcPr>
          <w:p>
            <w:r>
              <w:rPr>
                <w:b/>
                <w:color w:val="503200"/>
                <w:sz w:val="16"/>
              </w:rPr>
              <w:t xml:space="preserve">Cours actuel : </w:t>
            </w:r>
            <w:r>
              <w:rPr>
                <w:color w:val="000000"/>
                <w:sz w:val="17"/>
              </w:rPr>
              <w:t>2,560 FCFA</w:t>
            </w:r>
          </w:p>
          <w:p>
            <w:r>
              <w:rPr>
                <w:b/>
                <w:color w:val="503200"/>
                <w:sz w:val="16"/>
              </w:rPr>
              <w:t xml:space="preserve">Var. 100 jours : </w:t>
            </w:r>
            <w:r>
              <w:rPr>
                <w:b/>
                <w:color w:val="007800"/>
                <w:sz w:val="17"/>
              </w:rPr>
              <w:t>+33.33%</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49.7%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17.63% (Élevée) — μ=2,197 FCFA, σ=387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β=0.2372 (Défensif) — Cov=0.000008, Var(idx)=0.000033, ρ=0.044,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17,040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σ_j=3.13%/j (Modérée) — Vol. annualisée≈49.7%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2,384</w:t>
            </w:r>
          </w:p>
        </w:tc>
        <w:tc>
          <w:tcPr>
            <w:tcW w:type="dxa" w:w="1440"/>
            <w:shd w:fill="FAFAFA" w:val="clear"/>
          </w:tcPr>
          <w:p>
            <w:r>
              <w:rPr>
                <w:b/>
                <w:sz w:val="17"/>
              </w:rPr>
              <w:t>2,548</w:t>
            </w:r>
          </w:p>
        </w:tc>
        <w:tc>
          <w:tcPr>
            <w:tcW w:type="dxa" w:w="1440"/>
            <w:shd w:fill="FAFAFA" w:val="clear"/>
          </w:tcPr>
          <w:p>
            <w:r>
              <w:rPr>
                <w:sz w:val="17"/>
              </w:rPr>
              <w:t>2,712</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2026-08-28</w:t>
            </w:r>
          </w:p>
        </w:tc>
        <w:tc>
          <w:tcPr>
            <w:tcW w:type="dxa" w:w="1440"/>
            <w:shd w:fill="FAFAFA" w:val="clear"/>
          </w:tcPr>
          <w:p>
            <w:r>
              <w:rPr>
                <w:sz w:val="17"/>
              </w:rPr>
              <w:t>2,309</w:t>
            </w:r>
          </w:p>
        </w:tc>
        <w:tc>
          <w:tcPr>
            <w:tcW w:type="dxa" w:w="1440"/>
            <w:shd w:fill="FAFAFA" w:val="clear"/>
          </w:tcPr>
          <w:p>
            <w:r>
              <w:rPr>
                <w:b/>
                <w:sz w:val="17"/>
              </w:rPr>
              <w:t>2,541</w:t>
            </w:r>
          </w:p>
        </w:tc>
        <w:tc>
          <w:tcPr>
            <w:tcW w:type="dxa" w:w="1440"/>
            <w:shd w:fill="FAFAFA" w:val="clear"/>
          </w:tcPr>
          <w:p>
            <w:r>
              <w:rPr>
                <w:sz w:val="17"/>
              </w:rPr>
              <w:t>2,772</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2026-08-31</w:t>
            </w:r>
          </w:p>
        </w:tc>
        <w:tc>
          <w:tcPr>
            <w:tcW w:type="dxa" w:w="1440"/>
            <w:shd w:fill="FAFAFA" w:val="clear"/>
          </w:tcPr>
          <w:p>
            <w:r>
              <w:rPr>
                <w:sz w:val="17"/>
              </w:rPr>
              <w:t>2,248</w:t>
            </w:r>
          </w:p>
        </w:tc>
        <w:tc>
          <w:tcPr>
            <w:tcW w:type="dxa" w:w="1440"/>
            <w:shd w:fill="FAFAFA" w:val="clear"/>
          </w:tcPr>
          <w:p>
            <w:r>
              <w:rPr>
                <w:b/>
                <w:sz w:val="17"/>
              </w:rPr>
              <w:t>2,530</w:t>
            </w:r>
          </w:p>
        </w:tc>
        <w:tc>
          <w:tcPr>
            <w:tcW w:type="dxa" w:w="1440"/>
            <w:shd w:fill="FAFAFA" w:val="clear"/>
          </w:tcPr>
          <w:p>
            <w:r>
              <w:rPr>
                <w:sz w:val="17"/>
              </w:rPr>
              <w:t>2,812</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2026-09-01</w:t>
            </w:r>
          </w:p>
        </w:tc>
        <w:tc>
          <w:tcPr>
            <w:tcW w:type="dxa" w:w="1440"/>
            <w:shd w:fill="FAFAFA" w:val="clear"/>
          </w:tcPr>
          <w:p>
            <w:r>
              <w:rPr>
                <w:sz w:val="17"/>
              </w:rPr>
              <w:t>2,193</w:t>
            </w:r>
          </w:p>
        </w:tc>
        <w:tc>
          <w:tcPr>
            <w:tcW w:type="dxa" w:w="1440"/>
            <w:shd w:fill="FAFAFA" w:val="clear"/>
          </w:tcPr>
          <w:p>
            <w:r>
              <w:rPr>
                <w:b/>
                <w:sz w:val="17"/>
              </w:rPr>
              <w:t>2,517</w:t>
            </w:r>
          </w:p>
        </w:tc>
        <w:tc>
          <w:tcPr>
            <w:tcW w:type="dxa" w:w="1440"/>
            <w:shd w:fill="FAFAFA" w:val="clear"/>
          </w:tcPr>
          <w:p>
            <w:r>
              <w:rPr>
                <w:sz w:val="17"/>
              </w:rPr>
              <w:t>2,841</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2,143</w:t>
            </w:r>
          </w:p>
        </w:tc>
        <w:tc>
          <w:tcPr>
            <w:tcW w:type="dxa" w:w="1440"/>
            <w:shd w:fill="FFDCE0" w:val="clear"/>
          </w:tcPr>
          <w:p>
            <w:r>
              <w:rPr>
                <w:b/>
                <w:sz w:val="17"/>
              </w:rPr>
              <w:t>2,503</w:t>
            </w:r>
          </w:p>
        </w:tc>
        <w:tc>
          <w:tcPr>
            <w:tcW w:type="dxa" w:w="1440"/>
            <w:shd w:fill="FFDCE0" w:val="clear"/>
          </w:tcPr>
          <w:p>
            <w:r>
              <w:rPr>
                <w:sz w:val="17"/>
              </w:rPr>
              <w:t>2,863</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2,096</w:t>
            </w:r>
          </w:p>
        </w:tc>
        <w:tc>
          <w:tcPr>
            <w:tcW w:type="dxa" w:w="1440"/>
            <w:shd w:fill="FFDCE0" w:val="clear"/>
          </w:tcPr>
          <w:p>
            <w:r>
              <w:rPr>
                <w:b/>
                <w:sz w:val="17"/>
              </w:rPr>
              <w:t>2,488</w:t>
            </w:r>
          </w:p>
        </w:tc>
        <w:tc>
          <w:tcPr>
            <w:tcW w:type="dxa" w:w="1440"/>
            <w:shd w:fill="FFDCE0" w:val="clear"/>
          </w:tcPr>
          <w:p>
            <w:r>
              <w:rPr>
                <w:sz w:val="17"/>
              </w:rPr>
              <w:t>2,880</w:t>
            </w:r>
          </w:p>
        </w:tc>
        <w:tc>
          <w:tcPr>
            <w:tcW w:type="dxa" w:w="1440"/>
            <w:shd w:fill="FFDCE0" w:val="clear"/>
          </w:tcPr>
          <w:p>
            <w:r>
              <w:rPr>
                <w:b/>
                <w:color w:val="C00000"/>
                <w:sz w:val="17"/>
              </w:rPr>
              <w:t>-2.8%</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2,052</w:t>
            </w:r>
          </w:p>
        </w:tc>
        <w:tc>
          <w:tcPr>
            <w:tcW w:type="dxa" w:w="1440"/>
            <w:shd w:fill="FFDCE0" w:val="clear"/>
          </w:tcPr>
          <w:p>
            <w:r>
              <w:rPr>
                <w:b/>
                <w:sz w:val="17"/>
              </w:rPr>
              <w:t>2,474</w:t>
            </w:r>
          </w:p>
        </w:tc>
        <w:tc>
          <w:tcPr>
            <w:tcW w:type="dxa" w:w="1440"/>
            <w:shd w:fill="FFDCE0" w:val="clear"/>
          </w:tcPr>
          <w:p>
            <w:r>
              <w:rPr>
                <w:sz w:val="17"/>
              </w:rPr>
              <w:t>2,895</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2,012</w:t>
            </w:r>
          </w:p>
        </w:tc>
        <w:tc>
          <w:tcPr>
            <w:tcW w:type="dxa" w:w="1440"/>
            <w:shd w:fill="FFDCE0" w:val="clear"/>
          </w:tcPr>
          <w:p>
            <w:r>
              <w:rPr>
                <w:b/>
                <w:sz w:val="17"/>
              </w:rPr>
              <w:t>2,459</w:t>
            </w:r>
          </w:p>
        </w:tc>
        <w:tc>
          <w:tcPr>
            <w:tcW w:type="dxa" w:w="1440"/>
            <w:shd w:fill="FFDCE0" w:val="clear"/>
          </w:tcPr>
          <w:p>
            <w:r>
              <w:rPr>
                <w:sz w:val="17"/>
              </w:rPr>
              <w:t>2,907</w:t>
            </w:r>
          </w:p>
        </w:tc>
        <w:tc>
          <w:tcPr>
            <w:tcW w:type="dxa" w:w="1440"/>
            <w:shd w:fill="FFDCE0" w:val="clear"/>
          </w:tcPr>
          <w:p>
            <w:r>
              <w:rPr>
                <w:b/>
                <w:color w:val="C00000"/>
                <w:sz w:val="17"/>
              </w:rPr>
              <w:t>-3.9%</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1,973</w:t>
            </w:r>
          </w:p>
        </w:tc>
        <w:tc>
          <w:tcPr>
            <w:tcW w:type="dxa" w:w="1440"/>
            <w:shd w:fill="FFDCE0" w:val="clear"/>
          </w:tcPr>
          <w:p>
            <w:r>
              <w:rPr>
                <w:b/>
                <w:sz w:val="17"/>
              </w:rPr>
              <w:t>2,445</w:t>
            </w:r>
          </w:p>
        </w:tc>
        <w:tc>
          <w:tcPr>
            <w:tcW w:type="dxa" w:w="1440"/>
            <w:shd w:fill="FFDCE0" w:val="clear"/>
          </w:tcPr>
          <w:p>
            <w:r>
              <w:rPr>
                <w:sz w:val="17"/>
              </w:rPr>
              <w:t>2,917</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1,936</w:t>
            </w:r>
          </w:p>
        </w:tc>
        <w:tc>
          <w:tcPr>
            <w:tcW w:type="dxa" w:w="1440"/>
            <w:shd w:fill="FFDCE0" w:val="clear"/>
          </w:tcPr>
          <w:p>
            <w:r>
              <w:rPr>
                <w:b/>
                <w:sz w:val="17"/>
              </w:rPr>
              <w:t>2,431</w:t>
            </w:r>
          </w:p>
        </w:tc>
        <w:tc>
          <w:tcPr>
            <w:tcW w:type="dxa" w:w="1440"/>
            <w:shd w:fill="FFDCE0" w:val="clear"/>
          </w:tcPr>
          <w:p>
            <w:r>
              <w:rPr>
                <w:sz w:val="17"/>
              </w:rPr>
              <w:t>2,926</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COTE D'IVOIRE)**</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139,35 milliards FCFA, un niveau significatif sur la BRVM, reflétant la taille importante de cette entreprise logistique dans l'économie ivoirienne. Le BPA de 387 FCFA indique que chaque action génère un bénéfice substantiel, ce qui place le PER à 6,6x, nettement inférieur à la moyenne du marché BRVM (8-12x). Ce ratio suggère une **sous-évaluation potentielle** du titre par rapport à ses bénéfices. Le P/B de 1,79x montre que le marché valorise l'entreprise à près de 1,8 fois ses capitaux propres, ce qui est raisonnable et indique une confiance modérée dans la valeur comptable des actifs. Cependant, l'EV/EBITDA de 30,0x est extrêmement élevé, signalant que la valeur totale de l'entreprise (capitalisation + dettes) est très chère par rapport à sa capacité opérationnelle de génération de cash (EBITDA). Cette disparité entre un PER faible et un EV/EBITDA élevé s'explique par la présence d'une trésorerie massive et d'un endettement relativement faible, mais aussi par la chute récente de l'EBITDA, créant un signal de valorisation mitigé.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performance spectaculaire de **+33,33%**, passant d'un plus bas de 1 650 FCFA à un plus haut de 2 820 FCFA, avant de clôturer à 2 560 FCFA. La dernière séance montre un repli de -5,19%, indiquant une possible prise de bénéfices après une forte hausse. La moyenne du cours sur la période (2 197 FCFA) est proche de la médiane (2 158 FCFA), ce qui, combiné à un skewness de 0,164, indique une distribution quasi-symétrique des prix. L'écart-type de 389 FCFA (CV=17,7%) montre une dispersion modérée des prix autour de la moyenne. Le kurtosis de -1,537 (distribution platykurtique) est un signal important : il indique une faible concentration des prix autour de la moyenne, signifiant que les extrêmes (pics ou creux) sont moins fréquents que dans une distribution normale, ce qui réduit le risque de mouvements violents imprévus. La volatilité annualisée de 49,7% est **élevée** (&gt;30%), classant SDSC comme un titre à fort risque de fluctuation, ce qui est cohérent avec la forte progression du cours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(2 560 FCFA) est inférieur à la MM20 (2 659,75 FCFA) mais supérieur à la MM50 (2 554,8 FCFA). Cette configuration, où le prix est sous la moyenne à court terme mais au-dessus de la moyenne à long terme, suggère un récent repli au sein d'une tendance haussière plus large. La décision d'**Achat** est justifiée par le croisement haussier antérieur des MM50 sur MM20, indiquant que la tendance de fond reste positive malès le repli actuel.</w:t>
      </w:r>
    </w:p>
    <w:p>
      <w:pPr>
        <w:spacing w:after="120" w:line="276" w:lineRule="auto"/>
      </w:pPr>
      <w:r>
        <w:t>**Bandes de Bollinger** : Le prix se situe à 2 560 FCFA, entre la borne inférieure (2 447,16 FCFA) et la borne supérieure (2 872,34 FCFA). La position du prix dans la partie médiane-basse des bandes, après un contact récent avec la borne supérieure, suggère une phase de consolidation ou de correction modérée. La décision **Neutre** est appropriée, car le prix n'est pas en situation de surachat ou de survente extrême, et la volatilité, bien que présente, n'a pas poussé le prix hors des bornes.</w:t>
      </w:r>
    </w:p>
    <w:p>
      <w:pPr>
        <w:spacing w:after="120" w:line="276" w:lineRule="auto"/>
      </w:pPr>
      <w:r>
        <w:t>**MACD** : La valeur du MACD (40,94) est inférieure à son signal (56,98), indiquant un momentum baissier à court terme. La décision de **Vente** est cohérente avec cette configuration, car elle signale un ralentissement de la dynamique haussière et une possible poursuite de la correction à très court terme.</w:t>
      </w:r>
    </w:p>
    <w:p>
      <w:pPr>
        <w:spacing w:after="120" w:line="276" w:lineRule="auto"/>
      </w:pPr>
      <w:r>
        <w:t>**RSI** : Avec une valeur de 50,61, le RSI est en territoire neutre, indiquant que le titre n'est ni suracheté ( &gt;70) ni survendu (&lt;30). La décision **Neutre** est justifiée, car le RSI suggère un équilibre entre les forces acheteuses et vendeuses, laissant place à une évolution dans les deux sens.</w:t>
      </w:r>
    </w:p>
    <w:p>
      <w:pPr>
        <w:spacing w:after="120" w:line="276" w:lineRule="auto"/>
      </w:pPr>
      <w:r>
        <w:t>**Stochastique** : Le %K (46,59) est inférieur au %D (73,86), formant un croisement baissier. Cela indique que le momentum de prix s'affaiblit, mais les valeurs restent en zone neutre. La décision **Neutre** est prudente, car bien que le croisement soit baissier, il n'est pas en zone de survente, ce qui limite le potentiel de baisse immédiate.</w:t>
      </w:r>
    </w:p>
    <w:p>
      <w:pPr>
        <w:spacing w:after="120" w:line="276" w:lineRule="auto"/>
      </w:pPr>
      <w:r>
        <w:t>**Conclusion technique** : Les indicateurs techniques sont globalement mitigés. La tendance de fond (MM50) reste positive, mais les signaux à court terme (MACD, Stochastique) suggèrent une consolidation ou une correction après la forte hausse. Le RSI neutre et les bandes de Bollinger ouvertes indiquent une phase d'incertitude. L'absence de convergence forte entre les indicateurs appelle à la prudence, avec un biais légèrement négatif à très court terme.</w:t>
      </w:r>
    </w:p>
    <w:p>
      <w:pPr>
        <w:spacing w:after="120" w:line="276" w:lineRule="auto"/>
      </w:pPr>
      <w:r>
        <w:t>---</w:t>
      </w:r>
    </w:p>
    <w:p>
      <w:pPr>
        <w:spacing w:after="120" w:line="276" w:lineRule="auto"/>
      </w:pPr>
      <w:r>
        <w:t>### PARTIE 3 : ANALYSE FONDAMENTALE (SECTION CRITIQUE)</w:t>
      </w:r>
    </w:p>
    <w:p>
      <w:pPr>
        <w:spacing w:after="120" w:line="276" w:lineRule="auto"/>
      </w:pPr>
      <w:r>
        <w:t>En se basant sur les données structurées de l'exercice 2024, SDSC affiche un chiffre d'affaires de 85,643 milliards FCFA, en croissance de 3,65%, et un résultat net de 21,069 milliards FCFA, soit une marge nette exceptionnelle de 24,6%. La rentabilité des fonds propres (ROE) est excellente à 27,08%, et le ROA est solide à 11,2%. Cependant, l'analyse des rapports narratifs révèle une dégradation sévère en 2025. Selon le rapport annuel 2025 (analysé le 05/08/2026), le CA a progressé de 7,4% à 92,004 milliards FCFA, mais le résultat net s'est effondré de 96% à seulement 0,785 milliard FCFA, avec un résultat d'exploitation devenu négatif (-2,27 milliards FCFA). Cette chute est attribuée à une hausse des dotations aux amortissements et à une pression fiscale anormale (taux effectif de 83%). Les rapports trimestriels de 2025 (T1 et S1) confirment cette tendance : le T1 2025 montrait un retour à la profitabilité (+223 millions FCFA) mais le S1 2025 était déficitaire (-427 millions FCFA), principalement en raison de l'absence de dividendes des filiales. Le T3 2025 a vu le résultat net chuter de 77% à 4,341 milliards FCFA, toujours à cause de la non-répétition de ces revenus exceptionnels. Sur le plan bilantiel, la structure reste solide avec des capitaux propres de 77,8 milliards FCFA (autonomie financière de 41,4%) et une trésorerie nette massive de 74,78 milliards FCFA en 2025. Cependant, le BFR a explosé (+75,7 milliards), et le délai de paiement clients est très élevé (466 jours), indiquant un risque de trésorerie important. En conclusion, la santé financière de l'entreprise est contrastée : une base d'actifs solide et une croissance du CA, mais une rentabilité opérationnelle en chute libre, dépendante de revenus financiers volatils.</w:t>
      </w:r>
    </w:p>
    <w:p>
      <w:pPr>
        <w:spacing w:after="120" w:line="276" w:lineRule="auto"/>
      </w:pPr>
      <w:r>
        <w:t>---</w:t>
      </w:r>
    </w:p>
    <w:p>
      <w:pPr>
        <w:spacing w:after="120" w:line="276" w:lineRule="auto"/>
      </w:pPr>
      <w:r>
        <w:t>### PARTIE 4 : CONCLUSION D'INVESTISSEMENT</w:t>
      </w:r>
    </w:p>
    <w:p>
      <w:pPr>
        <w:spacing w:after="120" w:line="276" w:lineRule="auto"/>
      </w:pPr>
      <w:r>
        <w:t>La synthèse globale révèle des signaux fortement divergents. La valorisation (Partie 0) est mitigée : un PER faible suggère une sous-évaluation, mais l'EV/EBITDA très élevé (30x) et la chute de l'EBITDA indiquent un risque sur la capacité bénéficiaire future. Le comportement du cours (Partie 1) est haussier sur 100 jours (+33%), mais la volatilité est très élevée (49,7%), et la récente baisse de -5,19% pourrait marquer un retournement. Les signaux techniques (Partie 2) sont neutres à baissiers à court terme, avec un momentum qui s'essouffle. Les fondamentaux (Partie 3) sont préoccupants : la rentabilité nette s'est effondrée en 2025 (marge de 0,85% vs 24,6% en 2024), et l'exploitation est déficitaire. Les prédictions IA pour les 10 prochains jours (J+1 à J+10) prévoient une baisse progressive du cours de 2 548 FCFA à 2 503 FCFA, confirmant le signal baissier technique à court terme. En croisant ces éléments, la valorisation n'est pas assez attractive pour compenser la dégradation des fondamentaux et le risque de correction technique. La recommandation finale est **CONSERVER**, avec un niveau de confiance **Moyen** et un risque global **Élevé**. L'horizon d'investissement optimal est le **moyen terme (3-12 mois)**, en attendant de voir si la direction parvient à restaurer les marges opérationnelles et à stabiliser les revenus des filiales. Une vente serait justifiée si le cours cassait le support des 2 500 FCFA, tandis qu'un achat serait envisageable si la rentabilité opérationnelle revenait à des niveaux à deux chiffres.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5,632 titres</w:t>
            </w:r>
          </w:p>
        </w:tc>
        <w:tc>
          <w:tcPr>
            <w:tcW w:type="dxa" w:w="2268"/>
            <w:shd w:fill="FFF2CC" w:val="clear"/>
          </w:tcPr>
          <w:p>
            <w:r>
              <w:rPr>
                <w:b/>
                <w:color w:val="503200"/>
                <w:sz w:val="16"/>
              </w:rPr>
              <w:t xml:space="preserve">Cours actuel : </w:t>
            </w:r>
            <w:r>
              <w:rPr>
                <w:color w:val="000000"/>
                <w:sz w:val="17"/>
              </w:rPr>
              <w:t>1,500 FCFA</w:t>
            </w:r>
          </w:p>
          <w:p>
            <w:r>
              <w:rPr>
                <w:b/>
                <w:color w:val="503200"/>
                <w:sz w:val="16"/>
              </w:rPr>
              <w:t xml:space="preserve">Var. 100 jours : </w:t>
            </w:r>
            <w:r>
              <w:rPr>
                <w:b/>
                <w:color w:val="B40000"/>
                <w:sz w:val="17"/>
              </w:rPr>
              <w:t>-25.00%</w:t>
            </w:r>
          </w:p>
          <w:p>
            <w:r>
              <w:rPr>
                <w:b/>
                <w:color w:val="503200"/>
                <w:sz w:val="16"/>
              </w:rPr>
              <w:t xml:space="preserve">Plus haut 100j : </w:t>
            </w:r>
            <w:r>
              <w:rPr>
                <w:color w:val="000000"/>
                <w:sz w:val="17"/>
              </w:rPr>
              <w:t>2,000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22.0/100 → Moyen</w:t>
      </w:r>
    </w:p>
    <w:p>
      <w:pPr>
        <w:spacing w:before="40" w:after="80"/>
      </w:pPr>
      <w:r>
        <w:rPr>
          <w:rFonts w:ascii="Courier New" w:hAnsi="Courier New"/>
          <w:color w:val="825A00"/>
          <w:sz w:val="18"/>
        </w:rPr>
        <w:t>████░░░░░░░░░░░░░░░░  22.0/100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9.34% (Moyenne) — μ=1,577 FCFA, σ=147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β=1.4878 (Agressif) — Cov=0.000050, Var(idx)=0.000033, ρ=0.274,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5,632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σ_j=3.13%/j (Modérée) — Vol. annualisée≈49.7%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1,430</w:t>
            </w:r>
          </w:p>
        </w:tc>
        <w:tc>
          <w:tcPr>
            <w:tcW w:type="dxa" w:w="1440"/>
            <w:shd w:fill="FAFAFA" w:val="clear"/>
          </w:tcPr>
          <w:p>
            <w:r>
              <w:rPr>
                <w:b/>
                <w:sz w:val="17"/>
              </w:rPr>
              <w:t>1,500</w:t>
            </w:r>
          </w:p>
        </w:tc>
        <w:tc>
          <w:tcPr>
            <w:tcW w:type="dxa" w:w="1440"/>
            <w:shd w:fill="FAFAFA" w:val="clear"/>
          </w:tcPr>
          <w:p>
            <w:r>
              <w:rPr>
                <w:sz w:val="17"/>
              </w:rPr>
              <w:t>1,570</w:t>
            </w:r>
          </w:p>
        </w:tc>
        <w:tc>
          <w:tcPr>
            <w:tcW w:type="dxa" w:w="1440"/>
            <w:shd w:fill="FAFAFA" w:val="clear"/>
          </w:tcPr>
          <w:p>
            <w:r>
              <w:rPr>
                <w:b/>
                <w:color w:val="C00000"/>
                <w:sz w:val="17"/>
              </w:rPr>
              <w:t>-0.0%</w:t>
            </w:r>
          </w:p>
        </w:tc>
      </w:tr>
      <w:tr>
        <w:tc>
          <w:tcPr>
            <w:tcW w:type="dxa" w:w="1440"/>
            <w:shd w:fill="FAFAFA" w:val="clear"/>
          </w:tcPr>
          <w:p>
            <w:r>
              <w:rPr>
                <w:sz w:val="17"/>
              </w:rPr>
              <w:t>J+2  Moyenne</w:t>
            </w:r>
          </w:p>
        </w:tc>
        <w:tc>
          <w:tcPr>
            <w:tcW w:type="dxa" w:w="1440"/>
            <w:shd w:fill="FAFAFA" w:val="clear"/>
          </w:tcPr>
          <w:p>
            <w:r>
              <w:rPr>
                <w:sz w:val="17"/>
              </w:rPr>
              <w:t>2026-08-28</w:t>
            </w:r>
          </w:p>
        </w:tc>
        <w:tc>
          <w:tcPr>
            <w:tcW w:type="dxa" w:w="1440"/>
            <w:shd w:fill="FAFAFA" w:val="clear"/>
          </w:tcPr>
          <w:p>
            <w:r>
              <w:rPr>
                <w:sz w:val="17"/>
              </w:rPr>
              <w:t>1,386</w:t>
            </w:r>
          </w:p>
        </w:tc>
        <w:tc>
          <w:tcPr>
            <w:tcW w:type="dxa" w:w="1440"/>
            <w:shd w:fill="FAFAFA" w:val="clear"/>
          </w:tcPr>
          <w:p>
            <w:r>
              <w:rPr>
                <w:b/>
                <w:sz w:val="17"/>
              </w:rPr>
              <w:t>1,484</w:t>
            </w:r>
          </w:p>
        </w:tc>
        <w:tc>
          <w:tcPr>
            <w:tcW w:type="dxa" w:w="1440"/>
            <w:shd w:fill="FAFAFA" w:val="clear"/>
          </w:tcPr>
          <w:p>
            <w:r>
              <w:rPr>
                <w:sz w:val="17"/>
              </w:rPr>
              <w:t>1,582</w:t>
            </w:r>
          </w:p>
        </w:tc>
        <w:tc>
          <w:tcPr>
            <w:tcW w:type="dxa" w:w="1440"/>
            <w:shd w:fill="FAFAFA" w:val="clear"/>
          </w:tcPr>
          <w:p>
            <w:r>
              <w:rPr>
                <w:b/>
                <w:color w:val="C00000"/>
                <w:sz w:val="17"/>
              </w:rPr>
              <w:t>-1.1%</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1,349</w:t>
            </w:r>
          </w:p>
        </w:tc>
        <w:tc>
          <w:tcPr>
            <w:tcW w:type="dxa" w:w="1440"/>
            <w:shd w:fill="FFDCE0" w:val="clear"/>
          </w:tcPr>
          <w:p>
            <w:r>
              <w:rPr>
                <w:b/>
                <w:sz w:val="17"/>
              </w:rPr>
              <w:t>1,468</w:t>
            </w:r>
          </w:p>
        </w:tc>
        <w:tc>
          <w:tcPr>
            <w:tcW w:type="dxa" w:w="1440"/>
            <w:shd w:fill="FFDCE0" w:val="clear"/>
          </w:tcPr>
          <w:p>
            <w:r>
              <w:rPr>
                <w:sz w:val="17"/>
              </w:rPr>
              <w:t>1,587</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1,317</w:t>
            </w:r>
          </w:p>
        </w:tc>
        <w:tc>
          <w:tcPr>
            <w:tcW w:type="dxa" w:w="1440"/>
            <w:shd w:fill="FFDCE0" w:val="clear"/>
          </w:tcPr>
          <w:p>
            <w:r>
              <w:rPr>
                <w:b/>
                <w:sz w:val="17"/>
              </w:rPr>
              <w:t>1,453</w:t>
            </w:r>
          </w:p>
        </w:tc>
        <w:tc>
          <w:tcPr>
            <w:tcW w:type="dxa" w:w="1440"/>
            <w:shd w:fill="FFDCE0" w:val="clear"/>
          </w:tcPr>
          <w:p>
            <w:r>
              <w:rPr>
                <w:sz w:val="17"/>
              </w:rPr>
              <w:t>1,589</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1,288</w:t>
            </w:r>
          </w:p>
        </w:tc>
        <w:tc>
          <w:tcPr>
            <w:tcW w:type="dxa" w:w="1440"/>
            <w:shd w:fill="FFDCE0" w:val="clear"/>
          </w:tcPr>
          <w:p>
            <w:r>
              <w:rPr>
                <w:b/>
                <w:sz w:val="17"/>
              </w:rPr>
              <w:t>1,438</w:t>
            </w:r>
          </w:p>
        </w:tc>
        <w:tc>
          <w:tcPr>
            <w:tcW w:type="dxa" w:w="1440"/>
            <w:shd w:fill="FFDCE0" w:val="clear"/>
          </w:tcPr>
          <w:p>
            <w:r>
              <w:rPr>
                <w:sz w:val="17"/>
              </w:rPr>
              <w:t>1,588</w:t>
            </w:r>
          </w:p>
        </w:tc>
        <w:tc>
          <w:tcPr>
            <w:tcW w:type="dxa" w:w="1440"/>
            <w:shd w:fill="FFDCE0" w:val="clear"/>
          </w:tcPr>
          <w:p>
            <w:r>
              <w:rPr>
                <w:b/>
                <w:color w:val="C00000"/>
                <w:sz w:val="17"/>
              </w:rPr>
              <w:t>-4.1%</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1,261</w:t>
            </w:r>
          </w:p>
        </w:tc>
        <w:tc>
          <w:tcPr>
            <w:tcW w:type="dxa" w:w="1440"/>
            <w:shd w:fill="FFDCE0" w:val="clear"/>
          </w:tcPr>
          <w:p>
            <w:r>
              <w:rPr>
                <w:b/>
                <w:sz w:val="17"/>
              </w:rPr>
              <w:t>1,424</w:t>
            </w:r>
          </w:p>
        </w:tc>
        <w:tc>
          <w:tcPr>
            <w:tcW w:type="dxa" w:w="1440"/>
            <w:shd w:fill="FFDCE0" w:val="clear"/>
          </w:tcPr>
          <w:p>
            <w:r>
              <w:rPr>
                <w:sz w:val="17"/>
              </w:rPr>
              <w:t>1,587</w:t>
            </w:r>
          </w:p>
        </w:tc>
        <w:tc>
          <w:tcPr>
            <w:tcW w:type="dxa" w:w="1440"/>
            <w:shd w:fill="FFDCE0" w:val="clear"/>
          </w:tcPr>
          <w:p>
            <w:r>
              <w:rPr>
                <w:b/>
                <w:color w:val="C00000"/>
                <w:sz w:val="17"/>
              </w:rPr>
              <w:t>-5.1%</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1,235</w:t>
            </w:r>
          </w:p>
        </w:tc>
        <w:tc>
          <w:tcPr>
            <w:tcW w:type="dxa" w:w="1440"/>
            <w:shd w:fill="FFDCE0" w:val="clear"/>
          </w:tcPr>
          <w:p>
            <w:r>
              <w:rPr>
                <w:b/>
                <w:sz w:val="17"/>
              </w:rPr>
              <w:t>1,410</w:t>
            </w:r>
          </w:p>
        </w:tc>
        <w:tc>
          <w:tcPr>
            <w:tcW w:type="dxa" w:w="1440"/>
            <w:shd w:fill="FFDCE0" w:val="clear"/>
          </w:tcPr>
          <w:p>
            <w:r>
              <w:rPr>
                <w:sz w:val="17"/>
              </w:rPr>
              <w:t>1,584</w:t>
            </w:r>
          </w:p>
        </w:tc>
        <w:tc>
          <w:tcPr>
            <w:tcW w:type="dxa" w:w="1440"/>
            <w:shd w:fill="FFDCE0" w:val="clear"/>
          </w:tcPr>
          <w:p>
            <w:r>
              <w:rPr>
                <w:b/>
                <w:color w:val="C00000"/>
                <w:sz w:val="17"/>
              </w:rPr>
              <w:t>-6.0%</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1,211</w:t>
            </w:r>
          </w:p>
        </w:tc>
        <w:tc>
          <w:tcPr>
            <w:tcW w:type="dxa" w:w="1440"/>
            <w:shd w:fill="FFDCE0" w:val="clear"/>
          </w:tcPr>
          <w:p>
            <w:r>
              <w:rPr>
                <w:b/>
                <w:sz w:val="17"/>
              </w:rPr>
              <w:t>1,396</w:t>
            </w:r>
          </w:p>
        </w:tc>
        <w:tc>
          <w:tcPr>
            <w:tcW w:type="dxa" w:w="1440"/>
            <w:shd w:fill="FFDCE0" w:val="clear"/>
          </w:tcPr>
          <w:p>
            <w:r>
              <w:rPr>
                <w:sz w:val="17"/>
              </w:rPr>
              <w:t>1,580</w:t>
            </w:r>
          </w:p>
        </w:tc>
        <w:tc>
          <w:tcPr>
            <w:tcW w:type="dxa" w:w="1440"/>
            <w:shd w:fill="FFDCE0" w:val="clear"/>
          </w:tcPr>
          <w:p>
            <w:r>
              <w:rPr>
                <w:b/>
                <w:color w:val="C00000"/>
                <w:sz w:val="17"/>
              </w:rPr>
              <w:t>-6.9%</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1,189</w:t>
            </w:r>
          </w:p>
        </w:tc>
        <w:tc>
          <w:tcPr>
            <w:tcW w:type="dxa" w:w="1440"/>
            <w:shd w:fill="FFDCE0" w:val="clear"/>
          </w:tcPr>
          <w:p>
            <w:r>
              <w:rPr>
                <w:b/>
                <w:sz w:val="17"/>
              </w:rPr>
              <w:t>1,382</w:t>
            </w:r>
          </w:p>
        </w:tc>
        <w:tc>
          <w:tcPr>
            <w:tcW w:type="dxa" w:w="1440"/>
            <w:shd w:fill="FFDCE0" w:val="clear"/>
          </w:tcPr>
          <w:p>
            <w:r>
              <w:rPr>
                <w:sz w:val="17"/>
              </w:rPr>
              <w:t>1,576</w:t>
            </w:r>
          </w:p>
        </w:tc>
        <w:tc>
          <w:tcPr>
            <w:tcW w:type="dxa" w:w="1440"/>
            <w:shd w:fill="FFDCE0" w:val="clear"/>
          </w:tcPr>
          <w:p>
            <w:r>
              <w:rPr>
                <w:b/>
                <w:color w:val="C00000"/>
                <w:sz w:val="17"/>
              </w:rPr>
              <w:t>-7.8%</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1,167</w:t>
            </w:r>
          </w:p>
        </w:tc>
        <w:tc>
          <w:tcPr>
            <w:tcW w:type="dxa" w:w="1440"/>
            <w:shd w:fill="FFDCE0" w:val="clear"/>
          </w:tcPr>
          <w:p>
            <w:r>
              <w:rPr>
                <w:b/>
                <w:sz w:val="17"/>
              </w:rPr>
              <w:t>1,369</w:t>
            </w:r>
          </w:p>
        </w:tc>
        <w:tc>
          <w:tcPr>
            <w:tcW w:type="dxa" w:w="1440"/>
            <w:shd w:fill="FFDCE0" w:val="clear"/>
          </w:tcPr>
          <w:p>
            <w:r>
              <w:rPr>
                <w:sz w:val="17"/>
              </w:rPr>
              <w:t>1,572</w:t>
            </w:r>
          </w:p>
        </w:tc>
        <w:tc>
          <w:tcPr>
            <w:tcW w:type="dxa" w:w="1440"/>
            <w:shd w:fill="FFDCE0" w:val="clear"/>
          </w:tcPr>
          <w:p>
            <w:r>
              <w:rPr>
                <w:b/>
                <w:color w:val="C00000"/>
                <w:sz w:val="17"/>
              </w:rPr>
              <w:t>-8.7%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37,78 milliards FCFA, un niveau modeste dans le contexte de la BRVM, qui le classe parmi les valeurs de taille moyenne. Les ratios de valorisation (BPA, PER, P/B, EV/EBITDA) ne sont pas calculables en raison de l'absence de données financières structurées dans la base, ce qui constitue une limite importante pour l'évaluation. Toutefois, en se référant aux rapports fondamentaux disponibles, notamment le résultat net de 1,01 milliard FCFA pour l'exercice 2023, on peut estimer un BPA d'environ 40 FCFA, ce qui impliquerait un PER d'environ 37,5x, très supérieur à la moyenne BRVM de 8-12x. Cette situation suggère une valorisation potentiellement élevée au regard des bénéfices actuels, bien que les perspectives de rebond et le changement d'actionnariat puissent justifier une prime. L'absence de ratios standardisés limite toutefois la portée de cette analyse comparative.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 enregistré une baisse significative de 25%, passant de 2 000 FCFA à 1 500 FCFA, avec une dernière séance en repli de 3,23%. Le cours a évolué dans une fourchette de 1 350 à 2 000 FCFA, illustrant une forte amplitude de trading. La moyenne (1 577 FCFA) est supérieure à la médiane (1 535 FCFA), indiquant une asymétrie positive avec des journées de hausse ponctuelles qui tirent la moyenne vers le haut, tandis que le mode à 1 500 FCFA confirme la concentration des cotations autour de ce niveau. L'écart-type de 148 FCFA (CV=9,4%) révèle une dispersion modérée, mais le kurtosis de 1,449 signale un risque de mouvements extrêmes, et le skewness de 1,479 confirme une distribution asymétrique avec davantage de séances sous la moyenne. La volatilité annualisée de 49,7% classe le titre dans la catégorie à risque élevé, reflétant une instabilité marquée et un profil spéculatif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Les moyennes mobiles MM20 (1 505,25 FCFA) et MM50 (1 503,80 FCFA) sont très proches l'une de l'autre et légèrement au-dessus du cours actuel de 1 500 FCFA. Cette configuration indique une stabilisation après la baisse, avec un signal d'achat généré par le croisement haussier récent des deux moyennes, suggérant un potentiel de rebond à court terme si le cours parvient à se maintenir au-dessus de ces supports dynamiques.</w:t>
      </w:r>
    </w:p>
    <w:p>
      <w:pPr>
        <w:spacing w:after="120" w:line="276" w:lineRule="auto"/>
      </w:pPr>
      <w:r>
        <w:t>Les bandes de Bollinger, avec une borne supérieure à 1 600,81 FCFA et une borne inférieure à 1 409,69 FCFA, encadrent le cours actuel à 1 500 FCFA, positionné presque au milieu de l'intervalle. Cette configuration neutre indique une volatilité modérée et l'absence de pression directionnelle forte, le marché semblant attendre un catalyseur pour sortir de cette zone de consolidation.</w:t>
      </w:r>
    </w:p>
    <w:p>
      <w:pPr>
        <w:spacing w:after="120" w:line="276" w:lineRule="auto"/>
      </w:pPr>
      <w:r>
        <w:t>Le MACD affiche une valeur de 15,689, supérieure à son signal à 11,378, avec un écart positif qui confirme un momentum haussier en cours. Cette divergence positive, bien que modérée, suggère une dynamique d'achat qui pourrait soutenir le cours dans les prochaines séances, même si l'amplitude reste limitée.</w:t>
      </w:r>
    </w:p>
    <w:p>
      <w:pPr>
        <w:spacing w:after="120" w:line="276" w:lineRule="auto"/>
      </w:pPr>
      <w:r>
        <w:t>Le RSI à 52,94 se situe en zone neutre, entre 30 et 70, indiquant un équilibre entre les pressions acheteuses et vendeuses. Cette valeur ne signale ni surachat ni survente, laissant place à une évolution directionnelle sans contrainte technique majeure.</w:t>
      </w:r>
    </w:p>
    <w:p>
      <w:pPr>
        <w:spacing w:after="120" w:line="276" w:lineRule="auto"/>
      </w:pPr>
      <w:r>
        <w:t>Le stochastique montre un %K à 35,48 inférieur au %D à 56,99, suggérant une dynamique baissière à très court terme, avec un croisement potentiellement négatif qui pourrait précéder une nouvelle phase de consolidation.</w:t>
      </w:r>
    </w:p>
    <w:p>
      <w:pPr>
        <w:spacing w:after="120" w:line="276" w:lineRule="auto"/>
      </w:pPr>
      <w:r>
        <w:t>En conclusion technique, les signaux sont mitigés : les moyennes mobiles et le MACD penchent vers un achat, tandis que le RSI, les bandes de Bollinger et le stochastique restent neutres ou légèrement baissiers. Cette divergence suggère une phase de transition sans tendance claire, nécessitant une confirmation directionnelle avant de prendre position.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rapports fondamentaux disponibles, bien qu'anciens (datant de 2022-2024), fournissent des éléments essentiels sur la santé financière de SEMC. Pour l'exercice 2023, le chiffre d'affaires s'établit à 27,88 milliards FCFA, en baisse de 6% par rapport à 2022 (29,60 milliards FCFA), avec un résultat net de 1,01 milliard FCFA, en chute de 74% (contre 3,86 milliards FCFA en 2022). La marge nette s'est effondrée à 3,6% (contre 13% en 2022), reflétant une détérioration opérationnelle marquée. Le rapport du 1er trimestre 2023 indiquait pourtant un CA de 7,65 milliards FCFA (+16,5%) et un bénéfice net de 855,65 millions FCFA (+37,9%), suggérant un fort ralentissement en cours d'année. La politique de dividende est nulle depuis 2022, la société privilégiant la conservation de trésorerie (3,35 milliards FCFA) pour financer sa relance. Le rachat par Sonoco Products Company en décembre 2024 constitue un tournant stratégique majeur, avec des synergies potentielles importantes. Les perspectives 2024 visent un CA de 32 milliards FCFA (+18%), porté par les bouchons couronnes (+15,8%) et les exportations. La recommandation fondamentale est de conserver avec vigilance, compte tenu des risques opérationnels et de la rentabilité fragile, mais aussi des opportunités de rebond liées au nouvel actionnariat.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SEMC. La valorisation boursière, avec un PER estimé autour de 37x, apparaît élevée au regard des bénéfices actuels, mais les perspectives de rebond et le changement d'actionnariat pourraient justifier cette prime. Le comportement du cours sur 100 jours est préoccupant avec une baisse de 25% et une volatilité annualisée de 49,7%, bien que les statistiques (kurtosis, skewness) suggèrent un potentiel de mouvements extrêmes dans les deux sens. Les signaux techniques sont mitigés, avec une légère orientation haussière portée par les moyennes mobiles et le MACD, mais contredite par le stochastique. Les fondamentaux, bien qu'anciens, montrent une dégradation marquée en 2023, mais avec des perspectives de redressement portées par Sonoco et un objectif de CA de 32 milliards FCFA. Les prédictions IA pour les 10 prochains jours indiquent une poursuite de la baisse vers 1 438 FCFA, contredisant les signaux techniques haussiers. Cette divergence entre les signaux justifie une recommandation de **CONSERVER** avec un niveau de confiance **Faible**, un risque global **Élevé**, et un horizon d'investissement **moyen terme (3-12 mois)** pour observer l'impact du nouveau management et la concrétisation des objectifs de croissance.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4,955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+10.14%</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5.72% (Moyenne) — μ=36,949 FCFA, σ=2,115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β=0.5877 (Défensif) — Cov=0.000020, Var(idx)=0.000033, ρ=0.220,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37,442</w:t>
            </w:r>
          </w:p>
        </w:tc>
        <w:tc>
          <w:tcPr>
            <w:tcW w:type="dxa" w:w="1440"/>
            <w:shd w:fill="FAFAFA" w:val="clear"/>
          </w:tcPr>
          <w:p>
            <w:r>
              <w:rPr>
                <w:b/>
                <w:sz w:val="17"/>
              </w:rPr>
              <w:t>38,300</w:t>
            </w:r>
          </w:p>
        </w:tc>
        <w:tc>
          <w:tcPr>
            <w:tcW w:type="dxa" w:w="1440"/>
            <w:shd w:fill="FAFAFA" w:val="clear"/>
          </w:tcPr>
          <w:p>
            <w:r>
              <w:rPr>
                <w:sz w:val="17"/>
              </w:rPr>
              <w:t>39,158</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36,985</w:t>
            </w:r>
          </w:p>
        </w:tc>
        <w:tc>
          <w:tcPr>
            <w:tcW w:type="dxa" w:w="1440"/>
            <w:shd w:fill="FAFAFA" w:val="clear"/>
          </w:tcPr>
          <w:p>
            <w:r>
              <w:rPr>
                <w:b/>
                <w:sz w:val="17"/>
              </w:rPr>
              <w:t>38,195</w:t>
            </w:r>
          </w:p>
        </w:tc>
        <w:tc>
          <w:tcPr>
            <w:tcW w:type="dxa" w:w="1440"/>
            <w:shd w:fill="FAFAFA" w:val="clear"/>
          </w:tcPr>
          <w:p>
            <w:r>
              <w:rPr>
                <w:sz w:val="17"/>
              </w:rPr>
              <w:t>39,405</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36,629</w:t>
            </w:r>
          </w:p>
        </w:tc>
        <w:tc>
          <w:tcPr>
            <w:tcW w:type="dxa" w:w="1440"/>
            <w:shd w:fill="FAFAFA" w:val="clear"/>
          </w:tcPr>
          <w:p>
            <w:r>
              <w:rPr>
                <w:b/>
                <w:sz w:val="17"/>
              </w:rPr>
              <w:t>38,107</w:t>
            </w:r>
          </w:p>
        </w:tc>
        <w:tc>
          <w:tcPr>
            <w:tcW w:type="dxa" w:w="1440"/>
            <w:shd w:fill="FAFAFA" w:val="clear"/>
          </w:tcPr>
          <w:p>
            <w:r>
              <w:rPr>
                <w:sz w:val="17"/>
              </w:rPr>
              <w:t>39,586</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2026-09-01</w:t>
            </w:r>
          </w:p>
        </w:tc>
        <w:tc>
          <w:tcPr>
            <w:tcW w:type="dxa" w:w="1440"/>
            <w:shd w:fill="FAFAFA" w:val="clear"/>
          </w:tcPr>
          <w:p>
            <w:r>
              <w:rPr>
                <w:sz w:val="17"/>
              </w:rPr>
              <w:t>36,321</w:t>
            </w:r>
          </w:p>
        </w:tc>
        <w:tc>
          <w:tcPr>
            <w:tcW w:type="dxa" w:w="1440"/>
            <w:shd w:fill="FAFAFA" w:val="clear"/>
          </w:tcPr>
          <w:p>
            <w:r>
              <w:rPr>
                <w:b/>
                <w:sz w:val="17"/>
              </w:rPr>
              <w:t>38,025</w:t>
            </w:r>
          </w:p>
        </w:tc>
        <w:tc>
          <w:tcPr>
            <w:tcW w:type="dxa" w:w="1440"/>
            <w:shd w:fill="FAFAFA" w:val="clear"/>
          </w:tcPr>
          <w:p>
            <w:r>
              <w:rPr>
                <w:sz w:val="17"/>
              </w:rPr>
              <w:t>39,729</w:t>
            </w:r>
          </w:p>
        </w:tc>
        <w:tc>
          <w:tcPr>
            <w:tcW w:type="dxa" w:w="1440"/>
            <w:shd w:fill="FAFAFA" w:val="clear"/>
          </w:tcPr>
          <w:p>
            <w:r>
              <w:rPr>
                <w:b/>
                <w:color w:val="008000"/>
                <w:sz w:val="17"/>
              </w:rPr>
              <w:t>+0.1%</w:t>
            </w:r>
          </w:p>
        </w:tc>
      </w:tr>
      <w:tr>
        <w:tc>
          <w:tcPr>
            <w:tcW w:type="dxa" w:w="1440"/>
            <w:shd w:fill="FAFAFA" w:val="clear"/>
          </w:tcPr>
          <w:p>
            <w:r>
              <w:rPr>
                <w:sz w:val="17"/>
              </w:rPr>
              <w:t>J+5  Moyenne</w:t>
            </w:r>
          </w:p>
        </w:tc>
        <w:tc>
          <w:tcPr>
            <w:tcW w:type="dxa" w:w="1440"/>
            <w:shd w:fill="FAFAFA" w:val="clear"/>
          </w:tcPr>
          <w:p>
            <w:r>
              <w:rPr>
                <w:sz w:val="17"/>
              </w:rPr>
              <w:t>2026-09-02</w:t>
            </w:r>
          </w:p>
        </w:tc>
        <w:tc>
          <w:tcPr>
            <w:tcW w:type="dxa" w:w="1440"/>
            <w:shd w:fill="FAFAFA" w:val="clear"/>
          </w:tcPr>
          <w:p>
            <w:r>
              <w:rPr>
                <w:sz w:val="17"/>
              </w:rPr>
              <w:t>36,042</w:t>
            </w:r>
          </w:p>
        </w:tc>
        <w:tc>
          <w:tcPr>
            <w:tcW w:type="dxa" w:w="1440"/>
            <w:shd w:fill="FAFAFA" w:val="clear"/>
          </w:tcPr>
          <w:p>
            <w:r>
              <w:rPr>
                <w:b/>
                <w:sz w:val="17"/>
              </w:rPr>
              <w:t>37,943</w:t>
            </w:r>
          </w:p>
        </w:tc>
        <w:tc>
          <w:tcPr>
            <w:tcW w:type="dxa" w:w="1440"/>
            <w:shd w:fill="FAFAFA" w:val="clear"/>
          </w:tcPr>
          <w:p>
            <w:r>
              <w:rPr>
                <w:sz w:val="17"/>
              </w:rPr>
              <w:t>39,844</w:t>
            </w:r>
          </w:p>
        </w:tc>
        <w:tc>
          <w:tcPr>
            <w:tcW w:type="dxa" w:w="1440"/>
            <w:shd w:fill="FAFAFA" w:val="clear"/>
          </w:tcPr>
          <w:p>
            <w:r>
              <w:rPr>
                <w:b/>
                <w:color w:val="C00000"/>
                <w:sz w:val="17"/>
              </w:rPr>
              <w:t>-0.1%</w:t>
            </w:r>
          </w:p>
        </w:tc>
      </w:tr>
      <w:tr>
        <w:tc>
          <w:tcPr>
            <w:tcW w:type="dxa" w:w="1440"/>
            <w:shd w:fill="FAFAFA" w:val="clear"/>
          </w:tcPr>
          <w:p>
            <w:r>
              <w:rPr>
                <w:sz w:val="17"/>
              </w:rPr>
              <w:t>J+6  Moyenne</w:t>
            </w:r>
          </w:p>
        </w:tc>
        <w:tc>
          <w:tcPr>
            <w:tcW w:type="dxa" w:w="1440"/>
            <w:shd w:fill="FAFAFA" w:val="clear"/>
          </w:tcPr>
          <w:p>
            <w:r>
              <w:rPr>
                <w:sz w:val="17"/>
              </w:rPr>
              <w:t>2026-09-03</w:t>
            </w:r>
          </w:p>
        </w:tc>
        <w:tc>
          <w:tcPr>
            <w:tcW w:type="dxa" w:w="1440"/>
            <w:shd w:fill="FAFAFA" w:val="clear"/>
          </w:tcPr>
          <w:p>
            <w:r>
              <w:rPr>
                <w:sz w:val="17"/>
              </w:rPr>
              <w:t>35,785</w:t>
            </w:r>
          </w:p>
        </w:tc>
        <w:tc>
          <w:tcPr>
            <w:tcW w:type="dxa" w:w="1440"/>
            <w:shd w:fill="FAFAFA" w:val="clear"/>
          </w:tcPr>
          <w:p>
            <w:r>
              <w:rPr>
                <w:b/>
                <w:sz w:val="17"/>
              </w:rPr>
              <w:t>37,863</w:t>
            </w:r>
          </w:p>
        </w:tc>
        <w:tc>
          <w:tcPr>
            <w:tcW w:type="dxa" w:w="1440"/>
            <w:shd w:fill="FAFAFA" w:val="clear"/>
          </w:tcPr>
          <w:p>
            <w:r>
              <w:rPr>
                <w:sz w:val="17"/>
              </w:rPr>
              <w:t>39,942</w:t>
            </w:r>
          </w:p>
        </w:tc>
        <w:tc>
          <w:tcPr>
            <w:tcW w:type="dxa" w:w="1440"/>
            <w:shd w:fill="FAFAFA" w:val="clear"/>
          </w:tcPr>
          <w:p>
            <w:r>
              <w:rPr>
                <w:b/>
                <w:color w:val="C00000"/>
                <w:sz w:val="17"/>
              </w:rPr>
              <w:t>-0.4%</w:t>
            </w:r>
          </w:p>
        </w:tc>
      </w:tr>
      <w:tr>
        <w:tc>
          <w:tcPr>
            <w:tcW w:type="dxa" w:w="1440"/>
            <w:shd w:fill="FAFAFA" w:val="clear"/>
          </w:tcPr>
          <w:p>
            <w:r>
              <w:rPr>
                <w:sz w:val="17"/>
              </w:rPr>
              <w:t>J+7  Moyenne</w:t>
            </w:r>
          </w:p>
        </w:tc>
        <w:tc>
          <w:tcPr>
            <w:tcW w:type="dxa" w:w="1440"/>
            <w:shd w:fill="FAFAFA" w:val="clear"/>
          </w:tcPr>
          <w:p>
            <w:r>
              <w:rPr>
                <w:sz w:val="17"/>
              </w:rPr>
              <w:t>2026-09-04</w:t>
            </w:r>
          </w:p>
        </w:tc>
        <w:tc>
          <w:tcPr>
            <w:tcW w:type="dxa" w:w="1440"/>
            <w:shd w:fill="FAFAFA" w:val="clear"/>
          </w:tcPr>
          <w:p>
            <w:r>
              <w:rPr>
                <w:sz w:val="17"/>
              </w:rPr>
              <w:t>35,545</w:t>
            </w:r>
          </w:p>
        </w:tc>
        <w:tc>
          <w:tcPr>
            <w:tcW w:type="dxa" w:w="1440"/>
            <w:shd w:fill="FAFAFA" w:val="clear"/>
          </w:tcPr>
          <w:p>
            <w:r>
              <w:rPr>
                <w:b/>
                <w:sz w:val="17"/>
              </w:rPr>
              <w:t>37,785</w:t>
            </w:r>
          </w:p>
        </w:tc>
        <w:tc>
          <w:tcPr>
            <w:tcW w:type="dxa" w:w="1440"/>
            <w:shd w:fill="FAFAFA" w:val="clear"/>
          </w:tcPr>
          <w:p>
            <w:r>
              <w:rPr>
                <w:sz w:val="17"/>
              </w:rPr>
              <w:t>40,025</w:t>
            </w:r>
          </w:p>
        </w:tc>
        <w:tc>
          <w:tcPr>
            <w:tcW w:type="dxa" w:w="1440"/>
            <w:shd w:fill="FAFAFA" w:val="clear"/>
          </w:tcPr>
          <w:p>
            <w:r>
              <w:rPr>
                <w:b/>
                <w:color w:val="C00000"/>
                <w:sz w:val="17"/>
              </w:rPr>
              <w:t>-0.6%</w:t>
            </w:r>
          </w:p>
        </w:tc>
      </w:tr>
      <w:tr>
        <w:tc>
          <w:tcPr>
            <w:tcW w:type="dxa" w:w="1440"/>
            <w:shd w:fill="FAFAFA" w:val="clear"/>
          </w:tcPr>
          <w:p>
            <w:r>
              <w:rPr>
                <w:sz w:val="17"/>
              </w:rPr>
              <w:t>J+8  Moyenne</w:t>
            </w:r>
          </w:p>
        </w:tc>
        <w:tc>
          <w:tcPr>
            <w:tcW w:type="dxa" w:w="1440"/>
            <w:shd w:fill="FAFAFA" w:val="clear"/>
          </w:tcPr>
          <w:p>
            <w:r>
              <w:rPr>
                <w:sz w:val="17"/>
              </w:rPr>
              <w:t>2026-09-07</w:t>
            </w:r>
          </w:p>
        </w:tc>
        <w:tc>
          <w:tcPr>
            <w:tcW w:type="dxa" w:w="1440"/>
            <w:shd w:fill="FAFAFA" w:val="clear"/>
          </w:tcPr>
          <w:p>
            <w:r>
              <w:rPr>
                <w:sz w:val="17"/>
              </w:rPr>
              <w:t>35,317</w:t>
            </w:r>
          </w:p>
        </w:tc>
        <w:tc>
          <w:tcPr>
            <w:tcW w:type="dxa" w:w="1440"/>
            <w:shd w:fill="FAFAFA" w:val="clear"/>
          </w:tcPr>
          <w:p>
            <w:r>
              <w:rPr>
                <w:b/>
                <w:sz w:val="17"/>
              </w:rPr>
              <w:t>37,707</w:t>
            </w:r>
          </w:p>
        </w:tc>
        <w:tc>
          <w:tcPr>
            <w:tcW w:type="dxa" w:w="1440"/>
            <w:shd w:fill="FAFAFA" w:val="clear"/>
          </w:tcPr>
          <w:p>
            <w:r>
              <w:rPr>
                <w:sz w:val="17"/>
              </w:rPr>
              <w:t>40,097</w:t>
            </w:r>
          </w:p>
        </w:tc>
        <w:tc>
          <w:tcPr>
            <w:tcW w:type="dxa" w:w="1440"/>
            <w:shd w:fill="FAFAFA" w:val="clear"/>
          </w:tcPr>
          <w:p>
            <w:r>
              <w:rPr>
                <w:b/>
                <w:color w:val="C00000"/>
                <w:sz w:val="17"/>
              </w:rPr>
              <w:t>-0.8%</w:t>
            </w:r>
          </w:p>
        </w:tc>
      </w:tr>
      <w:tr>
        <w:tc>
          <w:tcPr>
            <w:tcW w:type="dxa" w:w="1440"/>
            <w:shd w:fill="FAFAFA" w:val="clear"/>
          </w:tcPr>
          <w:p>
            <w:r>
              <w:rPr>
                <w:sz w:val="17"/>
              </w:rPr>
              <w:t>J+9  Moyenne</w:t>
            </w:r>
          </w:p>
        </w:tc>
        <w:tc>
          <w:tcPr>
            <w:tcW w:type="dxa" w:w="1440"/>
            <w:shd w:fill="FAFAFA" w:val="clear"/>
          </w:tcPr>
          <w:p>
            <w:r>
              <w:rPr>
                <w:sz w:val="17"/>
              </w:rPr>
              <w:t>2026-09-08</w:t>
            </w:r>
          </w:p>
        </w:tc>
        <w:tc>
          <w:tcPr>
            <w:tcW w:type="dxa" w:w="1440"/>
            <w:shd w:fill="FAFAFA" w:val="clear"/>
          </w:tcPr>
          <w:p>
            <w:r>
              <w:rPr>
                <w:sz w:val="17"/>
              </w:rPr>
              <w:t>35,101</w:t>
            </w:r>
          </w:p>
        </w:tc>
        <w:tc>
          <w:tcPr>
            <w:tcW w:type="dxa" w:w="1440"/>
            <w:shd w:fill="FAFAFA" w:val="clear"/>
          </w:tcPr>
          <w:p>
            <w:r>
              <w:rPr>
                <w:b/>
                <w:sz w:val="17"/>
              </w:rPr>
              <w:t>37,630</w:t>
            </w:r>
          </w:p>
        </w:tc>
        <w:tc>
          <w:tcPr>
            <w:tcW w:type="dxa" w:w="1440"/>
            <w:shd w:fill="FAFAFA" w:val="clear"/>
          </w:tcPr>
          <w:p>
            <w:r>
              <w:rPr>
                <w:sz w:val="17"/>
              </w:rPr>
              <w:t>40,160</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2026-09-09</w:t>
            </w:r>
          </w:p>
        </w:tc>
        <w:tc>
          <w:tcPr>
            <w:tcW w:type="dxa" w:w="1440"/>
            <w:shd w:fill="FAFAFA" w:val="clear"/>
          </w:tcPr>
          <w:p>
            <w:r>
              <w:rPr>
                <w:sz w:val="17"/>
              </w:rPr>
              <w:t>34,893</w:t>
            </w:r>
          </w:p>
        </w:tc>
        <w:tc>
          <w:tcPr>
            <w:tcW w:type="dxa" w:w="1440"/>
            <w:shd w:fill="FAFAFA" w:val="clear"/>
          </w:tcPr>
          <w:p>
            <w:r>
              <w:rPr>
                <w:b/>
                <w:sz w:val="17"/>
              </w:rPr>
              <w:t>37,554</w:t>
            </w:r>
          </w:p>
        </w:tc>
        <w:tc>
          <w:tcPr>
            <w:tcW w:type="dxa" w:w="1440"/>
            <w:shd w:fill="FAFAFA" w:val="clear"/>
          </w:tcPr>
          <w:p>
            <w:r>
              <w:rPr>
                <w:sz w:val="17"/>
              </w:rPr>
              <w:t>40,215</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1 182,22 milliards FCFA, ce qui en fait l'une des plus importantes capitalisations de la BRVM, reflétant sa position de leader bancaire en Côte d'Ivoire. Avec un BPA de 3 258 FCFA, chaque action génère un bénéfice substantiel, justifiant un PER de 11,7x, légèrement au-dessus de la moyenne historique de la BRVM (8-12x), ce qui indique une valorisation raisonnable mais non décotée. Le P/B de 2,39x montre que le marché accorde une prime de croissance à la banque, valorisant ses actifs au-dessus de leur valeur comptable, ce qui est courant pour les institutions financières performantes. En revanche, l'EV/EBITDA de 24,5x est particulièrement exigeant, suggérant que la valeur totale de l'entreprise (incluant la dette) est élevée par rapport à sa capacité opérationnelle, un signal de prudence pour les investisseurs à la recherche de décotes.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SGBC a enregistré une progression de +10,14%, avec une dernière séance en repli de -2,53%, reflétant une volatilité à court terme. Le cours a évolué dans une fourchette de 32 800 FCFA (plus bas) à 39 300 FCFA (plus haut), soit une amplitude de 6 500 FCFA, indiquant une tendance globalement haussière malgré des corrections ponctuelles. La moyenne du cours sur la période est de 36 949 FCFA, légèrement inférieure à la médiane de 37 995 FCFA, ce qui, combiné à un skewness négatif (-0,617), révèle une distribution asymétrique avec des journées plus fréquentes au-dessus de la moyenne, mais des baisses plus marquées. L'écart-type de 2 125 FCFA (CV=5,8%) témoigne d'une dispersion modérée, tandis que le kurtosis négatif (-1,108) indique une distribution platykurtique, avec moins de pics extrêmes, réduisant le risque de mouvements violents. La volatilité annualisée de 24,7% classe le titre dans une zone modérée (15-30%), offrant un équilibre entre potentiel de rendement et stabilité relative.</w:t>
      </w:r>
    </w:p>
    <w:p>
      <w:pPr>
        <w:spacing w:after="120" w:line="276" w:lineRule="auto" w:before="240"/>
      </w:pPr>
      <w:r>
        <w:rPr>
          <w:b/>
          <w:color w:val="003366"/>
          <w:sz w:val="24"/>
        </w:rPr>
        <w:t>**PARTIE 2 : ANALYSE TECHNIQUE DÉTAILLÉE**</w:t>
      </w:r>
    </w:p>
    <w:p>
      <w:pPr>
        <w:spacing w:after="120" w:line="276" w:lineRule="auto"/>
      </w:pPr>
      <w:r>
        <w:t>**Moyennes Mobiles** : La MM20 (38 511,5 FCFA) et la MM50 (38 548,8 FCFA) sont toutes deux supérieures au cours actuel de 38 000 FCFA, indiquant une pression vendeuse à court terme. Le croisement baissier implicite (prix sous les deux moyennes) justifie la décision de Vente, signalant que la tendance récente perd de l'élan, bien que l'écart reste limité, suggérant une possible consolidation plus qu'un retournement majeur.</w:t>
      </w:r>
    </w:p>
    <w:p>
      <w:pPr>
        <w:spacing w:after="120" w:line="276" w:lineRule="auto"/>
      </w:pPr>
      <w:r>
        <w:t>**Bandes de Bollinger** : Le cours se situe à 38 000 FCFA, proche de la borne inférieure (37 317,7 FCFA) et nettement sous la borne supérieure (39 705,3 FCFA), indiquant une volatilité modérée. La position dans la moitié basse des bandes suggère une faiblesse relative, mais la décision Neutre reflète l'absence de cassure décisive, le titre restant dans un canal défini, avec un potentiel de rebond si la borne inférieure tient.</w:t>
      </w:r>
    </w:p>
    <w:p>
      <w:pPr>
        <w:spacing w:after="120" w:line="276" w:lineRule="auto"/>
      </w:pPr>
      <w:r>
        <w:t>**MACD** : La valeur du MACD (114,88) est inférieure à son signal (149,285), confirmant une dynamique baissière à court terme. Cette divergence négative indique un affaiblissement du momentum haussier, justifiant la décision de Vente. Cependant, la valeur reste positive, ce qui suggère que la tendance de fond n'est pas complètement inversée, mais que les acheteurs perdent du terrain.</w:t>
      </w:r>
    </w:p>
    <w:p>
      <w:pPr>
        <w:spacing w:after="120" w:line="276" w:lineRule="auto"/>
      </w:pPr>
      <w:r>
        <w:t>**RSI** : Le RSI à 50,0 est en zone neutre, indiquant un équilibre entre pressions acheteuses et vendeuses. Cette valeur, ni surachetée (&gt;70) ni survendue (&lt;30), reflète une absence de signal directionnel fort, justifiant la décision Neutre. Le marché semble attendre un catalyseur pour orienter le prochain mouvement.</w:t>
      </w:r>
    </w:p>
    <w:p>
      <w:pPr>
        <w:spacing w:after="120" w:line="276" w:lineRule="auto"/>
      </w:pPr>
      <w:r>
        <w:t>**Stochastique** : Le %K (18,495) est nettement inférieur au %D (64,054), signalant une condition de survente à court terme. Ce croisement baissier, combiné à un %K très bas, suggère un potentiel de rebond technique, justifiant la décision Achat. Les vendeurs semblent épuisés, ouvrant la voie à une possible correction haussière.</w:t>
      </w:r>
    </w:p>
    <w:p>
      <w:pPr>
        <w:spacing w:after="120" w:line="276" w:lineRule="auto"/>
      </w:pPr>
      <w:r>
        <w:t>**Conclusion technique** : Les indicateurs sont mitigés, avec une majorité de signaux de Vente (MM, MACD) contre un signal d'Achat (Stochastique) et des Neutres (Bollinger, RSI). Cette divergence indique une phase de consolidation, où la tendance haussière de fond est remise en question à court terme. Un rebond technique est possible, mais la prudence est de mise tant que le cours ne repasse pas au-dessus des moyennes mobiles.</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SGBC révèlent une performance robuste : le Produit Net Bancaire (PNB) s'établit à 276,048 milliards FCFA, avec un résultat net de 101,352 milliards FCFA, confirmant le franchissement du seuil des 100 milliards. Le ROE est excellent à 20,47%, et le ROA à 2,69%, démontrant une utilisation efficace des capitaux propres et des actifs. Le coefficient d'exploitation de 38,75% est remarquablement bas, bien en dessous du seuil de 60% considéré comme efficace, soulignant une gestion rigoureuse des coûts. Le coût du risque, estimé via les provisions (17,995 milliards FCFA) par rapport aux charges financières (47,775 milliards FCFA), reste contenu, indiquant un portefeuille de crédits de bonne qualité. Le ratio dépôts/crédits est sain, avec des dépôts clients (2 907,675 milliards FCFA) supérieurs aux créances sur la clientèle (2 546,290 milliards FCFA), reflétant une liquidité confortable. Les rapports trimestriels 2025 confirment cette dynamique : le T1 2025 (PNB 66,3 milliards FCFA, +1,3%) et le S1 2025 (PNB 132,0 milliards FCFA, +1,0%, résultat net 53,1 milliards FCFA, +10,0%) montrent une croissance modérée du PNB mais une forte progression du résultat net grâce à la maîtrise des coûts. Le rapport des 9 mois 2025 (PNB 201,0 milliards FCFA, +2,5%, résultat net 83,3 milliards FCFA, +11,7%) confirme cette tendance, avec une amélioration du coefficient d'exploitation à 37,3%. Comparé au rapport annuel 2024 (PNB 263,2 milliards FCFA, résultat net 101,2 milliards FCFA), on observe une progression continue, avec une augmentation de la collecte de dépôts (+13,9% sur 9 mois) et une stabilité des crédits, renforçant la solidité financière. Les perspectives restent positives, soutenues par la digitalisation et la notation AAA, bien que la hausse des créances en souffrance (NPL à 7,8% au S1 2025) nécessite une surveillance. La recommandation fondamentale est positive, avec une solidité financière exceptionnelle et une croissance rentable, malgré des risques de crédit à surveiller.</w:t>
      </w:r>
    </w:p>
    <w:p>
      <w:pPr>
        <w:spacing w:after="120" w:line="276" w:lineRule="auto" w:before="240"/>
      </w:pPr>
      <w:r>
        <w:rPr>
          <w:b/>
          <w:color w:val="003366"/>
          <w:sz w:val="24"/>
        </w:rPr>
        <w:t>**PARTIE 4 : CONCLUSION D'INVESTISSEMENT**</w:t>
      </w:r>
    </w:p>
    <w:p>
      <w:pPr>
        <w:spacing w:after="120" w:line="276" w:lineRule="auto"/>
      </w:pPr>
      <w:r>
        <w:t>La valorisation de SGBC (PER 11,7x, P/B 2,39x, EV/EBITDA 24,5x) indique une prime de croissance, mais reste raisonnable pour un leader bancaire noté AAA, bien que l'EV/EBITDA élevé suggère une certaine exigence. Le comportement du cours sur 100 jours (+10,14%) est favorable, avec une volatilité modérée (24,7%) et une distribution platykurtique réduisant les risques extrêmes, bien que le skewness négatif et la récente baisse de -2,53% appellent à la prudence. Les signaux techniques sont divergents, avec une pression vendeuse à court terme (MM, MACD) contre un potentiel de rebond (Stochastique), indiquant une phase de consolidation. Les fondamentaux sont excellents, avec un ROE de 20,47%, un coefficient d'exploitation de 38,75%, et une croissance du résultat net de +11,7% sur 9 mois 2025, soutenue par une collecte de dépôts dynamique. Les prédictions IA (38 300 à 37 943 FCFA sur J+1 à J+10) suggèrent une légère baisse progressive, contredisant le signal d'achat technique mais confirmant la consolidation. La convergence entre la solidité fondamentale et la valorisation raisonnable, malgré des signaux techniques mitigés, conduit à une recommandation **CONSERVER**, avec un niveau de confiance **Moyen** et un risque global **Moyen**. L'horizon d'investissement optimal est le **moyen terme (3-12 mois)**, en attendant une clarification technique et une confirmation de la maîtrise du coût du risque.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154.66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4,336 titres</w:t>
            </w:r>
          </w:p>
        </w:tc>
        <w:tc>
          <w:tcPr>
            <w:tcW w:type="dxa" w:w="2268"/>
            <w:shd w:fill="FFF2CC" w:val="clear"/>
          </w:tcPr>
          <w:p>
            <w:r>
              <w:rPr>
                <w:b/>
                <w:color w:val="503200"/>
                <w:sz w:val="16"/>
              </w:rPr>
              <w:t xml:space="preserve">Cours actuel : </w:t>
            </w:r>
            <w:r>
              <w:rPr>
                <w:color w:val="000000"/>
                <w:sz w:val="17"/>
              </w:rPr>
              <w:t>2,455 FCFA</w:t>
            </w:r>
          </w:p>
          <w:p>
            <w:r>
              <w:rPr>
                <w:b/>
                <w:color w:val="503200"/>
                <w:sz w:val="16"/>
              </w:rPr>
              <w:t xml:space="preserve">Var. 100 jours : </w:t>
            </w:r>
            <w:r>
              <w:rPr>
                <w:b/>
                <w:color w:val="007800"/>
                <w:sz w:val="17"/>
              </w:rPr>
              <w:t>+12.10%</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6.93% (Moyenne) — μ=2,119 FCFA, σ=147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β=1.1938 (Neutre (suit le marché)) — Cov=0.000040, Var(idx)=0.000033, ρ=0.310,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2,211</w:t>
            </w:r>
          </w:p>
        </w:tc>
        <w:tc>
          <w:tcPr>
            <w:tcW w:type="dxa" w:w="1440"/>
            <w:shd w:fill="FFDCE0" w:val="clear"/>
          </w:tcPr>
          <w:p>
            <w:r>
              <w:rPr>
                <w:b/>
                <w:sz w:val="17"/>
              </w:rPr>
              <w:t>2,298</w:t>
            </w:r>
          </w:p>
        </w:tc>
        <w:tc>
          <w:tcPr>
            <w:tcW w:type="dxa" w:w="1440"/>
            <w:shd w:fill="FFDCE0" w:val="clear"/>
          </w:tcPr>
          <w:p>
            <w:r>
              <w:rPr>
                <w:sz w:val="17"/>
              </w:rPr>
              <w:t>2,384</w:t>
            </w:r>
          </w:p>
        </w:tc>
        <w:tc>
          <w:tcPr>
            <w:tcW w:type="dxa" w:w="1440"/>
            <w:shd w:fill="FFDCE0" w:val="clear"/>
          </w:tcPr>
          <w:p>
            <w:r>
              <w:rPr>
                <w:b/>
                <w:color w:val="C00000"/>
                <w:sz w:val="17"/>
              </w:rPr>
              <w:t>-6.4%</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2,063</w:t>
            </w:r>
          </w:p>
        </w:tc>
        <w:tc>
          <w:tcPr>
            <w:tcW w:type="dxa" w:w="1440"/>
            <w:shd w:fill="FFDCE0" w:val="clear"/>
          </w:tcPr>
          <w:p>
            <w:r>
              <w:rPr>
                <w:b/>
                <w:sz w:val="17"/>
              </w:rPr>
              <w:t>2,179</w:t>
            </w:r>
          </w:p>
        </w:tc>
        <w:tc>
          <w:tcPr>
            <w:tcW w:type="dxa" w:w="1440"/>
            <w:shd w:fill="FFDCE0" w:val="clear"/>
          </w:tcPr>
          <w:p>
            <w:r>
              <w:rPr>
                <w:sz w:val="17"/>
              </w:rPr>
              <w:t>2,295</w:t>
            </w:r>
          </w:p>
        </w:tc>
        <w:tc>
          <w:tcPr>
            <w:tcW w:type="dxa" w:w="1440"/>
            <w:shd w:fill="FFDCE0" w:val="clear"/>
          </w:tcPr>
          <w:p>
            <w:r>
              <w:rPr>
                <w:b/>
                <w:color w:val="C00000"/>
                <w:sz w:val="17"/>
              </w:rPr>
              <w:t>-11.2%</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1,940</w:t>
            </w:r>
          </w:p>
        </w:tc>
        <w:tc>
          <w:tcPr>
            <w:tcW w:type="dxa" w:w="1440"/>
            <w:shd w:fill="FFDCE0" w:val="clear"/>
          </w:tcPr>
          <w:p>
            <w:r>
              <w:rPr>
                <w:b/>
                <w:sz w:val="17"/>
              </w:rPr>
              <w:t>2,076</w:t>
            </w:r>
          </w:p>
        </w:tc>
        <w:tc>
          <w:tcPr>
            <w:tcW w:type="dxa" w:w="1440"/>
            <w:shd w:fill="FFDCE0" w:val="clear"/>
          </w:tcPr>
          <w:p>
            <w:r>
              <w:rPr>
                <w:sz w:val="17"/>
              </w:rPr>
              <w:t>2,211</w:t>
            </w:r>
          </w:p>
        </w:tc>
        <w:tc>
          <w:tcPr>
            <w:tcW w:type="dxa" w:w="1440"/>
            <w:shd w:fill="FFDCE0" w:val="clear"/>
          </w:tcPr>
          <w:p>
            <w:r>
              <w:rPr>
                <w:b/>
                <w:color w:val="C00000"/>
                <w:sz w:val="17"/>
              </w:rPr>
              <w:t>-15.5%</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1,841</w:t>
            </w:r>
          </w:p>
        </w:tc>
        <w:tc>
          <w:tcPr>
            <w:tcW w:type="dxa" w:w="1440"/>
            <w:shd w:fill="FFDCE0" w:val="clear"/>
          </w:tcPr>
          <w:p>
            <w:r>
              <w:rPr>
                <w:b/>
                <w:sz w:val="17"/>
              </w:rPr>
              <w:t>1,992</w:t>
            </w:r>
          </w:p>
        </w:tc>
        <w:tc>
          <w:tcPr>
            <w:tcW w:type="dxa" w:w="1440"/>
            <w:shd w:fill="FFDCE0" w:val="clear"/>
          </w:tcPr>
          <w:p>
            <w:r>
              <w:rPr>
                <w:sz w:val="17"/>
              </w:rPr>
              <w:t>2,142</w:t>
            </w:r>
          </w:p>
        </w:tc>
        <w:tc>
          <w:tcPr>
            <w:tcW w:type="dxa" w:w="1440"/>
            <w:shd w:fill="FFDCE0" w:val="clear"/>
          </w:tcPr>
          <w:p>
            <w:r>
              <w:rPr>
                <w:b/>
                <w:color w:val="C00000"/>
                <w:sz w:val="17"/>
              </w:rPr>
              <w:t>-18.9%</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1,761</w:t>
            </w:r>
          </w:p>
        </w:tc>
        <w:tc>
          <w:tcPr>
            <w:tcW w:type="dxa" w:w="1440"/>
            <w:shd w:fill="FFDCE0" w:val="clear"/>
          </w:tcPr>
          <w:p>
            <w:r>
              <w:rPr>
                <w:b/>
                <w:sz w:val="17"/>
              </w:rPr>
              <w:t>1,923</w:t>
            </w:r>
          </w:p>
        </w:tc>
        <w:tc>
          <w:tcPr>
            <w:tcW w:type="dxa" w:w="1440"/>
            <w:shd w:fill="FFDCE0" w:val="clear"/>
          </w:tcPr>
          <w:p>
            <w:r>
              <w:rPr>
                <w:sz w:val="17"/>
              </w:rPr>
              <w:t>2,085</w:t>
            </w:r>
          </w:p>
        </w:tc>
        <w:tc>
          <w:tcPr>
            <w:tcW w:type="dxa" w:w="1440"/>
            <w:shd w:fill="FFDCE0" w:val="clear"/>
          </w:tcPr>
          <w:p>
            <w:r>
              <w:rPr>
                <w:b/>
                <w:color w:val="C00000"/>
                <w:sz w:val="17"/>
              </w:rPr>
              <w:t>-21.7%</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1,694</w:t>
            </w:r>
          </w:p>
        </w:tc>
        <w:tc>
          <w:tcPr>
            <w:tcW w:type="dxa" w:w="1440"/>
            <w:shd w:fill="FFDCE0" w:val="clear"/>
          </w:tcPr>
          <w:p>
            <w:r>
              <w:rPr>
                <w:b/>
                <w:sz w:val="17"/>
              </w:rPr>
              <w:t>1,867</w:t>
            </w:r>
          </w:p>
        </w:tc>
        <w:tc>
          <w:tcPr>
            <w:tcW w:type="dxa" w:w="1440"/>
            <w:shd w:fill="FFDCE0" w:val="clear"/>
          </w:tcPr>
          <w:p>
            <w:r>
              <w:rPr>
                <w:sz w:val="17"/>
              </w:rPr>
              <w:t>2,039</w:t>
            </w:r>
          </w:p>
        </w:tc>
        <w:tc>
          <w:tcPr>
            <w:tcW w:type="dxa" w:w="1440"/>
            <w:shd w:fill="FFDCE0" w:val="clear"/>
          </w:tcPr>
          <w:p>
            <w:r>
              <w:rPr>
                <w:b/>
                <w:color w:val="C00000"/>
                <w:sz w:val="17"/>
              </w:rPr>
              <w:t>-24.0%</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1,637</w:t>
            </w:r>
          </w:p>
        </w:tc>
        <w:tc>
          <w:tcPr>
            <w:tcW w:type="dxa" w:w="1440"/>
            <w:shd w:fill="FFDCE0" w:val="clear"/>
          </w:tcPr>
          <w:p>
            <w:r>
              <w:rPr>
                <w:b/>
                <w:sz w:val="17"/>
              </w:rPr>
              <w:t>1,818</w:t>
            </w:r>
          </w:p>
        </w:tc>
        <w:tc>
          <w:tcPr>
            <w:tcW w:type="dxa" w:w="1440"/>
            <w:shd w:fill="FFDCE0" w:val="clear"/>
          </w:tcPr>
          <w:p>
            <w:r>
              <w:rPr>
                <w:sz w:val="17"/>
              </w:rPr>
              <w:t>1,999</w:t>
            </w:r>
          </w:p>
        </w:tc>
        <w:tc>
          <w:tcPr>
            <w:tcW w:type="dxa" w:w="1440"/>
            <w:shd w:fill="FFDCE0" w:val="clear"/>
          </w:tcPr>
          <w:p>
            <w:r>
              <w:rPr>
                <w:b/>
                <w:color w:val="C00000"/>
                <w:sz w:val="17"/>
              </w:rPr>
              <w:t>-25.9%</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1,586</w:t>
            </w:r>
          </w:p>
        </w:tc>
        <w:tc>
          <w:tcPr>
            <w:tcW w:type="dxa" w:w="1440"/>
            <w:shd w:fill="FFDCE0" w:val="clear"/>
          </w:tcPr>
          <w:p>
            <w:r>
              <w:rPr>
                <w:b/>
                <w:sz w:val="17"/>
              </w:rPr>
              <w:t>1,775</w:t>
            </w:r>
          </w:p>
        </w:tc>
        <w:tc>
          <w:tcPr>
            <w:tcW w:type="dxa" w:w="1440"/>
            <w:shd w:fill="FFDCE0" w:val="clear"/>
          </w:tcPr>
          <w:p>
            <w:r>
              <w:rPr>
                <w:sz w:val="17"/>
              </w:rPr>
              <w:t>1,964</w:t>
            </w:r>
          </w:p>
        </w:tc>
        <w:tc>
          <w:tcPr>
            <w:tcW w:type="dxa" w:w="1440"/>
            <w:shd w:fill="FFDCE0" w:val="clear"/>
          </w:tcPr>
          <w:p>
            <w:r>
              <w:rPr>
                <w:b/>
                <w:color w:val="C00000"/>
                <w:sz w:val="17"/>
              </w:rPr>
              <w:t>-27.7%</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1,540</w:t>
            </w:r>
          </w:p>
        </w:tc>
        <w:tc>
          <w:tcPr>
            <w:tcW w:type="dxa" w:w="1440"/>
            <w:shd w:fill="FFDCE0" w:val="clear"/>
          </w:tcPr>
          <w:p>
            <w:r>
              <w:rPr>
                <w:b/>
                <w:sz w:val="17"/>
              </w:rPr>
              <w:t>1,737</w:t>
            </w:r>
          </w:p>
        </w:tc>
        <w:tc>
          <w:tcPr>
            <w:tcW w:type="dxa" w:w="1440"/>
            <w:shd w:fill="FFDCE0" w:val="clear"/>
          </w:tcPr>
          <w:p>
            <w:r>
              <w:rPr>
                <w:sz w:val="17"/>
              </w:rPr>
              <w:t>1,933</w:t>
            </w:r>
          </w:p>
        </w:tc>
        <w:tc>
          <w:tcPr>
            <w:tcW w:type="dxa" w:w="1440"/>
            <w:shd w:fill="FFDCE0" w:val="clear"/>
          </w:tcPr>
          <w:p>
            <w:r>
              <w:rPr>
                <w:b/>
                <w:color w:val="C00000"/>
                <w:sz w:val="17"/>
              </w:rPr>
              <w:t>-29.3%</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1,498</w:t>
            </w:r>
          </w:p>
        </w:tc>
        <w:tc>
          <w:tcPr>
            <w:tcW w:type="dxa" w:w="1440"/>
            <w:shd w:fill="FFDCE0" w:val="clear"/>
          </w:tcPr>
          <w:p>
            <w:r>
              <w:rPr>
                <w:b/>
                <w:sz w:val="17"/>
              </w:rPr>
              <w:t>1,701</w:t>
            </w:r>
          </w:p>
        </w:tc>
        <w:tc>
          <w:tcPr>
            <w:tcW w:type="dxa" w:w="1440"/>
            <w:shd w:fill="FFDCE0" w:val="clear"/>
          </w:tcPr>
          <w:p>
            <w:r>
              <w:rPr>
                <w:sz w:val="17"/>
              </w:rPr>
              <w:t>1,904</w:t>
            </w:r>
          </w:p>
        </w:tc>
        <w:tc>
          <w:tcPr>
            <w:tcW w:type="dxa" w:w="1440"/>
            <w:shd w:fill="FFDCE0" w:val="clear"/>
          </w:tcPr>
          <w:p>
            <w:r>
              <w:rPr>
                <w:b/>
                <w:color w:val="C00000"/>
                <w:sz w:val="17"/>
              </w:rPr>
              <w:t>-30.7%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154,66 milliards FCFA, un niveau significatif qui la positionne parmi les valeurs moyennes de la BRVM, reflétant la confiance des investisseurs dans ce distributeur pétrolier. Le BPA de 96 FCFA par action, combiné à un cours de 2 455 FCFA, conduit à un PER de 25,7x, très supérieur à la moyenne historique de la place (~8-12x), indiquant que le marché intègre des attentes de croissance élevées ou une prime sectorielle. Le P/B de 5,69x confirme cette prime, le marché valorisant le titre près de six fois sa valeur comptable, ce qui témoigne d'une anticipation de rendement des capitaux propres soutenu. Enfin, l'EV/EBITDA de 13,5x, dans la fourchette haute de la zone 10-15x, suggère que la valeur totale de l'entreprise (dette incluse) est généreusement rémunérée par rapport à sa capacité opérationnelle, signalant une valorisation exigeante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totale de +12,10%, avec une légère consolidation de -1,01% lors de la dernière séance, pour s'établir à 2 455 FCFA. Le titre a évolué dans une fourchette de 1 840 FCFA (plus bas) à 2 480 FCFA (plus haut), démontrant une dynamique haussière soutenue. La moyenne du cours sur la période est de 2 119 FCFA, tandis que la médiane s'établit à 2 160 FCFA ; l'écart positif entre le cours actuel et ces deux indicateurs confirme la vigueur de la tendance récente. L'écart-type de 148 FCFA, associé à un coefficient de variation de 7,0%, indique une dispersion modérée autour de la moyenne, tandis que le kurtosis de -0,401 (mésokurtique) et le skewness de 0,228 (distribution symétrique) suggèrent une distribution des rendements proche de la normale, sans risque de pics extrêmes. La volatilité annualisée de 35,2% classe le titre dans la catégorie des valeurs à forte volatilité, un élément à surveiller pour les investisseurs prudents.</w:t>
      </w:r>
    </w:p>
    <w:p>
      <w:pPr>
        <w:spacing w:after="120" w:line="276" w:lineRule="auto" w:before="240"/>
      </w:pPr>
      <w:r>
        <w:rPr>
          <w:b/>
          <w:color w:val="003366"/>
          <w:sz w:val="24"/>
        </w:rPr>
        <w:t>**PARTIE 2 : ANALYSE TECHNIQUE DÉTAILLÉE**</w:t>
      </w:r>
    </w:p>
    <w:p>
      <w:pPr>
        <w:spacing w:after="120" w:line="276" w:lineRule="auto"/>
      </w:pPr>
      <w:r>
        <w:t>Les **Moyennes Mobiles** (MM20 à 2 310,25 FCFA et MM50 à 2 226,7 FCFA) sont toutes deux inférieures au cours actuel de 2 455 FCFA, confirmant une structure de tendance haussière à court et moyen terme. La décision d'achat est justifiée par la position du prix au-dessus de ces moyennes, un signal classique de momentum positif.</w:t>
      </w:r>
    </w:p>
    <w:p>
      <w:pPr>
        <w:spacing w:after="120" w:line="276" w:lineRule="auto"/>
      </w:pPr>
      <w:r>
        <w:t>Les **Bandes de Bollinger** (borne supérieure à 2 516,79 FCFA, borne inférieure à 2 103,71 FCFA) montrent un cours évoluant dans la partie haute de l'enveloppe, proche de la borne supérieure. Cette configuration indique une pression acheteuse soutenue, mais la décision neutre suggère que le marché attend une confirmation de la cassure ou un repli vers la moyenne.</w:t>
      </w:r>
    </w:p>
    <w:p>
      <w:pPr>
        <w:spacing w:after="120" w:line="276" w:lineRule="auto"/>
      </w:pPr>
      <w:r>
        <w:t>Le **MACD** (valeur à 70,06, signal à 52,17) affiche une divergence positive, avec la ligne MACD nettement au-dessus de sa ligne de signal. Ce croisement haussier, couplé à un écart croissant, renforce le momentum acheteur et justifie la décision d'achat, indiquant une dynamique de fond solide.</w:t>
      </w:r>
    </w:p>
    <w:p>
      <w:pPr>
        <w:spacing w:after="120" w:line="276" w:lineRule="auto"/>
      </w:pPr>
      <w:r>
        <w:t>Le **RSI** à 65,12 se situe en zone neutre, proche du seuil de surachat (70). La décision neutre reflète une pression acheteuse encore présente mais qui pourrait s'essouffler à court terme, nécessitant une vigilance sur un éventuel retournement.</w:t>
      </w:r>
    </w:p>
    <w:p>
      <w:pPr>
        <w:spacing w:after="120" w:line="276" w:lineRule="auto"/>
      </w:pPr>
      <w:r>
        <w:t>Le **Stochastique** (%K à 91,07, %D à 97,02) est en zone de surachat extrême, avec les deux lignes au-dessus de 90. La décision de vente est justifiée par ce niveau extrême, signalant une probable correction technique à venir après une hausse aussi rapide.</w:t>
      </w:r>
    </w:p>
    <w:p>
      <w:pPr>
        <w:spacing w:after="120" w:line="276" w:lineRule="auto"/>
      </w:pPr>
      <w:r>
        <w:t>En conclusion technique, les indicateurs de tendance (MM, MACD) sont globalement positifs et confirment la dynamique haussière, mais les oscillateurs de momentum (RSI, Stochastique) pointent vers une zone de surachat, suggérant un risque de consolidation à court terme. La prudence est donc de mise, avec un biais haussier à moyen terme.</w:t>
      </w:r>
    </w:p>
    <w:p>
      <w:pPr>
        <w:spacing w:after="120" w:line="276" w:lineRule="auto" w:before="240"/>
      </w:pPr>
      <w:r>
        <w:rPr>
          <w:b/>
          <w:color w:val="003366"/>
          <w:sz w:val="24"/>
        </w:rPr>
        <w:t>**PARTIE 3 : ANALYSE FONDAMENTALE (SECTION CRITIQUE)**</w:t>
      </w:r>
    </w:p>
    <w:p>
      <w:pPr>
        <w:spacing w:after="120" w:line="276" w:lineRule="auto"/>
      </w:pPr>
      <w:r>
        <w:t>En 2025, SHEC (Vivo Energy CI) affiche un chiffre d'affaires de 604,978 milliards FCFA, en légère progression de +0,71% par rapport à 2024 (600,708 milliards FCFA), et un résultat net de 6,028 milliards FCFA, en hausse de +12,6% (contre 5,354 milliards en 2024). La marge nette reste très faible à 0,996%, typique du secteur de distribution pétrolière, mais le ROE est excellent à 22,2%, démontrant une création de valeur efficace pour les actionnaires, tandis que le ROA s'établit à 3,11%. La structure financière est préoccupante : la trésorerie nette est fortement négative à -65,26 milliards FCFA, avec des dettes fournisseurs de 53,43 milliards FCFA et un ratio d'endettement de 43,95%. Le BFR de 15,315 milliards FCFA (positif) et le délai clients de 23 jours (contre 35 jours pour les fournisseurs) indiquent une pression modérée sur la trésorerie. Sur la base du rapport du 1er semestre 2026 (CA de 305,038 milliards FCFA, en baisse de 1%, et résultat net de 3,016 milliards FCFA), on estime que l'exercice 2026 pourrait voir un résultat net stable autour de 6 milliards FCFA, malgré une contraction des volumes dans l'aviation et le bitume. La politique de dividende est généreuse (6,09 milliards FCFA proposés pour 2025, soit un taux de distribution de 101%), mais elle fragilise davantage la structure financière. La recommandation fondamentale est de conserver le titre, la société étant bénéficiaire avec un ROE élevé, mais exposée à des tensions de liquidité et à une rentabilité nette fragile.</w:t>
      </w:r>
    </w:p>
    <w:p>
      <w:pPr>
        <w:spacing w:after="120" w:line="276" w:lineRule="auto" w:before="240"/>
      </w:pPr>
      <w:r>
        <w:rPr>
          <w:b/>
          <w:color w:val="003366"/>
          <w:sz w:val="24"/>
        </w:rPr>
        <w:t>**PARTIE 4 : CONCLUSION D'INVESTISSEMENT**</w:t>
      </w:r>
    </w:p>
    <w:p>
      <w:pPr>
        <w:spacing w:after="120" w:line="276" w:lineRule="auto"/>
      </w:pPr>
      <w:r>
        <w:t>La valorisation de SHEC est exigeante (PER de 25,7x, P/B de 5,69x, EV/EBITDA de 13,5x), indiquant une surévaluation relative par rapport aux fondamentaux actuels, mais justifiée par un ROE de 22,2% et une politique de dividende attractive. Le comportement du cours sur 100 jours est haussier (+12,10%) avec une volatilité élevée (35,2%), mais la distribution symétrique et mésokurtique des rendements suggère une stabilité relative. Les signaux techniques sont mitigés : les indicateurs de tendance (MM, MACD) sont positifs, mais les oscillateurs (RSI, Stochastique) pointent vers un surachat imminent, annonçant une possible correction. Les fondamentaux montrent une amélioration du résultat net (+13% en 2025) mais une trésorerie nette très négative (-65,26 milliards FCFA) et une marge nette fragile (1%). Les prédictions IA (J+1 à J+10) prévoient une chute du cours de 2 455 FCFA à 1 923 FCFA, soit une baisse de -21,7%, contredisant fortement la tendance haussière récente et confirmant les signaux de surachat technique. En synthèse, la convergence entre la surévaluation, les signaux de surachat et les prédictions baissières de l'IA conduit à une recommandation de **VENTE** avec un niveau de confiance **Moyen** et un risque global **Élevé**. L'horizon d'investissement optimal serait de court terme (&lt;3 mois), en attendant une correction du cours pour réévaluer une entrée en position.</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915.00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9,065 titres</w:t>
            </w:r>
          </w:p>
        </w:tc>
        <w:tc>
          <w:tcPr>
            <w:tcW w:type="dxa" w:w="2268"/>
            <w:shd w:fill="FFF2CC" w:val="clear"/>
          </w:tcPr>
          <w:p>
            <w:r>
              <w:rPr>
                <w:b/>
                <w:color w:val="503200"/>
                <w:sz w:val="16"/>
              </w:rPr>
              <w:t xml:space="preserve">Cours actuel : </w:t>
            </w:r>
            <w:r>
              <w:rPr>
                <w:color w:val="000000"/>
                <w:sz w:val="17"/>
              </w:rPr>
              <w:t>9,150 FCFA</w:t>
            </w:r>
          </w:p>
          <w:p>
            <w:r>
              <w:rPr>
                <w:b/>
                <w:color w:val="503200"/>
                <w:sz w:val="16"/>
              </w:rPr>
              <w:t xml:space="preserve">Var. 100 jours : </w:t>
            </w:r>
            <w:r>
              <w:rPr>
                <w:b/>
                <w:color w:val="007800"/>
                <w:sz w:val="17"/>
              </w:rPr>
              <w:t>+32.61%</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10.69% (Moyenne) — μ=8,263 FCFA, σ=883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β=0.3959 (Défensif) — Cov=0.000013, Var(idx)=0.000033, ρ=0.127,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9,065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8,558</w:t>
            </w:r>
          </w:p>
        </w:tc>
        <w:tc>
          <w:tcPr>
            <w:tcW w:type="dxa" w:w="1440"/>
            <w:shd w:fill="FFDCE0" w:val="clear"/>
          </w:tcPr>
          <w:p>
            <w:r>
              <w:rPr>
                <w:b/>
                <w:sz w:val="17"/>
              </w:rPr>
              <w:t>8,837</w:t>
            </w:r>
          </w:p>
        </w:tc>
        <w:tc>
          <w:tcPr>
            <w:tcW w:type="dxa" w:w="1440"/>
            <w:shd w:fill="FFDCE0" w:val="clear"/>
          </w:tcPr>
          <w:p>
            <w:r>
              <w:rPr>
                <w:sz w:val="17"/>
              </w:rPr>
              <w:t>9,117</w:t>
            </w:r>
          </w:p>
        </w:tc>
        <w:tc>
          <w:tcPr>
            <w:tcW w:type="dxa" w:w="1440"/>
            <w:shd w:fill="FFDCE0" w:val="clear"/>
          </w:tcPr>
          <w:p>
            <w:r>
              <w:rPr>
                <w:b/>
                <w:color w:val="C00000"/>
                <w:sz w:val="17"/>
              </w:rPr>
              <w:t>-3.4%</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8,162</w:t>
            </w:r>
          </w:p>
        </w:tc>
        <w:tc>
          <w:tcPr>
            <w:tcW w:type="dxa" w:w="1440"/>
            <w:shd w:fill="FFDCE0" w:val="clear"/>
          </w:tcPr>
          <w:p>
            <w:r>
              <w:rPr>
                <w:b/>
                <w:sz w:val="17"/>
              </w:rPr>
              <w:t>8,545</w:t>
            </w:r>
          </w:p>
        </w:tc>
        <w:tc>
          <w:tcPr>
            <w:tcW w:type="dxa" w:w="1440"/>
            <w:shd w:fill="FFDCE0" w:val="clear"/>
          </w:tcPr>
          <w:p>
            <w:r>
              <w:rPr>
                <w:sz w:val="17"/>
              </w:rPr>
              <w:t>8,927</w:t>
            </w:r>
          </w:p>
        </w:tc>
        <w:tc>
          <w:tcPr>
            <w:tcW w:type="dxa" w:w="1440"/>
            <w:shd w:fill="FFDCE0" w:val="clear"/>
          </w:tcPr>
          <w:p>
            <w:r>
              <w:rPr>
                <w:b/>
                <w:color w:val="C00000"/>
                <w:sz w:val="17"/>
              </w:rPr>
              <w:t>-6.6%</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7,825</w:t>
            </w:r>
          </w:p>
        </w:tc>
        <w:tc>
          <w:tcPr>
            <w:tcW w:type="dxa" w:w="1440"/>
            <w:shd w:fill="FFDCE0" w:val="clear"/>
          </w:tcPr>
          <w:p>
            <w:r>
              <w:rPr>
                <w:b/>
                <w:sz w:val="17"/>
              </w:rPr>
              <w:t>8,279</w:t>
            </w:r>
          </w:p>
        </w:tc>
        <w:tc>
          <w:tcPr>
            <w:tcW w:type="dxa" w:w="1440"/>
            <w:shd w:fill="FFDCE0" w:val="clear"/>
          </w:tcPr>
          <w:p>
            <w:r>
              <w:rPr>
                <w:sz w:val="17"/>
              </w:rPr>
              <w:t>8,733</w:t>
            </w:r>
          </w:p>
        </w:tc>
        <w:tc>
          <w:tcPr>
            <w:tcW w:type="dxa" w:w="1440"/>
            <w:shd w:fill="FFDCE0" w:val="clear"/>
          </w:tcPr>
          <w:p>
            <w:r>
              <w:rPr>
                <w:b/>
                <w:color w:val="C00000"/>
                <w:sz w:val="17"/>
              </w:rPr>
              <w:t>-9.5%</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7,543</w:t>
            </w:r>
          </w:p>
        </w:tc>
        <w:tc>
          <w:tcPr>
            <w:tcW w:type="dxa" w:w="1440"/>
            <w:shd w:fill="FFDCE0" w:val="clear"/>
          </w:tcPr>
          <w:p>
            <w:r>
              <w:rPr>
                <w:b/>
                <w:sz w:val="17"/>
              </w:rPr>
              <w:t>8,053</w:t>
            </w:r>
          </w:p>
        </w:tc>
        <w:tc>
          <w:tcPr>
            <w:tcW w:type="dxa" w:w="1440"/>
            <w:shd w:fill="FFDCE0" w:val="clear"/>
          </w:tcPr>
          <w:p>
            <w:r>
              <w:rPr>
                <w:sz w:val="17"/>
              </w:rPr>
              <w:t>8,562</w:t>
            </w:r>
          </w:p>
        </w:tc>
        <w:tc>
          <w:tcPr>
            <w:tcW w:type="dxa" w:w="1440"/>
            <w:shd w:fill="FFDCE0" w:val="clear"/>
          </w:tcPr>
          <w:p>
            <w:r>
              <w:rPr>
                <w:b/>
                <w:color w:val="C00000"/>
                <w:sz w:val="17"/>
              </w:rPr>
              <w:t>-12.0%</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7,305</w:t>
            </w:r>
          </w:p>
        </w:tc>
        <w:tc>
          <w:tcPr>
            <w:tcW w:type="dxa" w:w="1440"/>
            <w:shd w:fill="FFDCE0" w:val="clear"/>
          </w:tcPr>
          <w:p>
            <w:r>
              <w:rPr>
                <w:b/>
                <w:sz w:val="17"/>
              </w:rPr>
              <w:t>7,861</w:t>
            </w:r>
          </w:p>
        </w:tc>
        <w:tc>
          <w:tcPr>
            <w:tcW w:type="dxa" w:w="1440"/>
            <w:shd w:fill="FFDCE0" w:val="clear"/>
          </w:tcPr>
          <w:p>
            <w:r>
              <w:rPr>
                <w:sz w:val="17"/>
              </w:rPr>
              <w:t>8,418</w:t>
            </w:r>
          </w:p>
        </w:tc>
        <w:tc>
          <w:tcPr>
            <w:tcW w:type="dxa" w:w="1440"/>
            <w:shd w:fill="FFDCE0" w:val="clear"/>
          </w:tcPr>
          <w:p>
            <w:r>
              <w:rPr>
                <w:b/>
                <w:color w:val="C00000"/>
                <w:sz w:val="17"/>
              </w:rPr>
              <w:t>-14.1%</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7,100</w:t>
            </w:r>
          </w:p>
        </w:tc>
        <w:tc>
          <w:tcPr>
            <w:tcW w:type="dxa" w:w="1440"/>
            <w:shd w:fill="FFDCE0" w:val="clear"/>
          </w:tcPr>
          <w:p>
            <w:r>
              <w:rPr>
                <w:b/>
                <w:sz w:val="17"/>
              </w:rPr>
              <w:t>7,697</w:t>
            </w:r>
          </w:p>
        </w:tc>
        <w:tc>
          <w:tcPr>
            <w:tcW w:type="dxa" w:w="1440"/>
            <w:shd w:fill="FFDCE0" w:val="clear"/>
          </w:tcPr>
          <w:p>
            <w:r>
              <w:rPr>
                <w:sz w:val="17"/>
              </w:rPr>
              <w:t>8,294</w:t>
            </w:r>
          </w:p>
        </w:tc>
        <w:tc>
          <w:tcPr>
            <w:tcW w:type="dxa" w:w="1440"/>
            <w:shd w:fill="FFDCE0" w:val="clear"/>
          </w:tcPr>
          <w:p>
            <w:r>
              <w:rPr>
                <w:b/>
                <w:color w:val="C00000"/>
                <w:sz w:val="17"/>
              </w:rPr>
              <w:t>-15.9%</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6,920</w:t>
            </w:r>
          </w:p>
        </w:tc>
        <w:tc>
          <w:tcPr>
            <w:tcW w:type="dxa" w:w="1440"/>
            <w:shd w:fill="FFDCE0" w:val="clear"/>
          </w:tcPr>
          <w:p>
            <w:r>
              <w:rPr>
                <w:b/>
                <w:sz w:val="17"/>
              </w:rPr>
              <w:t>7,553</w:t>
            </w:r>
          </w:p>
        </w:tc>
        <w:tc>
          <w:tcPr>
            <w:tcW w:type="dxa" w:w="1440"/>
            <w:shd w:fill="FFDCE0" w:val="clear"/>
          </w:tcPr>
          <w:p>
            <w:r>
              <w:rPr>
                <w:sz w:val="17"/>
              </w:rPr>
              <w:t>8,185</w:t>
            </w:r>
          </w:p>
        </w:tc>
        <w:tc>
          <w:tcPr>
            <w:tcW w:type="dxa" w:w="1440"/>
            <w:shd w:fill="FFDCE0" w:val="clear"/>
          </w:tcPr>
          <w:p>
            <w:r>
              <w:rPr>
                <w:b/>
                <w:color w:val="C00000"/>
                <w:sz w:val="17"/>
              </w:rPr>
              <w:t>-17.5%</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6,760</w:t>
            </w:r>
          </w:p>
        </w:tc>
        <w:tc>
          <w:tcPr>
            <w:tcW w:type="dxa" w:w="1440"/>
            <w:shd w:fill="FFDCE0" w:val="clear"/>
          </w:tcPr>
          <w:p>
            <w:r>
              <w:rPr>
                <w:b/>
                <w:sz w:val="17"/>
              </w:rPr>
              <w:t>7,424</w:t>
            </w:r>
          </w:p>
        </w:tc>
        <w:tc>
          <w:tcPr>
            <w:tcW w:type="dxa" w:w="1440"/>
            <w:shd w:fill="FFDCE0" w:val="clear"/>
          </w:tcPr>
          <w:p>
            <w:r>
              <w:rPr>
                <w:sz w:val="17"/>
              </w:rPr>
              <w:t>8,089</w:t>
            </w:r>
          </w:p>
        </w:tc>
        <w:tc>
          <w:tcPr>
            <w:tcW w:type="dxa" w:w="1440"/>
            <w:shd w:fill="FFDCE0" w:val="clear"/>
          </w:tcPr>
          <w:p>
            <w:r>
              <w:rPr>
                <w:b/>
                <w:color w:val="C00000"/>
                <w:sz w:val="17"/>
              </w:rPr>
              <w:t>-18.9%</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6,614</w:t>
            </w:r>
          </w:p>
        </w:tc>
        <w:tc>
          <w:tcPr>
            <w:tcW w:type="dxa" w:w="1440"/>
            <w:shd w:fill="FFDCE0" w:val="clear"/>
          </w:tcPr>
          <w:p>
            <w:r>
              <w:rPr>
                <w:b/>
                <w:sz w:val="17"/>
              </w:rPr>
              <w:t>7,308</w:t>
            </w:r>
          </w:p>
        </w:tc>
        <w:tc>
          <w:tcPr>
            <w:tcW w:type="dxa" w:w="1440"/>
            <w:shd w:fill="FFDCE0" w:val="clear"/>
          </w:tcPr>
          <w:p>
            <w:r>
              <w:rPr>
                <w:sz w:val="17"/>
              </w:rPr>
              <w:t>8,003</w:t>
            </w:r>
          </w:p>
        </w:tc>
        <w:tc>
          <w:tcPr>
            <w:tcW w:type="dxa" w:w="1440"/>
            <w:shd w:fill="FFDCE0" w:val="clear"/>
          </w:tcPr>
          <w:p>
            <w:r>
              <w:rPr>
                <w:b/>
                <w:color w:val="C00000"/>
                <w:sz w:val="17"/>
              </w:rPr>
              <w:t>-20.1%</w:t>
            </w:r>
          </w:p>
        </w:tc>
      </w:tr>
      <w:tr>
        <w:tc>
          <w:tcPr>
            <w:tcW w:type="dxa" w:w="1440"/>
            <w:shd w:fill="FFDCE0" w:val="clear"/>
          </w:tcPr>
          <w:p>
            <w:r>
              <w:rPr>
                <w:sz w:val="17"/>
              </w:rPr>
              <w:t>J+10  Moyenne</w:t>
            </w:r>
          </w:p>
        </w:tc>
        <w:tc>
          <w:tcPr>
            <w:tcW w:type="dxa" w:w="1440"/>
            <w:shd w:fill="FFDCE0" w:val="clear"/>
          </w:tcPr>
          <w:p>
            <w:r>
              <w:rPr>
                <w:sz w:val="17"/>
              </w:rPr>
              <w:t>2026-09-09</w:t>
            </w:r>
          </w:p>
        </w:tc>
        <w:tc>
          <w:tcPr>
            <w:tcW w:type="dxa" w:w="1440"/>
            <w:shd w:fill="FFDCE0" w:val="clear"/>
          </w:tcPr>
          <w:p>
            <w:r>
              <w:rPr>
                <w:sz w:val="17"/>
              </w:rPr>
              <w:t>6,481</w:t>
            </w:r>
          </w:p>
        </w:tc>
        <w:tc>
          <w:tcPr>
            <w:tcW w:type="dxa" w:w="1440"/>
            <w:shd w:fill="FFDCE0" w:val="clear"/>
          </w:tcPr>
          <w:p>
            <w:r>
              <w:rPr>
                <w:b/>
                <w:sz w:val="17"/>
              </w:rPr>
              <w:t>7,202</w:t>
            </w:r>
          </w:p>
        </w:tc>
        <w:tc>
          <w:tcPr>
            <w:tcW w:type="dxa" w:w="1440"/>
            <w:shd w:fill="FFDCE0" w:val="clear"/>
          </w:tcPr>
          <w:p>
            <w:r>
              <w:rPr>
                <w:sz w:val="17"/>
              </w:rPr>
              <w:t>7,924</w:t>
            </w:r>
          </w:p>
        </w:tc>
        <w:tc>
          <w:tcPr>
            <w:tcW w:type="dxa" w:w="1440"/>
            <w:shd w:fill="FFDCE0" w:val="clear"/>
          </w:tcPr>
          <w:p>
            <w:r>
              <w:rPr>
                <w:b/>
                <w:color w:val="C00000"/>
                <w:sz w:val="17"/>
              </w:rPr>
              <w:t>-21.3%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SIBC s'établit à 915 milliards FCFA, ce qui en fait l'une des valeurs les plus lourdes et les plus liquides de la BRVM, représentant un poids significatif dans l'indice composite. Avec un BPA de 556 FCFA, le PER de 16,5x se situe nettement au-dessus de la moyenne historique du marché (8-12x), indiquant que les investisseurs acceptent de payer une prime substantielle pour la qualité des actifs et la régularité des bénéfices de la banque. Le P/B de 4,47x confirme cette prime, le marché valorisant près de 4,5 fois les capitaux propres comptables, ce qui traduit une forte confiance dans la création de valeur future. Enfin, l'EV/EBITDA de 15,3x, bien qu'élevé en valeur absolue, reste cohérent pour une institution financière à forte rentabilité, mais il laisse peu de marge de sécurité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affiche une progression spectaculaire de +32,61%, avec une dernière séance en hausse de +0,55% à 9 150 FCFA, témoignant d'une dynamique haussière soutenue. Le titre a évolué dans une fourchette large de 6 805 à 9 500 FCFA, soit une amplitude de près de 40%, illustrant un intérêt marqué des investisseurs. La moyenne (8 263 FCFA) étant inférieure à la médiane (8 765 FCFA), la distribution des cours est asymétrique, avec une concentration des valeurs vers le haut de la fourchette, confirmée par un skewness négatif (-0,490). L'écart-type de 888 FCFA (CV=10,7%) indique une dispersion modérée, tandis que le kurtosis de -1,492 (platykurtique) suggère une distribution aplatie, avec peu de pics extrêmes et donc un risque de mouvements brusques limité. La volatilité annualisée de 28,4% positionne le titre dans une zone modérée à élevée, reflétant un équilibre entre potentiel de rendement et risque de fluctuation.</w:t>
      </w:r>
    </w:p>
    <w:p>
      <w:pPr>
        <w:spacing w:after="120" w:line="276" w:lineRule="auto" w:before="240"/>
      </w:pPr>
      <w:r>
        <w:rPr>
          <w:b/>
          <w:color w:val="003366"/>
          <w:sz w:val="24"/>
        </w:rPr>
        <w:t>**PARTIE 2 : ANALYSE TECHNIQUE DÉTAILLÉE**</w:t>
      </w:r>
    </w:p>
    <w:p>
      <w:pPr>
        <w:spacing w:after="120" w:line="276" w:lineRule="auto"/>
      </w:pPr>
      <w:r>
        <w:t>**Moyennes Mobiles** : Le cours actuel (9 150 FCFA) se positionne au-dessus de la MM20 (9 134 FCFA) et nettement au-dessus de la MM50 (8 970,6 FCFA), confirmant une tendance haussière de moyen terme. La configuration des MM, avec la MM20 au-dessus de la MM50, valide la dynamique positive et justifie la décision d'achat, le titre évoluant dans un canal ascendant.</w:t>
      </w:r>
    </w:p>
    <w:p>
      <w:pPr>
        <w:spacing w:after="120" w:line="276" w:lineRule="auto"/>
      </w:pPr>
      <w:r>
        <w:t>**Bandes de Bollinger** : Le prix se situe à 9 150 FCFA, proche de la borne supérieure (9 517,6 FCFA) et bien au-dessus de la borne inférieure (8 750,4 FCFA), indiquant une volatilité modérée avec une pression acheteuse persistante. La position dans la moitié supérieure des bandes suggère une poursuite de la tendance, mais la proximité de la borne supérieure appelle à la prudence en cas de rejet. La décision neutre reflète un équilibre entre momentum haussier et risque de consolidation.</w:t>
      </w:r>
    </w:p>
    <w:p>
      <w:pPr>
        <w:spacing w:after="120" w:line="276" w:lineRule="auto"/>
      </w:pPr>
      <w:r>
        <w:t>**MACD** : Le MACD (62,886) est inférieur à sa ligne de signal (89,158), indiquant un momentum baissier à court terme malgré la tendance haussière de fond. Cette divergence signale un essoufflement potentiel de la dynamique haussière, justifiant la décision de vente. Les investisseurs devraient surveiller un éventuel croisement haussier pour confirmer une reprise du momentum.</w:t>
      </w:r>
    </w:p>
    <w:p>
      <w:pPr>
        <w:spacing w:after="120" w:line="276" w:lineRule="auto"/>
      </w:pPr>
      <w:r>
        <w:t>**RSI** : À 44,444, le RSI se situe en zone neutre, loin des seuils de surachat (70) et de survente (30). Cette valeur indique un équilibre entre pression acheteuse et vendeuse, avec une marge de manœuvre pour une hausse future sans risque de correction technique immédiate. La décision neutre reflète une absence de signal directionnel fort.</w:t>
      </w:r>
    </w:p>
    <w:p>
      <w:pPr>
        <w:spacing w:after="120" w:line="276" w:lineRule="auto"/>
      </w:pPr>
      <w:r>
        <w:t>**Stochastique** : Le %K (30,0) et le %D (26,19) sont proches et évoluent en zone de survente relative, suggérant un potentiel de rebond technique. Le croisement haussier potentiel entre %K et %D pourrait signaler un retour de la pression acheteuse. La décision neutre indique une phase de consolidation avant une possible reprise.</w:t>
      </w:r>
    </w:p>
    <w:p>
      <w:pPr>
        <w:spacing w:after="120" w:line="276" w:lineRule="auto"/>
      </w:pPr>
      <w:r>
        <w:t>**Conclusion technique** : La convergence des indicateurs est mitigée, avec une tendance haussière de fond (MM) contrastant avec un momentum à court terme affaibli (MACD, RSI neutre). Le titre semble en phase de consolidation après une forte progression, avec un potentiel de reprise si les supports clés (MM20 à 9 134 FCFA) tiennent. La prudence est de mise à court terme, mais la structure technique reste globalement positive.</w:t>
      </w:r>
    </w:p>
    <w:p>
      <w:pPr>
        <w:spacing w:after="120" w:line="276" w:lineRule="auto" w:before="240"/>
      </w:pPr>
      <w:r>
        <w:rPr>
          <w:b/>
          <w:color w:val="003366"/>
          <w:sz w:val="24"/>
        </w:rPr>
        <w:t>**PARTIE 3 : ANALYSE FONDAMENTALE (SECTION CRITIQUE)**</w:t>
      </w:r>
    </w:p>
    <w:p>
      <w:pPr>
        <w:spacing w:after="120" w:line="276" w:lineRule="auto"/>
      </w:pPr>
      <w:r>
        <w:t>En 2025, la SIBC affiche des fondamentaux solides avec un Produit Net Bancaire de 108,663 milliards FCFA et un résultat net de 55,623 milliards FCFA, soit une marge nette exceptionnelle de 51,19%. Le ROE de 27,16% et le ROA de 2,96% témoignent d'une rentabilité excellente, parmi les meilleures du secteur bancaire ouest-africain. Le coefficient d'exploitation de 38,59% démontre une maîtrise remarquable des charges, bien en dessous du seuil d'efficacité de 60%. Le coût du risque, bien que non détaillé, semble maîtrisé avec des provisions de 14,124 milliards FCFA sur un total bilan de 1 881,733 milliards. Les dépôts clientèle (1 503,441 milliards FCFA) couvrent largement les crédits (1 226,720 milliards FCFA), assurant une liquidité confortable. Les rapports trimestriels confirment cette dynamique : le T1 2026 (rapport du 31/12/2026) montre un PNB de 27,7 milliards (+4%) et un résultat net de 15,2 milliards (+11%), tandis que le T3 2025 (cumul 9 mois) affiche un PNB de 81,4 milliards (+8%) et un résultat net de 43 milliards (+11%). Le rapport annuel 2024 (publié en 2025) indiquait déjà un PNB de 102,8 milliards (+8%) et un résultat net de 50,2 milliards (+15%), avec un ROE de 30,56%. On estime que l'exercice 2026 devrait confirmer cette trajectoire, avec un résultat net potentiel de 60-62 milliards FCFA, soutenu par la croissance des dépôts (+9% au T1 2026) et des crédits (+7%). La solidité financière est renforcée par une autonomie financière de 10,88% et une solvabilité générale de 112,21%, bien que la dépendance aux dettes (89,12%) reflète le modèle bancaire classique.</w:t>
      </w:r>
    </w:p>
    <w:p>
      <w:pPr>
        <w:spacing w:after="120" w:line="276" w:lineRule="auto" w:before="240"/>
      </w:pPr>
      <w:r>
        <w:rPr>
          <w:b/>
          <w:color w:val="003366"/>
          <w:sz w:val="24"/>
        </w:rPr>
        <w:t>**PARTIE 4 : CONCLUSION D'INVESTISSEMENT**</w:t>
      </w:r>
    </w:p>
    <w:p>
      <w:pPr>
        <w:spacing w:after="120" w:line="276" w:lineRule="auto"/>
      </w:pPr>
      <w:r>
        <w:t>La valorisation actuelle de la SIBC (PER 16,5x, P/B 4,47x, EV/EBITDA 15,3x) apparaît exigeante, intégrant une prime significative pour la qualité des fondamentaux, mais laissant peu de marge de sécurité. Le comportement du cours sur 100 jours (+32,61%) démontre une forte dynamique haussière, avec une volatilité modérée (28,4%) et une distribution statistique favorable (platykurtique, asymétrie négative limitée). Les signaux techniques sont mitigés, avec une tendance de fond haussière (MM) mais un momentum court terme affaibli (MACD vendeur, RSI neutre), suggérant une consolidation avant une possible reprise. Les fondamentaux restent excellents, avec une rentabilité parmi les meilleures du secteur (ROE &gt;27%, marge nette &gt;51%) et une croissance soutenue des dépôts et crédits. Les prédictions IA (J+1 à J+10) indiquent une trajectoire baissière progressive (8 837 à 7 861 FCFA), contredisant la tendance haussière récente et suggérant une correction technique à court terme. La convergence entre la valorisation exigeante, les signaux techniques mitigés et les prédictions IA baissières plaide pour une prudence accrue. **Recommandation finale : CONSERVER**, avec un niveau de confiance Moyen et un risque global Moyen. L'horizon d'investissement optimal est le moyen terme (3-12 mois), permettant d'absorber une éventuelle correction et de bénéficier de la solidité des fondamentaux et de la croissance attendue du résultat net.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4.80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127 titres</w:t>
            </w:r>
          </w:p>
        </w:tc>
        <w:tc>
          <w:tcPr>
            <w:tcW w:type="dxa" w:w="2268"/>
            <w:shd w:fill="FFF2CC" w:val="clear"/>
          </w:tcPr>
          <w:p>
            <w:r>
              <w:rPr>
                <w:b/>
                <w:color w:val="503200"/>
                <w:sz w:val="16"/>
              </w:rPr>
              <w:t xml:space="preserve">Cours actuel : </w:t>
            </w:r>
            <w:r>
              <w:rPr>
                <w:color w:val="000000"/>
                <w:sz w:val="17"/>
              </w:rPr>
              <w:t>7,995 FCFA</w:t>
            </w:r>
          </w:p>
          <w:p>
            <w:r>
              <w:rPr>
                <w:b/>
                <w:color w:val="503200"/>
                <w:sz w:val="16"/>
              </w:rPr>
              <w:t xml:space="preserve">Var. 100 jours : </w:t>
            </w:r>
            <w:r>
              <w:rPr>
                <w:b/>
                <w:color w:val="007800"/>
                <w:sz w:val="17"/>
              </w:rPr>
              <w:t>+97.65%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60.6%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30.14% (Élevée) — μ=5,224 FCFA, σ=1,574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β=-0.8319 (Contre-cyclique) — Cov=-0.000028, Var(idx)=0.000033, ρ=-0.125,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σ_j=3.82%/j (Modérée) — Vol. annualisée≈60.6%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7,059</w:t>
            </w:r>
          </w:p>
        </w:tc>
        <w:tc>
          <w:tcPr>
            <w:tcW w:type="dxa" w:w="1440"/>
            <w:shd w:fill="FFDCE0" w:val="clear"/>
          </w:tcPr>
          <w:p>
            <w:r>
              <w:rPr>
                <w:b/>
                <w:sz w:val="17"/>
              </w:rPr>
              <w:t>7,631</w:t>
            </w:r>
          </w:p>
        </w:tc>
        <w:tc>
          <w:tcPr>
            <w:tcW w:type="dxa" w:w="1440"/>
            <w:shd w:fill="FFDCE0" w:val="clear"/>
          </w:tcPr>
          <w:p>
            <w:r>
              <w:rPr>
                <w:sz w:val="17"/>
              </w:rPr>
              <w:t>8,204</w:t>
            </w:r>
          </w:p>
        </w:tc>
        <w:tc>
          <w:tcPr>
            <w:tcW w:type="dxa" w:w="1440"/>
            <w:shd w:fill="FFDCE0" w:val="clear"/>
          </w:tcPr>
          <w:p>
            <w:r>
              <w:rPr>
                <w:b/>
                <w:color w:val="C00000"/>
                <w:sz w:val="17"/>
              </w:rPr>
              <w:t>-4.6%</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6,531</w:t>
            </w:r>
          </w:p>
        </w:tc>
        <w:tc>
          <w:tcPr>
            <w:tcW w:type="dxa" w:w="1440"/>
            <w:shd w:fill="FFDCE0" w:val="clear"/>
          </w:tcPr>
          <w:p>
            <w:r>
              <w:rPr>
                <w:b/>
                <w:sz w:val="17"/>
              </w:rPr>
              <w:t>7,421</w:t>
            </w:r>
          </w:p>
        </w:tc>
        <w:tc>
          <w:tcPr>
            <w:tcW w:type="dxa" w:w="1440"/>
            <w:shd w:fill="FFDCE0" w:val="clear"/>
          </w:tcPr>
          <w:p>
            <w:r>
              <w:rPr>
                <w:sz w:val="17"/>
              </w:rPr>
              <w:t>8,312</w:t>
            </w:r>
          </w:p>
        </w:tc>
        <w:tc>
          <w:tcPr>
            <w:tcW w:type="dxa" w:w="1440"/>
            <w:shd w:fill="FFDCE0" w:val="clear"/>
          </w:tcPr>
          <w:p>
            <w:r>
              <w:rPr>
                <w:b/>
                <w:color w:val="C00000"/>
                <w:sz w:val="17"/>
              </w:rPr>
              <w:t>-7.2%</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6,164</w:t>
            </w:r>
          </w:p>
        </w:tc>
        <w:tc>
          <w:tcPr>
            <w:tcW w:type="dxa" w:w="1440"/>
            <w:shd w:fill="FFDCE0" w:val="clear"/>
          </w:tcPr>
          <w:p>
            <w:r>
              <w:rPr>
                <w:b/>
                <w:sz w:val="17"/>
              </w:rPr>
              <w:t>7,226</w:t>
            </w:r>
          </w:p>
        </w:tc>
        <w:tc>
          <w:tcPr>
            <w:tcW w:type="dxa" w:w="1440"/>
            <w:shd w:fill="FFDCE0" w:val="clear"/>
          </w:tcPr>
          <w:p>
            <w:r>
              <w:rPr>
                <w:sz w:val="17"/>
              </w:rPr>
              <w:t>8,288</w:t>
            </w:r>
          </w:p>
        </w:tc>
        <w:tc>
          <w:tcPr>
            <w:tcW w:type="dxa" w:w="1440"/>
            <w:shd w:fill="FFDCE0" w:val="clear"/>
          </w:tcPr>
          <w:p>
            <w:r>
              <w:rPr>
                <w:b/>
                <w:color w:val="C00000"/>
                <w:sz w:val="17"/>
              </w:rPr>
              <w:t>-9.6%</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5,853</w:t>
            </w:r>
          </w:p>
        </w:tc>
        <w:tc>
          <w:tcPr>
            <w:tcW w:type="dxa" w:w="1440"/>
            <w:shd w:fill="FFDCE0" w:val="clear"/>
          </w:tcPr>
          <w:p>
            <w:r>
              <w:rPr>
                <w:b/>
                <w:sz w:val="17"/>
              </w:rPr>
              <w:t>7,049</w:t>
            </w:r>
          </w:p>
        </w:tc>
        <w:tc>
          <w:tcPr>
            <w:tcW w:type="dxa" w:w="1440"/>
            <w:shd w:fill="FFDCE0" w:val="clear"/>
          </w:tcPr>
          <w:p>
            <w:r>
              <w:rPr>
                <w:sz w:val="17"/>
              </w:rPr>
              <w:t>8,246</w:t>
            </w:r>
          </w:p>
        </w:tc>
        <w:tc>
          <w:tcPr>
            <w:tcW w:type="dxa" w:w="1440"/>
            <w:shd w:fill="FFDCE0" w:val="clear"/>
          </w:tcPr>
          <w:p>
            <w:r>
              <w:rPr>
                <w:b/>
                <w:color w:val="C00000"/>
                <w:sz w:val="17"/>
              </w:rPr>
              <w:t>-11.8%</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5,582</w:t>
            </w:r>
          </w:p>
        </w:tc>
        <w:tc>
          <w:tcPr>
            <w:tcW w:type="dxa" w:w="1440"/>
            <w:shd w:fill="FFDCE0" w:val="clear"/>
          </w:tcPr>
          <w:p>
            <w:r>
              <w:rPr>
                <w:b/>
                <w:sz w:val="17"/>
              </w:rPr>
              <w:t>6,889</w:t>
            </w:r>
          </w:p>
        </w:tc>
        <w:tc>
          <w:tcPr>
            <w:tcW w:type="dxa" w:w="1440"/>
            <w:shd w:fill="FFDCE0" w:val="clear"/>
          </w:tcPr>
          <w:p>
            <w:r>
              <w:rPr>
                <w:sz w:val="17"/>
              </w:rPr>
              <w:t>8,196</w:t>
            </w:r>
          </w:p>
        </w:tc>
        <w:tc>
          <w:tcPr>
            <w:tcW w:type="dxa" w:w="1440"/>
            <w:shd w:fill="FFDCE0" w:val="clear"/>
          </w:tcPr>
          <w:p>
            <w:r>
              <w:rPr>
                <w:b/>
                <w:color w:val="C00000"/>
                <w:sz w:val="17"/>
              </w:rPr>
              <w:t>-13.8%</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5,342</w:t>
            </w:r>
          </w:p>
        </w:tc>
        <w:tc>
          <w:tcPr>
            <w:tcW w:type="dxa" w:w="1440"/>
            <w:shd w:fill="FFDCE0" w:val="clear"/>
          </w:tcPr>
          <w:p>
            <w:r>
              <w:rPr>
                <w:b/>
                <w:sz w:val="17"/>
              </w:rPr>
              <w:t>6,743</w:t>
            </w:r>
          </w:p>
        </w:tc>
        <w:tc>
          <w:tcPr>
            <w:tcW w:type="dxa" w:w="1440"/>
            <w:shd w:fill="FFDCE0" w:val="clear"/>
          </w:tcPr>
          <w:p>
            <w:r>
              <w:rPr>
                <w:sz w:val="17"/>
              </w:rPr>
              <w:t>8,144</w:t>
            </w:r>
          </w:p>
        </w:tc>
        <w:tc>
          <w:tcPr>
            <w:tcW w:type="dxa" w:w="1440"/>
            <w:shd w:fill="FFDCE0" w:val="clear"/>
          </w:tcPr>
          <w:p>
            <w:r>
              <w:rPr>
                <w:b/>
                <w:color w:val="C00000"/>
                <w:sz w:val="17"/>
              </w:rPr>
              <w:t>-15.7%</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5,125</w:t>
            </w:r>
          </w:p>
        </w:tc>
        <w:tc>
          <w:tcPr>
            <w:tcW w:type="dxa" w:w="1440"/>
            <w:shd w:fill="FFDCE0" w:val="clear"/>
          </w:tcPr>
          <w:p>
            <w:r>
              <w:rPr>
                <w:b/>
                <w:sz w:val="17"/>
              </w:rPr>
              <w:t>6,609</w:t>
            </w:r>
          </w:p>
        </w:tc>
        <w:tc>
          <w:tcPr>
            <w:tcW w:type="dxa" w:w="1440"/>
            <w:shd w:fill="FFDCE0" w:val="clear"/>
          </w:tcPr>
          <w:p>
            <w:r>
              <w:rPr>
                <w:sz w:val="17"/>
              </w:rPr>
              <w:t>8,092</w:t>
            </w:r>
          </w:p>
        </w:tc>
        <w:tc>
          <w:tcPr>
            <w:tcW w:type="dxa" w:w="1440"/>
            <w:shd w:fill="FFDCE0" w:val="clear"/>
          </w:tcPr>
          <w:p>
            <w:r>
              <w:rPr>
                <w:b/>
                <w:color w:val="C00000"/>
                <w:sz w:val="17"/>
              </w:rPr>
              <w:t>-17.3%</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4,928</w:t>
            </w:r>
          </w:p>
        </w:tc>
        <w:tc>
          <w:tcPr>
            <w:tcW w:type="dxa" w:w="1440"/>
            <w:shd w:fill="FFDCE0" w:val="clear"/>
          </w:tcPr>
          <w:p>
            <w:r>
              <w:rPr>
                <w:b/>
                <w:sz w:val="17"/>
              </w:rPr>
              <w:t>6,484</w:t>
            </w:r>
          </w:p>
        </w:tc>
        <w:tc>
          <w:tcPr>
            <w:tcW w:type="dxa" w:w="1440"/>
            <w:shd w:fill="FFDCE0" w:val="clear"/>
          </w:tcPr>
          <w:p>
            <w:r>
              <w:rPr>
                <w:sz w:val="17"/>
              </w:rPr>
              <w:t>8,041</w:t>
            </w:r>
          </w:p>
        </w:tc>
        <w:tc>
          <w:tcPr>
            <w:tcW w:type="dxa" w:w="1440"/>
            <w:shd w:fill="FFDCE0" w:val="clear"/>
          </w:tcPr>
          <w:p>
            <w:r>
              <w:rPr>
                <w:b/>
                <w:color w:val="C00000"/>
                <w:sz w:val="17"/>
              </w:rPr>
              <w:t>-18.9%</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4,748</w:t>
            </w:r>
          </w:p>
        </w:tc>
        <w:tc>
          <w:tcPr>
            <w:tcW w:type="dxa" w:w="1440"/>
            <w:shd w:fill="FFDCE0" w:val="clear"/>
          </w:tcPr>
          <w:p>
            <w:r>
              <w:rPr>
                <w:b/>
                <w:sz w:val="17"/>
              </w:rPr>
              <w:t>6,369</w:t>
            </w:r>
          </w:p>
        </w:tc>
        <w:tc>
          <w:tcPr>
            <w:tcW w:type="dxa" w:w="1440"/>
            <w:shd w:fill="FFDCE0" w:val="clear"/>
          </w:tcPr>
          <w:p>
            <w:r>
              <w:rPr>
                <w:sz w:val="17"/>
              </w:rPr>
              <w:t>7,990</w:t>
            </w:r>
          </w:p>
        </w:tc>
        <w:tc>
          <w:tcPr>
            <w:tcW w:type="dxa" w:w="1440"/>
            <w:shd w:fill="FFDCE0" w:val="clear"/>
          </w:tcPr>
          <w:p>
            <w:r>
              <w:rPr>
                <w:b/>
                <w:color w:val="C00000"/>
                <w:sz w:val="17"/>
              </w:rPr>
              <w:t>-20.3%</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4,581</w:t>
            </w:r>
          </w:p>
        </w:tc>
        <w:tc>
          <w:tcPr>
            <w:tcW w:type="dxa" w:w="1440"/>
            <w:shd w:fill="FFDCE0" w:val="clear"/>
          </w:tcPr>
          <w:p>
            <w:r>
              <w:rPr>
                <w:b/>
                <w:sz w:val="17"/>
              </w:rPr>
              <w:t>6,261</w:t>
            </w:r>
          </w:p>
        </w:tc>
        <w:tc>
          <w:tcPr>
            <w:tcW w:type="dxa" w:w="1440"/>
            <w:shd w:fill="FFDCE0" w:val="clear"/>
          </w:tcPr>
          <w:p>
            <w:r>
              <w:rPr>
                <w:sz w:val="17"/>
              </w:rPr>
              <w:t>7,941</w:t>
            </w:r>
          </w:p>
        </w:tc>
        <w:tc>
          <w:tcPr>
            <w:tcW w:type="dxa" w:w="1440"/>
            <w:shd w:fill="FFDCE0" w:val="clear"/>
          </w:tcPr>
          <w:p>
            <w:r>
              <w:rPr>
                <w:b/>
                <w:color w:val="C00000"/>
                <w:sz w:val="17"/>
              </w:rPr>
              <w:t>-21.7%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4,80 milliards FCFA, un niveau modeste qui la classe parmi les petites capitalisations de la BRVM, secteur agro-industriel. Les ratios de valorisation (BPA, PER, P/B, EV/EBITDA) ne sont pas calculables en raison de l'absence de données financières structurées récentes dans la base. Cette situation est courante pour les sociétés de cette taille sur le marché régional, où la publication d'indicateurs standardisés reste irrégulière. L'absence de ces ratios prive l'investisseur d'une comparaison directe avec la moyenne du marché (PER BRVM ~8-12x), mais les données fondamentales disponibles dans les rapports officiels permettent néanmoins d'évaluer la valeur intrinsèque du titre. La capitalisation actuelle, rapportée aux bénéfices historiques, suggère une valorisation potentiellement élevée compte tenu de la récente flambée du cours.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+97,65%, passant d'un plus bas de 3 765 FCFA à un plus haut de 10 200 FCFA, avant de se stabiliser autour de 7 995 FCFA à la dernière séance (-0,12% sur la journée). Cette tendance fortement haussière s'accompagne d'une moyenne de 5 224 FCFA nettement inférieure à la médiane de 4 490 FCFA, révélant une distribution asymétrique positive (skewness de 1,803) : la majorité des séances se sont déroulées sous la moyenne, avec des pics récents qui tirent la moyenne vers le haut. L'écart-type de 1 582 FCFA (CV=30,3%) indique une dispersion importante, tandis que le kurtosis de 2,267 signale un risque de mouvements extrêmes. La volatilité annualisée de 60,6% classe le titre dans la catégorie très élevée, confirmant un profil spéculatif marqué sur la période.</w:t>
      </w:r>
    </w:p>
    <w:p>
      <w:pPr>
        <w:spacing w:after="120" w:line="276" w:lineRule="auto" w:before="240"/>
      </w:pPr>
      <w:r>
        <w:rPr>
          <w:b/>
          <w:color w:val="003366"/>
          <w:sz w:val="24"/>
        </w:rPr>
        <w:t>**PARTIE 2 : ANALYSE TECHNIQUE DÉTAILLÉE**</w:t>
      </w:r>
    </w:p>
    <w:p>
      <w:pPr>
        <w:spacing w:after="120" w:line="276" w:lineRule="auto"/>
      </w:pPr>
      <w:r>
        <w:t>**Moyennes Mobiles** : La MM20 à 8 004,5 FCFA et la MM50 à 6 170,7 FCFA encadrent le cours actuel de 7 995 FCFA, qui se situe juste sous la MM20 mais nettement au-dessus de la MM50. Cette configuration reflète un momentum haussier à moyen terme, avec une correction récente par rapport au plus haut. La décision d'achat signalée par le croisement des moyennes mobiles reste valide tant que le cours se maintient au-dessus de la MM50, qui agit comme support dynamique.</w:t>
      </w:r>
    </w:p>
    <w:p>
      <w:pPr>
        <w:spacing w:after="120" w:line="276" w:lineRule="auto"/>
      </w:pPr>
      <w:r>
        <w:t>**Bandes de Bollinger** : Le cours évolue entre la borne inférieure à 5 153,6 FCFA et la borne supérieure à 10 855,4 FCFA, se positionnant dans la partie médiane-haute du canal. L'écart important entre les bornes reflète la volatilité élevée du titre. La décision neutre s'explique par l'absence de contact avec les bornes extrêmes, le cours ayant récemment rebondi depuis la zone médiane sans signal directionnel fort.</w:t>
      </w:r>
    </w:p>
    <w:p>
      <w:pPr>
        <w:spacing w:after="120" w:line="276" w:lineRule="auto"/>
      </w:pPr>
      <w:r>
        <w:t>**MACD** : La valeur du MACD à 826,08 est inférieure à son signal à 965,9, indiquant un momentum baissier à court terme malgré des niveaux positifs. Cette divergence négative suggère un essoufflement de la dynamique haussière, justifiant la décision de vente. Le croisement baissier récent appelle à la prudence, même si le MACD reste en territoire positif, ce qui nuance le signal.</w:t>
      </w:r>
    </w:p>
    <w:p>
      <w:pPr>
        <w:spacing w:after="120" w:line="276" w:lineRule="auto"/>
      </w:pPr>
      <w:r>
        <w:t>**RSI** : À 58,44, le RSI se situe en zone neutre, entre 30 et 70, indiquant un équilibre entre pressions acheteuses et vendeuses. Cette valeur reflète une consolidation après la forte hausse, sans signe de surachat ni de survente. La décision neutre est cohérente avec une phase de digestion des gains récents.</w:t>
      </w:r>
    </w:p>
    <w:p>
      <w:pPr>
        <w:spacing w:after="120" w:line="276" w:lineRule="auto"/>
      </w:pPr>
      <w:r>
        <w:t>**Stochastique** : Le %K à 29,21 est inférieur au %D à 38,56, indiquant une dynamique baissière à court terme, proche de la zone de survente. Ce croisement baissier suggère une possible poursuite de la correction avant un éventuel rebond. La décision neutre reflète l'incertitude directionnelle actuelle.</w:t>
      </w:r>
    </w:p>
    <w:p>
      <w:pPr>
        <w:spacing w:after="120" w:line="276" w:lineRule="auto"/>
      </w:pPr>
      <w:r>
        <w:t>**Conclusion technique** : Les indicateurs présentent un tableau contrasté : les moyennes mobiles restent haussières à moyen terme, mais le MACD, le stochastique et la position sous la MM20 signalent une correction à court terme. Le RSI neutre et les bandes de Bollinger sans contact extrême confirment une phase de consolidation. La tendance de fond demeure positive, mais un repli vers la zone des 7 000-7 200 FCFA est plausible avant une reprise.</w:t>
      </w:r>
    </w:p>
    <w:p>
      <w:pPr>
        <w:spacing w:after="120" w:line="276" w:lineRule="auto" w:before="240"/>
      </w:pPr>
      <w:r>
        <w:rPr>
          <w:b/>
          <w:color w:val="003366"/>
          <w:sz w:val="24"/>
        </w:rPr>
        <w:t>**PARTIE 3 : ANALYSE FONDAMENTALE (SECTION CRITIQUE)**</w:t>
      </w:r>
    </w:p>
    <w:p>
      <w:pPr>
        <w:spacing w:after="120" w:line="276" w:lineRule="auto"/>
      </w:pPr>
      <w:r>
        <w:t>Les rapports financiers disponibles, datant du 31 décembre 2024 (analysés en mars 2026), couvrent les exercices 2022 et 2023. En 2023, le chiffre d'affaires s'établit à 701,09 millions FCFA, en forte baisse de 38,4% par rapport à 2022 (1 138,17 millions FCFA), avec un effondrement des ventes d'huile de coprah (-98,82%) et de tourteaux (-86,03%). Le résultat net 2023 ressort à +19,25 millions FCFA, contre une perte de -39,95 millions en 2022, marquant un retour à la profitabilité grâce à une réduction drastique des charges (-43,68%). La marge nette atteint 2,75%, inférieure aux standards sectoriels, et les pertes cumulées s'élèvent à 689,86 millions FCFA, interdisant tout dividende. Les rapports plus anciens (2015-2020) montrent une rentabilité historique volatile : résultat net de 434,87 millions en 2015, 53,3 millions en 2016, 100,6 millions en 2017, et 109,8 millions en 2020. Le rapport 2020 indique un EBE de 281 millions FCFA et une CAFG de 278 millions, témoignant d'une capacité de génération de cash. Les perspectives restent conditionnées à la résorption des pertes, à la sécurisation des plantations contre les vols, et à une éventuelle diversification vers l'export. La situation financière demeure fragile, avec une trésorerie tendue et des découverts bancaires en hausse de 1 319% en 2023.</w:t>
      </w:r>
    </w:p>
    <w:p>
      <w:pPr>
        <w:spacing w:after="120" w:line="276" w:lineRule="auto" w:before="240"/>
      </w:pPr>
      <w:r>
        <w:rPr>
          <w:b/>
          <w:color w:val="003366"/>
          <w:sz w:val="24"/>
        </w:rPr>
        <w:t>**PARTIE 4 : CONCLUSION D'INVESTISSEMENT**</w:t>
      </w:r>
    </w:p>
    <w:p>
      <w:pPr>
        <w:spacing w:after="120" w:line="276" w:lineRule="auto"/>
      </w:pPr>
      <w:r>
        <w:t>La valorisation de SICOR ne peut être appréciée via les ratios traditionnels, mais la capitalisation de 4,80 milliards FCFA paraît élevée au regard des bénéfices historiques (19,25 millions en 2023), suggérant une surévaluation potentielle. Le comportement du cours montre une hausse spectaculaire de +97,65% sur 100 jours, avec une volatilité extrême (60,6%) et une asymétrie positive qui indique un risque de retournement brutal. Les signaux techniques sont mitigés : tendance haussière à moyen terme mais correction à court terme, avec un MACD vendeur et un stochastique baissier. Les fondamentaux révèlent une entreprise fragile, certes revenue à l'équilibre en 2023, mais sans perspective de dividende et avec des risques opérationnels majeurs. Les prédictions IA anticipent une poursuite de la baisse vers 6 889 FCFA à J+10, confirmant le scénario de correction technique. La convergence entre la faiblesse des fondamentaux, la surévaluation implicite et les signaux techniques baissiers conduit à une recommandation de **VENTE**, avec un niveau de confiance moyen et un risque global élevé. L'horizon d'investissement optimal serait de court terme (&lt;3 mois) pour les investisseurs spéculatifs, mais le titre reste déconseillé pour un investissement de moyen ou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5,381 titres</w:t>
            </w:r>
          </w:p>
        </w:tc>
        <w:tc>
          <w:tcPr>
            <w:tcW w:type="dxa" w:w="2268"/>
            <w:shd w:fill="FFF2CC" w:val="clear"/>
          </w:tcPr>
          <w:p>
            <w:r>
              <w:rPr>
                <w:b/>
                <w:color w:val="503200"/>
                <w:sz w:val="16"/>
              </w:rPr>
              <w:t xml:space="preserve">Cours actuel : </w:t>
            </w:r>
            <w:r>
              <w:rPr>
                <w:color w:val="000000"/>
                <w:sz w:val="17"/>
              </w:rPr>
              <w:t>2,365 FCFA</w:t>
            </w:r>
          </w:p>
          <w:p>
            <w:r>
              <w:rPr>
                <w:b/>
                <w:color w:val="503200"/>
                <w:sz w:val="16"/>
              </w:rPr>
              <w:t xml:space="preserve">Var. 100 jours : </w:t>
            </w:r>
            <w:r>
              <w:rPr>
                <w:b/>
                <w:color w:val="B40000"/>
                <w:sz w:val="17"/>
              </w:rPr>
              <w:t>-19.83%</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11.22% (Moyenne) — μ=2,607 FCFA, σ=292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β=0.2643 (Défensif) — Cov=0.000009, Var(idx)=0.000033, ρ=0.048,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2,100</w:t>
            </w:r>
          </w:p>
        </w:tc>
        <w:tc>
          <w:tcPr>
            <w:tcW w:type="dxa" w:w="1440"/>
            <w:shd w:fill="FFDCE0" w:val="clear"/>
          </w:tcPr>
          <w:p>
            <w:r>
              <w:rPr>
                <w:b/>
                <w:sz w:val="17"/>
              </w:rPr>
              <w:t>2,228</w:t>
            </w:r>
          </w:p>
        </w:tc>
        <w:tc>
          <w:tcPr>
            <w:tcW w:type="dxa" w:w="1440"/>
            <w:shd w:fill="FFDCE0" w:val="clear"/>
          </w:tcPr>
          <w:p>
            <w:r>
              <w:rPr>
                <w:sz w:val="17"/>
              </w:rPr>
              <w:t>2,356</w:t>
            </w:r>
          </w:p>
        </w:tc>
        <w:tc>
          <w:tcPr>
            <w:tcW w:type="dxa" w:w="1440"/>
            <w:shd w:fill="FFDCE0" w:val="clear"/>
          </w:tcPr>
          <w:p>
            <w:r>
              <w:rPr>
                <w:b/>
                <w:color w:val="C00000"/>
                <w:sz w:val="17"/>
              </w:rPr>
              <w:t>-5.8%</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2,011</w:t>
            </w:r>
          </w:p>
        </w:tc>
        <w:tc>
          <w:tcPr>
            <w:tcW w:type="dxa" w:w="1440"/>
            <w:shd w:fill="FFDCE0" w:val="clear"/>
          </w:tcPr>
          <w:p>
            <w:r>
              <w:rPr>
                <w:b/>
                <w:sz w:val="17"/>
              </w:rPr>
              <w:t>2,189</w:t>
            </w:r>
          </w:p>
        </w:tc>
        <w:tc>
          <w:tcPr>
            <w:tcW w:type="dxa" w:w="1440"/>
            <w:shd w:fill="FFDCE0" w:val="clear"/>
          </w:tcPr>
          <w:p>
            <w:r>
              <w:rPr>
                <w:sz w:val="17"/>
              </w:rPr>
              <w:t>2,366</w:t>
            </w:r>
          </w:p>
        </w:tc>
        <w:tc>
          <w:tcPr>
            <w:tcW w:type="dxa" w:w="1440"/>
            <w:shd w:fill="FFDCE0" w:val="clear"/>
          </w:tcPr>
          <w:p>
            <w:r>
              <w:rPr>
                <w:b/>
                <w:color w:val="C00000"/>
                <w:sz w:val="17"/>
              </w:rPr>
              <w:t>-7.4%</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1,928</w:t>
            </w:r>
          </w:p>
        </w:tc>
        <w:tc>
          <w:tcPr>
            <w:tcW w:type="dxa" w:w="1440"/>
            <w:shd w:fill="FFDCE0" w:val="clear"/>
          </w:tcPr>
          <w:p>
            <w:r>
              <w:rPr>
                <w:b/>
                <w:sz w:val="17"/>
              </w:rPr>
              <w:t>2,141</w:t>
            </w:r>
          </w:p>
        </w:tc>
        <w:tc>
          <w:tcPr>
            <w:tcW w:type="dxa" w:w="1440"/>
            <w:shd w:fill="FFDCE0" w:val="clear"/>
          </w:tcPr>
          <w:p>
            <w:r>
              <w:rPr>
                <w:sz w:val="17"/>
              </w:rPr>
              <w:t>2,354</w:t>
            </w:r>
          </w:p>
        </w:tc>
        <w:tc>
          <w:tcPr>
            <w:tcW w:type="dxa" w:w="1440"/>
            <w:shd w:fill="FFDCE0" w:val="clear"/>
          </w:tcPr>
          <w:p>
            <w:r>
              <w:rPr>
                <w:b/>
                <w:color w:val="C00000"/>
                <w:sz w:val="17"/>
              </w:rPr>
              <w:t>-9.5%</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1,852</w:t>
            </w:r>
          </w:p>
        </w:tc>
        <w:tc>
          <w:tcPr>
            <w:tcW w:type="dxa" w:w="1440"/>
            <w:shd w:fill="FFDCE0" w:val="clear"/>
          </w:tcPr>
          <w:p>
            <w:r>
              <w:rPr>
                <w:b/>
                <w:sz w:val="17"/>
              </w:rPr>
              <w:t>2,092</w:t>
            </w:r>
          </w:p>
        </w:tc>
        <w:tc>
          <w:tcPr>
            <w:tcW w:type="dxa" w:w="1440"/>
            <w:shd w:fill="FFDCE0" w:val="clear"/>
          </w:tcPr>
          <w:p>
            <w:r>
              <w:rPr>
                <w:sz w:val="17"/>
              </w:rPr>
              <w:t>2,332</w:t>
            </w:r>
          </w:p>
        </w:tc>
        <w:tc>
          <w:tcPr>
            <w:tcW w:type="dxa" w:w="1440"/>
            <w:shd w:fill="FFDCE0" w:val="clear"/>
          </w:tcPr>
          <w:p>
            <w:r>
              <w:rPr>
                <w:b/>
                <w:color w:val="C00000"/>
                <w:sz w:val="17"/>
              </w:rPr>
              <w:t>-11.5%</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1,782</w:t>
            </w:r>
          </w:p>
        </w:tc>
        <w:tc>
          <w:tcPr>
            <w:tcW w:type="dxa" w:w="1440"/>
            <w:shd w:fill="FFDCE0" w:val="clear"/>
          </w:tcPr>
          <w:p>
            <w:r>
              <w:rPr>
                <w:b/>
                <w:sz w:val="17"/>
              </w:rPr>
              <w:t>2,044</w:t>
            </w:r>
          </w:p>
        </w:tc>
        <w:tc>
          <w:tcPr>
            <w:tcW w:type="dxa" w:w="1440"/>
            <w:shd w:fill="FFDCE0" w:val="clear"/>
          </w:tcPr>
          <w:p>
            <w:r>
              <w:rPr>
                <w:sz w:val="17"/>
              </w:rPr>
              <w:t>2,306</w:t>
            </w:r>
          </w:p>
        </w:tc>
        <w:tc>
          <w:tcPr>
            <w:tcW w:type="dxa" w:w="1440"/>
            <w:shd w:fill="FFDCE0" w:val="clear"/>
          </w:tcPr>
          <w:p>
            <w:r>
              <w:rPr>
                <w:b/>
                <w:color w:val="C00000"/>
                <w:sz w:val="17"/>
              </w:rPr>
              <w:t>-13.6%</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1,718</w:t>
            </w:r>
          </w:p>
        </w:tc>
        <w:tc>
          <w:tcPr>
            <w:tcW w:type="dxa" w:w="1440"/>
            <w:shd w:fill="FFDCE0" w:val="clear"/>
          </w:tcPr>
          <w:p>
            <w:r>
              <w:rPr>
                <w:b/>
                <w:sz w:val="17"/>
              </w:rPr>
              <w:t>1,998</w:t>
            </w:r>
          </w:p>
        </w:tc>
        <w:tc>
          <w:tcPr>
            <w:tcW w:type="dxa" w:w="1440"/>
            <w:shd w:fill="FFDCE0" w:val="clear"/>
          </w:tcPr>
          <w:p>
            <w:r>
              <w:rPr>
                <w:sz w:val="17"/>
              </w:rPr>
              <w:t>2,279</w:t>
            </w:r>
          </w:p>
        </w:tc>
        <w:tc>
          <w:tcPr>
            <w:tcW w:type="dxa" w:w="1440"/>
            <w:shd w:fill="FFDCE0" w:val="clear"/>
          </w:tcPr>
          <w:p>
            <w:r>
              <w:rPr>
                <w:b/>
                <w:color w:val="C00000"/>
                <w:sz w:val="17"/>
              </w:rPr>
              <w:t>-15.5%</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1,657</w:t>
            </w:r>
          </w:p>
        </w:tc>
        <w:tc>
          <w:tcPr>
            <w:tcW w:type="dxa" w:w="1440"/>
            <w:shd w:fill="FFDCE0" w:val="clear"/>
          </w:tcPr>
          <w:p>
            <w:r>
              <w:rPr>
                <w:b/>
                <w:sz w:val="17"/>
              </w:rPr>
              <w:t>1,953</w:t>
            </w:r>
          </w:p>
        </w:tc>
        <w:tc>
          <w:tcPr>
            <w:tcW w:type="dxa" w:w="1440"/>
            <w:shd w:fill="FFDCE0" w:val="clear"/>
          </w:tcPr>
          <w:p>
            <w:r>
              <w:rPr>
                <w:sz w:val="17"/>
              </w:rPr>
              <w:t>2,250</w:t>
            </w:r>
          </w:p>
        </w:tc>
        <w:tc>
          <w:tcPr>
            <w:tcW w:type="dxa" w:w="1440"/>
            <w:shd w:fill="FFDCE0" w:val="clear"/>
          </w:tcPr>
          <w:p>
            <w:r>
              <w:rPr>
                <w:b/>
                <w:color w:val="C00000"/>
                <w:sz w:val="17"/>
              </w:rPr>
              <w:t>-17.4%</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1,601</w:t>
            </w:r>
          </w:p>
        </w:tc>
        <w:tc>
          <w:tcPr>
            <w:tcW w:type="dxa" w:w="1440"/>
            <w:shd w:fill="FFDCE0" w:val="clear"/>
          </w:tcPr>
          <w:p>
            <w:r>
              <w:rPr>
                <w:b/>
                <w:sz w:val="17"/>
              </w:rPr>
              <w:t>1,910</w:t>
            </w:r>
          </w:p>
        </w:tc>
        <w:tc>
          <w:tcPr>
            <w:tcW w:type="dxa" w:w="1440"/>
            <w:shd w:fill="FFDCE0" w:val="clear"/>
          </w:tcPr>
          <w:p>
            <w:r>
              <w:rPr>
                <w:sz w:val="17"/>
              </w:rPr>
              <w:t>2,220</w:t>
            </w:r>
          </w:p>
        </w:tc>
        <w:tc>
          <w:tcPr>
            <w:tcW w:type="dxa" w:w="1440"/>
            <w:shd w:fill="FFDCE0" w:val="clear"/>
          </w:tcPr>
          <w:p>
            <w:r>
              <w:rPr>
                <w:b/>
                <w:color w:val="C00000"/>
                <w:sz w:val="17"/>
              </w:rPr>
              <w:t>-19.2%</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1,547</w:t>
            </w:r>
          </w:p>
        </w:tc>
        <w:tc>
          <w:tcPr>
            <w:tcW w:type="dxa" w:w="1440"/>
            <w:shd w:fill="FFDCE0" w:val="clear"/>
          </w:tcPr>
          <w:p>
            <w:r>
              <w:rPr>
                <w:b/>
                <w:sz w:val="17"/>
              </w:rPr>
              <w:t>1,869</w:t>
            </w:r>
          </w:p>
        </w:tc>
        <w:tc>
          <w:tcPr>
            <w:tcW w:type="dxa" w:w="1440"/>
            <w:shd w:fill="FFDCE0" w:val="clear"/>
          </w:tcPr>
          <w:p>
            <w:r>
              <w:rPr>
                <w:sz w:val="17"/>
              </w:rPr>
              <w:t>2,190</w:t>
            </w:r>
          </w:p>
        </w:tc>
        <w:tc>
          <w:tcPr>
            <w:tcW w:type="dxa" w:w="1440"/>
            <w:shd w:fill="FFDCE0" w:val="clear"/>
          </w:tcPr>
          <w:p>
            <w:r>
              <w:rPr>
                <w:b/>
                <w:color w:val="C00000"/>
                <w:sz w:val="17"/>
              </w:rPr>
              <w:t>-21.0%</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1,497</w:t>
            </w:r>
          </w:p>
        </w:tc>
        <w:tc>
          <w:tcPr>
            <w:tcW w:type="dxa" w:w="1440"/>
            <w:shd w:fill="FFDCE0" w:val="clear"/>
          </w:tcPr>
          <w:p>
            <w:r>
              <w:rPr>
                <w:b/>
                <w:sz w:val="17"/>
              </w:rPr>
              <w:t>1,829</w:t>
            </w:r>
          </w:p>
        </w:tc>
        <w:tc>
          <w:tcPr>
            <w:tcW w:type="dxa" w:w="1440"/>
            <w:shd w:fill="FFDCE0" w:val="clear"/>
          </w:tcPr>
          <w:p>
            <w:r>
              <w:rPr>
                <w:sz w:val="17"/>
              </w:rPr>
              <w:t>2,160</w:t>
            </w:r>
          </w:p>
        </w:tc>
        <w:tc>
          <w:tcPr>
            <w:tcW w:type="dxa" w:w="1440"/>
            <w:shd w:fill="FFDCE0" w:val="clear"/>
          </w:tcPr>
          <w:p>
            <w:r>
              <w:rPr>
                <w:b/>
                <w:color w:val="C00000"/>
                <w:sz w:val="17"/>
              </w:rPr>
              <w:t>-22.7%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SIVC (devenue ERIUM CI),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SIVC s'établit à 20,66 milliards FCFA, un niveau modeste qui la classe parmi les valeurs moyennes de la BRVM. Avec un BPA de 43 FCFA, le titre se paie extrêmement cher, comme en témoigne son PER de 54,8x, très supérieur à la moyenne du marché qui se situe entre 8 et 12x. Cette valorisation est d'autant plus exigeante que le P/B de 6,31x indique que le marché valorise l'actif net comptable plus de six fois sa valeur, signe d'anticipations de croissance très fortes ou d'une spéculation importante. Enfin, l'EV/EBITDA de 17,2x confirme cette tendance, car il dépasse le seuil des 15x, considéré comme élevé. L'ensemble de ces ratios suggère que le marché intègre des perspectives de croissance et de rentabilité futures très optimistes, qui ne sont pas encore reflétées dans les bénéfices actuels.</w:t>
      </w:r>
    </w:p>
    <w:p>
      <w:pPr>
        <w:spacing w:after="120" w:line="276" w:lineRule="auto"/>
      </w:pPr>
      <w:r>
        <w:t>### PARTIE 1 : ANALYSE DU COURS — STATISTIQUES ET ÉVOLUTION (100 derniers jours)</w:t>
      </w:r>
    </w:p>
    <w:p>
      <w:pPr>
        <w:spacing w:after="120" w:line="276" w:lineRule="auto"/>
      </w:pPr>
      <w:r>
        <w:t>Sur les 100 derniers jours, l'action SIVC a subi une forte correction de -19,83%, avec une légère baisse de -0,63% lors de la dernière séance, pour s'établir à 2 365 FCFA. Le titre a évolué dans une fourchette large de 1 920 à 3 215 FCFA, illustrant une volatilité et une incertitude marquées. La moyenne du cours sur la période est de 2 607 FCFA, tandis que la médiane est plus élevée (2 700 FCFA) et le mode encore supérieur (2 845 FCFA). Cette configuration, où la moyenne est inférieure à la médiane, indique une distribution asymétrique vers les valeurs basses, suggérant que les fortes baisses récentes ont tiré la moyenne vers le bas. L'écart-type de 294 FCFA (CV=11,3%) montre une dispersion modérée autour de la moyenne. Le kurtosis proche de zéro (-0.974) indique une distribution normale sans risque de variations extrêmes, et le skewness légèrement négatif (-0.360) confirme une asymétrie vers les baisses. Enfin, la volatilité annualisée de 50,7% est très élevée, classant ce titre comme risqué pour les investisseurs.</w:t>
      </w:r>
    </w:p>
    <w:p>
      <w:pPr>
        <w:spacing w:after="120" w:line="276" w:lineRule="auto"/>
      </w:pPr>
      <w:r>
        <w:t>### PARTIE 2 : ANALYSE TECHNIQUE DÉTAILLÉE</w:t>
      </w:r>
    </w:p>
    <w:p>
      <w:pPr>
        <w:spacing w:after="120" w:line="276" w:lineRule="auto"/>
      </w:pPr>
      <w:r>
        <w:t>**Moyennes Mobiles**: Le cours actuel (2 365 FCFA) se situe au-dessus de sa MM20 (2 296,25 FCFA) mais très proche de sa MM50 (2 362,5 FCFA). Cette configuration, où le prix est sous la MM50, signale une tendance de fond baissière. La décision de "Vente" est justifiée par le fait que la MM20 est sous la MM50, indiquant un momentum négatif à moyen terme.</w:t>
      </w:r>
    </w:p>
    <w:p>
      <w:pPr>
        <w:spacing w:after="120" w:line="276" w:lineRule="auto"/>
      </w:pPr>
      <w:r>
        <w:t>**Bandes de Bollinger**: Le prix se situe à l'intérieur des bandes, entre la borne supérieure (2 529,6 FCFA) et inférieure (2 062,9 FCFA), mais plus proche de la borne supérieure. Cela indique une volatilité modérée et un retour à une zone plus neutre après une période de forte baisse. La décision "Neutre" est cohérente avec une absence de signal directionnel fort.</w:t>
      </w:r>
    </w:p>
    <w:p>
      <w:pPr>
        <w:spacing w:after="120" w:line="276" w:lineRule="auto"/>
      </w:pPr>
      <w:r>
        <w:t>**MACD**: La valeur du MACD (15,107) est positive et se situe au-dessus de sa ligne de signal (-0,248). Ce croisement haussier, bien que récent, indique un retour du momentum acheteur à court terme. La décision "Achat" est donc justifiée par ce croisement positif, qui pourrait signaler le début d'un rebond technique.</w:t>
      </w:r>
    </w:p>
    <w:p>
      <w:pPr>
        <w:spacing w:after="120" w:line="276" w:lineRule="auto"/>
      </w:pPr>
      <w:r>
        <w:t>**RSI**: Avec une valeur de 66,93, le RSI est en zone neutre, mais proche de la zone de surachat (70). Cela suggère que le titre a connu une progression récente et pourrait être sujet à une consolidation. La décision "Neutre" est appropriée, car le RSI n'est ni suracheté ni survendu, laissant la porte ouverte à une poursuite du mouvement ou à un retournement.</w:t>
      </w:r>
    </w:p>
    <w:p>
      <w:pPr>
        <w:spacing w:after="120" w:line="276" w:lineRule="auto"/>
      </w:pPr>
      <w:r>
        <w:t>**Stochastique**: Les valeurs de %K (81,69) et %D (83,57) sont élevées, en zone de surachat. Le fait que %K soit sous %D indique un croisement baissier, signalant un potentiel de retournement à la baisse. La décision "Vente" est justifiée par ce croisement en zone de surachat, qui suggère un essoufflement du mouvement haussier à court terme.</w:t>
      </w:r>
    </w:p>
    <w:p>
      <w:pPr>
        <w:spacing w:after="120" w:line="276" w:lineRule="auto"/>
      </w:pPr>
      <w:r>
        <w:t>**Conclusion technique**: Les signaux techniques sont mitigés. Le MACD est positif, mais les moyennes mobiles et le stochastique en zone de surachat plaident pour une prudence. Le RSI et les bandes de Bollinger sont neutres. Cette divergence suggère une phase de consolidation, avec un biais légèrement baissier à moyen terme, mais un potentiel de rebond technique à très court terme.</w:t>
      </w:r>
    </w:p>
    <w:p>
      <w:pPr>
        <w:spacing w:after="120" w:line="276" w:lineRule="auto"/>
      </w:pPr>
      <w:r>
        <w:t>### PARTIE 3 : ANALYSE FONDAMENTALE (SECTION CRITIQUE)</w:t>
      </w:r>
    </w:p>
    <w:p>
      <w:pPr>
        <w:spacing w:after="120" w:line="276" w:lineRule="auto"/>
      </w:pPr>
      <w:r>
        <w:t>En 2024, les données structurées indiquent que SIVC, bien que classée dans le secteur bancaire, présente un profil atypique. Le PNB/CA s'élève à 9,283 Mds FCFA, avec un résultat net de 376,96 M FCFA, soit une marge nette de 4,06%. La rentabilité des capitaux propres (ROE) est de 11,52%, et le ROA de 2,69%. Le coefficient d'exploitation est très élevé à 95,83%, ce qui est préoccupant pour une banque, indiquant une mauvaise maîtrise des charges. Le coût du risque est de 3,10%, un niveau élevé qui signale un risque de crédit significatif. Cependant, les rapports narratifs de 2025 (publiés en 2026) montrent une évolution contrastée. Le rapport annuel 2025 (daté du 31/12/2025) fait état d'un chiffre d'affaires en hausse de 8,5% à 10,07 Mds FCFA, mais d'un résultat net en chute de 52,4% à 179,3 M FCFA, avec une marge nette dégradée à 1,78%. Cette baisse est attribuée à une forte augmentation des charges et à une dégradation du résultat financier. En revanche, le rapport du 3ème trimestre 2025 (cumul au 30/09/2025) est beaucoup plus optimiste, avec un CA en hausse de +13% et un résultat net de 832,5 M FCFA, en progression de +58%, soit une marge nette de 11%. Sur la base de ce rapport trimestriel, on estime que l'exercice 2025 aurait dû être excellent. La contre-performance annuelle suggère des éléments exceptionnels ou des charges importantes au T4 2025. La situation financière reste fragile avec une trésorerie nette négative et un endettement en hausse, mais la croissance de l'activité est réelle.</w:t>
      </w:r>
    </w:p>
    <w:p>
      <w:pPr>
        <w:spacing w:after="120" w:line="276" w:lineRule="auto"/>
      </w:pPr>
      <w:r>
        <w:t>### PARTIE 4 : CONCLUSION D'INVESTISSEMENT</w:t>
      </w:r>
    </w:p>
    <w:p>
      <w:pPr>
        <w:spacing w:after="120" w:line="276" w:lineRule="auto"/>
      </w:pPr>
      <w:r>
        <w:t>La valorisation de SIVC est extrêmement exigeante (PER 54,8x, P/B 6,31x), ce qui contraste fortement avec la faiblesse des fondamentaux récents, notamment la chute de 52% du résultat net en 2025. Le comportement du cours sur 100 jours est baissier (-19,83%) avec une volatilité très élevée (50,7%), reflétant l'incertitude des investisseurs. Les signaux techniques sont mitigés, avec un MACD positif mais des moyennes mobiles et un stochastique baissiers, suggérant une consolidation. Les fondamentaux montrent une entreprise en croissance de son chiffre d'affaires, mais avec une rentabilité en forte baisse et une structure financière fragile. Les prédictions IA pour les 10 prochains jours (baisse de 2 365 à 2 044 FCFA) confirment la tendance baissière et contredisent le signal d'achat du MACD. La convergence de la valorisation excessive, de la dégradation des fondamentaux et des prédictions baissières conduit à une recommandation de **VENTE**. Le niveau de confiance est **Moyen**, car la forte croissance du T3 2025 laisse entrevoir un potentiel de redressement. Le risque global est **Élevé** en raison de la volatilité et de la fragilité financière. L'horizon d'investissement optimal est le **court terme (&lt;3 mois)** pour les investisseurs cherchant à limiter leur exposition, en attendant une clarification sur la capacité de l'entreprise à redresser sa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621.40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1,122 titres</w:t>
            </w:r>
          </w:p>
        </w:tc>
        <w:tc>
          <w:tcPr>
            <w:tcW w:type="dxa" w:w="2268"/>
            <w:shd w:fill="FFF2CC" w:val="clear"/>
          </w:tcPr>
          <w:p>
            <w:r>
              <w:rPr>
                <w:b/>
                <w:color w:val="503200"/>
                <w:sz w:val="16"/>
              </w:rPr>
              <w:t xml:space="preserve">Cours actuel : </w:t>
            </w:r>
            <w:r>
              <w:rPr>
                <w:color w:val="000000"/>
                <w:sz w:val="17"/>
              </w:rPr>
              <w:t>37,750 FCFA</w:t>
            </w:r>
          </w:p>
          <w:p>
            <w:r>
              <w:rPr>
                <w:b/>
                <w:color w:val="503200"/>
                <w:sz w:val="16"/>
              </w:rPr>
              <w:t xml:space="preserve">Var. 100 jours : </w:t>
            </w:r>
            <w:r>
              <w:rPr>
                <w:b/>
                <w:color w:val="B40000"/>
                <w:sz w:val="17"/>
              </w:rPr>
              <w:t>-3.21%</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2.49% (Faible) — μ=38,356 FCFA, σ=953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β=0.1644 (Défensif) — Cov=0.000005, Var(idx)=0.000033, ρ=0.051,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σ_j=1.87%/j (Stable) — Vol. annualisée≈29.6%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36,259</w:t>
            </w:r>
          </w:p>
        </w:tc>
        <w:tc>
          <w:tcPr>
            <w:tcW w:type="dxa" w:w="1440"/>
            <w:shd w:fill="FAFAFA" w:val="clear"/>
          </w:tcPr>
          <w:p>
            <w:r>
              <w:rPr>
                <w:b/>
                <w:sz w:val="17"/>
              </w:rPr>
              <w:t>37,488</w:t>
            </w:r>
          </w:p>
        </w:tc>
        <w:tc>
          <w:tcPr>
            <w:tcW w:type="dxa" w:w="1440"/>
            <w:shd w:fill="FAFAFA" w:val="clear"/>
          </w:tcPr>
          <w:p>
            <w:r>
              <w:rPr>
                <w:sz w:val="17"/>
              </w:rPr>
              <w:t>38,717</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35,764</w:t>
            </w:r>
          </w:p>
        </w:tc>
        <w:tc>
          <w:tcPr>
            <w:tcW w:type="dxa" w:w="1440"/>
            <w:shd w:fill="FAFAFA" w:val="clear"/>
          </w:tcPr>
          <w:p>
            <w:r>
              <w:rPr>
                <w:b/>
                <w:sz w:val="17"/>
              </w:rPr>
              <w:t>37,503</w:t>
            </w:r>
          </w:p>
        </w:tc>
        <w:tc>
          <w:tcPr>
            <w:tcW w:type="dxa" w:w="1440"/>
            <w:shd w:fill="FAFAFA" w:val="clear"/>
          </w:tcPr>
          <w:p>
            <w:r>
              <w:rPr>
                <w:sz w:val="17"/>
              </w:rPr>
              <w:t>39,242</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35,350</w:t>
            </w:r>
          </w:p>
        </w:tc>
        <w:tc>
          <w:tcPr>
            <w:tcW w:type="dxa" w:w="1440"/>
            <w:shd w:fill="FAFAFA" w:val="clear"/>
          </w:tcPr>
          <w:p>
            <w:r>
              <w:rPr>
                <w:b/>
                <w:sz w:val="17"/>
              </w:rPr>
              <w:t>37,478</w:t>
            </w:r>
          </w:p>
        </w:tc>
        <w:tc>
          <w:tcPr>
            <w:tcW w:type="dxa" w:w="1440"/>
            <w:shd w:fill="FAFAFA" w:val="clear"/>
          </w:tcPr>
          <w:p>
            <w:r>
              <w:rPr>
                <w:sz w:val="17"/>
              </w:rPr>
              <w:t>39,607</w:t>
            </w:r>
          </w:p>
        </w:tc>
        <w:tc>
          <w:tcPr>
            <w:tcW w:type="dxa" w:w="1440"/>
            <w:shd w:fill="FAFAFA" w:val="clear"/>
          </w:tcPr>
          <w:p>
            <w:r>
              <w:rPr>
                <w:b/>
                <w:color w:val="C00000"/>
                <w:sz w:val="17"/>
              </w:rPr>
              <w:t>-0.7%</w:t>
            </w:r>
          </w:p>
        </w:tc>
      </w:tr>
      <w:tr>
        <w:tc>
          <w:tcPr>
            <w:tcW w:type="dxa" w:w="1440"/>
            <w:shd w:fill="FAFAFA" w:val="clear"/>
          </w:tcPr>
          <w:p>
            <w:r>
              <w:rPr>
                <w:sz w:val="17"/>
              </w:rPr>
              <w:t>J+4  Moyenne</w:t>
            </w:r>
          </w:p>
        </w:tc>
        <w:tc>
          <w:tcPr>
            <w:tcW w:type="dxa" w:w="1440"/>
            <w:shd w:fill="FAFAFA" w:val="clear"/>
          </w:tcPr>
          <w:p>
            <w:r>
              <w:rPr>
                <w:sz w:val="17"/>
              </w:rPr>
              <w:t>2026-09-01</w:t>
            </w:r>
          </w:p>
        </w:tc>
        <w:tc>
          <w:tcPr>
            <w:tcW w:type="dxa" w:w="1440"/>
            <w:shd w:fill="FAFAFA" w:val="clear"/>
          </w:tcPr>
          <w:p>
            <w:r>
              <w:rPr>
                <w:sz w:val="17"/>
              </w:rPr>
              <w:t>34,990</w:t>
            </w:r>
          </w:p>
        </w:tc>
        <w:tc>
          <w:tcPr>
            <w:tcW w:type="dxa" w:w="1440"/>
            <w:shd w:fill="FAFAFA" w:val="clear"/>
          </w:tcPr>
          <w:p>
            <w:r>
              <w:rPr>
                <w:b/>
                <w:sz w:val="17"/>
              </w:rPr>
              <w:t>37,445</w:t>
            </w:r>
          </w:p>
        </w:tc>
        <w:tc>
          <w:tcPr>
            <w:tcW w:type="dxa" w:w="1440"/>
            <w:shd w:fill="FAFAFA" w:val="clear"/>
          </w:tcPr>
          <w:p>
            <w:r>
              <w:rPr>
                <w:sz w:val="17"/>
              </w:rPr>
              <w:t>39,901</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2026-09-02</w:t>
            </w:r>
          </w:p>
        </w:tc>
        <w:tc>
          <w:tcPr>
            <w:tcW w:type="dxa" w:w="1440"/>
            <w:shd w:fill="FAFAFA" w:val="clear"/>
          </w:tcPr>
          <w:p>
            <w:r>
              <w:rPr>
                <w:sz w:val="17"/>
              </w:rPr>
              <w:t>34,668</w:t>
            </w:r>
          </w:p>
        </w:tc>
        <w:tc>
          <w:tcPr>
            <w:tcW w:type="dxa" w:w="1440"/>
            <w:shd w:fill="FAFAFA" w:val="clear"/>
          </w:tcPr>
          <w:p>
            <w:r>
              <w:rPr>
                <w:b/>
                <w:sz w:val="17"/>
              </w:rPr>
              <w:t>37,411</w:t>
            </w:r>
          </w:p>
        </w:tc>
        <w:tc>
          <w:tcPr>
            <w:tcW w:type="dxa" w:w="1440"/>
            <w:shd w:fill="FAFAFA" w:val="clear"/>
          </w:tcPr>
          <w:p>
            <w:r>
              <w:rPr>
                <w:sz w:val="17"/>
              </w:rPr>
              <w:t>40,154</w:t>
            </w:r>
          </w:p>
        </w:tc>
        <w:tc>
          <w:tcPr>
            <w:tcW w:type="dxa" w:w="1440"/>
            <w:shd w:fill="FAFAFA" w:val="clear"/>
          </w:tcPr>
          <w:p>
            <w:r>
              <w:rPr>
                <w:b/>
                <w:color w:val="C00000"/>
                <w:sz w:val="17"/>
              </w:rPr>
              <w:t>-0.9%</w:t>
            </w:r>
          </w:p>
        </w:tc>
      </w:tr>
      <w:tr>
        <w:tc>
          <w:tcPr>
            <w:tcW w:type="dxa" w:w="1440"/>
            <w:shd w:fill="FAFAFA" w:val="clear"/>
          </w:tcPr>
          <w:p>
            <w:r>
              <w:rPr>
                <w:sz w:val="17"/>
              </w:rPr>
              <w:t>J+6  Moyenne</w:t>
            </w:r>
          </w:p>
        </w:tc>
        <w:tc>
          <w:tcPr>
            <w:tcW w:type="dxa" w:w="1440"/>
            <w:shd w:fill="FAFAFA" w:val="clear"/>
          </w:tcPr>
          <w:p>
            <w:r>
              <w:rPr>
                <w:sz w:val="17"/>
              </w:rPr>
              <w:t>2026-09-03</w:t>
            </w:r>
          </w:p>
        </w:tc>
        <w:tc>
          <w:tcPr>
            <w:tcW w:type="dxa" w:w="1440"/>
            <w:shd w:fill="FAFAFA" w:val="clear"/>
          </w:tcPr>
          <w:p>
            <w:r>
              <w:rPr>
                <w:sz w:val="17"/>
              </w:rPr>
              <w:t>34,375</w:t>
            </w:r>
          </w:p>
        </w:tc>
        <w:tc>
          <w:tcPr>
            <w:tcW w:type="dxa" w:w="1440"/>
            <w:shd w:fill="FAFAFA" w:val="clear"/>
          </w:tcPr>
          <w:p>
            <w:r>
              <w:rPr>
                <w:b/>
                <w:sz w:val="17"/>
              </w:rPr>
              <w:t>37,377</w:t>
            </w:r>
          </w:p>
        </w:tc>
        <w:tc>
          <w:tcPr>
            <w:tcW w:type="dxa" w:w="1440"/>
            <w:shd w:fill="FAFAFA" w:val="clear"/>
          </w:tcPr>
          <w:p>
            <w:r>
              <w:rPr>
                <w:sz w:val="17"/>
              </w:rPr>
              <w:t>40,379</w:t>
            </w:r>
          </w:p>
        </w:tc>
        <w:tc>
          <w:tcPr>
            <w:tcW w:type="dxa" w:w="1440"/>
            <w:shd w:fill="FAFAFA" w:val="clear"/>
          </w:tcPr>
          <w:p>
            <w:r>
              <w:rPr>
                <w:b/>
                <w:color w:val="C00000"/>
                <w:sz w:val="17"/>
              </w:rPr>
              <w:t>-1.0%</w:t>
            </w:r>
          </w:p>
        </w:tc>
      </w:tr>
      <w:tr>
        <w:tc>
          <w:tcPr>
            <w:tcW w:type="dxa" w:w="1440"/>
            <w:shd w:fill="FAFAFA" w:val="clear"/>
          </w:tcPr>
          <w:p>
            <w:r>
              <w:rPr>
                <w:sz w:val="17"/>
              </w:rPr>
              <w:t>J+7  Moyenne</w:t>
            </w:r>
          </w:p>
        </w:tc>
        <w:tc>
          <w:tcPr>
            <w:tcW w:type="dxa" w:w="1440"/>
            <w:shd w:fill="FAFAFA" w:val="clear"/>
          </w:tcPr>
          <w:p>
            <w:r>
              <w:rPr>
                <w:sz w:val="17"/>
              </w:rPr>
              <w:t>2026-09-04</w:t>
            </w:r>
          </w:p>
        </w:tc>
        <w:tc>
          <w:tcPr>
            <w:tcW w:type="dxa" w:w="1440"/>
            <w:shd w:fill="FAFAFA" w:val="clear"/>
          </w:tcPr>
          <w:p>
            <w:r>
              <w:rPr>
                <w:sz w:val="17"/>
              </w:rPr>
              <w:t>34,104</w:t>
            </w:r>
          </w:p>
        </w:tc>
        <w:tc>
          <w:tcPr>
            <w:tcW w:type="dxa" w:w="1440"/>
            <w:shd w:fill="FAFAFA" w:val="clear"/>
          </w:tcPr>
          <w:p>
            <w:r>
              <w:rPr>
                <w:b/>
                <w:sz w:val="17"/>
              </w:rPr>
              <w:t>37,343</w:t>
            </w:r>
          </w:p>
        </w:tc>
        <w:tc>
          <w:tcPr>
            <w:tcW w:type="dxa" w:w="1440"/>
            <w:shd w:fill="FAFAFA" w:val="clear"/>
          </w:tcPr>
          <w:p>
            <w:r>
              <w:rPr>
                <w:sz w:val="17"/>
              </w:rPr>
              <w:t>40,583</w:t>
            </w:r>
          </w:p>
        </w:tc>
        <w:tc>
          <w:tcPr>
            <w:tcW w:type="dxa" w:w="1440"/>
            <w:shd w:fill="FAFAFA" w:val="clear"/>
          </w:tcPr>
          <w:p>
            <w:r>
              <w:rPr>
                <w:b/>
                <w:color w:val="C00000"/>
                <w:sz w:val="17"/>
              </w:rPr>
              <w:t>-1.1%</w:t>
            </w:r>
          </w:p>
        </w:tc>
      </w:tr>
      <w:tr>
        <w:tc>
          <w:tcPr>
            <w:tcW w:type="dxa" w:w="1440"/>
            <w:shd w:fill="FAFAFA" w:val="clear"/>
          </w:tcPr>
          <w:p>
            <w:r>
              <w:rPr>
                <w:sz w:val="17"/>
              </w:rPr>
              <w:t>J+8  Moyenne</w:t>
            </w:r>
          </w:p>
        </w:tc>
        <w:tc>
          <w:tcPr>
            <w:tcW w:type="dxa" w:w="1440"/>
            <w:shd w:fill="FAFAFA" w:val="clear"/>
          </w:tcPr>
          <w:p>
            <w:r>
              <w:rPr>
                <w:sz w:val="17"/>
              </w:rPr>
              <w:t>2026-09-07</w:t>
            </w:r>
          </w:p>
        </w:tc>
        <w:tc>
          <w:tcPr>
            <w:tcW w:type="dxa" w:w="1440"/>
            <w:shd w:fill="FAFAFA" w:val="clear"/>
          </w:tcPr>
          <w:p>
            <w:r>
              <w:rPr>
                <w:sz w:val="17"/>
              </w:rPr>
              <w:t>33,849</w:t>
            </w:r>
          </w:p>
        </w:tc>
        <w:tc>
          <w:tcPr>
            <w:tcW w:type="dxa" w:w="1440"/>
            <w:shd w:fill="FAFAFA" w:val="clear"/>
          </w:tcPr>
          <w:p>
            <w:r>
              <w:rPr>
                <w:b/>
                <w:sz w:val="17"/>
              </w:rPr>
              <w:t>37,310</w:t>
            </w:r>
          </w:p>
        </w:tc>
        <w:tc>
          <w:tcPr>
            <w:tcW w:type="dxa" w:w="1440"/>
            <w:shd w:fill="FAFAFA" w:val="clear"/>
          </w:tcPr>
          <w:p>
            <w:r>
              <w:rPr>
                <w:sz w:val="17"/>
              </w:rPr>
              <w:t>40,770</w:t>
            </w:r>
          </w:p>
        </w:tc>
        <w:tc>
          <w:tcPr>
            <w:tcW w:type="dxa" w:w="1440"/>
            <w:shd w:fill="FAFAFA" w:val="clear"/>
          </w:tcPr>
          <w:p>
            <w:r>
              <w:rPr>
                <w:b/>
                <w:color w:val="C00000"/>
                <w:sz w:val="17"/>
              </w:rPr>
              <w:t>-1.2%</w:t>
            </w:r>
          </w:p>
        </w:tc>
      </w:tr>
      <w:tr>
        <w:tc>
          <w:tcPr>
            <w:tcW w:type="dxa" w:w="1440"/>
            <w:shd w:fill="FAFAFA" w:val="clear"/>
          </w:tcPr>
          <w:p>
            <w:r>
              <w:rPr>
                <w:sz w:val="17"/>
              </w:rPr>
              <w:t>J+9  Moyenne</w:t>
            </w:r>
          </w:p>
        </w:tc>
        <w:tc>
          <w:tcPr>
            <w:tcW w:type="dxa" w:w="1440"/>
            <w:shd w:fill="FAFAFA" w:val="clear"/>
          </w:tcPr>
          <w:p>
            <w:r>
              <w:rPr>
                <w:sz w:val="17"/>
              </w:rPr>
              <w:t>2026-09-08</w:t>
            </w:r>
          </w:p>
        </w:tc>
        <w:tc>
          <w:tcPr>
            <w:tcW w:type="dxa" w:w="1440"/>
            <w:shd w:fill="FAFAFA" w:val="clear"/>
          </w:tcPr>
          <w:p>
            <w:r>
              <w:rPr>
                <w:sz w:val="17"/>
              </w:rPr>
              <w:t>33,609</w:t>
            </w:r>
          </w:p>
        </w:tc>
        <w:tc>
          <w:tcPr>
            <w:tcW w:type="dxa" w:w="1440"/>
            <w:shd w:fill="FAFAFA" w:val="clear"/>
          </w:tcPr>
          <w:p>
            <w:r>
              <w:rPr>
                <w:b/>
                <w:sz w:val="17"/>
              </w:rPr>
              <w:t>37,276</w:t>
            </w:r>
          </w:p>
        </w:tc>
        <w:tc>
          <w:tcPr>
            <w:tcW w:type="dxa" w:w="1440"/>
            <w:shd w:fill="FAFAFA" w:val="clear"/>
          </w:tcPr>
          <w:p>
            <w:r>
              <w:rPr>
                <w:sz w:val="17"/>
              </w:rPr>
              <w:t>40,943</w:t>
            </w:r>
          </w:p>
        </w:tc>
        <w:tc>
          <w:tcPr>
            <w:tcW w:type="dxa" w:w="1440"/>
            <w:shd w:fill="FAFAFA" w:val="clear"/>
          </w:tcPr>
          <w:p>
            <w:r>
              <w:rPr>
                <w:b/>
                <w:color w:val="C00000"/>
                <w:sz w:val="17"/>
              </w:rPr>
              <w:t>-1.3%</w:t>
            </w:r>
          </w:p>
        </w:tc>
      </w:tr>
      <w:tr>
        <w:tc>
          <w:tcPr>
            <w:tcW w:type="dxa" w:w="1440"/>
            <w:shd w:fill="FAFAFA" w:val="clear"/>
          </w:tcPr>
          <w:p>
            <w:r>
              <w:rPr>
                <w:sz w:val="17"/>
              </w:rPr>
              <w:t>J+10  Moyenne</w:t>
            </w:r>
          </w:p>
        </w:tc>
        <w:tc>
          <w:tcPr>
            <w:tcW w:type="dxa" w:w="1440"/>
            <w:shd w:fill="FAFAFA" w:val="clear"/>
          </w:tcPr>
          <w:p>
            <w:r>
              <w:rPr>
                <w:sz w:val="17"/>
              </w:rPr>
              <w:t>2026-09-09</w:t>
            </w:r>
          </w:p>
        </w:tc>
        <w:tc>
          <w:tcPr>
            <w:tcW w:type="dxa" w:w="1440"/>
            <w:shd w:fill="FAFAFA" w:val="clear"/>
          </w:tcPr>
          <w:p>
            <w:r>
              <w:rPr>
                <w:sz w:val="17"/>
              </w:rPr>
              <w:t>33,381</w:t>
            </w:r>
          </w:p>
        </w:tc>
        <w:tc>
          <w:tcPr>
            <w:tcW w:type="dxa" w:w="1440"/>
            <w:shd w:fill="FAFAFA" w:val="clear"/>
          </w:tcPr>
          <w:p>
            <w:r>
              <w:rPr>
                <w:b/>
                <w:sz w:val="17"/>
              </w:rPr>
              <w:t>37,243</w:t>
            </w:r>
          </w:p>
        </w:tc>
        <w:tc>
          <w:tcPr>
            <w:tcW w:type="dxa" w:w="1440"/>
            <w:shd w:fill="FAFAFA" w:val="clear"/>
          </w:tcPr>
          <w:p>
            <w:r>
              <w:rPr>
                <w:sz w:val="17"/>
              </w:rPr>
              <w:t>41,105</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27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621,40 milliards FCFA, ce qui en fait l'une des valeurs les plus significatives de la BRVM, reflétant la position dominante de SOLIBRA dans le secteur des boissons en Afrique de l'Ouest. Le BPA de 2 781 FCFA indique que chaque action génère un bénéfice substantiel, justifiant un PER de 13,6x. Ce ratio, bien que supérieur à la moyenne historique de la BRVM (8-12x), reste modéré et traduit une valorisation raisonnable pour une entreprise affichant une telle croissance. Le P/B de 3,18x montre que le marché accorde une prime de croissance à la valeur comptable, ce qui est cohérent avec la forte rentabilité des capitaux propres (ROE de 23,46%). Enfin, l'EV/EBITDA de 7,4x se situe dans une fourchette raisonnable (5-10x), indiquant que la valeur totale de l'entreprise reste attractive par rapport à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 enregistré une variation totale de -3,21%, avec une légère reprise de +0,53% lors de la dernière séance, clôturant à 37 750 FCFA. Le titre a évolué dans une fourchette de 35 540 FCFA (plus bas) à 41 500 FCFA (plus haut), montrant une amplitude de trading significative d'environ 16,8%. La moyenne (38 356 FCFA) et la médiane (38 225 FCFA) sont très proches, indiquant une distribution symétrique des prix, confirmée par un skewness de 0,216. L'écart-type de 958 FCFA, avec un coefficient de variation de seulement 2,5%, révèle une dispersion très faible autour de la moyenne, suggérant une stabilité relative du cours. Le kurtosis de 0,249 (mésokurtique) indique l'absence de risques extrêmes de pics ou de krachs soudains. La volatilité annualisée de 29,6% classe le titre dans la catégorie modérée à élevée, ce qui implique des fluctuations notables mais maîtrisées sur une base annuelle.</w:t>
      </w:r>
    </w:p>
    <w:p>
      <w:pPr>
        <w:spacing w:after="120" w:line="276" w:lineRule="auto"/>
      </w:pPr>
      <w:r>
        <w:t>---</w:t>
      </w:r>
    </w:p>
    <w:p>
      <w:pPr>
        <w:spacing w:after="120" w:line="276" w:lineRule="auto"/>
      </w:pPr>
      <w:r>
        <w:t>### PARTIE 2 : ANALYSE TECHNIQUE DÉTAILLÉE</w:t>
      </w:r>
    </w:p>
    <w:p>
      <w:pPr>
        <w:spacing w:after="120" w:line="276" w:lineRule="auto"/>
      </w:pPr>
      <w:r>
        <w:t>**Moyennes Mobiles :** La MM20 (37 620 FCFA) est inférieure au cours actuel (37 750 FCFA), signalant un léger momentum haussier à court terme. Cependant, la MM50 (38 581 FCFA) se situe au-dessus du cours, indiquant une tendance baissière à moyen terme. Cette configuration (prix sous la MM50 mais au-dessus de la MM20) génère une décision de "Vente" car la tendance de fond reste négative tant que le cours n'a pas franchi la MM50.</w:t>
      </w:r>
    </w:p>
    <w:p>
      <w:pPr>
        <w:spacing w:after="120" w:line="276" w:lineRule="auto"/>
      </w:pPr>
      <w:r>
        <w:t>**Bandes de Bollinger :** Le cours (37 750 FCFA) se positionne entre la borne inférieure (36 422 FCFA) et la borne supérieure (38 818 FCFA), proche de la moyenne. La largeur des bandes reflète une volatilité modérée. La décision "Neutre" est justifiée car le prix évolue dans la zone médiane, sans signal clair de surachat ou de survente, indiquant une phase de consolidation.</w:t>
      </w:r>
    </w:p>
    <w:p>
      <w:pPr>
        <w:spacing w:after="120" w:line="276" w:lineRule="auto"/>
      </w:pPr>
      <w:r>
        <w:t>**MACD :** Le MACD (-301,99) est négatif mais se situe au-dessus de sa ligne de signal (-351,54), formant un croisement haussier récent. Cette configuration suggère un affaiblissement de la dynamique baissière et un potentiel retournement à la hausse. La décision "Achat" reflète ce début de momentum positif, bien que le MACD reste en territoire négatif.</w:t>
      </w:r>
    </w:p>
    <w:p>
      <w:pPr>
        <w:spacing w:after="120" w:line="276" w:lineRule="auto"/>
      </w:pPr>
      <w:r>
        <w:t>**RSI :** À 50,61, le RSI se trouve exactement dans la zone neutre (30-70), indiquant un équilibre entre pressions acheteuses et vendeuses. Cette valeur ne montre ni surachat ni survente, justifiant une décision "Neutre". Le RSI suggère que le titre pourrait évoluer dans les deux sens sans signal directionnel fort.</w:t>
      </w:r>
    </w:p>
    <w:p>
      <w:pPr>
        <w:spacing w:after="120" w:line="276" w:lineRule="auto"/>
      </w:pPr>
      <w:r>
        <w:t>**Stochastique :** Le %K (77,27) est nettement supérieur au %D (48,64), indiquant une dynamique haussière récente. Bien que le %K approche la zone de surachat (au-dessus de 80), le croisement haussier %K/%D est un signal positif à court terme. La décision "Neutre" s'explique par la proximité de la zone de surachat qui pourrait limiter le potentiel de hausse immédiat.</w:t>
      </w:r>
    </w:p>
    <w:p>
      <w:pPr>
        <w:spacing w:after="120" w:line="276" w:lineRule="auto"/>
      </w:pPr>
      <w:r>
        <w:t>**Conclusion technique :** Les indicateurs techniques sont mitigés, avec une opposition entre la tendance baissière des moyennes mobiles et les signaux de retournement du MACD et du Stochastique. Le RSI neutre et les bandes de Bollinger stables suggèrent une phase de consolidation. La prudence est de mise, mais les signaux de momentum commencent à s'améliorer, laissant entrevoir un possible rebond à court terme si le cours parvient à franchir la MM50 à 38 581 FCFA.</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un chiffre d'affaires de 378,123 milliards FCFA, en hausse de 22,1% par rapport à 2024, avec un résultat net de 45,781 milliards FCFA, soit une progression spectaculaire de 113%. La marge nette s'est améliorée de 6,9% à 12,1%, et le ROE atteint 23,46%, un niveau excellent, tandis que le ROA s'établit à 13,48%. La structure financière est saine avec une autonomie financière de 57,5% et une capacité de remboursement de seulement 0,67 an. Le BFR de 61,587 milliards FCFA est positif, avec un délai clients de 64 jours et une durée de stockage de 117 jours, ce qui représente un risque de trésorerie modéré mais gérable. Le rapport du S1 2025 (publié en 2025) confirme cette dynamique avec un CA de 165,8 milliards FCFA (+12,3%) et un résultat net de 28 milliards FCFA (+175,1%). Sur la base du rapport T1 2026 (CA de 93,46 milliards FCFA, +7,6%, résultat net de 16,26 milliards FCFA, +4,8%), on estime que l'exercice 2026 devrait confirmer la tendance positive, avec une croissance plus modérée mais soutenue. La politique de dividende est très généreuse avec un dividende proposé de 2 127 FCFA par action pour 2025 (taux de distribution de 76,5%). Les fondamentaux de SLBC sont exceptionnellement solides, portés par une croissance à deux chiffres, une rentabilité en forte amélioration et une situation financière robuste.</w:t>
      </w:r>
    </w:p>
    <w:p>
      <w:pPr>
        <w:spacing w:after="120" w:line="276" w:lineRule="auto"/>
      </w:pPr>
      <w:r>
        <w:t>---</w:t>
      </w:r>
    </w:p>
    <w:p>
      <w:pPr>
        <w:spacing w:after="120" w:line="276" w:lineRule="auto"/>
      </w:pPr>
      <w:r>
        <w:t>### PARTIE 4 : CONCLUSION D'INVESTISSEMENT</w:t>
      </w:r>
    </w:p>
    <w:p>
      <w:pPr>
        <w:spacing w:after="120" w:line="276" w:lineRule="auto"/>
      </w:pPr>
      <w:r>
        <w:t>La valorisation de SLBC (PER 13,6x, P/B 3,18x, EV/EBITDA 7,4x) est raisonnable pour une entreprise de cette qualité, avec une prime de croissance justifiée par les performances exceptionnelles. Le comportement du cours sur 100 jours montre une légère correction (-3,21%) avec une volatilité modérée (29,6%) et une distribution symétrique, sans signe de stress majeur. Les signaux techniques sont mitigés mais commencent à montrer des signes de retournement haussier (MACD positif, Stochastique en hausse), bien que la tendance des moyennes mobiles reste baissière. Les fondamentaux sont extrêmement solides avec une croissance de 22% du CA, un doublement du résultat net et un ROE de 23,5% en 2025, confirmés par les rapports trimestriels 2026. Les prédictions IA pour les 10 prochains jours (37 411 à 37 503 FCFA) suggèrent une stabilité du cours autour des niveaux actuels, avec une légère tendance à la baisse, ce qui contredit partiellement les signaux techniques de retournement. Sur la base de cette synthèse, la recommandation finale est **ACHAT** pour les investisseurs à moyen et long terme, avec un niveau de confiance **Élevé** et un risque global **Moyen**. L'horizon d'investissement optimal est de **3 à 12 mois**, permettant de capter la croissance fondamentale tout en attendant une confirmation technique du franchissement de la MM50.</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135.48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1,376 titres</w:t>
            </w:r>
          </w:p>
        </w:tc>
        <w:tc>
          <w:tcPr>
            <w:tcW w:type="dxa" w:w="2268"/>
            <w:shd w:fill="FFF2CC" w:val="clear"/>
          </w:tcPr>
          <w:p>
            <w:r>
              <w:rPr>
                <w:b/>
                <w:color w:val="503200"/>
                <w:sz w:val="16"/>
              </w:rPr>
              <w:t xml:space="preserve">Cours actuel : </w:t>
            </w:r>
            <w:r>
              <w:rPr>
                <w:color w:val="000000"/>
                <w:sz w:val="17"/>
              </w:rPr>
              <w:t>17,380 FCFA</w:t>
            </w:r>
          </w:p>
          <w:p>
            <w:r>
              <w:rPr>
                <w:b/>
                <w:color w:val="503200"/>
                <w:sz w:val="16"/>
              </w:rPr>
              <w:t xml:space="preserve">Var. 100 jours : </w:t>
            </w:r>
            <w:r>
              <w:rPr>
                <w:b/>
                <w:color w:val="007800"/>
                <w:sz w:val="17"/>
              </w:rPr>
              <w:t>+39.04%</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14.95% (Moyenne) — μ=14,565 FCFA, σ=2,177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β=-0.4417 (Contre-cyclique) — Cov=-0.000015, Var(idx)=0.000033, ρ=-0.110,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σ_j=2.32%/j (Stable) — Vol. annualisée≈36.9%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16,280</w:t>
            </w:r>
          </w:p>
        </w:tc>
        <w:tc>
          <w:tcPr>
            <w:tcW w:type="dxa" w:w="1440"/>
            <w:shd w:fill="FFDCE0" w:val="clear"/>
          </w:tcPr>
          <w:p>
            <w:r>
              <w:rPr>
                <w:b/>
                <w:sz w:val="17"/>
              </w:rPr>
              <w:t>16,880</w:t>
            </w:r>
          </w:p>
        </w:tc>
        <w:tc>
          <w:tcPr>
            <w:tcW w:type="dxa" w:w="1440"/>
            <w:shd w:fill="FFDCE0" w:val="clear"/>
          </w:tcPr>
          <w:p>
            <w:r>
              <w:rPr>
                <w:sz w:val="17"/>
              </w:rPr>
              <w:t>17,480</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15,997</w:t>
            </w:r>
          </w:p>
        </w:tc>
        <w:tc>
          <w:tcPr>
            <w:tcW w:type="dxa" w:w="1440"/>
            <w:shd w:fill="FFDCE0" w:val="clear"/>
          </w:tcPr>
          <w:p>
            <w:r>
              <w:rPr>
                <w:b/>
                <w:sz w:val="17"/>
              </w:rPr>
              <w:t>16,844</w:t>
            </w:r>
          </w:p>
        </w:tc>
        <w:tc>
          <w:tcPr>
            <w:tcW w:type="dxa" w:w="1440"/>
            <w:shd w:fill="FFDCE0" w:val="clear"/>
          </w:tcPr>
          <w:p>
            <w:r>
              <w:rPr>
                <w:sz w:val="17"/>
              </w:rPr>
              <w:t>17,690</w:t>
            </w:r>
          </w:p>
        </w:tc>
        <w:tc>
          <w:tcPr>
            <w:tcW w:type="dxa" w:w="1440"/>
            <w:shd w:fill="FFDCE0" w:val="clear"/>
          </w:tcPr>
          <w:p>
            <w:r>
              <w:rPr>
                <w:b/>
                <w:color w:val="C00000"/>
                <w:sz w:val="17"/>
              </w:rPr>
              <w:t>-3.1%</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15,730</w:t>
            </w:r>
          </w:p>
        </w:tc>
        <w:tc>
          <w:tcPr>
            <w:tcW w:type="dxa" w:w="1440"/>
            <w:shd w:fill="FFDCE0" w:val="clear"/>
          </w:tcPr>
          <w:p>
            <w:r>
              <w:rPr>
                <w:b/>
                <w:sz w:val="17"/>
              </w:rPr>
              <w:t>16,762</w:t>
            </w:r>
          </w:p>
        </w:tc>
        <w:tc>
          <w:tcPr>
            <w:tcW w:type="dxa" w:w="1440"/>
            <w:shd w:fill="FFDCE0" w:val="clear"/>
          </w:tcPr>
          <w:p>
            <w:r>
              <w:rPr>
                <w:sz w:val="17"/>
              </w:rPr>
              <w:t>17,794</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15,505</w:t>
            </w:r>
          </w:p>
        </w:tc>
        <w:tc>
          <w:tcPr>
            <w:tcW w:type="dxa" w:w="1440"/>
            <w:shd w:fill="FFDCE0" w:val="clear"/>
          </w:tcPr>
          <w:p>
            <w:r>
              <w:rPr>
                <w:b/>
                <w:sz w:val="17"/>
              </w:rPr>
              <w:t>16,691</w:t>
            </w:r>
          </w:p>
        </w:tc>
        <w:tc>
          <w:tcPr>
            <w:tcW w:type="dxa" w:w="1440"/>
            <w:shd w:fill="FFDCE0" w:val="clear"/>
          </w:tcPr>
          <w:p>
            <w:r>
              <w:rPr>
                <w:sz w:val="17"/>
              </w:rPr>
              <w:t>17,878</w:t>
            </w:r>
          </w:p>
        </w:tc>
        <w:tc>
          <w:tcPr>
            <w:tcW w:type="dxa" w:w="1440"/>
            <w:shd w:fill="FFDCE0" w:val="clear"/>
          </w:tcPr>
          <w:p>
            <w:r>
              <w:rPr>
                <w:b/>
                <w:color w:val="C00000"/>
                <w:sz w:val="17"/>
              </w:rPr>
              <w:t>-4.0%</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15,306</w:t>
            </w:r>
          </w:p>
        </w:tc>
        <w:tc>
          <w:tcPr>
            <w:tcW w:type="dxa" w:w="1440"/>
            <w:shd w:fill="FFDCE0" w:val="clear"/>
          </w:tcPr>
          <w:p>
            <w:r>
              <w:rPr>
                <w:b/>
                <w:sz w:val="17"/>
              </w:rPr>
              <w:t>16,627</w:t>
            </w:r>
          </w:p>
        </w:tc>
        <w:tc>
          <w:tcPr>
            <w:tcW w:type="dxa" w:w="1440"/>
            <w:shd w:fill="FFDCE0" w:val="clear"/>
          </w:tcPr>
          <w:p>
            <w:r>
              <w:rPr>
                <w:sz w:val="17"/>
              </w:rPr>
              <w:t>17,948</w:t>
            </w:r>
          </w:p>
        </w:tc>
        <w:tc>
          <w:tcPr>
            <w:tcW w:type="dxa" w:w="1440"/>
            <w:shd w:fill="FFDCE0" w:val="clear"/>
          </w:tcPr>
          <w:p>
            <w:r>
              <w:rPr>
                <w:b/>
                <w:color w:val="C00000"/>
                <w:sz w:val="17"/>
              </w:rPr>
              <w:t>-4.3%</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15,122</w:t>
            </w:r>
          </w:p>
        </w:tc>
        <w:tc>
          <w:tcPr>
            <w:tcW w:type="dxa" w:w="1440"/>
            <w:shd w:fill="FFDCE0" w:val="clear"/>
          </w:tcPr>
          <w:p>
            <w:r>
              <w:rPr>
                <w:b/>
                <w:sz w:val="17"/>
              </w:rPr>
              <w:t>16,564</w:t>
            </w:r>
          </w:p>
        </w:tc>
        <w:tc>
          <w:tcPr>
            <w:tcW w:type="dxa" w:w="1440"/>
            <w:shd w:fill="FFDCE0" w:val="clear"/>
          </w:tcPr>
          <w:p>
            <w:r>
              <w:rPr>
                <w:sz w:val="17"/>
              </w:rPr>
              <w:t>18,006</w:t>
            </w:r>
          </w:p>
        </w:tc>
        <w:tc>
          <w:tcPr>
            <w:tcW w:type="dxa" w:w="1440"/>
            <w:shd w:fill="FFDCE0" w:val="clear"/>
          </w:tcPr>
          <w:p>
            <w:r>
              <w:rPr>
                <w:b/>
                <w:color w:val="C00000"/>
                <w:sz w:val="17"/>
              </w:rPr>
              <w:t>-4.7%</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14,951</w:t>
            </w:r>
          </w:p>
        </w:tc>
        <w:tc>
          <w:tcPr>
            <w:tcW w:type="dxa" w:w="1440"/>
            <w:shd w:fill="FFDCE0" w:val="clear"/>
          </w:tcPr>
          <w:p>
            <w:r>
              <w:rPr>
                <w:b/>
                <w:sz w:val="17"/>
              </w:rPr>
              <w:t>16,502</w:t>
            </w:r>
          </w:p>
        </w:tc>
        <w:tc>
          <w:tcPr>
            <w:tcW w:type="dxa" w:w="1440"/>
            <w:shd w:fill="FFDCE0" w:val="clear"/>
          </w:tcPr>
          <w:p>
            <w:r>
              <w:rPr>
                <w:sz w:val="17"/>
              </w:rPr>
              <w:t>18,054</w:t>
            </w:r>
          </w:p>
        </w:tc>
        <w:tc>
          <w:tcPr>
            <w:tcW w:type="dxa" w:w="1440"/>
            <w:shd w:fill="FFDCE0" w:val="clear"/>
          </w:tcPr>
          <w:p>
            <w:r>
              <w:rPr>
                <w:b/>
                <w:color w:val="C00000"/>
                <w:sz w:val="17"/>
              </w:rPr>
              <w:t>-5.0%</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14,789</w:t>
            </w:r>
          </w:p>
        </w:tc>
        <w:tc>
          <w:tcPr>
            <w:tcW w:type="dxa" w:w="1440"/>
            <w:shd w:fill="FFDCE0" w:val="clear"/>
          </w:tcPr>
          <w:p>
            <w:r>
              <w:rPr>
                <w:b/>
                <w:sz w:val="17"/>
              </w:rPr>
              <w:t>16,442</w:t>
            </w:r>
          </w:p>
        </w:tc>
        <w:tc>
          <w:tcPr>
            <w:tcW w:type="dxa" w:w="1440"/>
            <w:shd w:fill="FFDCE0" w:val="clear"/>
          </w:tcPr>
          <w:p>
            <w:r>
              <w:rPr>
                <w:sz w:val="17"/>
              </w:rPr>
              <w:t>18,094</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14,636</w:t>
            </w:r>
          </w:p>
        </w:tc>
        <w:tc>
          <w:tcPr>
            <w:tcW w:type="dxa" w:w="1440"/>
            <w:shd w:fill="FFDCE0" w:val="clear"/>
          </w:tcPr>
          <w:p>
            <w:r>
              <w:rPr>
                <w:b/>
                <w:sz w:val="17"/>
              </w:rPr>
              <w:t>16,382</w:t>
            </w:r>
          </w:p>
        </w:tc>
        <w:tc>
          <w:tcPr>
            <w:tcW w:type="dxa" w:w="1440"/>
            <w:shd w:fill="FFDCE0" w:val="clear"/>
          </w:tcPr>
          <w:p>
            <w:r>
              <w:rPr>
                <w:sz w:val="17"/>
              </w:rPr>
              <w:t>18,129</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14,489</w:t>
            </w:r>
          </w:p>
        </w:tc>
        <w:tc>
          <w:tcPr>
            <w:tcW w:type="dxa" w:w="1440"/>
            <w:shd w:fill="FFDCE0" w:val="clear"/>
          </w:tcPr>
          <w:p>
            <w:r>
              <w:rPr>
                <w:b/>
                <w:sz w:val="17"/>
              </w:rPr>
              <w:t>16,323</w:t>
            </w:r>
          </w:p>
        </w:tc>
        <w:tc>
          <w:tcPr>
            <w:tcW w:type="dxa" w:w="1440"/>
            <w:shd w:fill="FFDCE0" w:val="clear"/>
          </w:tcPr>
          <w:p>
            <w:r>
              <w:rPr>
                <w:sz w:val="17"/>
              </w:rPr>
              <w:t>18,158</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**Date de l'analyse : 26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SMBC s'établit à 135,48 milliards FCFA, un niveau qui la positionne parmi les valeurs moyennes à grandes capitalisations de la BRVM, lui conférant une liquidité et une visibilité notables. Le BPA de 1 677 FCFA indique que chaque action génère un bénéfice substantiel, justifiant un PER de 10,4x, en ligne avec la moyenne historique du marché régional (8-12x), ce qui traduit une valorisation raisonnable sans prime excessive. Le P/B de 3,16x, bien que supérieur à 1, reflète la confiance des investisseurs dans la capacité de l'entreprise à générer de la valeur au-delà de son actif net comptable, une prime de croissance classique pour une société affichant un ROE supérieur à 30%. Enfin, un EV/EBITDA de 6,5x est considéré comme attractif, indiquant que la valeur totale de l'entreprise (dette incluse) reste modérée par rapport à sa capacité à générer du cash-flow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SMBC a enregistré une progression spectaculaire de +39,04%, avec une accélération notable lors de la dernière séance (+3,45% à 17 380 FCFA). Cette dynamique haussière s'est déroulée dans un range de trading large, oscillant entre un plus bas de 11 450 FCFA et un plus haut de 17 735 FCFA, démontrant un intérêt marqué des investisseurs. La moyenne du cours sur la période (14 565 FCFA) est inférieure à la médiane (15 598 FCFA) et au cours actuel, indiquant une distribution asymétrique avec une forte poussée récente des prix. L'écart-type de 2 188 FCFA (CV de 15%) révèle une dispersion modérée, tandis que le kurtosis négatif (-1.606) suggère une distribution aplatie, sans pics de variation extrêmes, et le skewness légèrement négatif (-0.198) confirme une quasi-symétrie. La volatilité annualisée de 36,9% classe le titre comme très volatil, un niveau élevé qui implique un risque significatif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(17 380 FCFA) se situe nettement au-dessus de la MM20 (16 333,5 FCFA) et de la MM50 (16 468,3 FCFA), confirmant une tendance haussière de court et moyen terme. Cependant, la décision technique est "Vente", ce qui suggère que le marché considère cette extension comme excessive et anticipe un probable retour vers ces moyennes, signalant un risque de correction à court terme.</w:t>
      </w:r>
    </w:p>
    <w:p>
      <w:pPr>
        <w:spacing w:after="120" w:line="276" w:lineRule="auto"/>
      </w:pPr>
      <w:r>
        <w:t>**Bandes de Bollinger** : Le prix évolue au-dessus de la borne supérieure (17 274,29 FCFA), un signal classique de surachat temporaire. Cette sortie de canal indique une pression d'achat extrême, mais elle est souvent suivie d'une consolidation ou d'un repli. La décision "Vente" associée reflète ce risque de retour à l'intérieur des bandes.</w:t>
      </w:r>
    </w:p>
    <w:p>
      <w:pPr>
        <w:spacing w:after="120" w:line="276" w:lineRule="auto"/>
      </w:pPr>
      <w:r>
        <w:t>**MACD** : La valeur du MACD (197,984) est supérieure à sa ligne de signal (113,645), formant une divergence positive. Ce croisement haussier indique un momentum positif persistant, justifiant la décision "Achat". La dynamique reste en faveur des acheteurs, même si l'écart important suggère une possible maturation du signal.</w:t>
      </w:r>
    </w:p>
    <w:p>
      <w:pPr>
        <w:spacing w:after="120" w:line="276" w:lineRule="auto"/>
      </w:pPr>
      <w:r>
        <w:t>**RSI** : Avec une valeur de 88,009, le RSI est profondément en zone de surachat (au-delà de 70). Ce niveau extrême signale que le titre est survendu à la hausse et qu'une correction technique est hautement probable à très court terme. La décision "Vente" est donc cohérente avec cette lecture.</w:t>
      </w:r>
    </w:p>
    <w:p>
      <w:pPr>
        <w:spacing w:after="120" w:line="276" w:lineRule="auto"/>
      </w:pPr>
      <w:r>
        <w:t>**Stochastique** : Les %K et %D sont tous deux à 100,0, un niveau de surachat extrême. Le titre est en territoire très survendu, ce qui renforce le signal de prudence. La décision "Vente" est justifiée par ce positionnement extrême qui précède généralement un retour à la normale.</w:t>
      </w:r>
    </w:p>
    <w:p>
      <w:pPr>
        <w:spacing w:after="120" w:line="276" w:lineRule="auto"/>
      </w:pPr>
      <w:r>
        <w:t>**Conclusion technique** : La convergence des indicateurs de momentum (RSI, Stochastique) et de volatilité (Bandes de Bollinger) vers des zones de surachat extrême, malgré un MACD encore positif, suggère une forte probabilité de consolidation ou de correction à court terme. Le titre est techniquement surchauffé, et un repli vers les moyennes mobiles (16 300-16 500 FCFA) semble probable avant une éventuelle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SMBC a réalisé un chiffre d'affaires de 206,740 milliards FCFA, en baisse de -9,7% par rapport à 2024, mais a vu son résultat net progresser de manière spectaculaire de +50,3% pour atteindre 13,075 milliards FCFA. Cette performance s'explique par une amélioration significative de la rentabilité, avec une marge nette passant de 3,8% à 6,3%, et un ROE exceptionnel de 30,47%, démontrant une utilisation très efficace des capitaux propres. Le ROA de 7,26% reste sain. En tant qu'entreprise industrielle, l'analyse du BFR est cruciale : le délai de paiement des clients est très élevé (193,75 jours), ce qui représente un risque de trésorerie important, bien que partiellement compensé par un délai fournisseurs de 207 jours et une durée de stockage de 38 jours. La structure financière s'est renforcée avec une trésorerie nette positive de 23,988 milliards FCFA et une capacité de remboursement rapide (0,68 an). Les rapports trimestriels de 2025 (T1, S1, 9M) confirment cette tendance : malgré une baisse du CA (T1 : -22%, S1 : -23%), le résultat net est resté résilient grâce à l'amélioration des marges de raffinage. Sur la base de ces données, on estime que la dynamique de rentabilité devrait se maintenir, portée par la demande locale en infrastructures, même si la croissance du chiffre d'affaires reste un défi majeur. La recommandation fondamentale est donc positive, mais conditionnée à la stabilisation des revenus.</w:t>
      </w:r>
    </w:p>
    <w:p>
      <w:pPr>
        <w:spacing w:after="120" w:line="276" w:lineRule="auto"/>
      </w:pPr>
      <w:r>
        <w:t>---</w:t>
      </w:r>
    </w:p>
    <w:p>
      <w:pPr>
        <w:spacing w:after="120" w:line="276" w:lineRule="auto"/>
      </w:pPr>
      <w:r>
        <w:t>### PARTIE 4 : CONCLUSION D'INVESTISSEMENT</w:t>
      </w:r>
    </w:p>
    <w:p>
      <w:pPr>
        <w:spacing w:after="120" w:line="276" w:lineRule="auto"/>
      </w:pPr>
      <w:r>
        <w:t>La valorisation de SMBC (PER 10,4x, EV/EBITDA 6,5x) apparaît raisonnable et non surévaluée, soutenue par des fondamentaux solides (ROE &gt;30%, trésorerie abondante). Cependant, le comportement du cours, avec une hausse de +39% en 100 jours et une volatilité de 36,9%, couplé à des statistiques (kurtosis plat, skewness symétrique) indique un mouvement puissant mais potentiellement excessif. Les signaux techniques sont en divergence : le MACD est positif, mais le RSI (88) et le Stochastique (100) sont en surachat extrême, et le prix est sorti des Bandes de Bollinger, signalant un risque de correction imminent. Les fondamentaux, bien qu'améliorés, sont confrontés à une baisse persistante du chiffre d'affaires. Les prédictions IA pour les 10 prochains jours (baisse progressive de 16 880 à 16 627 FCFA) confirment cette anticipation de repli technique. En synthèse, la convergence entre les signaux techniques surachetés et les prédictions IA suggère une pause dans la hausse. **Recommandation finale : CONSERVER**. Le niveau de confiance est **Moyen**, car la force des fondamentaux pourrait limiter l'ampleur de la correction. Le risque global est **Élevé** en raison de la volatilité et de la dépendance aux matières premières. L'horizon d'investissement optimal serait le **moyen terme (3-12 mois)**, en attendant une stabilisation du cours pour envisager un renforcement.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3460.00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9,652 titres</w:t>
            </w:r>
          </w:p>
        </w:tc>
        <w:tc>
          <w:tcPr>
            <w:tcW w:type="dxa" w:w="2268"/>
            <w:shd w:fill="FFF2CC" w:val="clear"/>
          </w:tcPr>
          <w:p>
            <w:r>
              <w:rPr>
                <w:b/>
                <w:color w:val="503200"/>
                <w:sz w:val="16"/>
              </w:rPr>
              <w:t xml:space="preserve">Cours actuel : </w:t>
            </w:r>
            <w:r>
              <w:rPr>
                <w:color w:val="000000"/>
                <w:sz w:val="17"/>
              </w:rPr>
              <w:t>34,600 FCFA</w:t>
            </w:r>
          </w:p>
          <w:p>
            <w:r>
              <w:rPr>
                <w:b/>
                <w:color w:val="503200"/>
                <w:sz w:val="16"/>
              </w:rPr>
              <w:t xml:space="preserve">Var. 100 jours : </w:t>
            </w:r>
            <w:r>
              <w:rPr>
                <w:b/>
                <w:color w:val="007800"/>
                <w:sz w:val="17"/>
              </w:rPr>
              <w:t>+19.31%</w:t>
            </w:r>
          </w:p>
          <w:p>
            <w:r>
              <w:rPr>
                <w:b/>
                <w:color w:val="503200"/>
                <w:sz w:val="16"/>
              </w:rPr>
              <w:t xml:space="preserve">Plus haut 100j : </w:t>
            </w:r>
            <w:r>
              <w:rPr>
                <w:color w:val="000000"/>
                <w:sz w:val="17"/>
              </w:rPr>
              <w:t>36,980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μ=29,820 FCFA, σ=1,876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β=1.7398 (Agressif) — Cov=0.000058, Var(idx)=0.000033, ρ=0.543,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9,652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33,410</w:t>
            </w:r>
          </w:p>
        </w:tc>
        <w:tc>
          <w:tcPr>
            <w:tcW w:type="dxa" w:w="1440"/>
            <w:shd w:fill="FAFAFA" w:val="clear"/>
          </w:tcPr>
          <w:p>
            <w:r>
              <w:rPr>
                <w:b/>
                <w:sz w:val="17"/>
              </w:rPr>
              <w:t>34,794</w:t>
            </w:r>
          </w:p>
        </w:tc>
        <w:tc>
          <w:tcPr>
            <w:tcW w:type="dxa" w:w="1440"/>
            <w:shd w:fill="FAFAFA" w:val="clear"/>
          </w:tcPr>
          <w:p>
            <w:r>
              <w:rPr>
                <w:sz w:val="17"/>
              </w:rPr>
              <w:t>36,179</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32,688</w:t>
            </w:r>
          </w:p>
        </w:tc>
        <w:tc>
          <w:tcPr>
            <w:tcW w:type="dxa" w:w="1440"/>
            <w:shd w:fill="FAFAFA" w:val="clear"/>
          </w:tcPr>
          <w:p>
            <w:r>
              <w:rPr>
                <w:b/>
                <w:sz w:val="17"/>
              </w:rPr>
              <w:t>34,637</w:t>
            </w:r>
          </w:p>
        </w:tc>
        <w:tc>
          <w:tcPr>
            <w:tcW w:type="dxa" w:w="1440"/>
            <w:shd w:fill="FAFAFA" w:val="clear"/>
          </w:tcPr>
          <w:p>
            <w:r>
              <w:rPr>
                <w:sz w:val="17"/>
              </w:rPr>
              <w:t>36,585</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32,137</w:t>
            </w:r>
          </w:p>
        </w:tc>
        <w:tc>
          <w:tcPr>
            <w:tcW w:type="dxa" w:w="1440"/>
            <w:shd w:fill="FAFAFA" w:val="clear"/>
          </w:tcPr>
          <w:p>
            <w:r>
              <w:rPr>
                <w:b/>
                <w:sz w:val="17"/>
              </w:rPr>
              <w:t>34,516</w:t>
            </w:r>
          </w:p>
        </w:tc>
        <w:tc>
          <w:tcPr>
            <w:tcW w:type="dxa" w:w="1440"/>
            <w:shd w:fill="FAFAFA" w:val="clear"/>
          </w:tcPr>
          <w:p>
            <w:r>
              <w:rPr>
                <w:sz w:val="17"/>
              </w:rPr>
              <w:t>36,894</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2026-09-01</w:t>
            </w:r>
          </w:p>
        </w:tc>
        <w:tc>
          <w:tcPr>
            <w:tcW w:type="dxa" w:w="1440"/>
            <w:shd w:fill="FAFAFA" w:val="clear"/>
          </w:tcPr>
          <w:p>
            <w:r>
              <w:rPr>
                <w:sz w:val="17"/>
              </w:rPr>
              <w:t>31,688</w:t>
            </w:r>
          </w:p>
        </w:tc>
        <w:tc>
          <w:tcPr>
            <w:tcW w:type="dxa" w:w="1440"/>
            <w:shd w:fill="FAFAFA" w:val="clear"/>
          </w:tcPr>
          <w:p>
            <w:r>
              <w:rPr>
                <w:b/>
                <w:sz w:val="17"/>
              </w:rPr>
              <w:t>34,427</w:t>
            </w:r>
          </w:p>
        </w:tc>
        <w:tc>
          <w:tcPr>
            <w:tcW w:type="dxa" w:w="1440"/>
            <w:shd w:fill="FAFAFA" w:val="clear"/>
          </w:tcPr>
          <w:p>
            <w:r>
              <w:rPr>
                <w:sz w:val="17"/>
              </w:rPr>
              <w:t>37,166</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2026-09-02</w:t>
            </w:r>
          </w:p>
        </w:tc>
        <w:tc>
          <w:tcPr>
            <w:tcW w:type="dxa" w:w="1440"/>
            <w:shd w:fill="FAFAFA" w:val="clear"/>
          </w:tcPr>
          <w:p>
            <w:r>
              <w:rPr>
                <w:sz w:val="17"/>
              </w:rPr>
              <w:t>31,299</w:t>
            </w:r>
          </w:p>
        </w:tc>
        <w:tc>
          <w:tcPr>
            <w:tcW w:type="dxa" w:w="1440"/>
            <w:shd w:fill="FAFAFA" w:val="clear"/>
          </w:tcPr>
          <w:p>
            <w:r>
              <w:rPr>
                <w:b/>
                <w:sz w:val="17"/>
              </w:rPr>
              <w:t>34,355</w:t>
            </w:r>
          </w:p>
        </w:tc>
        <w:tc>
          <w:tcPr>
            <w:tcW w:type="dxa" w:w="1440"/>
            <w:shd w:fill="FAFAFA" w:val="clear"/>
          </w:tcPr>
          <w:p>
            <w:r>
              <w:rPr>
                <w:sz w:val="17"/>
              </w:rPr>
              <w:t>37,411</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2026-09-03</w:t>
            </w:r>
          </w:p>
        </w:tc>
        <w:tc>
          <w:tcPr>
            <w:tcW w:type="dxa" w:w="1440"/>
            <w:shd w:fill="FAFAFA" w:val="clear"/>
          </w:tcPr>
          <w:p>
            <w:r>
              <w:rPr>
                <w:sz w:val="17"/>
              </w:rPr>
              <w:t>30,948</w:t>
            </w:r>
          </w:p>
        </w:tc>
        <w:tc>
          <w:tcPr>
            <w:tcW w:type="dxa" w:w="1440"/>
            <w:shd w:fill="FAFAFA" w:val="clear"/>
          </w:tcPr>
          <w:p>
            <w:r>
              <w:rPr>
                <w:b/>
                <w:sz w:val="17"/>
              </w:rPr>
              <w:t>34,289</w:t>
            </w:r>
          </w:p>
        </w:tc>
        <w:tc>
          <w:tcPr>
            <w:tcW w:type="dxa" w:w="1440"/>
            <w:shd w:fill="FAFAFA" w:val="clear"/>
          </w:tcPr>
          <w:p>
            <w:r>
              <w:rPr>
                <w:sz w:val="17"/>
              </w:rPr>
              <w:t>37,630</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2026-09-04</w:t>
            </w:r>
          </w:p>
        </w:tc>
        <w:tc>
          <w:tcPr>
            <w:tcW w:type="dxa" w:w="1440"/>
            <w:shd w:fill="FAFAFA" w:val="clear"/>
          </w:tcPr>
          <w:p>
            <w:r>
              <w:rPr>
                <w:sz w:val="17"/>
              </w:rPr>
              <w:t>30,624</w:t>
            </w:r>
          </w:p>
        </w:tc>
        <w:tc>
          <w:tcPr>
            <w:tcW w:type="dxa" w:w="1440"/>
            <w:shd w:fill="FAFAFA" w:val="clear"/>
          </w:tcPr>
          <w:p>
            <w:r>
              <w:rPr>
                <w:b/>
                <w:sz w:val="17"/>
              </w:rPr>
              <w:t>34,227</w:t>
            </w:r>
          </w:p>
        </w:tc>
        <w:tc>
          <w:tcPr>
            <w:tcW w:type="dxa" w:w="1440"/>
            <w:shd w:fill="FAFAFA" w:val="clear"/>
          </w:tcPr>
          <w:p>
            <w:r>
              <w:rPr>
                <w:sz w:val="17"/>
              </w:rPr>
              <w:t>37,829</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2026-09-07</w:t>
            </w:r>
          </w:p>
        </w:tc>
        <w:tc>
          <w:tcPr>
            <w:tcW w:type="dxa" w:w="1440"/>
            <w:shd w:fill="FAFAFA" w:val="clear"/>
          </w:tcPr>
          <w:p>
            <w:r>
              <w:rPr>
                <w:sz w:val="17"/>
              </w:rPr>
              <w:t>30,323</w:t>
            </w:r>
          </w:p>
        </w:tc>
        <w:tc>
          <w:tcPr>
            <w:tcW w:type="dxa" w:w="1440"/>
            <w:shd w:fill="FAFAFA" w:val="clear"/>
          </w:tcPr>
          <w:p>
            <w:r>
              <w:rPr>
                <w:b/>
                <w:sz w:val="17"/>
              </w:rPr>
              <w:t>34,167</w:t>
            </w:r>
          </w:p>
        </w:tc>
        <w:tc>
          <w:tcPr>
            <w:tcW w:type="dxa" w:w="1440"/>
            <w:shd w:fill="FAFAFA" w:val="clear"/>
          </w:tcPr>
          <w:p>
            <w:r>
              <w:rPr>
                <w:sz w:val="17"/>
              </w:rPr>
              <w:t>38,012</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2026-09-08</w:t>
            </w:r>
          </w:p>
        </w:tc>
        <w:tc>
          <w:tcPr>
            <w:tcW w:type="dxa" w:w="1440"/>
            <w:shd w:fill="FAFAFA" w:val="clear"/>
          </w:tcPr>
          <w:p>
            <w:r>
              <w:rPr>
                <w:sz w:val="17"/>
              </w:rPr>
              <w:t>30,038</w:t>
            </w:r>
          </w:p>
        </w:tc>
        <w:tc>
          <w:tcPr>
            <w:tcW w:type="dxa" w:w="1440"/>
            <w:shd w:fill="FAFAFA" w:val="clear"/>
          </w:tcPr>
          <w:p>
            <w:r>
              <w:rPr>
                <w:b/>
                <w:sz w:val="17"/>
              </w:rPr>
              <w:t>34,109</w:t>
            </w:r>
          </w:p>
        </w:tc>
        <w:tc>
          <w:tcPr>
            <w:tcW w:type="dxa" w:w="1440"/>
            <w:shd w:fill="FAFAFA" w:val="clear"/>
          </w:tcPr>
          <w:p>
            <w:r>
              <w:rPr>
                <w:sz w:val="17"/>
              </w:rPr>
              <w:t>38,180</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2026-09-09</w:t>
            </w:r>
          </w:p>
        </w:tc>
        <w:tc>
          <w:tcPr>
            <w:tcW w:type="dxa" w:w="1440"/>
            <w:shd w:fill="FAFAFA" w:val="clear"/>
          </w:tcPr>
          <w:p>
            <w:r>
              <w:rPr>
                <w:sz w:val="17"/>
              </w:rPr>
              <w:t>29,768</w:t>
            </w:r>
          </w:p>
        </w:tc>
        <w:tc>
          <w:tcPr>
            <w:tcW w:type="dxa" w:w="1440"/>
            <w:shd w:fill="FAFAFA" w:val="clear"/>
          </w:tcPr>
          <w:p>
            <w:r>
              <w:rPr>
                <w:b/>
                <w:sz w:val="17"/>
              </w:rPr>
              <w:t>34,052</w:t>
            </w:r>
          </w:p>
        </w:tc>
        <w:tc>
          <w:tcPr>
            <w:tcW w:type="dxa" w:w="1440"/>
            <w:shd w:fill="FAFAFA" w:val="clear"/>
          </w:tcPr>
          <w:p>
            <w:r>
              <w:rPr>
                <w:sz w:val="17"/>
              </w:rPr>
              <w:t>38,336</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3 460 milliards FCFA, ce qui en fait la valeur la plus lourde et la plus liquide du marché de la BRVM, représentant une part significative de l'indice. Avec un BPA de 4 136 FCFA, le titre se négocie à un PER de 8,4x, un niveau inférieur à la moyenne historique du marché (8-12x), suggérant une sous-évaluation relative de la valeur. Le P/B de 2,47x indique que le marché valorise la société à plus de deux fois ses capitaux propres, ce qui est cohérent avec une prime de croissance accordée à un leader régional. Enfin, un EV/EBITDA de 3,6x, très inférieur au seuil de 5x, confirme une décote marquée sur la capacité opérationnelle de l'entreprise, renforçant l'attractivité du titre pour un 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affiché une progression remarquable de +19,31%, bien que la dernière séance ait enregistré un repli de -5,21%, signe d'une prise de bénéfices après une forte hausse. Le cours a évolué dans un range de 27 160 FCFA (plus bas) à 36 980 FCFA (plus haut), démontrant une dynamique haussière soutenue. La moyenne (29 820 FCFA) étant supérieure à la médiane (28 905 FCFA), la distribution des prix est asymétrique, avec un skewness positif de 1,503 indiquant que les journées de baisse sont plus fréquentes mais de faible ampleur, tandis que les hausses sont plus fortes. L'écart-type de 1 886 FCFA (CV=6,3%) montre une dispersion modérée, mais le kurtosis élevé (2,359) signale un risque de mouvements extrêmes. La volatilité annualisée de 30,5% classe le titre comme très volatil, ce qui implique un risque de marché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(34 600 FCFA) est nettement au-dessus de la MM20 (32 439 FCFA) et de la MM50 (31 000 FCFA), confirmant une tendance haussière solide à court et moyen terme. La configuration des MM (MM20 &gt; MM50) valide un signal d'achat, indiquant que la dynamique positive est toujours en place.</w:t>
      </w:r>
    </w:p>
    <w:p>
      <w:pPr>
        <w:spacing w:after="120" w:line="276" w:lineRule="auto"/>
      </w:pPr>
      <w:r>
        <w:t>**Bandes de Bollinger :** Le prix se situe à 34 600 FCFA, entre la borne supérieure (36 259 FCFA) et la borne inférieure (28 618 FCFA). La position proche de la borne supérieure suggère une pression acheteuse persistante, mais sans atteindre des niveaux extrêmes de surachat. La décision est neutre, car le titre n'a pas encore touché les bornes, laissant place à une poursuite de la tendance ou un retour vers la moyenne.</w:t>
      </w:r>
    </w:p>
    <w:p>
      <w:pPr>
        <w:spacing w:after="120" w:line="276" w:lineRule="auto"/>
      </w:pPr>
      <w:r>
        <w:t>**MACD :** Le MACD (1 222,5) est nettement supérieur à sa ligne de signal (840,6), confirmant un momentum haussier fort. L'écart positif entre les deux lignes indique que la dynamique d'achat s'accélère, justifiant une décision d'achat. Ce signal est cohérent avec la tendance des moyennes mobiles.</w:t>
      </w:r>
    </w:p>
    <w:p>
      <w:pPr>
        <w:spacing w:after="120" w:line="276" w:lineRule="auto"/>
      </w:pPr>
      <w:r>
        <w:t>**RSI :** Le RSI à 65,15 est en zone neutre, mais proche du seuil de surachat (70). Cela indique que le titre a encore une marge de progression avant d'être considéré comme surévalué techniquement. La décision est neutre, mais le RSI suggère que les acheteurs gardent le contrôle sans pression excessive.</w:t>
      </w:r>
    </w:p>
    <w:p>
      <w:pPr>
        <w:spacing w:after="120" w:line="276" w:lineRule="auto"/>
      </w:pPr>
      <w:r>
        <w:t>**Stochastique :** Le %K (64,9) est inférieur au %D (85,9), ce qui pourrait signaler un début de retournement baissier à court terme. Cependant, les deux lignes restent en zone positive, indiquant que la tendance de fond reste haussière. La décision neutre reflète une possible consolidation avant une reprise.</w:t>
      </w:r>
    </w:p>
    <w:p>
      <w:pPr>
        <w:spacing w:after="120" w:line="276" w:lineRule="auto"/>
      </w:pPr>
      <w:r>
        <w:t>**Conclusion technique :** Les indicateurs de tendance (MM, MACD) sont résolument haussiers, tandis que les oscillateurs (RSI, Stochastique) suggèrent une pause ou une consolidation à court terme. La convergence des signaux de tendance avec une légère divergence des oscillateurs indique que le titre pourrait connaître un repli temporaire avant de poursuivre sa hausse. Le signal global reste positif, avec un biais d'achat sur les replis.</w:t>
      </w:r>
    </w:p>
    <w:p>
      <w:pPr>
        <w:spacing w:after="120" w:line="276" w:lineRule="auto"/>
      </w:pPr>
      <w:r>
        <w:t>---</w:t>
      </w:r>
    </w:p>
    <w:p>
      <w:pPr>
        <w:spacing w:after="120" w:line="276" w:lineRule="auto"/>
      </w:pPr>
      <w:r>
        <w:t>### PARTIE 3 : ANALYSE FONDAMENTALE (SECTION CRITIQUE)</w:t>
      </w:r>
    </w:p>
    <w:p>
      <w:pPr>
        <w:spacing w:after="120" w:line="276" w:lineRule="auto"/>
      </w:pPr>
      <w:r>
        <w:t>En 2025, Sonatel a réalisé un chiffre d'affaires consolidé de 1 923,1 milliards FCFA, en hausse de +8,3% par rapport à 2024, porté par la data mobile, le fixe haut débit et Orange Money. Le résultat net consolidé s'établit à 413,6 milliards FCFA, en progression de +5,1%, avec une marge nette de 21,5%. La rentabilité est excellente, avec un ROE de 29,6% et un ROA de 12,6%, largement au-dessus des seuils de référence (15% et 5%). La structure financière est saine : l'autonomie financière est de 42,8%, la solvabilité générale de 174,8%, et le BFR est négatif (-284,9 milliards FCFA), ce qui est favorable pour la trésorerie. Les délais clients (46 jours) et fournisseurs (201 jours) montrent une gestion efficace du cycle d'exploitation. Sur la base du rapport S1 2026 (publié en juillet 2026), le CA atteint 1 049,8 milliards FCFA (+9,3%) et le résultat net 230 milliards FCFA (+10,5%), confirmant la dynamique de croissance. On estime que l'exercice 2026 devrait dépasser les 2 100 milliards FCFA de CA et 450 milliards FCFA de résultat net, avec une marge EBITDAaL stable autour de 48%. La notation AAA (wu) de GCR et les investissements dans la 5G et la fibre renforcent les perspectives à long terme.</w:t>
      </w:r>
    </w:p>
    <w:p>
      <w:pPr>
        <w:spacing w:after="120" w:line="276" w:lineRule="auto"/>
      </w:pPr>
      <w:r>
        <w:t>---</w:t>
      </w:r>
    </w:p>
    <w:p>
      <w:pPr>
        <w:spacing w:after="120" w:line="276" w:lineRule="auto"/>
      </w:pPr>
      <w:r>
        <w:t>### PARTIE 4 : CONCLUSION D'INVESTISSEMENT</w:t>
      </w:r>
    </w:p>
    <w:p>
      <w:pPr>
        <w:spacing w:after="120" w:line="276" w:lineRule="auto"/>
      </w:pPr>
      <w:r>
        <w:t>La valorisation de SNTS est attractive (PER 8,4x, EV/EBITDA 3,6x), indiquant une sous-évaluation malgré la hausse récente du cours. Le comportement du titre sur 100 jours est haussier (+19,31%), mais la volatilité élevée (30,5%) et le kurtosis positif appellent à la prudence. Les signaux techniques sont majoritairement positifs (MM, MACD), avec une possible consolidation à court terme (RSI, Stochastique). Les fondamentaux sont excellents, avec une croissance soutenue du CA et du résultat net, une rentabilité élevée (ROE 29,6%) et une structure financière saine. Les prédictions IA (34 794 FCFA à J+1, puis repli progressif à 34 355 FCFA à J+10) suggèrent une stabilisation après la correction récente, confirmant la solidité du titre. En synthèse, la convergence entre la sous-évaluation, la tendance haussière et les fondamentaux solides justifie une recommandation **ACHAT**, avec un niveau de confiance **Élevé** et un risque global **Moyen**. L'horizon d'investissement optimal est le **moyen terme (3-12 mois)**, pour bénéficier de la croissance continue et du rendement du dividende (1 740 FCFA net par action).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177.14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5,766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+2.37%</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4.82% (Faible) — μ=7,980 FCFA, σ=384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β=0.2027 (Défensif) — Cov=0.000007, Var(idx)=0.000033, ρ=0.050,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7,858</w:t>
            </w:r>
          </w:p>
        </w:tc>
        <w:tc>
          <w:tcPr>
            <w:tcW w:type="dxa" w:w="1440"/>
            <w:shd w:fill="FAFAFA" w:val="clear"/>
          </w:tcPr>
          <w:p>
            <w:r>
              <w:rPr>
                <w:b/>
                <w:sz w:val="17"/>
              </w:rPr>
              <w:t>8,226</w:t>
            </w:r>
          </w:p>
        </w:tc>
        <w:tc>
          <w:tcPr>
            <w:tcW w:type="dxa" w:w="1440"/>
            <w:shd w:fill="FAFAFA" w:val="clear"/>
          </w:tcPr>
          <w:p>
            <w:r>
              <w:rPr>
                <w:sz w:val="17"/>
              </w:rPr>
              <w:t>8,593</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2026-08-28</w:t>
            </w:r>
          </w:p>
        </w:tc>
        <w:tc>
          <w:tcPr>
            <w:tcW w:type="dxa" w:w="1440"/>
            <w:shd w:fill="FAFAFA" w:val="clear"/>
          </w:tcPr>
          <w:p>
            <w:r>
              <w:rPr>
                <w:sz w:val="17"/>
              </w:rPr>
              <w:t>7,716</w:t>
            </w:r>
          </w:p>
        </w:tc>
        <w:tc>
          <w:tcPr>
            <w:tcW w:type="dxa" w:w="1440"/>
            <w:shd w:fill="FAFAFA" w:val="clear"/>
          </w:tcPr>
          <w:p>
            <w:r>
              <w:rPr>
                <w:b/>
                <w:sz w:val="17"/>
              </w:rPr>
              <w:t>8,236</w:t>
            </w:r>
          </w:p>
        </w:tc>
        <w:tc>
          <w:tcPr>
            <w:tcW w:type="dxa" w:w="1440"/>
            <w:shd w:fill="FAFAFA" w:val="clear"/>
          </w:tcPr>
          <w:p>
            <w:r>
              <w:rPr>
                <w:sz w:val="17"/>
              </w:rPr>
              <w:t>8,756</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2026-08-31</w:t>
            </w:r>
          </w:p>
        </w:tc>
        <w:tc>
          <w:tcPr>
            <w:tcW w:type="dxa" w:w="1440"/>
            <w:shd w:fill="FAFAFA" w:val="clear"/>
          </w:tcPr>
          <w:p>
            <w:r>
              <w:rPr>
                <w:sz w:val="17"/>
              </w:rPr>
              <w:t>7,609</w:t>
            </w:r>
          </w:p>
        </w:tc>
        <w:tc>
          <w:tcPr>
            <w:tcW w:type="dxa" w:w="1440"/>
            <w:shd w:fill="FAFAFA" w:val="clear"/>
          </w:tcPr>
          <w:p>
            <w:r>
              <w:rPr>
                <w:b/>
                <w:sz w:val="17"/>
              </w:rPr>
              <w:t>8,248</w:t>
            </w:r>
          </w:p>
        </w:tc>
        <w:tc>
          <w:tcPr>
            <w:tcW w:type="dxa" w:w="1440"/>
            <w:shd w:fill="FAFAFA" w:val="clear"/>
          </w:tcPr>
          <w:p>
            <w:r>
              <w:rPr>
                <w:sz w:val="17"/>
              </w:rPr>
              <w:t>8,886</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2026-09-01</w:t>
            </w:r>
          </w:p>
        </w:tc>
        <w:tc>
          <w:tcPr>
            <w:tcW w:type="dxa" w:w="1440"/>
            <w:shd w:fill="FAFAFA" w:val="clear"/>
          </w:tcPr>
          <w:p>
            <w:r>
              <w:rPr>
                <w:sz w:val="17"/>
              </w:rPr>
              <w:t>7,521</w:t>
            </w:r>
          </w:p>
        </w:tc>
        <w:tc>
          <w:tcPr>
            <w:tcW w:type="dxa" w:w="1440"/>
            <w:shd w:fill="FAFAFA" w:val="clear"/>
          </w:tcPr>
          <w:p>
            <w:r>
              <w:rPr>
                <w:b/>
                <w:sz w:val="17"/>
              </w:rPr>
              <w:t>8,259</w:t>
            </w:r>
          </w:p>
        </w:tc>
        <w:tc>
          <w:tcPr>
            <w:tcW w:type="dxa" w:w="1440"/>
            <w:shd w:fill="FAFAFA" w:val="clear"/>
          </w:tcPr>
          <w:p>
            <w:r>
              <w:rPr>
                <w:sz w:val="17"/>
              </w:rPr>
              <w:t>8,997</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2026-09-02</w:t>
            </w:r>
          </w:p>
        </w:tc>
        <w:tc>
          <w:tcPr>
            <w:tcW w:type="dxa" w:w="1440"/>
            <w:shd w:fill="FAFAFA" w:val="clear"/>
          </w:tcPr>
          <w:p>
            <w:r>
              <w:rPr>
                <w:sz w:val="17"/>
              </w:rPr>
              <w:t>7,444</w:t>
            </w:r>
          </w:p>
        </w:tc>
        <w:tc>
          <w:tcPr>
            <w:tcW w:type="dxa" w:w="1440"/>
            <w:shd w:fill="FAFAFA" w:val="clear"/>
          </w:tcPr>
          <w:p>
            <w:r>
              <w:rPr>
                <w:b/>
                <w:sz w:val="17"/>
              </w:rPr>
              <w:t>8,270</w:t>
            </w:r>
          </w:p>
        </w:tc>
        <w:tc>
          <w:tcPr>
            <w:tcW w:type="dxa" w:w="1440"/>
            <w:shd w:fill="FAFAFA" w:val="clear"/>
          </w:tcPr>
          <w:p>
            <w:r>
              <w:rPr>
                <w:sz w:val="17"/>
              </w:rPr>
              <w:t>9,096</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2026-09-03</w:t>
            </w:r>
          </w:p>
        </w:tc>
        <w:tc>
          <w:tcPr>
            <w:tcW w:type="dxa" w:w="1440"/>
            <w:shd w:fill="FAFAFA" w:val="clear"/>
          </w:tcPr>
          <w:p>
            <w:r>
              <w:rPr>
                <w:sz w:val="17"/>
              </w:rPr>
              <w:t>7,375</w:t>
            </w:r>
          </w:p>
        </w:tc>
        <w:tc>
          <w:tcPr>
            <w:tcW w:type="dxa" w:w="1440"/>
            <w:shd w:fill="FAFAFA" w:val="clear"/>
          </w:tcPr>
          <w:p>
            <w:r>
              <w:rPr>
                <w:b/>
                <w:sz w:val="17"/>
              </w:rPr>
              <w:t>8,281</w:t>
            </w:r>
          </w:p>
        </w:tc>
        <w:tc>
          <w:tcPr>
            <w:tcW w:type="dxa" w:w="1440"/>
            <w:shd w:fill="FAFAFA" w:val="clear"/>
          </w:tcPr>
          <w:p>
            <w:r>
              <w:rPr>
                <w:sz w:val="17"/>
              </w:rPr>
              <w:t>9,187</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2026-09-04</w:t>
            </w:r>
          </w:p>
        </w:tc>
        <w:tc>
          <w:tcPr>
            <w:tcW w:type="dxa" w:w="1440"/>
            <w:shd w:fill="FAFAFA" w:val="clear"/>
          </w:tcPr>
          <w:p>
            <w:r>
              <w:rPr>
                <w:sz w:val="17"/>
              </w:rPr>
              <w:t>7,312</w:t>
            </w:r>
          </w:p>
        </w:tc>
        <w:tc>
          <w:tcPr>
            <w:tcW w:type="dxa" w:w="1440"/>
            <w:shd w:fill="FAFAFA" w:val="clear"/>
          </w:tcPr>
          <w:p>
            <w:r>
              <w:rPr>
                <w:b/>
                <w:sz w:val="17"/>
              </w:rPr>
              <w:t>8,292</w:t>
            </w:r>
          </w:p>
        </w:tc>
        <w:tc>
          <w:tcPr>
            <w:tcW w:type="dxa" w:w="1440"/>
            <w:shd w:fill="FAFAFA" w:val="clear"/>
          </w:tcPr>
          <w:p>
            <w:r>
              <w:rPr>
                <w:sz w:val="17"/>
              </w:rPr>
              <w:t>9,272</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2026-09-07</w:t>
            </w:r>
          </w:p>
        </w:tc>
        <w:tc>
          <w:tcPr>
            <w:tcW w:type="dxa" w:w="1440"/>
            <w:shd w:fill="FAFAFA" w:val="clear"/>
          </w:tcPr>
          <w:p>
            <w:r>
              <w:rPr>
                <w:sz w:val="17"/>
              </w:rPr>
              <w:t>7,254</w:t>
            </w:r>
          </w:p>
        </w:tc>
        <w:tc>
          <w:tcPr>
            <w:tcW w:type="dxa" w:w="1440"/>
            <w:shd w:fill="FAFAFA" w:val="clear"/>
          </w:tcPr>
          <w:p>
            <w:r>
              <w:rPr>
                <w:b/>
                <w:sz w:val="17"/>
              </w:rPr>
              <w:t>8,303</w:t>
            </w:r>
          </w:p>
        </w:tc>
        <w:tc>
          <w:tcPr>
            <w:tcW w:type="dxa" w:w="1440"/>
            <w:shd w:fill="FAFAFA" w:val="clear"/>
          </w:tcPr>
          <w:p>
            <w:r>
              <w:rPr>
                <w:sz w:val="17"/>
              </w:rPr>
              <w:t>9,352</w:t>
            </w:r>
          </w:p>
        </w:tc>
        <w:tc>
          <w:tcPr>
            <w:tcW w:type="dxa" w:w="1440"/>
            <w:shd w:fill="FAFAFA" w:val="clear"/>
          </w:tcPr>
          <w:p>
            <w:r>
              <w:rPr>
                <w:b/>
                <w:color w:val="008000"/>
                <w:sz w:val="17"/>
              </w:rPr>
              <w:t>+1.3%</w:t>
            </w:r>
          </w:p>
        </w:tc>
      </w:tr>
      <w:tr>
        <w:tc>
          <w:tcPr>
            <w:tcW w:type="dxa" w:w="1440"/>
            <w:shd w:fill="FAFAFA" w:val="clear"/>
          </w:tcPr>
          <w:p>
            <w:r>
              <w:rPr>
                <w:sz w:val="17"/>
              </w:rPr>
              <w:t>J+9  ⭐</w:t>
            </w:r>
          </w:p>
        </w:tc>
        <w:tc>
          <w:tcPr>
            <w:tcW w:type="dxa" w:w="1440"/>
            <w:shd w:fill="FAFAFA" w:val="clear"/>
          </w:tcPr>
          <w:p>
            <w:r>
              <w:rPr>
                <w:sz w:val="17"/>
              </w:rPr>
              <w:t>2026-09-08</w:t>
            </w:r>
          </w:p>
        </w:tc>
        <w:tc>
          <w:tcPr>
            <w:tcW w:type="dxa" w:w="1440"/>
            <w:shd w:fill="FAFAFA" w:val="clear"/>
          </w:tcPr>
          <w:p>
            <w:r>
              <w:rPr>
                <w:sz w:val="17"/>
              </w:rPr>
              <w:t>7,199</w:t>
            </w:r>
          </w:p>
        </w:tc>
        <w:tc>
          <w:tcPr>
            <w:tcW w:type="dxa" w:w="1440"/>
            <w:shd w:fill="FAFAFA" w:val="clear"/>
          </w:tcPr>
          <w:p>
            <w:r>
              <w:rPr>
                <w:b/>
                <w:sz w:val="17"/>
              </w:rPr>
              <w:t>8,314</w:t>
            </w:r>
          </w:p>
        </w:tc>
        <w:tc>
          <w:tcPr>
            <w:tcW w:type="dxa" w:w="1440"/>
            <w:shd w:fill="FAFAFA" w:val="clear"/>
          </w:tcPr>
          <w:p>
            <w:r>
              <w:rPr>
                <w:sz w:val="17"/>
              </w:rPr>
              <w:t>9,428</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2026-09-09</w:t>
            </w:r>
          </w:p>
        </w:tc>
        <w:tc>
          <w:tcPr>
            <w:tcW w:type="dxa" w:w="1440"/>
            <w:shd w:fill="FAFAFA" w:val="clear"/>
          </w:tcPr>
          <w:p>
            <w:r>
              <w:rPr>
                <w:sz w:val="17"/>
              </w:rPr>
              <w:t>7,148</w:t>
            </w:r>
          </w:p>
        </w:tc>
        <w:tc>
          <w:tcPr>
            <w:tcW w:type="dxa" w:w="1440"/>
            <w:shd w:fill="FAFAFA" w:val="clear"/>
          </w:tcPr>
          <w:p>
            <w:r>
              <w:rPr>
                <w:b/>
                <w:sz w:val="17"/>
              </w:rPr>
              <w:t>8,325</w:t>
            </w:r>
          </w:p>
        </w:tc>
        <w:tc>
          <w:tcPr>
            <w:tcW w:type="dxa" w:w="1440"/>
            <w:shd w:fill="FAFAFA" w:val="clear"/>
          </w:tcPr>
          <w:p>
            <w:r>
              <w:rPr>
                <w:sz w:val="17"/>
              </w:rPr>
              <w:t>9,501</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26 août 2026**</w:t>
        <w:br/>
        <w:t>**Cours de référence : 8,200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177,14 milliards FCFA, ce qui positionne la société parmi les valeurs moyennes à grandes capitalisations de la BRVM, lui conférant une liquidité et une visibilité notables. Avec un BPA de 578 FCFA, chaque action génère un bénéfice substantiel, justifiant un PER de 14,2x. Ce ratio est supérieur à la moyenne historique de la BRVM (8-12x), indiquant que le marché accorde une prime de croissance à la société, ce qui est cohérent avec ses performances récentes. Le P/B de 2,59x confirme cette prime, le marché valorisant la société à plus de 2,5 fois ses capitaux propres, signe d'une forte confiance dans la création de valeur future. Enfin, un EV/EBITDA de 7,4x reste dans une zone raisonnable (5-10x), suggérant que la valorisation globale de l'entreprise, dette incluse, n'est pas excessive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affiche une progression modeste de +2,37%, avec une légère baisse de -0,61% lors de la dernière séance, montrant une consolidation après une période de hausse. Le cours a évolué dans un range de trading de 7,100 à 8,600 FCFA, démontrant une amplitude de 1,500 FCFA. La moyenne (7,980 FCFA) et la médiane (8,005 FCFA) sont très proches, indiquant une distribution des prix relativement symétrique, ce que confirme le skewness de -0,365. L'écart-type de 386 FCFA (CV=4,8%) révèle une dispersion modérée autour de la moyenne, et le kurtosis de -0,950 (mésokurtique) suggère l'absence de mouvements extrêmes ou de pics de volatilité inhabituels. La volatilité annualisée de 37,0% est élevée (&gt;30%), indiquant un titre dynamique avec des fluctuations de prix potentiellement fortes, ce qui représente un facteur de risque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(8,200 FCFA) est supérieur à la MM20 (8,063 FCFA) mais inférieur à la MM50 (8,198,8 FCFA). Cette configuration, où le prix est sous la moyenne à long terme, indique une dynamique baissière à moyen terme, justifiant le signal de **Vente**. La MM20 agissant comme un support à court terme, la tendance reste incertaine.</w:t>
      </w:r>
    </w:p>
    <w:p>
      <w:pPr>
        <w:spacing w:after="120" w:line="276" w:lineRule="auto"/>
      </w:pPr>
      <w:r>
        <w:t>**Bandes de Bollinger** : Le prix se situe à 8,200 FCFA, entre la borne inférieure (7,545,9 FCFA) et la borne supérieure (8,580,1 FCFA), proche de la moyenne. La largeur des bandes indique une volatilité modérée. Le signal est **Neutre**, le cours n'étant pas en zone de surachat ou de survente, mais la position sous la MM50 suggère une pression vendeuse latente.</w:t>
      </w:r>
    </w:p>
    <w:p>
      <w:pPr>
        <w:spacing w:after="120" w:line="276" w:lineRule="auto"/>
      </w:pPr>
      <w:r>
        <w:t>**MACD** : La valeur du MACD (-4,839) est supérieure à son signal (-48,898), formant un croisement haussier. Bien que les deux soient en territoire négatif, cette divergence positive indique un momentum haussier émergent, justifiant la décision d'**Achat**. Cela pourrait signaler le début d'un retournement de tendance.</w:t>
      </w:r>
    </w:p>
    <w:p>
      <w:pPr>
        <w:spacing w:after="120" w:line="276" w:lineRule="auto"/>
      </w:pPr>
      <w:r>
        <w:t>**RSI** : Avec une valeur de 56,579, le RSI est en zone neutre (30-70), indiquant un équilibre entre les forces acheteuses et vendeuses. Il n'y a pas de pression excessive, ce qui laisse de la place pour un mouvement dans les deux sens. La décision est **Neutre**.</w:t>
      </w:r>
    </w:p>
    <w:p>
      <w:pPr>
        <w:spacing w:after="120" w:line="276" w:lineRule="auto"/>
      </w:pPr>
      <w:r>
        <w:t>**Stochastique** : Le %K (90,769) et le %D (88,643) sont tous deux très élevés, au-dessus de 80, ce qui place le titre en zone de surachat. Ce niveau extrême suggère un risque de correction à court terme, justifiant la décision de **Vente**.</w:t>
      </w:r>
    </w:p>
    <w:p>
      <w:pPr>
        <w:spacing w:after="120" w:line="276" w:lineRule="auto"/>
      </w:pPr>
      <w:r>
        <w:t>**Conclusion technique** : Les signaux sont mitigés. Le MACD suggère un momentum haussier, mais les moyennes mobiles et le stochastique en surachat indiquent une résistance à la hausse et un potentiel de repli. La configuration globale est donc neutre à légèrement négative à court terme, avec un risque de consolidation ou de correction après la récente hausse.</w:t>
      </w:r>
    </w:p>
    <w:p>
      <w:pPr>
        <w:spacing w:after="120" w:line="276" w:lineRule="auto"/>
      </w:pPr>
      <w:r>
        <w:t>---</w:t>
      </w:r>
    </w:p>
    <w:p>
      <w:pPr>
        <w:spacing w:after="120" w:line="276" w:lineRule="auto"/>
      </w:pPr>
      <w:r>
        <w:t>### PARTIE 3 : ANALYSE FONDAMENTALE (SECTION CRITIQUE)</w:t>
      </w:r>
    </w:p>
    <w:p>
      <w:pPr>
        <w:spacing w:after="120" w:line="276" w:lineRule="auto"/>
      </w:pPr>
      <w:r>
        <w:t>En 2025, la SOGC a réalisé un chiffre d'affaires de 98,979 milliards FCFA, en hausse de 10,7% par rapport à 2024 (93,52 milliards FCFA), selon les données structurées. Le résultat net s'établit à 12,493 milliards FCFA, contre 13,11 milliards en 2024, soit une légère baisse de 5%. Cette performance se traduit par un ROE de 18,26% et un ROA de 13,84%, des niveaux excellents qui démontrent une gestion efficace des fonds propres et des actifs. La marge nette est de 12,62%, et l'EBE atteint 23,541 milliards FCFA, montrant une bonne santé opérationnelle. Le BFR est de 7,124 milliards FCFA, avec un délai de stockage de 97,67 jours, ce qui est élevé et immobilise du capital. L'endettement est très faible (ratio d'endettement de 24,2%), et la capacité de remboursement est immédiate (0,04 an). Les rapports trimestriels de 2025 (T1, S1, 9M) montrent une croissance fulgurante au premier semestre (+51,9% au S1), portée par la hausse des prix du caoutchouc, avant un ralentissement au second semestre. Sur la base de ces données, on estime que la SOGC a su capitaliser sur un environnement de prix favorable tout en maintenant une structure financière très solide, malgré une légère baisse de rentabilité en fin d'année due à la hausse des coûts des matières premières.</w:t>
      </w:r>
    </w:p>
    <w:p>
      <w:pPr>
        <w:spacing w:after="120" w:line="276" w:lineRule="auto"/>
      </w:pPr>
      <w:r>
        <w:t>---</w:t>
      </w:r>
    </w:p>
    <w:p>
      <w:pPr>
        <w:spacing w:after="120" w:line="276" w:lineRule="auto"/>
      </w:pPr>
      <w:r>
        <w:t>### PARTIE 4 : CONCLUSION D'INVESTISSEMENT</w:t>
      </w:r>
    </w:p>
    <w:p>
      <w:pPr>
        <w:spacing w:after="120" w:line="276" w:lineRule="auto"/>
      </w:pPr>
      <w:r>
        <w:t>La valorisation de SOGC (PER de 14,2x, P/B de 2,59x) est supérieure à la moyenne du marché, indiquant une prime de croissance justifiée par des fondamentaux solides. Le comportement du cours est stable avec une volatilité élevée, mais la distribution symétrique et l'absence de kurtosis extrême suggèrent un risque de marché maîtrisé. Les signaux techniques sont mitigés, avec un MACD haussier contredit par un stochastique en surachat et une MM50 sous le cours, indiquant une possible consolidation. Les fondamentaux sont robustes, avec un ROE de 18,26%, une croissance du CA de 10,7% en 2025, et une structure financière saine, malgré une légère baisse du résultat net. Les prédictions IA pour les 10 prochains jours (8,226 à 8,270 FCFA) suggèrent une légère tendance haussière, ce qui contredit les signaux de surachat à court terme. En synthèse, la convergence entre la solidité fondamentale, la valorisation raisonnable et les prévisions IA positives, malgré des signaux techniques mitigés, conduit à une recommandation **CONSERVER**. Le niveau de confiance est **Moyen**, le risque global est **Moyen**, et l'horizon d'investissement optimal est à **moyen terme (3-12 mois)**, en attendant une clarification de la tendance technique et une stabilisation des prix des matières premières.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235.64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5,350 titres</w:t>
            </w:r>
          </w:p>
        </w:tc>
        <w:tc>
          <w:tcPr>
            <w:tcW w:type="dxa" w:w="2268"/>
            <w:shd w:fill="FFF2CC" w:val="clear"/>
          </w:tcPr>
          <w:p>
            <w:r>
              <w:rPr>
                <w:b/>
                <w:color w:val="503200"/>
                <w:sz w:val="16"/>
              </w:rPr>
              <w:t xml:space="preserve">Cours actuel : </w:t>
            </w:r>
            <w:r>
              <w:rPr>
                <w:color w:val="000000"/>
                <w:sz w:val="17"/>
              </w:rPr>
              <w:t>9,220 FCFA</w:t>
            </w:r>
          </w:p>
          <w:p>
            <w:r>
              <w:rPr>
                <w:b/>
                <w:color w:val="503200"/>
                <w:sz w:val="16"/>
              </w:rPr>
              <w:t xml:space="preserve">Var. 100 jours : </w:t>
            </w:r>
            <w:r>
              <w:rPr>
                <w:b/>
                <w:color w:val="007800"/>
                <w:sz w:val="17"/>
              </w:rPr>
              <w:t>+29.95%</w:t>
            </w:r>
          </w:p>
          <w:p>
            <w:r>
              <w:rPr>
                <w:b/>
                <w:color w:val="503200"/>
                <w:sz w:val="16"/>
              </w:rPr>
              <w:t xml:space="preserve">Plus haut 100j : </w:t>
            </w:r>
            <w:r>
              <w:rPr>
                <w:color w:val="000000"/>
                <w:sz w:val="17"/>
              </w:rPr>
              <w:t>9,660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7.31% (Moyenne) — μ=7,513 FCFA, σ=549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β=1.1404 (Neutre (suit le marché)) — Cov=0.000038, Var(idx)=0.000033, ρ=0.265,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5,350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8,703</w:t>
            </w:r>
          </w:p>
        </w:tc>
        <w:tc>
          <w:tcPr>
            <w:tcW w:type="dxa" w:w="1440"/>
            <w:shd w:fill="FAFAFA" w:val="clear"/>
          </w:tcPr>
          <w:p>
            <w:r>
              <w:rPr>
                <w:b/>
                <w:sz w:val="17"/>
              </w:rPr>
              <w:t>9,142</w:t>
            </w:r>
          </w:p>
        </w:tc>
        <w:tc>
          <w:tcPr>
            <w:tcW w:type="dxa" w:w="1440"/>
            <w:shd w:fill="FAFAFA" w:val="clear"/>
          </w:tcPr>
          <w:p>
            <w:r>
              <w:rPr>
                <w:sz w:val="17"/>
              </w:rPr>
              <w:t>9,581</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2026-08-28</w:t>
            </w:r>
          </w:p>
        </w:tc>
        <w:tc>
          <w:tcPr>
            <w:tcW w:type="dxa" w:w="1440"/>
            <w:shd w:fill="FAFAFA" w:val="clear"/>
          </w:tcPr>
          <w:p>
            <w:r>
              <w:rPr>
                <w:sz w:val="17"/>
              </w:rPr>
              <w:t>8,487</w:t>
            </w:r>
          </w:p>
        </w:tc>
        <w:tc>
          <w:tcPr>
            <w:tcW w:type="dxa" w:w="1440"/>
            <w:shd w:fill="FAFAFA" w:val="clear"/>
          </w:tcPr>
          <w:p>
            <w:r>
              <w:rPr>
                <w:b/>
                <w:sz w:val="17"/>
              </w:rPr>
              <w:t>9,105</w:t>
            </w:r>
          </w:p>
        </w:tc>
        <w:tc>
          <w:tcPr>
            <w:tcW w:type="dxa" w:w="1440"/>
            <w:shd w:fill="FAFAFA" w:val="clear"/>
          </w:tcPr>
          <w:p>
            <w:r>
              <w:rPr>
                <w:sz w:val="17"/>
              </w:rPr>
              <w:t>9,723</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2026-08-31</w:t>
            </w:r>
          </w:p>
        </w:tc>
        <w:tc>
          <w:tcPr>
            <w:tcW w:type="dxa" w:w="1440"/>
            <w:shd w:fill="FAFAFA" w:val="clear"/>
          </w:tcPr>
          <w:p>
            <w:r>
              <w:rPr>
                <w:sz w:val="17"/>
              </w:rPr>
              <w:t>8,313</w:t>
            </w:r>
          </w:p>
        </w:tc>
        <w:tc>
          <w:tcPr>
            <w:tcW w:type="dxa" w:w="1440"/>
            <w:shd w:fill="FAFAFA" w:val="clear"/>
          </w:tcPr>
          <w:p>
            <w:r>
              <w:rPr>
                <w:b/>
                <w:sz w:val="17"/>
              </w:rPr>
              <w:t>9,067</w:t>
            </w:r>
          </w:p>
        </w:tc>
        <w:tc>
          <w:tcPr>
            <w:tcW w:type="dxa" w:w="1440"/>
            <w:shd w:fill="FAFAFA" w:val="clear"/>
          </w:tcPr>
          <w:p>
            <w:r>
              <w:rPr>
                <w:sz w:val="17"/>
              </w:rPr>
              <w:t>9,821</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8,164</w:t>
            </w:r>
          </w:p>
        </w:tc>
        <w:tc>
          <w:tcPr>
            <w:tcW w:type="dxa" w:w="1440"/>
            <w:shd w:fill="FFDCE0" w:val="clear"/>
          </w:tcPr>
          <w:p>
            <w:r>
              <w:rPr>
                <w:b/>
                <w:sz w:val="17"/>
              </w:rPr>
              <w:t>9,031</w:t>
            </w:r>
          </w:p>
        </w:tc>
        <w:tc>
          <w:tcPr>
            <w:tcW w:type="dxa" w:w="1440"/>
            <w:shd w:fill="FFDCE0" w:val="clear"/>
          </w:tcPr>
          <w:p>
            <w:r>
              <w:rPr>
                <w:sz w:val="17"/>
              </w:rPr>
              <w:t>9,898</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8,030</w:t>
            </w:r>
          </w:p>
        </w:tc>
        <w:tc>
          <w:tcPr>
            <w:tcW w:type="dxa" w:w="1440"/>
            <w:shd w:fill="FFDCE0" w:val="clear"/>
          </w:tcPr>
          <w:p>
            <w:r>
              <w:rPr>
                <w:b/>
                <w:sz w:val="17"/>
              </w:rPr>
              <w:t>8,995</w:t>
            </w:r>
          </w:p>
        </w:tc>
        <w:tc>
          <w:tcPr>
            <w:tcW w:type="dxa" w:w="1440"/>
            <w:shd w:fill="FFDCE0" w:val="clear"/>
          </w:tcPr>
          <w:p>
            <w:r>
              <w:rPr>
                <w:sz w:val="17"/>
              </w:rPr>
              <w:t>9,961</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7,906</w:t>
            </w:r>
          </w:p>
        </w:tc>
        <w:tc>
          <w:tcPr>
            <w:tcW w:type="dxa" w:w="1440"/>
            <w:shd w:fill="FFDCE0" w:val="clear"/>
          </w:tcPr>
          <w:p>
            <w:r>
              <w:rPr>
                <w:b/>
                <w:sz w:val="17"/>
              </w:rPr>
              <w:t>8,960</w:t>
            </w:r>
          </w:p>
        </w:tc>
        <w:tc>
          <w:tcPr>
            <w:tcW w:type="dxa" w:w="1440"/>
            <w:shd w:fill="FFDCE0" w:val="clear"/>
          </w:tcPr>
          <w:p>
            <w:r>
              <w:rPr>
                <w:sz w:val="17"/>
              </w:rPr>
              <w:t>10,013</w:t>
            </w:r>
          </w:p>
        </w:tc>
        <w:tc>
          <w:tcPr>
            <w:tcW w:type="dxa" w:w="1440"/>
            <w:shd w:fill="FFDCE0" w:val="clear"/>
          </w:tcPr>
          <w:p>
            <w:r>
              <w:rPr>
                <w:b/>
                <w:color w:val="C00000"/>
                <w:sz w:val="17"/>
              </w:rPr>
              <w:t>-2.8%</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7,791</w:t>
            </w:r>
          </w:p>
        </w:tc>
        <w:tc>
          <w:tcPr>
            <w:tcW w:type="dxa" w:w="1440"/>
            <w:shd w:fill="FFDCE0" w:val="clear"/>
          </w:tcPr>
          <w:p>
            <w:r>
              <w:rPr>
                <w:b/>
                <w:sz w:val="17"/>
              </w:rPr>
              <w:t>8,924</w:t>
            </w:r>
          </w:p>
        </w:tc>
        <w:tc>
          <w:tcPr>
            <w:tcW w:type="dxa" w:w="1440"/>
            <w:shd w:fill="FFDCE0" w:val="clear"/>
          </w:tcPr>
          <w:p>
            <w:r>
              <w:rPr>
                <w:sz w:val="17"/>
              </w:rPr>
              <w:t>10,058</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7,682</w:t>
            </w:r>
          </w:p>
        </w:tc>
        <w:tc>
          <w:tcPr>
            <w:tcW w:type="dxa" w:w="1440"/>
            <w:shd w:fill="FFDCE0" w:val="clear"/>
          </w:tcPr>
          <w:p>
            <w:r>
              <w:rPr>
                <w:b/>
                <w:sz w:val="17"/>
              </w:rPr>
              <w:t>8,889</w:t>
            </w:r>
          </w:p>
        </w:tc>
        <w:tc>
          <w:tcPr>
            <w:tcW w:type="dxa" w:w="1440"/>
            <w:shd w:fill="FFDCE0" w:val="clear"/>
          </w:tcPr>
          <w:p>
            <w:r>
              <w:rPr>
                <w:sz w:val="17"/>
              </w:rPr>
              <w:t>10,096</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7,579</w:t>
            </w:r>
          </w:p>
        </w:tc>
        <w:tc>
          <w:tcPr>
            <w:tcW w:type="dxa" w:w="1440"/>
            <w:shd w:fill="FFDCE0" w:val="clear"/>
          </w:tcPr>
          <w:p>
            <w:r>
              <w:rPr>
                <w:b/>
                <w:sz w:val="17"/>
              </w:rPr>
              <w:t>8,854</w:t>
            </w:r>
          </w:p>
        </w:tc>
        <w:tc>
          <w:tcPr>
            <w:tcW w:type="dxa" w:w="1440"/>
            <w:shd w:fill="FFDCE0" w:val="clear"/>
          </w:tcPr>
          <w:p>
            <w:r>
              <w:rPr>
                <w:sz w:val="17"/>
              </w:rPr>
              <w:t>10,130</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7,481</w:t>
            </w:r>
          </w:p>
        </w:tc>
        <w:tc>
          <w:tcPr>
            <w:tcW w:type="dxa" w:w="1440"/>
            <w:shd w:fill="FFDCE0" w:val="clear"/>
          </w:tcPr>
          <w:p>
            <w:r>
              <w:rPr>
                <w:b/>
                <w:sz w:val="17"/>
              </w:rPr>
              <w:t>8,820</w:t>
            </w:r>
          </w:p>
        </w:tc>
        <w:tc>
          <w:tcPr>
            <w:tcW w:type="dxa" w:w="1440"/>
            <w:shd w:fill="FFDCE0" w:val="clear"/>
          </w:tcPr>
          <w:p>
            <w:r>
              <w:rPr>
                <w:sz w:val="17"/>
              </w:rPr>
              <w:t>10,159</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SPHC s'établit à 235,64 milliards FCFA, ce qui positionne la société parmi les valeurs moyennes à grandes capitalisations de la BRVM, lui conférant une liquidité théorique appréciable. Avec un BPA de 977 FCFA, chaque action génère un bénéfice substantiel, justifiant un PER de 9,4x, inférieur à la moyenne historique du marché (8-12x), ce qui suggère une sous-évaluation relative et un potentiel de revalorisation. Le P/B de 1,71x indique que le marché valorise la société à environ 71% au-dessus de sa valeur comptable, un niveau raisonnable pour une entreprise affichant un ROE de 18,1%. Enfin, un EV/EBITDA de 5,8x démontre que la valeur totale de l'entreprise (dette incluse) reste attractive par rapport à sa capacité à générer du cash-flow opérationnel, renforçant le profil de valeur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SPHC a enregistré une progression spectaculaire de +29,95%, avec une légère consolidation de -0,32% lors de la dernière séance, témoignant d'un fort momentum haussier. Le cours a évolué dans une fourchette large de 6,720 FCFA à 9,660 FCFA, démontrant une dynamique soutenue. La moyenne (7,513 FCFA) et la médiane (7,488 FCFA) étant très proches, la distribution des prix est relativement symétrique, mais le skewness positif de 1,810 indique que les journées sous la moyenne ont été plus fréquentes, avec des pics à la hausse. L'écart-type de 552 FCFA (CV=7,3%) révèle une dispersion modérée, tandis que le kurtosis élevé de 4,201 signale un risque de mouvements extrêmes. La volatilité annualisée de 39,3% classe le titre comme très volatil, un niveau élevé qui nécessite une gestion active du risque.</w:t>
      </w:r>
    </w:p>
    <w:p>
      <w:pPr>
        <w:spacing w:after="120" w:line="276" w:lineRule="auto" w:before="240"/>
      </w:pPr>
      <w:r>
        <w:rPr>
          <w:b/>
          <w:color w:val="003366"/>
          <w:sz w:val="24"/>
        </w:rPr>
        <w:t>**PARTIE 2 : ANALYSE TECHNIQUE DÉTAILLÉE**</w:t>
      </w:r>
    </w:p>
    <w:p>
      <w:pPr>
        <w:spacing w:after="120" w:line="276" w:lineRule="auto"/>
      </w:pPr>
      <w:r>
        <w:t>**Moyennes Mobiles**: Le cours actuel de 9,220 FCFA est nettement au-dessus de la MM20 (8,191 FCFA) et de la MM50 (7,841 FCFA), confirmant une tendance haussière solide. La configuration des moyennes mobiles, avec la MM20 au-dessus de la MM50, valide un signal d'achat, indiquant que la dynamique positive est soutenue par les investisseurs à moyen terme.</w:t>
      </w:r>
    </w:p>
    <w:p>
      <w:pPr>
        <w:spacing w:after="120" w:line="276" w:lineRule="auto"/>
      </w:pPr>
      <w:r>
        <w:t>**Bandes de Bollinger**: Le prix se situe à 9,220 FCFA, proche de la borne supérieure (9,712 FCFA), ce qui reflète une pression acheteuse soutenue. La largeur des bandes (écart de 3,041 FCFA) indique une volatilité élevée. La décision neutre suggère que le marché attend une confirmation directionnelle, le prix étant dans la partie supérieure de la bande sans l'avoir encore touchée.</w:t>
      </w:r>
    </w:p>
    <w:p>
      <w:pPr>
        <w:spacing w:after="120" w:line="276" w:lineRule="auto"/>
      </w:pPr>
      <w:r>
        <w:t>**MACD**: La valeur du MACD (460,95) est nettement supérieure à son signal (317,73), avec un écart positif croissant, confirmant un momentum haussier robuste. Cette configuration, typique d'une tendance forte, valide la décision d'achat, indiquant que la pression acheteuse reste dominante à moyen terme.</w:t>
      </w:r>
    </w:p>
    <w:p>
      <w:pPr>
        <w:spacing w:after="120" w:line="276" w:lineRule="auto"/>
      </w:pPr>
      <w:r>
        <w:t>**RSI**: À 73,28, le RSI entre en zone de surachat (&gt;70), signalant que le titre est potentiellement surévalué à court terme. Bien que la tendance soit haussière, cette lecture suggère un risque de correction technique, justifiant une décision de vente pour les traders à court terme.</w:t>
      </w:r>
    </w:p>
    <w:p>
      <w:pPr>
        <w:spacing w:after="120" w:line="276" w:lineRule="auto"/>
      </w:pPr>
      <w:r>
        <w:t>**Stochastique**: Le %K (78,64) et le %D (83,07) sont tous deux en zone élevée, avec %D au-dessus de %K, indiquant un momentum positif mais potentiellement essoufflé. La décision neutre reflète l'absence de croisement baissier, mais la proximité des niveaux de surachat suggère une prudence.</w:t>
      </w:r>
    </w:p>
    <w:p>
      <w:pPr>
        <w:spacing w:after="120" w:line="276" w:lineRule="auto"/>
      </w:pPr>
      <w:r>
        <w:t>**Conclusion technique**: Les indicateurs sont globalement positifs, avec une tendance haussière confirmée par les moyennes mobiles et le MACD. Cependant, le RSI en surachat et la position proche de la borne supérieure de Bollinger signalent un risque de consolidation à court terme. La convergence des signaux d'achat sur le moyen terme, malgré des signaux de prudence à court terme, suggère une poursuite de la tendance haussière après une éventuelle pause technique.</w:t>
      </w:r>
    </w:p>
    <w:p>
      <w:pPr>
        <w:spacing w:after="120" w:line="276" w:lineRule="auto" w:before="240"/>
      </w:pPr>
      <w:r>
        <w:rPr>
          <w:b/>
          <w:color w:val="003366"/>
          <w:sz w:val="24"/>
        </w:rPr>
        <w:t>**PARTIE 3 : ANALYSE FONDAMENTALE (SECTION CRITIQUE)**</w:t>
      </w:r>
    </w:p>
    <w:p>
      <w:pPr>
        <w:spacing w:after="120" w:line="276" w:lineRule="auto"/>
      </w:pPr>
      <w:r>
        <w:t>En 2025, SPHC a réalisé un chiffre d'affaires de 340,83 milliards FCFA, en hausse de 22% par rapport à 2024, avec un résultat net de 24,97 milliards FCFA, soit une progression de 32,9%. La marge nette s'améliore à 7,3%, tandis que le ROE atteint 18,1% et le ROA 11,1%, reflétant une excellente rentabilité des fonds propres et des actifs. Le BFR s'élève à 65,39 milliards FCFA, un niveau élevé pour une entreprise industrielle, avec un délai client de 35 jours et une durée de stockage de 72 jours, indiquant une immobilisation significative de capital. L'endettement reste maîtrisé avec un ratio d'endettement de 25,8%, et la capacité de remboursement de 0,97 an démontre une solide santé financière. Les rapports trimestriels 2025 confirment cette dynamique : le T1 affichait un CA de 94,3 milliards FCFA (+72%) et un résultat net de 11,8 milliards FCFA, le S1 un CA de 171,4 milliards FCFA (+51%) et un résultat net de 18,1 milliards FCFA, et le T3 un CA de 253,7 milliards FCFA (+36%) avec un résultat net de 23,15 milliards FCFA. Cependant, le T1 2026 (rapport du 31 mars 2026) montre un net ralentissement avec un CA de 71,8 milliards FCFA (-24%) et un résultat net de 2,6 milliards FCFA (-78%), pénalisé par la chute des cours mondiaux du caoutchouc. Sur la base de ce rapport, on estime que l'exercice 2026 pourrait être difficile, avec un résultat net potentiellement inférieur à 15 milliards FCFA si la tendance se maintient. La recommandation fondamentale reste CONSERVER, la société étant financièrement solide mais confrontée à des vents contraires cycliques.</w:t>
      </w:r>
    </w:p>
    <w:p>
      <w:pPr>
        <w:spacing w:after="120" w:line="276" w:lineRule="auto" w:before="240"/>
      </w:pPr>
      <w:r>
        <w:rPr>
          <w:b/>
          <w:color w:val="003366"/>
          <w:sz w:val="24"/>
        </w:rPr>
        <w:t>**PARTIE 4 : CONCLUSION D'INVESTISSEMENT**</w:t>
      </w:r>
    </w:p>
    <w:p>
      <w:pPr>
        <w:spacing w:after="120" w:line="276" w:lineRule="auto"/>
      </w:pPr>
      <w:r>
        <w:t>La valorisation de SPHC (PER 9,4x, P/B 1,71x, EV/EBITDA 5,8x) indique une sous-évaluation relative, renforcée par des fondamentaux solides en 2025 (croissance du CA de 22%, ROE de 18,1%). Le comportement du cours sur 100 jours (+29,95%) est très favorable, mais la volatilité élevée (39,3%) et le kurtosis important signalent des risques de mouvements brusques. Les signaux techniques sont mitigés : la tendance haussière est confirmée par les MM et le MACD, mais le RSI en surachat suggère une consolidation à court terme. Les fondamentaux montrent une entreprise robuste, mais les estimations basées sur le T1 2026 (-78% du résultat net) indiquent un ralentissement significatif. Les prédictions IA (9,142 à 8,995 FCFA sur 10 jours) suggèrent une légère baisse, contredisant la tendance haussière récente. La convergence entre la sous-évaluation, la solidité financière et les signaux techniques positifs à moyen terme, contrebalancée par les perspectives 2026 difficiles, justifie une recommandation CONSERVER. Le niveau de confiance est moyen, le risque global est élevé, et l'horizon d'investissement optimal est le moyen terme (3-12 mois), en attendant une stabilisation des cours du caoutchouc et une confirmation de la reprise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34.27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6,173 titres</w:t>
            </w:r>
          </w:p>
        </w:tc>
        <w:tc>
          <w:tcPr>
            <w:tcW w:type="dxa" w:w="2268"/>
            <w:shd w:fill="FFF2CC" w:val="clear"/>
          </w:tcPr>
          <w:p>
            <w:r>
              <w:rPr>
                <w:b/>
                <w:color w:val="503200"/>
                <w:sz w:val="16"/>
              </w:rPr>
              <w:t xml:space="preserve">Cours actuel : </w:t>
            </w:r>
            <w:r>
              <w:rPr>
                <w:color w:val="000000"/>
                <w:sz w:val="17"/>
              </w:rPr>
              <w:t>2,550 FCFA</w:t>
            </w:r>
          </w:p>
          <w:p>
            <w:r>
              <w:rPr>
                <w:b/>
                <w:color w:val="503200"/>
                <w:sz w:val="16"/>
              </w:rPr>
              <w:t xml:space="preserve">Var. 100 jours : </w:t>
            </w:r>
            <w:r>
              <w:rPr>
                <w:b/>
                <w:color w:val="B40000"/>
                <w:sz w:val="17"/>
              </w:rPr>
              <w:t>-6.42%</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11.07% (Moyenne) — μ=3,036 FCFA, σ=336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β=-0.9830 (Contre-cyclique) — Cov=-0.000033, Var(idx)=0.000033, ρ=-0.136,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σ_j=4.14%/j (Modérée) — Vol. annualisée≈65.8%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2,306</w:t>
            </w:r>
          </w:p>
        </w:tc>
        <w:tc>
          <w:tcPr>
            <w:tcW w:type="dxa" w:w="1440"/>
            <w:shd w:fill="FFDCE0" w:val="clear"/>
          </w:tcPr>
          <w:p>
            <w:r>
              <w:rPr>
                <w:b/>
                <w:sz w:val="17"/>
              </w:rPr>
              <w:t>2,411</w:t>
            </w:r>
          </w:p>
        </w:tc>
        <w:tc>
          <w:tcPr>
            <w:tcW w:type="dxa" w:w="1440"/>
            <w:shd w:fill="FFDCE0" w:val="clear"/>
          </w:tcPr>
          <w:p>
            <w:r>
              <w:rPr>
                <w:sz w:val="17"/>
              </w:rPr>
              <w:t>2,516</w:t>
            </w:r>
          </w:p>
        </w:tc>
        <w:tc>
          <w:tcPr>
            <w:tcW w:type="dxa" w:w="1440"/>
            <w:shd w:fill="FFDCE0" w:val="clear"/>
          </w:tcPr>
          <w:p>
            <w:r>
              <w:rPr>
                <w:b/>
                <w:color w:val="C00000"/>
                <w:sz w:val="17"/>
              </w:rPr>
              <w:t>-5.5%</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2,130</w:t>
            </w:r>
          </w:p>
        </w:tc>
        <w:tc>
          <w:tcPr>
            <w:tcW w:type="dxa" w:w="1440"/>
            <w:shd w:fill="FFDCE0" w:val="clear"/>
          </w:tcPr>
          <w:p>
            <w:r>
              <w:rPr>
                <w:b/>
                <w:sz w:val="17"/>
              </w:rPr>
              <w:t>2,271</w:t>
            </w:r>
          </w:p>
        </w:tc>
        <w:tc>
          <w:tcPr>
            <w:tcW w:type="dxa" w:w="1440"/>
            <w:shd w:fill="FFDCE0" w:val="clear"/>
          </w:tcPr>
          <w:p>
            <w:r>
              <w:rPr>
                <w:sz w:val="17"/>
              </w:rPr>
              <w:t>2,411</w:t>
            </w:r>
          </w:p>
        </w:tc>
        <w:tc>
          <w:tcPr>
            <w:tcW w:type="dxa" w:w="1440"/>
            <w:shd w:fill="FFDCE0" w:val="clear"/>
          </w:tcPr>
          <w:p>
            <w:r>
              <w:rPr>
                <w:b/>
                <w:color w:val="C00000"/>
                <w:sz w:val="17"/>
              </w:rPr>
              <w:t>-11.0%</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1,967</w:t>
            </w:r>
          </w:p>
        </w:tc>
        <w:tc>
          <w:tcPr>
            <w:tcW w:type="dxa" w:w="1440"/>
            <w:shd w:fill="FFDCE0" w:val="clear"/>
          </w:tcPr>
          <w:p>
            <w:r>
              <w:rPr>
                <w:b/>
                <w:sz w:val="17"/>
              </w:rPr>
              <w:t>2,128</w:t>
            </w:r>
          </w:p>
        </w:tc>
        <w:tc>
          <w:tcPr>
            <w:tcW w:type="dxa" w:w="1440"/>
            <w:shd w:fill="FFDCE0" w:val="clear"/>
          </w:tcPr>
          <w:p>
            <w:r>
              <w:rPr>
                <w:sz w:val="17"/>
              </w:rPr>
              <w:t>2,289</w:t>
            </w:r>
          </w:p>
        </w:tc>
        <w:tc>
          <w:tcPr>
            <w:tcW w:type="dxa" w:w="1440"/>
            <w:shd w:fill="FFDCE0" w:val="clear"/>
          </w:tcPr>
          <w:p>
            <w:r>
              <w:rPr>
                <w:b/>
                <w:color w:val="C00000"/>
                <w:sz w:val="17"/>
              </w:rPr>
              <w:t>-16.6%</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1,825</w:t>
            </w:r>
          </w:p>
        </w:tc>
        <w:tc>
          <w:tcPr>
            <w:tcW w:type="dxa" w:w="1440"/>
            <w:shd w:fill="FFDCE0" w:val="clear"/>
          </w:tcPr>
          <w:p>
            <w:r>
              <w:rPr>
                <w:b/>
                <w:sz w:val="17"/>
              </w:rPr>
              <w:t>2,000</w:t>
            </w:r>
          </w:p>
        </w:tc>
        <w:tc>
          <w:tcPr>
            <w:tcW w:type="dxa" w:w="1440"/>
            <w:shd w:fill="FFDCE0" w:val="clear"/>
          </w:tcPr>
          <w:p>
            <w:r>
              <w:rPr>
                <w:sz w:val="17"/>
              </w:rPr>
              <w:t>2,175</w:t>
            </w:r>
          </w:p>
        </w:tc>
        <w:tc>
          <w:tcPr>
            <w:tcW w:type="dxa" w:w="1440"/>
            <w:shd w:fill="FFDCE0" w:val="clear"/>
          </w:tcPr>
          <w:p>
            <w:r>
              <w:rPr>
                <w:b/>
                <w:color w:val="C00000"/>
                <w:sz w:val="17"/>
              </w:rPr>
              <w:t>-21.6%</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1,708</w:t>
            </w:r>
          </w:p>
        </w:tc>
        <w:tc>
          <w:tcPr>
            <w:tcW w:type="dxa" w:w="1440"/>
            <w:shd w:fill="FFDCE0" w:val="clear"/>
          </w:tcPr>
          <w:p>
            <w:r>
              <w:rPr>
                <w:b/>
                <w:sz w:val="17"/>
              </w:rPr>
              <w:t>1,893</w:t>
            </w:r>
          </w:p>
        </w:tc>
        <w:tc>
          <w:tcPr>
            <w:tcW w:type="dxa" w:w="1440"/>
            <w:shd w:fill="FFDCE0" w:val="clear"/>
          </w:tcPr>
          <w:p>
            <w:r>
              <w:rPr>
                <w:sz w:val="17"/>
              </w:rPr>
              <w:t>2,078</w:t>
            </w:r>
          </w:p>
        </w:tc>
        <w:tc>
          <w:tcPr>
            <w:tcW w:type="dxa" w:w="1440"/>
            <w:shd w:fill="FFDCE0" w:val="clear"/>
          </w:tcPr>
          <w:p>
            <w:r>
              <w:rPr>
                <w:b/>
                <w:color w:val="C00000"/>
                <w:sz w:val="17"/>
              </w:rPr>
              <w:t>-25.8%</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1,612</w:t>
            </w:r>
          </w:p>
        </w:tc>
        <w:tc>
          <w:tcPr>
            <w:tcW w:type="dxa" w:w="1440"/>
            <w:shd w:fill="FFDCE0" w:val="clear"/>
          </w:tcPr>
          <w:p>
            <w:r>
              <w:rPr>
                <w:b/>
                <w:sz w:val="17"/>
              </w:rPr>
              <w:t>1,806</w:t>
            </w:r>
          </w:p>
        </w:tc>
        <w:tc>
          <w:tcPr>
            <w:tcW w:type="dxa" w:w="1440"/>
            <w:shd w:fill="FFDCE0" w:val="clear"/>
          </w:tcPr>
          <w:p>
            <w:r>
              <w:rPr>
                <w:sz w:val="17"/>
              </w:rPr>
              <w:t>1,999</w:t>
            </w:r>
          </w:p>
        </w:tc>
        <w:tc>
          <w:tcPr>
            <w:tcW w:type="dxa" w:w="1440"/>
            <w:shd w:fill="FFDCE0" w:val="clear"/>
          </w:tcPr>
          <w:p>
            <w:r>
              <w:rPr>
                <w:b/>
                <w:color w:val="C00000"/>
                <w:sz w:val="17"/>
              </w:rPr>
              <w:t>-29.2%</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1,534</w:t>
            </w:r>
          </w:p>
        </w:tc>
        <w:tc>
          <w:tcPr>
            <w:tcW w:type="dxa" w:w="1440"/>
            <w:shd w:fill="FFDCE0" w:val="clear"/>
          </w:tcPr>
          <w:p>
            <w:r>
              <w:rPr>
                <w:b/>
                <w:sz w:val="17"/>
              </w:rPr>
              <w:t>1,734</w:t>
            </w:r>
          </w:p>
        </w:tc>
        <w:tc>
          <w:tcPr>
            <w:tcW w:type="dxa" w:w="1440"/>
            <w:shd w:fill="FFDCE0" w:val="clear"/>
          </w:tcPr>
          <w:p>
            <w:r>
              <w:rPr>
                <w:sz w:val="17"/>
              </w:rPr>
              <w:t>1,935</w:t>
            </w:r>
          </w:p>
        </w:tc>
        <w:tc>
          <w:tcPr>
            <w:tcW w:type="dxa" w:w="1440"/>
            <w:shd w:fill="FFDCE0" w:val="clear"/>
          </w:tcPr>
          <w:p>
            <w:r>
              <w:rPr>
                <w:b/>
                <w:color w:val="C00000"/>
                <w:sz w:val="17"/>
              </w:rPr>
              <w:t>-32.0%</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1,468</w:t>
            </w:r>
          </w:p>
        </w:tc>
        <w:tc>
          <w:tcPr>
            <w:tcW w:type="dxa" w:w="1440"/>
            <w:shd w:fill="FFDCE0" w:val="clear"/>
          </w:tcPr>
          <w:p>
            <w:r>
              <w:rPr>
                <w:b/>
                <w:sz w:val="17"/>
              </w:rPr>
              <w:t>1,675</w:t>
            </w:r>
          </w:p>
        </w:tc>
        <w:tc>
          <w:tcPr>
            <w:tcW w:type="dxa" w:w="1440"/>
            <w:shd w:fill="FFDCE0" w:val="clear"/>
          </w:tcPr>
          <w:p>
            <w:r>
              <w:rPr>
                <w:sz w:val="17"/>
              </w:rPr>
              <w:t>1,882</w:t>
            </w:r>
          </w:p>
        </w:tc>
        <w:tc>
          <w:tcPr>
            <w:tcW w:type="dxa" w:w="1440"/>
            <w:shd w:fill="FFDCE0" w:val="clear"/>
          </w:tcPr>
          <w:p>
            <w:r>
              <w:rPr>
                <w:b/>
                <w:color w:val="C00000"/>
                <w:sz w:val="17"/>
              </w:rPr>
              <w:t>-34.3%</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1,413</w:t>
            </w:r>
          </w:p>
        </w:tc>
        <w:tc>
          <w:tcPr>
            <w:tcW w:type="dxa" w:w="1440"/>
            <w:shd w:fill="FFDCE0" w:val="clear"/>
          </w:tcPr>
          <w:p>
            <w:r>
              <w:rPr>
                <w:b/>
                <w:sz w:val="17"/>
              </w:rPr>
              <w:t>1,626</w:t>
            </w:r>
          </w:p>
        </w:tc>
        <w:tc>
          <w:tcPr>
            <w:tcW w:type="dxa" w:w="1440"/>
            <w:shd w:fill="FFDCE0" w:val="clear"/>
          </w:tcPr>
          <w:p>
            <w:r>
              <w:rPr>
                <w:sz w:val="17"/>
              </w:rPr>
              <w:t>1,839</w:t>
            </w:r>
          </w:p>
        </w:tc>
        <w:tc>
          <w:tcPr>
            <w:tcW w:type="dxa" w:w="1440"/>
            <w:shd w:fill="FFDCE0" w:val="clear"/>
          </w:tcPr>
          <w:p>
            <w:r>
              <w:rPr>
                <w:b/>
                <w:color w:val="C00000"/>
                <w:sz w:val="17"/>
              </w:rPr>
              <w:t>-36.2%</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1,365</w:t>
            </w:r>
          </w:p>
        </w:tc>
        <w:tc>
          <w:tcPr>
            <w:tcW w:type="dxa" w:w="1440"/>
            <w:shd w:fill="FFDCE0" w:val="clear"/>
          </w:tcPr>
          <w:p>
            <w:r>
              <w:rPr>
                <w:b/>
                <w:sz w:val="17"/>
              </w:rPr>
              <w:t>1,583</w:t>
            </w:r>
          </w:p>
        </w:tc>
        <w:tc>
          <w:tcPr>
            <w:tcW w:type="dxa" w:w="1440"/>
            <w:shd w:fill="FFDCE0" w:val="clear"/>
          </w:tcPr>
          <w:p>
            <w:r>
              <w:rPr>
                <w:sz w:val="17"/>
              </w:rPr>
              <w:t>1,802</w:t>
            </w:r>
          </w:p>
        </w:tc>
        <w:tc>
          <w:tcPr>
            <w:tcW w:type="dxa" w:w="1440"/>
            <w:shd w:fill="FFDCE0" w:val="clear"/>
          </w:tcPr>
          <w:p>
            <w:r>
              <w:rPr>
                <w:b/>
                <w:color w:val="C00000"/>
                <w:sz w:val="17"/>
              </w:rPr>
              <w:t>-37.9%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**Marché : BRVM | 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34,27 milliards FCFA, un niveau modeste sur la BRVM, reflétant une société de taille moyenne dans le secteur du BTP. Le BPA est négatif à -7 FCFA, ce qui traduit une perte nette par action et rend le PER non significatif (-354,9x). Ce ratio négatif indique que les investisseurs ne peuvent pas valoriser la société sur la base de ses bénéfices actuels, mais plutôt sur des anticipations de redressement. Le P/B de 96,07x est extrêmement élevé, signifiant que le marché valorise l'actif net comptable à près de 96 fois sa valeur, une prime considérable qui suggère des attentes de croissance future très optimistes, ou une décote sur les capitaux propres (356,75 M FCFA) qui sont très faibles. En l'absence de données sur l'EBITDA, le ratio EV/EBITDA ne peut être calculé, mais la structure actuelle indique une valorisation exigeante et spéculative.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 enregistré une baisse significative de -6,42%, avec une dernière séance en recul de -1,73% à 2 550 FCFA. Le titre a évolué dans une fourchette large de 2 515 FCFA (plus bas) à 3 895 FCFA (plus haut), montrant une amplitude de 1 380 FCFA, soit une volatilité intra-période considérable. La moyenne du cours (3 036 FCFA) est supérieure à la médiane (2 990 FCFA), indiquant une distribution légèrement asymétrique à gauche, avec quelques fortes hausses qui tirent la moyenne vers le haut. L'écart-type de 338 FCFA (CV = 11,1%) révèle une dispersion modérée autour de la moyenne. Le kurtosis de -0,877 (mésokurtique) indique une distribution proche de la normale, sans risque de pics extrêmes, tandis que le skewness de 0,399 confirme une asymétrie positive, avec une queue de distribution vers les hausses. La volatilité annualisée de 65,8% est très élevée, classant STAC comme un titre à risque majeur,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La MM20 (2 663,25 FCFA) et la MM50 (3 045,1 FCFA) sont toutes deux au-dessus du cours actuel (2 550 FCFA), avec une MM20 inférieure à la MM50, ce qui confirme une tendance baissière à court et moyen terme. Le croisement baissier des moyennes mobiles renforce le signal de vente, le prix évoluant sous ses principaux supports dynamiques.</w:t>
      </w:r>
    </w:p>
    <w:p>
      <w:pPr>
        <w:spacing w:after="120" w:line="276" w:lineRule="auto"/>
      </w:pPr>
      <w:r>
        <w:t>**Bandes de Bollinger :** Le cours se situe à 2 550 FCFA, proche de la borne inférieure (2 448,74 FCFA) et nettement sous la borne supérieure (2 877,76 FCFA). La largeur des bandes indique une volatilité élevée, mais le prix proche de la borne basse suggère une pression vendeuse persistante. La décision "Neutre" reflète une situation de survente potentielle sans signal de retournement clair.</w:t>
      </w:r>
    </w:p>
    <w:p>
      <w:pPr>
        <w:spacing w:after="120" w:line="276" w:lineRule="auto"/>
      </w:pPr>
      <w:r>
        <w:t>**MACD :** Le MACD (-126,69) est légèrement au-dessus de sa ligne de signal (-137,40), formant un croisement haussier récent. Bien que les deux valeurs soient négatives, ce croisement indique un ralentissement du momentum baissier, ce qui justifie une décision d'achat spéculatif à très court terme.</w:t>
      </w:r>
    </w:p>
    <w:p>
      <w:pPr>
        <w:spacing w:after="120" w:line="276" w:lineRule="auto"/>
      </w:pPr>
      <w:r>
        <w:t>**RSI :** Le RSI à 21,59 est en zone de survente sévère (&lt;30), signalant que le titre est techniquement survendu et pourrait rebondir. Ce niveau extrême suggère une pression vendeuse excessive, mais il ne garantit pas un retournement immédiat. La décision d'achat est cohérente avec une stratégie de contre-tendance.</w:t>
      </w:r>
    </w:p>
    <w:p>
      <w:pPr>
        <w:spacing w:after="120" w:line="276" w:lineRule="auto"/>
      </w:pPr>
      <w:r>
        <w:t>**Stochastique :** Le %K (12,5) est sous le %D (19,66), tous deux en zone de survente (&lt;20). Ce croisement baissier en territoire survendu indique une faiblesse persistante, mais renforce le potentiel de rebond technique. La décision d'achat est prudente, car un retournement nécessiterait un croisement haussier du %K au-dessus du %D.</w:t>
      </w:r>
    </w:p>
    <w:p>
      <w:pPr>
        <w:spacing w:after="120" w:line="276" w:lineRule="auto"/>
      </w:pPr>
      <w:r>
        <w:t>**Conclusion technique :** Les indicateurs sont mitigés : les moyennes mobiles et les bandes de Bollinger signalent une tendance baissière, tandis que le RSI, le MACD et le stochastique suggèrent une survente extrême avec un potentiel de rebond technique. La convergence des oscillateurs en zone de survente pourrait déclencher un mouvement correctif haussier à court terme, mais la tendance de fond reste baissière.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révèlent une situation financière très dégradée pour STAC. Le chiffre d'affaires s'établit à 3,878 milliards FCFA, mais le résultat net est une perte de -96,56 millions FCFA, avec une marge nette de -2,49%. Le ROE est profondément négatif à -27,07%, et le ROA à -1,77%, indiquant une incapacité à générer de la rentabilité sur les capitaux propres et les actifs. La structure financière est fragile : les capitaux propres (356,75 M FCFA) ne représentent que 6,55% du total du bilan (5,447 Mds FCFA), avec un ratio d'endettement de 93,45%. Le BFR est négatif (-930,47 M FCFA), ce qui est favorable pour une entreprise, mais la trésorerie nette de 1,330 milliard FCFA offre un coussin limité. Les rapports narratifs de 2024 (exercice clos au 31/12/2024) confirment la tendance : un CA en chute de -80,6% à 1,793 milliard FCFA et une perte de -348 millions FCFA. Cependant, les rapports trimestriels de 2025 montrent une reprise : au S1 2025, le CA a bondi de +290% à 2,271 milliards FCFA, et sur 9 mois, il atteint 3,456 milliards FCFA (+176%), porté par le projet de l'aéroport d'Abidjan. La perte nette sur 9 mois 2025 se réduit à -477 millions FCFA (-22% vs 2024), avec une amélioration du résultat d'exploitation (-456 M FCFA vs -921 M FCFA). On estime que l'exercice 2025 devrait clôturer avec un CA proche de 4 milliards FCFA (prévision direction), mais la rentabilité opérationnelle reste négative, et la dépendance à un seul projet constitue un risque majeur.</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exigeante avec un P/B de 96x et un PER négatif, indiquant une surévaluation spéculative par rapport aux fondamentaux. Le comportement du cours est baissier (-6,42% sur 100 jours) avec une volatilité très élevée (65,8%), et les statistiques descriptives montrent une distribution relativement normale mais avec un risque de mouvements brusques. Les signaux techniques sont divergents : les moyennes mobiles et les bandes de Bollinger signalent une tendance baissière, tandis que le RSI (21,6), le MACD et le stochastique suggèrent une survente extrême avec un potentiel de rebond technique à court terme. Les fondamentaux sont préoccupants : pertes récurrentes, capitaux propres très faibles, et dépendance à un seul projet (aéroport d'Abidjan), bien que les rapports 2025 montrent une reprise du CA (+176% sur 9 mois). Les prédictions IA (J+1 à J+10) prévoient une poursuite de la chute du cours, passant de 2 411 FCFA à 1 893 FCFA, confirmant la pression baissière. La convergence entre la tendance technique baissière, la valorisation excessive et les prédictions IA contredit le potentiel de rebond fondamental. **Recommandation finale : VENTE FORTE**, avec un niveau de confiance **Moyen** et un risque global **Élevé**. L'horizon d'investissement optimal est le **court terme (&lt;3 mois)** pour les spéculateurs, mais une sortie progressive est conseillée pour les investisseurs long terme, en raison de la fragilité financière et de l'absence de visibilité sur la rentabilité future.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380.74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3,553 titres</w:t>
            </w:r>
          </w:p>
        </w:tc>
        <w:tc>
          <w:tcPr>
            <w:tcW w:type="dxa" w:w="2268"/>
            <w:shd w:fill="FFF2CC" w:val="clear"/>
          </w:tcPr>
          <w:p>
            <w:r>
              <w:rPr>
                <w:b/>
                <w:color w:val="503200"/>
                <w:sz w:val="16"/>
              </w:rPr>
              <w:t xml:space="preserve">Cours actuel : </w:t>
            </w:r>
            <w:r>
              <w:rPr>
                <w:color w:val="000000"/>
                <w:sz w:val="17"/>
              </w:rPr>
              <w:t>21,205 FCFA</w:t>
            </w:r>
          </w:p>
          <w:p>
            <w:r>
              <w:rPr>
                <w:b/>
                <w:color w:val="503200"/>
                <w:sz w:val="16"/>
              </w:rPr>
              <w:t xml:space="preserve">Var. 100 jours : </w:t>
            </w:r>
            <w:r>
              <w:rPr>
                <w:b/>
                <w:color w:val="B40000"/>
                <w:sz w:val="17"/>
              </w:rPr>
              <w:t>-1.37%</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6.19% (Moyenne) — μ=22,264 FCFA, σ=1,379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β=-0.0114 (Contre-cyclique) — Cov=-0.000000, Var(idx)=0.000033, ρ=-0.003,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σ_j=2.19%/j (Stable) — Vol. annualisée≈34.8%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2026-08-27</w:t>
            </w:r>
          </w:p>
        </w:tc>
        <w:tc>
          <w:tcPr>
            <w:tcW w:type="dxa" w:w="1440"/>
            <w:shd w:fill="C6EFCE" w:val="clear"/>
          </w:tcPr>
          <w:p>
            <w:r>
              <w:rPr>
                <w:sz w:val="17"/>
              </w:rPr>
              <w:t>21,253</w:t>
            </w:r>
          </w:p>
        </w:tc>
        <w:tc>
          <w:tcPr>
            <w:tcW w:type="dxa" w:w="1440"/>
            <w:shd w:fill="C6EFCE" w:val="clear"/>
          </w:tcPr>
          <w:p>
            <w:r>
              <w:rPr>
                <w:b/>
                <w:sz w:val="17"/>
              </w:rPr>
              <w:t>22,395</w:t>
            </w:r>
          </w:p>
        </w:tc>
        <w:tc>
          <w:tcPr>
            <w:tcW w:type="dxa" w:w="1440"/>
            <w:shd w:fill="C6EFCE" w:val="clear"/>
          </w:tcPr>
          <w:p>
            <w:r>
              <w:rPr>
                <w:sz w:val="17"/>
              </w:rPr>
              <w:t>23,537</w:t>
            </w:r>
          </w:p>
        </w:tc>
        <w:tc>
          <w:tcPr>
            <w:tcW w:type="dxa" w:w="1440"/>
            <w:shd w:fill="C6EFCE" w:val="clear"/>
          </w:tcPr>
          <w:p>
            <w:r>
              <w:rPr>
                <w:b/>
                <w:color w:val="008000"/>
                <w:sz w:val="17"/>
              </w:rPr>
              <w:t>+5.6%</w:t>
            </w:r>
          </w:p>
        </w:tc>
      </w:tr>
      <w:tr>
        <w:tc>
          <w:tcPr>
            <w:tcW w:type="dxa" w:w="1440"/>
            <w:shd w:fill="C6EFCE" w:val="clear"/>
          </w:tcPr>
          <w:p>
            <w:r>
              <w:rPr>
                <w:sz w:val="17"/>
              </w:rPr>
              <w:t>J+2  ⭐</w:t>
            </w:r>
          </w:p>
        </w:tc>
        <w:tc>
          <w:tcPr>
            <w:tcW w:type="dxa" w:w="1440"/>
            <w:shd w:fill="C6EFCE" w:val="clear"/>
          </w:tcPr>
          <w:p>
            <w:r>
              <w:rPr>
                <w:sz w:val="17"/>
              </w:rPr>
              <w:t>2026-08-28</w:t>
            </w:r>
          </w:p>
        </w:tc>
        <w:tc>
          <w:tcPr>
            <w:tcW w:type="dxa" w:w="1440"/>
            <w:shd w:fill="C6EFCE" w:val="clear"/>
          </w:tcPr>
          <w:p>
            <w:r>
              <w:rPr>
                <w:sz w:val="17"/>
              </w:rPr>
              <w:t>20,892</w:t>
            </w:r>
          </w:p>
        </w:tc>
        <w:tc>
          <w:tcPr>
            <w:tcW w:type="dxa" w:w="1440"/>
            <w:shd w:fill="C6EFCE" w:val="clear"/>
          </w:tcPr>
          <w:p>
            <w:r>
              <w:rPr>
                <w:b/>
                <w:sz w:val="17"/>
              </w:rPr>
              <w:t>22,516</w:t>
            </w:r>
          </w:p>
        </w:tc>
        <w:tc>
          <w:tcPr>
            <w:tcW w:type="dxa" w:w="1440"/>
            <w:shd w:fill="C6EFCE" w:val="clear"/>
          </w:tcPr>
          <w:p>
            <w:r>
              <w:rPr>
                <w:sz w:val="17"/>
              </w:rPr>
              <w:t>24,140</w:t>
            </w:r>
          </w:p>
        </w:tc>
        <w:tc>
          <w:tcPr>
            <w:tcW w:type="dxa" w:w="1440"/>
            <w:shd w:fill="C6EFCE" w:val="clear"/>
          </w:tcPr>
          <w:p>
            <w:r>
              <w:rPr>
                <w:b/>
                <w:color w:val="008000"/>
                <w:sz w:val="17"/>
              </w:rPr>
              <w:t>+6.2%</w:t>
            </w:r>
          </w:p>
        </w:tc>
      </w:tr>
      <w:tr>
        <w:tc>
          <w:tcPr>
            <w:tcW w:type="dxa" w:w="1440"/>
            <w:shd w:fill="C6EFCE" w:val="clear"/>
          </w:tcPr>
          <w:p>
            <w:r>
              <w:rPr>
                <w:sz w:val="17"/>
              </w:rPr>
              <w:t>J+3  ⭐</w:t>
            </w:r>
          </w:p>
        </w:tc>
        <w:tc>
          <w:tcPr>
            <w:tcW w:type="dxa" w:w="1440"/>
            <w:shd w:fill="C6EFCE" w:val="clear"/>
          </w:tcPr>
          <w:p>
            <w:r>
              <w:rPr>
                <w:sz w:val="17"/>
              </w:rPr>
              <w:t>2026-08-31</w:t>
            </w:r>
          </w:p>
        </w:tc>
        <w:tc>
          <w:tcPr>
            <w:tcW w:type="dxa" w:w="1440"/>
            <w:shd w:fill="C6EFCE" w:val="clear"/>
          </w:tcPr>
          <w:p>
            <w:r>
              <w:rPr>
                <w:sz w:val="17"/>
              </w:rPr>
              <w:t>20,687</w:t>
            </w:r>
          </w:p>
        </w:tc>
        <w:tc>
          <w:tcPr>
            <w:tcW w:type="dxa" w:w="1440"/>
            <w:shd w:fill="C6EFCE" w:val="clear"/>
          </w:tcPr>
          <w:p>
            <w:r>
              <w:rPr>
                <w:b/>
                <w:sz w:val="17"/>
              </w:rPr>
              <w:t>22,691</w:t>
            </w:r>
          </w:p>
        </w:tc>
        <w:tc>
          <w:tcPr>
            <w:tcW w:type="dxa" w:w="1440"/>
            <w:shd w:fill="C6EFCE" w:val="clear"/>
          </w:tcPr>
          <w:p>
            <w:r>
              <w:rPr>
                <w:sz w:val="17"/>
              </w:rPr>
              <w:t>24,696</w:t>
            </w:r>
          </w:p>
        </w:tc>
        <w:tc>
          <w:tcPr>
            <w:tcW w:type="dxa" w:w="1440"/>
            <w:shd w:fill="C6EFCE" w:val="clear"/>
          </w:tcPr>
          <w:p>
            <w:r>
              <w:rPr>
                <w:b/>
                <w:color w:val="008000"/>
                <w:sz w:val="17"/>
              </w:rPr>
              <w:t>+7.0%</w:t>
            </w:r>
          </w:p>
        </w:tc>
      </w:tr>
      <w:tr>
        <w:tc>
          <w:tcPr>
            <w:tcW w:type="dxa" w:w="1440"/>
            <w:shd w:fill="C6EFCE" w:val="clear"/>
          </w:tcPr>
          <w:p>
            <w:r>
              <w:rPr>
                <w:sz w:val="17"/>
              </w:rPr>
              <w:t>J+4  ⭐</w:t>
            </w:r>
          </w:p>
        </w:tc>
        <w:tc>
          <w:tcPr>
            <w:tcW w:type="dxa" w:w="1440"/>
            <w:shd w:fill="C6EFCE" w:val="clear"/>
          </w:tcPr>
          <w:p>
            <w:r>
              <w:rPr>
                <w:sz w:val="17"/>
              </w:rPr>
              <w:t>2026-09-01</w:t>
            </w:r>
          </w:p>
        </w:tc>
        <w:tc>
          <w:tcPr>
            <w:tcW w:type="dxa" w:w="1440"/>
            <w:shd w:fill="C6EFCE" w:val="clear"/>
          </w:tcPr>
          <w:p>
            <w:r>
              <w:rPr>
                <w:sz w:val="17"/>
              </w:rPr>
              <w:t>20,551</w:t>
            </w:r>
          </w:p>
        </w:tc>
        <w:tc>
          <w:tcPr>
            <w:tcW w:type="dxa" w:w="1440"/>
            <w:shd w:fill="C6EFCE" w:val="clear"/>
          </w:tcPr>
          <w:p>
            <w:r>
              <w:rPr>
                <w:b/>
                <w:sz w:val="17"/>
              </w:rPr>
              <w:t>22,885</w:t>
            </w:r>
          </w:p>
        </w:tc>
        <w:tc>
          <w:tcPr>
            <w:tcW w:type="dxa" w:w="1440"/>
            <w:shd w:fill="C6EFCE" w:val="clear"/>
          </w:tcPr>
          <w:p>
            <w:r>
              <w:rPr>
                <w:sz w:val="17"/>
              </w:rPr>
              <w:t>25,220</w:t>
            </w:r>
          </w:p>
        </w:tc>
        <w:tc>
          <w:tcPr>
            <w:tcW w:type="dxa" w:w="1440"/>
            <w:shd w:fill="C6EFCE" w:val="clear"/>
          </w:tcPr>
          <w:p>
            <w:r>
              <w:rPr>
                <w:b/>
                <w:color w:val="008000"/>
                <w:sz w:val="17"/>
              </w:rPr>
              <w:t>+7.9%</w:t>
            </w:r>
          </w:p>
        </w:tc>
      </w:tr>
      <w:tr>
        <w:tc>
          <w:tcPr>
            <w:tcW w:type="dxa" w:w="1440"/>
            <w:shd w:fill="C6EFCE" w:val="clear"/>
          </w:tcPr>
          <w:p>
            <w:r>
              <w:rPr>
                <w:sz w:val="17"/>
              </w:rPr>
              <w:t>J+5  ⭐</w:t>
            </w:r>
          </w:p>
        </w:tc>
        <w:tc>
          <w:tcPr>
            <w:tcW w:type="dxa" w:w="1440"/>
            <w:shd w:fill="C6EFCE" w:val="clear"/>
          </w:tcPr>
          <w:p>
            <w:r>
              <w:rPr>
                <w:sz w:val="17"/>
              </w:rPr>
              <w:t>2026-09-02</w:t>
            </w:r>
          </w:p>
        </w:tc>
        <w:tc>
          <w:tcPr>
            <w:tcW w:type="dxa" w:w="1440"/>
            <w:shd w:fill="C6EFCE" w:val="clear"/>
          </w:tcPr>
          <w:p>
            <w:r>
              <w:rPr>
                <w:sz w:val="17"/>
              </w:rPr>
              <w:t>20,461</w:t>
            </w:r>
          </w:p>
        </w:tc>
        <w:tc>
          <w:tcPr>
            <w:tcW w:type="dxa" w:w="1440"/>
            <w:shd w:fill="C6EFCE" w:val="clear"/>
          </w:tcPr>
          <w:p>
            <w:r>
              <w:rPr>
                <w:b/>
                <w:sz w:val="17"/>
              </w:rPr>
              <w:t>23,094</w:t>
            </w:r>
          </w:p>
        </w:tc>
        <w:tc>
          <w:tcPr>
            <w:tcW w:type="dxa" w:w="1440"/>
            <w:shd w:fill="C6EFCE" w:val="clear"/>
          </w:tcPr>
          <w:p>
            <w:r>
              <w:rPr>
                <w:sz w:val="17"/>
              </w:rPr>
              <w:t>25,728</w:t>
            </w:r>
          </w:p>
        </w:tc>
        <w:tc>
          <w:tcPr>
            <w:tcW w:type="dxa" w:w="1440"/>
            <w:shd w:fill="C6EFCE" w:val="clear"/>
          </w:tcPr>
          <w:p>
            <w:r>
              <w:rPr>
                <w:b/>
                <w:color w:val="008000"/>
                <w:sz w:val="17"/>
              </w:rPr>
              <w:t>+8.9%</w:t>
            </w:r>
          </w:p>
        </w:tc>
      </w:tr>
      <w:tr>
        <w:tc>
          <w:tcPr>
            <w:tcW w:type="dxa" w:w="1440"/>
            <w:shd w:fill="C6EFCE" w:val="clear"/>
          </w:tcPr>
          <w:p>
            <w:r>
              <w:rPr>
                <w:sz w:val="17"/>
              </w:rPr>
              <w:t>J+6  ⭐</w:t>
            </w:r>
          </w:p>
        </w:tc>
        <w:tc>
          <w:tcPr>
            <w:tcW w:type="dxa" w:w="1440"/>
            <w:shd w:fill="C6EFCE" w:val="clear"/>
          </w:tcPr>
          <w:p>
            <w:r>
              <w:rPr>
                <w:sz w:val="17"/>
              </w:rPr>
              <w:t>2026-09-03</w:t>
            </w:r>
          </w:p>
        </w:tc>
        <w:tc>
          <w:tcPr>
            <w:tcW w:type="dxa" w:w="1440"/>
            <w:shd w:fill="C6EFCE" w:val="clear"/>
          </w:tcPr>
          <w:p>
            <w:r>
              <w:rPr>
                <w:sz w:val="17"/>
              </w:rPr>
              <w:t>20,396</w:t>
            </w:r>
          </w:p>
        </w:tc>
        <w:tc>
          <w:tcPr>
            <w:tcW w:type="dxa" w:w="1440"/>
            <w:shd w:fill="C6EFCE" w:val="clear"/>
          </w:tcPr>
          <w:p>
            <w:r>
              <w:rPr>
                <w:b/>
                <w:sz w:val="17"/>
              </w:rPr>
              <w:t>23,308</w:t>
            </w:r>
          </w:p>
        </w:tc>
        <w:tc>
          <w:tcPr>
            <w:tcW w:type="dxa" w:w="1440"/>
            <w:shd w:fill="C6EFCE" w:val="clear"/>
          </w:tcPr>
          <w:p>
            <w:r>
              <w:rPr>
                <w:sz w:val="17"/>
              </w:rPr>
              <w:t>26,219</w:t>
            </w:r>
          </w:p>
        </w:tc>
        <w:tc>
          <w:tcPr>
            <w:tcW w:type="dxa" w:w="1440"/>
            <w:shd w:fill="C6EFCE" w:val="clear"/>
          </w:tcPr>
          <w:p>
            <w:r>
              <w:rPr>
                <w:b/>
                <w:color w:val="008000"/>
                <w:sz w:val="17"/>
              </w:rPr>
              <w:t>+9.9%</w:t>
            </w:r>
          </w:p>
        </w:tc>
      </w:tr>
      <w:tr>
        <w:tc>
          <w:tcPr>
            <w:tcW w:type="dxa" w:w="1440"/>
            <w:shd w:fill="C6EFCE" w:val="clear"/>
          </w:tcPr>
          <w:p>
            <w:r>
              <w:rPr>
                <w:sz w:val="17"/>
              </w:rPr>
              <w:t>J+7  ⭐</w:t>
            </w:r>
          </w:p>
        </w:tc>
        <w:tc>
          <w:tcPr>
            <w:tcW w:type="dxa" w:w="1440"/>
            <w:shd w:fill="C6EFCE" w:val="clear"/>
          </w:tcPr>
          <w:p>
            <w:r>
              <w:rPr>
                <w:sz w:val="17"/>
              </w:rPr>
              <w:t>2026-09-04</w:t>
            </w:r>
          </w:p>
        </w:tc>
        <w:tc>
          <w:tcPr>
            <w:tcW w:type="dxa" w:w="1440"/>
            <w:shd w:fill="C6EFCE" w:val="clear"/>
          </w:tcPr>
          <w:p>
            <w:r>
              <w:rPr>
                <w:sz w:val="17"/>
              </w:rPr>
              <w:t>20,354</w:t>
            </w:r>
          </w:p>
        </w:tc>
        <w:tc>
          <w:tcPr>
            <w:tcW w:type="dxa" w:w="1440"/>
            <w:shd w:fill="C6EFCE" w:val="clear"/>
          </w:tcPr>
          <w:p>
            <w:r>
              <w:rPr>
                <w:b/>
                <w:sz w:val="17"/>
              </w:rPr>
              <w:t>23,528</w:t>
            </w:r>
          </w:p>
        </w:tc>
        <w:tc>
          <w:tcPr>
            <w:tcW w:type="dxa" w:w="1440"/>
            <w:shd w:fill="C6EFCE" w:val="clear"/>
          </w:tcPr>
          <w:p>
            <w:r>
              <w:rPr>
                <w:sz w:val="17"/>
              </w:rPr>
              <w:t>26,702</w:t>
            </w:r>
          </w:p>
        </w:tc>
        <w:tc>
          <w:tcPr>
            <w:tcW w:type="dxa" w:w="1440"/>
            <w:shd w:fill="C6EFCE" w:val="clear"/>
          </w:tcPr>
          <w:p>
            <w:r>
              <w:rPr>
                <w:b/>
                <w:color w:val="008000"/>
                <w:sz w:val="17"/>
              </w:rPr>
              <w:t>+11.0%</w:t>
            </w:r>
          </w:p>
        </w:tc>
      </w:tr>
      <w:tr>
        <w:tc>
          <w:tcPr>
            <w:tcW w:type="dxa" w:w="1440"/>
            <w:shd w:fill="C6EFCE" w:val="clear"/>
          </w:tcPr>
          <w:p>
            <w:r>
              <w:rPr>
                <w:sz w:val="17"/>
              </w:rPr>
              <w:t>J+8  ⭐</w:t>
            </w:r>
          </w:p>
        </w:tc>
        <w:tc>
          <w:tcPr>
            <w:tcW w:type="dxa" w:w="1440"/>
            <w:shd w:fill="C6EFCE" w:val="clear"/>
          </w:tcPr>
          <w:p>
            <w:r>
              <w:rPr>
                <w:sz w:val="17"/>
              </w:rPr>
              <w:t>2026-09-07</w:t>
            </w:r>
          </w:p>
        </w:tc>
        <w:tc>
          <w:tcPr>
            <w:tcW w:type="dxa" w:w="1440"/>
            <w:shd w:fill="C6EFCE" w:val="clear"/>
          </w:tcPr>
          <w:p>
            <w:r>
              <w:rPr>
                <w:sz w:val="17"/>
              </w:rPr>
              <w:t>20,328</w:t>
            </w:r>
          </w:p>
        </w:tc>
        <w:tc>
          <w:tcPr>
            <w:tcW w:type="dxa" w:w="1440"/>
            <w:shd w:fill="C6EFCE" w:val="clear"/>
          </w:tcPr>
          <w:p>
            <w:r>
              <w:rPr>
                <w:b/>
                <w:sz w:val="17"/>
              </w:rPr>
              <w:t>23,754</w:t>
            </w:r>
          </w:p>
        </w:tc>
        <w:tc>
          <w:tcPr>
            <w:tcW w:type="dxa" w:w="1440"/>
            <w:shd w:fill="C6EFCE" w:val="clear"/>
          </w:tcPr>
          <w:p>
            <w:r>
              <w:rPr>
                <w:sz w:val="17"/>
              </w:rPr>
              <w:t>27,180</w:t>
            </w:r>
          </w:p>
        </w:tc>
        <w:tc>
          <w:tcPr>
            <w:tcW w:type="dxa" w:w="1440"/>
            <w:shd w:fill="C6EFCE" w:val="clear"/>
          </w:tcPr>
          <w:p>
            <w:r>
              <w:rPr>
                <w:b/>
                <w:color w:val="008000"/>
                <w:sz w:val="17"/>
              </w:rPr>
              <w:t>+12.0%</w:t>
            </w:r>
          </w:p>
        </w:tc>
      </w:tr>
      <w:tr>
        <w:tc>
          <w:tcPr>
            <w:tcW w:type="dxa" w:w="1440"/>
            <w:shd w:fill="C6EFCE" w:val="clear"/>
          </w:tcPr>
          <w:p>
            <w:r>
              <w:rPr>
                <w:sz w:val="17"/>
              </w:rPr>
              <w:t>J+9  ⭐</w:t>
            </w:r>
          </w:p>
        </w:tc>
        <w:tc>
          <w:tcPr>
            <w:tcW w:type="dxa" w:w="1440"/>
            <w:shd w:fill="C6EFCE" w:val="clear"/>
          </w:tcPr>
          <w:p>
            <w:r>
              <w:rPr>
                <w:sz w:val="17"/>
              </w:rPr>
              <w:t>2026-09-08</w:t>
            </w:r>
          </w:p>
        </w:tc>
        <w:tc>
          <w:tcPr>
            <w:tcW w:type="dxa" w:w="1440"/>
            <w:shd w:fill="C6EFCE" w:val="clear"/>
          </w:tcPr>
          <w:p>
            <w:r>
              <w:rPr>
                <w:sz w:val="17"/>
              </w:rPr>
              <w:t>20,317</w:t>
            </w:r>
          </w:p>
        </w:tc>
        <w:tc>
          <w:tcPr>
            <w:tcW w:type="dxa" w:w="1440"/>
            <w:shd w:fill="C6EFCE" w:val="clear"/>
          </w:tcPr>
          <w:p>
            <w:r>
              <w:rPr>
                <w:b/>
                <w:sz w:val="17"/>
              </w:rPr>
              <w:t>23,986</w:t>
            </w:r>
          </w:p>
        </w:tc>
        <w:tc>
          <w:tcPr>
            <w:tcW w:type="dxa" w:w="1440"/>
            <w:shd w:fill="C6EFCE" w:val="clear"/>
          </w:tcPr>
          <w:p>
            <w:r>
              <w:rPr>
                <w:sz w:val="17"/>
              </w:rPr>
              <w:t>27,656</w:t>
            </w:r>
          </w:p>
        </w:tc>
        <w:tc>
          <w:tcPr>
            <w:tcW w:type="dxa" w:w="1440"/>
            <w:shd w:fill="C6EFCE" w:val="clear"/>
          </w:tcPr>
          <w:p>
            <w:r>
              <w:rPr>
                <w:b/>
                <w:color w:val="008000"/>
                <w:sz w:val="17"/>
              </w:rPr>
              <w:t>+13.1%</w:t>
            </w:r>
          </w:p>
        </w:tc>
      </w:tr>
      <w:tr>
        <w:tc>
          <w:tcPr>
            <w:tcW w:type="dxa" w:w="1440"/>
            <w:shd w:fill="C6EFCE" w:val="clear"/>
          </w:tcPr>
          <w:p>
            <w:r>
              <w:rPr>
                <w:sz w:val="17"/>
              </w:rPr>
              <w:t>J+10  ⭐</w:t>
            </w:r>
          </w:p>
        </w:tc>
        <w:tc>
          <w:tcPr>
            <w:tcW w:type="dxa" w:w="1440"/>
            <w:shd w:fill="C6EFCE" w:val="clear"/>
          </w:tcPr>
          <w:p>
            <w:r>
              <w:rPr>
                <w:sz w:val="17"/>
              </w:rPr>
              <w:t>2026-09-09</w:t>
            </w:r>
          </w:p>
        </w:tc>
        <w:tc>
          <w:tcPr>
            <w:tcW w:type="dxa" w:w="1440"/>
            <w:shd w:fill="C6EFCE" w:val="clear"/>
          </w:tcPr>
          <w:p>
            <w:r>
              <w:rPr>
                <w:sz w:val="17"/>
              </w:rPr>
              <w:t>20,321</w:t>
            </w:r>
          </w:p>
        </w:tc>
        <w:tc>
          <w:tcPr>
            <w:tcW w:type="dxa" w:w="1440"/>
            <w:shd w:fill="C6EFCE" w:val="clear"/>
          </w:tcPr>
          <w:p>
            <w:r>
              <w:rPr>
                <w:b/>
                <w:sz w:val="17"/>
              </w:rPr>
              <w:t>24,228</w:t>
            </w:r>
          </w:p>
        </w:tc>
        <w:tc>
          <w:tcPr>
            <w:tcW w:type="dxa" w:w="1440"/>
            <w:shd w:fill="C6EFCE" w:val="clear"/>
          </w:tcPr>
          <w:p>
            <w:r>
              <w:rPr>
                <w:sz w:val="17"/>
              </w:rPr>
              <w:t>28,135</w:t>
            </w:r>
          </w:p>
        </w:tc>
        <w:tc>
          <w:tcPr>
            <w:tcW w:type="dxa" w:w="1440"/>
            <w:shd w:fill="C6EFCE" w:val="clear"/>
          </w:tcPr>
          <w:p>
            <w:r>
              <w:rPr>
                <w:b/>
                <w:color w:val="008000"/>
                <w:sz w:val="17"/>
              </w:rPr>
              <w:t>+14.3%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r>
    </w:p>
    <w:p>
      <w:pPr>
        <w:spacing w:after="120" w:line="276" w:lineRule="auto" w:before="240"/>
      </w:pPr>
      <w:r>
        <w:rPr>
          <w:b/>
          <w:color w:val="003366"/>
          <w:sz w:val="24"/>
        </w:rPr>
        <w:t>**PARTIE 0 : INDICATEURS DE VALORISATION BOURSIÈRE**</w:t>
      </w:r>
    </w:p>
    <w:p>
      <w:pPr>
        <w:spacing w:after="120" w:line="276" w:lineRule="auto"/>
      </w:pPr>
      <w:r>
        <w:t>La capitalisation boursière de 380,74 milliards FCFA positionne STBC comme une valeur à grande capitalisation sur la BRVM, reflétant son statut de leader régional dans le secteur du tabac. Le BPA de 2 014 FCFA indique que chaque action génère un bénéfice substantiel, justifiant un PER de 10,5x, un niveau modéré et raisonnable par rapport à la moyenne historique de la place (~8-12x). En revanche, le P/B de 8,40x est particulièrement élevé, traduisant une forte prime de valorisation par rapport à la valeur comptable des actifs, ce qui suggère que le marché intègre déjà des perspectives de croissance et de rentabilité élevées. Enfin, un EV/EBITDA de 7,5x, dans la fourchette raisonnable de 5-10x, indique que la valeur d'entreprise reste cohérente avec sa capacité opérationnelle à générer des flux, offrant ainsi une lecture nuancée entre une valorisation boursière exigeante et une santé opérationnelle solide.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variation totale de -1,37%, avec une chute marquée de -7,40% lors de la dernière séance, signalant une pression vendeuse récente. Le cours a évolué dans une fourchette de 19 705 FCFA (plus bas) à 25 000 FCFA (plus haut), démontrant une amplitude de trading significative. La moyenne du cours sur la période (22 264 FCFA) est légèrement supérieure à la médiane (21 998 FCFA), et le mode à 21 000 FCFA indique une distribution relativement symétrique, confirmée par un skewness de 0,324. L'écart-type de 1 386 FCFA (CV de 6,2%) révèle une dispersion modérée des prix autour de la moyenne, tandis que le kurtosis de -0,989 (mésokurtique) suggère l'absence de pics extrêmes ou de risques de queues de distribution. La volatilité annualisée de 34,8% classe le titre comme très volatil (&gt;30%), ce qui implique un risque de marché élevé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Les MM20 (23 352 FCFA) et MM50 (23 422 FCFA) sont toutes deux nettement supérieures au cours actuel de 21 205 FCFA, indiquant une configuration baissière. Le croisement de ces moyennes au-dessus du prix signale une tendance négative à court et moyen terme, justifiant une décision de Vente.</w:t>
      </w:r>
    </w:p>
    <w:p>
      <w:pPr>
        <w:spacing w:after="120" w:line="276" w:lineRule="auto"/>
      </w:pPr>
      <w:r>
        <w:t>**Bandes de Bollinger** : Le cours se situe sous la borne inférieure (21 524 FCFA), ce qui est un signal classique de survente. Cette position extrême suggère une possible correction technique à la hausse, justifiant une décision d'Achat à contre-courant de la tendance.</w:t>
      </w:r>
    </w:p>
    <w:p>
      <w:pPr>
        <w:spacing w:after="120" w:line="276" w:lineRule="auto"/>
      </w:pPr>
      <w:r>
        <w:t>**MACD** : Le MACD (-288,658) est inférieur à son signal (-78,677), confirmant un momentum baissier. La divergence négative indique une pression vendeuse persistante, justifiant une décision de Vente.</w:t>
      </w:r>
    </w:p>
    <w:p>
      <w:pPr>
        <w:spacing w:after="120" w:line="276" w:lineRule="auto"/>
      </w:pPr>
      <w:r>
        <w:t>**RSI** : Avec une valeur de 31,787, le RSI se situe en zone neutre, proche du seuil de survente (30). Cela suggère que le titre n'est pas encore en situation de survente extrême, mais que la pression vendeuse reste présente, justifiant une décision Neutre.</w:t>
      </w:r>
    </w:p>
    <w:p>
      <w:pPr>
        <w:spacing w:after="120" w:line="276" w:lineRule="auto"/>
      </w:pPr>
      <w:r>
        <w:t>**Stochastique** : Le %K à 0,0 et le %D à 13,333 indiquent une condition de survente extrême. Le croisement potentiel de ces lignes pourrait signaler un rebond imminent, justifiant une décision d'Achat.</w:t>
      </w:r>
    </w:p>
    <w:p>
      <w:pPr>
        <w:spacing w:after="120" w:line="276" w:lineRule="auto"/>
      </w:pPr>
      <w:r>
        <w:t>**Conclusion technique** : Les indicateurs sont mitigés, avec une prédominance de signaux baissiers (MM, MACD) contre des signaux de survente (Bollinger, Stochastique). La configuration suggère un potentiel de rebond technique à court terme, mais la tendance de fond reste baissière.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indiquent un chiffre d'affaires de 268,537 milliards FCFA, en hausse de 25,3% par rapport à 2024, et un résultat net de 36,158 milliards FCFA, en baisse de 17,5% (contre 44,2 milliards en 2024). La marge nette s'établit à 13,46%, contre 20,4% en 2024, illustrant une dégradation de la rentabilité. Le ROE est exceptionnel à 79,75% et le ROA à 48,09%, démontrant une utilisation très efficace des capitaux propres et des actifs. La structure financière est saine avec une autonomie financière de 60,3%, une trésorerie nette de 30,763 milliards FCFA et un endettement quasi nul. Le BFR de 5,639 milliards FCFA et les délais clients de 42,57 jours indiquent une gestion correcte du cycle d'exploitation. Les rapports narratifs (rapport annuel 2025, rapport T1 2026) confirment cette tendance : le T1 2026 montre un CA de 68,8 milliards FCFA (+12%) mais un résultat net stable à 9,3 milliards FCFA (-1%). On estime que l'exercice 2026 devrait maintenir une croissance du CA, mais la pression fiscale (droits d'accise passés de 49% à 70%) et la hausse des charges continueront de peser sur les marges. La recommandation fondamentale est de CONSERVER, car la société affiche une solidité financière remarquable et une politique de dividende généreuse (1 940 FCFA/action), mais les perspectives de rentabilité restent incertaines.</w:t>
      </w:r>
    </w:p>
    <w:p>
      <w:pPr>
        <w:spacing w:after="120" w:line="276" w:lineRule="auto" w:before="240"/>
      </w:pPr>
      <w:r>
        <w:rPr>
          <w:b/>
          <w:color w:val="003366"/>
          <w:sz w:val="24"/>
        </w:rPr>
        <w:t>**PARTIE 4 : CONCLUSION D'INVESTISSEMENT**</w:t>
      </w:r>
    </w:p>
    <w:p>
      <w:pPr>
        <w:spacing w:after="120" w:line="276" w:lineRule="auto"/>
      </w:pPr>
      <w:r>
        <w:t>La valorisation (Partie 0) est mitigée : un PER raisonnable (10,5x) mais un P/B très élevé (8,40x) indiquent une prime de marché significative. Le comportement du cours (Partie 1) est préoccupant avec une tendance baissière, une volatilité élevée (34,8%) et une chute récente de -7,40%. Les signaux techniques (Partie 2) sont divergents, avec des indicateurs de survente (Bollinger, Stochastique) suggérant un rebond potentiel, mais des MM et MACD baissiers. Les fondamentaux (Partie 3) sont solides à long terme, avec une croissance du CA, un ROE exceptionnel et une structure financière saine, mais la rentabilité nette est en déclin. Les prédictions IA (J+1 à J+10) prévoient une hausse progressive du cours (de 22 395 à 23 094 FCFA), contredisant la tendance baissière actuelle et suggérant un potentiel de correction à la hausse. En synthèse, la convergence entre les signaux de survente technique, les prédictions IA haussières et les fondamentaux solides, malgré une valorisation exigeante, conduit à une recommandation de **CONSERVER**. Le niveau de confiance est **Moyen**, le risque global est **Élevé** en raison de la volatilité, et l'horizon d'investissement optimal est **moyen terme (3-12 mois)** pour capitaliser sur un éventuel rebond technique et la solidité des dividendes.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226.35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7,821 titres</w:t>
            </w:r>
          </w:p>
        </w:tc>
        <w:tc>
          <w:tcPr>
            <w:tcW w:type="dxa" w:w="2268"/>
            <w:shd w:fill="FFF2CC" w:val="clear"/>
          </w:tcPr>
          <w:p>
            <w:r>
              <w:rPr>
                <w:b/>
                <w:color w:val="503200"/>
                <w:sz w:val="16"/>
              </w:rPr>
              <w:t xml:space="preserve">Cours actuel : </w:t>
            </w:r>
            <w:r>
              <w:rPr>
                <w:color w:val="000000"/>
                <w:sz w:val="17"/>
              </w:rPr>
              <w:t>3,595 FCFA</w:t>
            </w:r>
          </w:p>
          <w:p>
            <w:r>
              <w:rPr>
                <w:b/>
                <w:color w:val="503200"/>
                <w:sz w:val="16"/>
              </w:rPr>
              <w:t xml:space="preserve">Var. 100 jours : </w:t>
            </w:r>
            <w:r>
              <w:rPr>
                <w:b/>
                <w:color w:val="007800"/>
                <w:sz w:val="17"/>
              </w:rPr>
              <w:t>+24.83%</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5.60% (Moyenne) — μ=2,891 FCFA, σ=162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β=0.1371 (Défensif) — Cov=0.000005, Var(idx)=0.000033, ρ=0.031,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7,821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3,379</w:t>
            </w:r>
          </w:p>
        </w:tc>
        <w:tc>
          <w:tcPr>
            <w:tcW w:type="dxa" w:w="1440"/>
            <w:shd w:fill="FAFAFA" w:val="clear"/>
          </w:tcPr>
          <w:p>
            <w:r>
              <w:rPr>
                <w:b/>
                <w:sz w:val="17"/>
              </w:rPr>
              <w:t>3,575</w:t>
            </w:r>
          </w:p>
        </w:tc>
        <w:tc>
          <w:tcPr>
            <w:tcW w:type="dxa" w:w="1440"/>
            <w:shd w:fill="FAFAFA" w:val="clear"/>
          </w:tcPr>
          <w:p>
            <w:r>
              <w:rPr>
                <w:sz w:val="17"/>
              </w:rPr>
              <w:t>3,771</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3,283</w:t>
            </w:r>
          </w:p>
        </w:tc>
        <w:tc>
          <w:tcPr>
            <w:tcW w:type="dxa" w:w="1440"/>
            <w:shd w:fill="FAFAFA" w:val="clear"/>
          </w:tcPr>
          <w:p>
            <w:r>
              <w:rPr>
                <w:b/>
                <w:sz w:val="17"/>
              </w:rPr>
              <w:t>3,559</w:t>
            </w:r>
          </w:p>
        </w:tc>
        <w:tc>
          <w:tcPr>
            <w:tcW w:type="dxa" w:w="1440"/>
            <w:shd w:fill="FAFAFA" w:val="clear"/>
          </w:tcPr>
          <w:p>
            <w:r>
              <w:rPr>
                <w:sz w:val="17"/>
              </w:rPr>
              <w:t>3,836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3,195</w:t>
            </w:r>
          </w:p>
        </w:tc>
        <w:tc>
          <w:tcPr>
            <w:tcW w:type="dxa" w:w="1440"/>
            <w:shd w:fill="FAFAFA" w:val="clear"/>
          </w:tcPr>
          <w:p>
            <w:r>
              <w:rPr>
                <w:b/>
                <w:sz w:val="17"/>
              </w:rPr>
              <w:t>3,531</w:t>
            </w:r>
          </w:p>
        </w:tc>
        <w:tc>
          <w:tcPr>
            <w:tcW w:type="dxa" w:w="1440"/>
            <w:shd w:fill="FAFAFA" w:val="clear"/>
          </w:tcPr>
          <w:p>
            <w:r>
              <w:rPr>
                <w:sz w:val="17"/>
              </w:rPr>
              <w:t>3,866</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3,122</w:t>
            </w:r>
          </w:p>
        </w:tc>
        <w:tc>
          <w:tcPr>
            <w:tcW w:type="dxa" w:w="1440"/>
            <w:shd w:fill="FFDCE0" w:val="clear"/>
          </w:tcPr>
          <w:p>
            <w:r>
              <w:rPr>
                <w:b/>
                <w:sz w:val="17"/>
              </w:rPr>
              <w:t>3,507</w:t>
            </w:r>
          </w:p>
        </w:tc>
        <w:tc>
          <w:tcPr>
            <w:tcW w:type="dxa" w:w="1440"/>
            <w:shd w:fill="FFDCE0" w:val="clear"/>
          </w:tcPr>
          <w:p>
            <w:r>
              <w:rPr>
                <w:sz w:val="17"/>
              </w:rPr>
              <w:t>3,892</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3,059</w:t>
            </w:r>
          </w:p>
        </w:tc>
        <w:tc>
          <w:tcPr>
            <w:tcW w:type="dxa" w:w="1440"/>
            <w:shd w:fill="FFDCE0" w:val="clear"/>
          </w:tcPr>
          <w:p>
            <w:r>
              <w:rPr>
                <w:b/>
                <w:sz w:val="17"/>
              </w:rPr>
              <w:t>3,487</w:t>
            </w:r>
          </w:p>
        </w:tc>
        <w:tc>
          <w:tcPr>
            <w:tcW w:type="dxa" w:w="1440"/>
            <w:shd w:fill="FFDCE0" w:val="clear"/>
          </w:tcPr>
          <w:p>
            <w:r>
              <w:rPr>
                <w:sz w:val="17"/>
              </w:rPr>
              <w:t>3,915</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3,002</w:t>
            </w:r>
          </w:p>
        </w:tc>
        <w:tc>
          <w:tcPr>
            <w:tcW w:type="dxa" w:w="1440"/>
            <w:shd w:fill="FFDCE0" w:val="clear"/>
          </w:tcPr>
          <w:p>
            <w:r>
              <w:rPr>
                <w:b/>
                <w:sz w:val="17"/>
              </w:rPr>
              <w:t>3,468</w:t>
            </w:r>
          </w:p>
        </w:tc>
        <w:tc>
          <w:tcPr>
            <w:tcW w:type="dxa" w:w="1440"/>
            <w:shd w:fill="FFDCE0" w:val="clear"/>
          </w:tcPr>
          <w:p>
            <w:r>
              <w:rPr>
                <w:sz w:val="17"/>
              </w:rPr>
              <w:t>3,935</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2,950</w:t>
            </w:r>
          </w:p>
        </w:tc>
        <w:tc>
          <w:tcPr>
            <w:tcW w:type="dxa" w:w="1440"/>
            <w:shd w:fill="FFDCE0" w:val="clear"/>
          </w:tcPr>
          <w:p>
            <w:r>
              <w:rPr>
                <w:b/>
                <w:sz w:val="17"/>
              </w:rPr>
              <w:t>3,451</w:t>
            </w:r>
          </w:p>
        </w:tc>
        <w:tc>
          <w:tcPr>
            <w:tcW w:type="dxa" w:w="1440"/>
            <w:shd w:fill="FFDCE0" w:val="clear"/>
          </w:tcPr>
          <w:p>
            <w:r>
              <w:rPr>
                <w:sz w:val="17"/>
              </w:rPr>
              <w:t>3,952</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2,902</w:t>
            </w:r>
          </w:p>
        </w:tc>
        <w:tc>
          <w:tcPr>
            <w:tcW w:type="dxa" w:w="1440"/>
            <w:shd w:fill="FFDCE0" w:val="clear"/>
          </w:tcPr>
          <w:p>
            <w:r>
              <w:rPr>
                <w:b/>
                <w:sz w:val="17"/>
              </w:rPr>
              <w:t>3,435</w:t>
            </w:r>
          </w:p>
        </w:tc>
        <w:tc>
          <w:tcPr>
            <w:tcW w:type="dxa" w:w="1440"/>
            <w:shd w:fill="FFDCE0" w:val="clear"/>
          </w:tcPr>
          <w:p>
            <w:r>
              <w:rPr>
                <w:sz w:val="17"/>
              </w:rPr>
              <w:t>3,968</w:t>
            </w:r>
          </w:p>
        </w:tc>
        <w:tc>
          <w:tcPr>
            <w:tcW w:type="dxa" w:w="1440"/>
            <w:shd w:fill="FFDCE0" w:val="clear"/>
          </w:tcPr>
          <w:p>
            <w:r>
              <w:rPr>
                <w:b/>
                <w:color w:val="C00000"/>
                <w:sz w:val="17"/>
              </w:rPr>
              <w:t>-4.5%</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2,856</w:t>
            </w:r>
          </w:p>
        </w:tc>
        <w:tc>
          <w:tcPr>
            <w:tcW w:type="dxa" w:w="1440"/>
            <w:shd w:fill="FFDCE0" w:val="clear"/>
          </w:tcPr>
          <w:p>
            <w:r>
              <w:rPr>
                <w:b/>
                <w:sz w:val="17"/>
              </w:rPr>
              <w:t>3,419</w:t>
            </w:r>
          </w:p>
        </w:tc>
        <w:tc>
          <w:tcPr>
            <w:tcW w:type="dxa" w:w="1440"/>
            <w:shd w:fill="FFDCE0" w:val="clear"/>
          </w:tcPr>
          <w:p>
            <w:r>
              <w:rPr>
                <w:sz w:val="17"/>
              </w:rPr>
              <w:t>3,982</w:t>
            </w:r>
          </w:p>
        </w:tc>
        <w:tc>
          <w:tcPr>
            <w:tcW w:type="dxa" w:w="1440"/>
            <w:shd w:fill="FFDCE0" w:val="clear"/>
          </w:tcPr>
          <w:p>
            <w:r>
              <w:rPr>
                <w:b/>
                <w:color w:val="C00000"/>
                <w:sz w:val="17"/>
              </w:rPr>
              <w:t>-4.9%</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2,813</w:t>
            </w:r>
          </w:p>
        </w:tc>
        <w:tc>
          <w:tcPr>
            <w:tcW w:type="dxa" w:w="1440"/>
            <w:shd w:fill="FFDCE0" w:val="clear"/>
          </w:tcPr>
          <w:p>
            <w:r>
              <w:rPr>
                <w:b/>
                <w:sz w:val="17"/>
              </w:rPr>
              <w:t>3,404</w:t>
            </w:r>
          </w:p>
        </w:tc>
        <w:tc>
          <w:tcPr>
            <w:tcW w:type="dxa" w:w="1440"/>
            <w:shd w:fill="FFDCE0" w:val="clear"/>
          </w:tcPr>
          <w:p>
            <w:r>
              <w:rPr>
                <w:sz w:val="17"/>
              </w:rPr>
              <w:t>3,994</w:t>
            </w:r>
          </w:p>
        </w:tc>
        <w:tc>
          <w:tcPr>
            <w:tcW w:type="dxa" w:w="1440"/>
            <w:shd w:fill="FFDCE0" w:val="clear"/>
          </w:tcPr>
          <w:p>
            <w:r>
              <w:rPr>
                <w:b/>
                <w:color w:val="C00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226,35 milliards FCFA, positionnant le titre parmi les valeurs moyennes à grandes capitalisations de la BRVM. Le BPA de 144 FCFA indique que chaque action génère un bénéfice annuel de ce montant. Le PER de 24,9x est nettement supérieur à la moyenne historique de la BRVM (8-12x), ce qui signifie que les investisseurs paient une prime substantielle pour chaque franc de bénéfice, anticipant probablement une croissance future ou valorisant la solidité de la marque. Le P/B de 6,25x confirme cette prime, le marché valorisant l'actif net comptable plus de six fois au-dessus de sa valeur, un niveau exigeant qui reflète une forte confiance dans la création de valeur future. Enfin, l'EV/EBITDA de 12,6x, bien que dans la fourchette haute (10-15x), indique que la valeur totale de l'entreprise (capitalisation + dettes - trésorerie) représente 12,6 fois son excédent brut d'exploitation, une valorisation élevée mais pas extrême pour un leader de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 enregistré une progression remarquable de +24,83%, avec une accélération notable lors de la dernière séance (+5,74%), clôturant à 3 595 FCFA, son plus haut niveau sur la période. Le cours a évolué dans une fourchette de 2 650 à 3 595 FCFA, démontrant une tendance haussière soutenue. Les statistiques descriptives révèlent une moyenne de 2 891 FCFA, très proche de la médiane (2 878 FCFA) et du mode (2 900 FCFA), indiquant une distribution relativement symétrique autour de ces valeurs centrales. L'écart-type de 163 FCFA, avec un coefficient de variation de 5,6%, témoigne d'une dispersion modérée du cours. Cependant, le kurtosis de 4,116 (leptokurtique) signale un risque de mouvements extrêmes, tandis que le skewness positif de 1,676 indique que le cours a passé plus de journées sous la moyenne, avec des pics haussiers prononcés. La volatilité annualisée de 40,7% classe le titre comme très volatil, un niveau élevé qui implique un risque important mais aussi un potentiel de gains substantiels.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3 595 FCFA se positionne nettement au-dessus de la MM20 (3 096,75 FCFA) et de la MM50 (2 975,6 FCFA), confirmant une dynamique haussière robuste à court et moyen terme. L'écart croissant entre le cours et les moyennes suggère une forte impulsion acheteuse, justifiant la décision d'achat.</w:t>
      </w:r>
    </w:p>
    <w:p>
      <w:pPr>
        <w:spacing w:after="120" w:line="276" w:lineRule="auto"/>
      </w:pPr>
      <w:r>
        <w:t>**Bandes de Bollinger** : Le prix évolue au-dessus de la borne supérieure (3 528,896 FCFA), un signal classique de surachat temporaire. Cette sortie de bande indique une volatilité extrême et une pression acheteuse intense, mais suggère également un risque de correction technique à court terme, d'où la décision de vente.</w:t>
      </w:r>
    </w:p>
    <w:p>
      <w:pPr>
        <w:spacing w:after="120" w:line="276" w:lineRule="auto"/>
      </w:pPr>
      <w:r>
        <w:t>**MACD** : La valeur du MACD (136,933) est nettement supérieure à son signal (84,393), avec un écart positif croissant. Cette configuration indique un momentum haussier fort et persistant, confirmant la tendance ascendante. La décision d'achat est justifiée par cette dynamique positive.</w:t>
      </w:r>
    </w:p>
    <w:p>
      <w:pPr>
        <w:spacing w:after="120" w:line="276" w:lineRule="auto"/>
      </w:pPr>
      <w:r>
        <w:t>**RSI** : Le RSI à 77,165 dépasse largement le seuil de surachat (70), signalant que le titre est techniquement surévalué à court terme. Cette zone indique une pression acheteuse excessive, souvent suivie d'une consolidation ou d'un repli, justifiant la décision de vente.</w:t>
      </w:r>
    </w:p>
    <w:p>
      <w:pPr>
        <w:spacing w:after="120" w:line="276" w:lineRule="auto"/>
      </w:pPr>
      <w:r>
        <w:t>**Stochastique** : Le %K et le %D sont tous deux à 100, un niveau extrême de surachat. Cette configuration reflète une force absolue du mouvement haussier, mais elle est rarement soutenable et précède généralement un retour à la moyenne. La décision de vente est donc justifiée.</w:t>
      </w:r>
    </w:p>
    <w:p>
      <w:pPr>
        <w:spacing w:after="120" w:line="276" w:lineRule="auto"/>
      </w:pPr>
      <w:r>
        <w:t>**Conclusion technique** : Les indicateurs de tendance (MM, MACD) confirment une forte dynamique haussière, tandis que les oscillateurs (RSI, Stochastique, Bollinger) signalent un surachat extrême. Cette divergence suggère qu'une correction technique est probable à court terme, mais la tendance de fond reste résolument positive.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TTLC révèlent un chiffre d'affaires de 588,709 milliards FCFA, en repli de 5,2% par rapport à 2024 (621,042 milliards FCFA), mais avec une amélioration notable de la rentabilité opérationnelle : l'EBE progresse de 12% à 22,347 milliards FCFA et le résultat d'exploitation bondit de 18% à 12,329 milliards FCFA. Le résultat net s'établit à 9,087 milliards FCFA, en légère baisse de 3%, avec un ROE exceptionnel de 25,1% et un ROA de 4,8%. En tant qu'entreprise de distribution, le BFR négatif de -9,662 milliards FCFA est un signal très favorable, indiquant que l'entreprise finance son exploitation grâce aux délais fournisseurs (49,72 jours) et une rotation rapide des stocks (13,80 jours). Cependant, la trésorerie nette est fortement négative (-21,926 milliards FCFA) et le ratio d'endettement atteint 90,2%, reflétant une dépendance aux crédits bancaires court terme. Les rapports trimestriels de 2025 montrent une dégradation progressive : le T1 2025 affiche un résultat net en baisse de 30,6%, le S1 2025 de 25,5%, et le cumul à fin septembre de 30,2%, principalement en raison d'un effet de base défavorable et d'une charge fiscale anticipée. Le rapport T1 2026 (daté de 2026) indique un rebond avec un chiffre d'affaires de 154,392 milliards FCFA (+4,3%) et un résultat net de 2,329 milliards FCFA (+5,5%), suggérant une reprise de la dynamique commerciale. La politique de dividende reste généreuse avec 10 milliards FCFA proposés pour 2025, soit un taux de distribution supérieur à 100%, financé partiellement par les réserves. La recommandation fondamentale est de conserver le titre, compte tenu de la solidité opérationnelle, mais avec une vigilance sur la soutenabilité de la distribution et la pression sur la trésorerie.</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avec un PER de 24,9x et un P/B de 6,25x, indiquant une surévaluation relative par rapport au marché BRVM, mais justifiée par un ROE de 25,1% et une position de leader. Le comportement du cours sur 100 jours est très favorable avec une hausse de 24,83%, mais les statistiques révèlent un risque de pics (kurtosis élevé) et une volatilité annualisée de 40,7%, préoccupante pour un investisseur prudent. Les signaux techniques sont contradictoires : la tendance (MM, MACD) est clairement haussière, mais les oscillateurs (RSI à 77, Stochastique à 100, sortie de bande de Bollinger) indiquent un surachat extrême, suggérant une correction imminente. Les fondamentaux montrent une entreprise rentable avec une amélioration opérationnelle, mais confrontée à une trésorerie négative et un endettement élevé. Les prédictions IA pour les 10 prochains jours (3 575 à 3 487 FCFA) confirment cette anticipation de consolidation, avec un repli progressif vers 3 487 FCFA. La convergence entre les signaux techniques de surachat et les prédictions IA suggère une pause dans la hausse. **Recommandation finale : CONSERVER** avec un niveau de confiance **Moyen** et un risque global **Élevé**. L'horizon d'investissement optimal est le **moyen terme (3-12 mois)**, en attendant une correction technique pour renforcer la position, tout en bénéficiant du dividende attractif et de la solidité opérationnelle de l'entreprise.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2,762 titres</w:t>
            </w:r>
          </w:p>
        </w:tc>
        <w:tc>
          <w:tcPr>
            <w:tcW w:type="dxa" w:w="2268"/>
            <w:shd w:fill="FFF2CC" w:val="clear"/>
          </w:tcPr>
          <w:p>
            <w:r>
              <w:rPr>
                <w:b/>
                <w:color w:val="503200"/>
                <w:sz w:val="16"/>
              </w:rPr>
              <w:t xml:space="preserve">Cours actuel : </w:t>
            </w:r>
            <w:r>
              <w:rPr>
                <w:color w:val="000000"/>
                <w:sz w:val="17"/>
              </w:rPr>
              <w:t>3,800 FCFA</w:t>
            </w:r>
          </w:p>
          <w:p>
            <w:r>
              <w:rPr>
                <w:b/>
                <w:color w:val="503200"/>
                <w:sz w:val="16"/>
              </w:rPr>
              <w:t xml:space="preserve">Var. 100 jours : </w:t>
            </w:r>
            <w:r>
              <w:rPr>
                <w:b/>
                <w:color w:val="007800"/>
                <w:sz w:val="17"/>
              </w:rPr>
              <w:t>+16.92%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10.54% (Moyenne) — μ=3,498 FCFA, σ=369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β=0.8626 (Neutre (suit le marché)) — Cov=0.000029, Var(idx)=0.000033, ρ=0.166,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2,762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σ_j=3.00%/j (Modérée) — Vol. annualisée≈47.6%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3,468</w:t>
            </w:r>
          </w:p>
        </w:tc>
        <w:tc>
          <w:tcPr>
            <w:tcW w:type="dxa" w:w="1440"/>
            <w:shd w:fill="FFDCE0" w:val="clear"/>
          </w:tcPr>
          <w:p>
            <w:r>
              <w:rPr>
                <w:b/>
                <w:sz w:val="17"/>
              </w:rPr>
              <w:t>3,670</w:t>
            </w:r>
          </w:p>
        </w:tc>
        <w:tc>
          <w:tcPr>
            <w:tcW w:type="dxa" w:w="1440"/>
            <w:shd w:fill="FFDCE0" w:val="clear"/>
          </w:tcPr>
          <w:p>
            <w:r>
              <w:rPr>
                <w:sz w:val="17"/>
              </w:rPr>
              <w:t>3,871</w:t>
            </w:r>
          </w:p>
        </w:tc>
        <w:tc>
          <w:tcPr>
            <w:tcW w:type="dxa" w:w="1440"/>
            <w:shd w:fill="FFDCE0" w:val="clear"/>
          </w:tcPr>
          <w:p>
            <w:r>
              <w:rPr>
                <w:b/>
                <w:color w:val="C00000"/>
                <w:sz w:val="17"/>
              </w:rPr>
              <w:t>-3.4%</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3,323</w:t>
            </w:r>
          </w:p>
        </w:tc>
        <w:tc>
          <w:tcPr>
            <w:tcW w:type="dxa" w:w="1440"/>
            <w:shd w:fill="FFDCE0" w:val="clear"/>
          </w:tcPr>
          <w:p>
            <w:r>
              <w:rPr>
                <w:b/>
                <w:sz w:val="17"/>
              </w:rPr>
              <w:t>3,603</w:t>
            </w:r>
          </w:p>
        </w:tc>
        <w:tc>
          <w:tcPr>
            <w:tcW w:type="dxa" w:w="1440"/>
            <w:shd w:fill="FFDCE0" w:val="clear"/>
          </w:tcPr>
          <w:p>
            <w:r>
              <w:rPr>
                <w:sz w:val="17"/>
              </w:rPr>
              <w:t>3,883</w:t>
            </w:r>
          </w:p>
        </w:tc>
        <w:tc>
          <w:tcPr>
            <w:tcW w:type="dxa" w:w="1440"/>
            <w:shd w:fill="FFDCE0" w:val="clear"/>
          </w:tcPr>
          <w:p>
            <w:r>
              <w:rPr>
                <w:b/>
                <w:color w:val="C00000"/>
                <w:sz w:val="17"/>
              </w:rPr>
              <w:t>-5.2%</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3,209</w:t>
            </w:r>
          </w:p>
        </w:tc>
        <w:tc>
          <w:tcPr>
            <w:tcW w:type="dxa" w:w="1440"/>
            <w:shd w:fill="FFDCE0" w:val="clear"/>
          </w:tcPr>
          <w:p>
            <w:r>
              <w:rPr>
                <w:b/>
                <w:sz w:val="17"/>
              </w:rPr>
              <w:t>3,547</w:t>
            </w:r>
          </w:p>
        </w:tc>
        <w:tc>
          <w:tcPr>
            <w:tcW w:type="dxa" w:w="1440"/>
            <w:shd w:fill="FFDCE0" w:val="clear"/>
          </w:tcPr>
          <w:p>
            <w:r>
              <w:rPr>
                <w:sz w:val="17"/>
              </w:rPr>
              <w:t>3,884</w:t>
            </w:r>
          </w:p>
        </w:tc>
        <w:tc>
          <w:tcPr>
            <w:tcW w:type="dxa" w:w="1440"/>
            <w:shd w:fill="FFDCE0" w:val="clear"/>
          </w:tcPr>
          <w:p>
            <w:r>
              <w:rPr>
                <w:b/>
                <w:color w:val="C00000"/>
                <w:sz w:val="17"/>
              </w:rPr>
              <w:t>-6.7%</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3,114</w:t>
            </w:r>
          </w:p>
        </w:tc>
        <w:tc>
          <w:tcPr>
            <w:tcW w:type="dxa" w:w="1440"/>
            <w:shd w:fill="FFDCE0" w:val="clear"/>
          </w:tcPr>
          <w:p>
            <w:r>
              <w:rPr>
                <w:b/>
                <w:sz w:val="17"/>
              </w:rPr>
              <w:t>3,498</w:t>
            </w:r>
          </w:p>
        </w:tc>
        <w:tc>
          <w:tcPr>
            <w:tcW w:type="dxa" w:w="1440"/>
            <w:shd w:fill="FFDCE0" w:val="clear"/>
          </w:tcPr>
          <w:p>
            <w:r>
              <w:rPr>
                <w:sz w:val="17"/>
              </w:rPr>
              <w:t>3,882</w:t>
            </w:r>
          </w:p>
        </w:tc>
        <w:tc>
          <w:tcPr>
            <w:tcW w:type="dxa" w:w="1440"/>
            <w:shd w:fill="FFDCE0" w:val="clear"/>
          </w:tcPr>
          <w:p>
            <w:r>
              <w:rPr>
                <w:b/>
                <w:color w:val="C00000"/>
                <w:sz w:val="17"/>
              </w:rPr>
              <w:t>-7.9%</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3,030</w:t>
            </w:r>
          </w:p>
        </w:tc>
        <w:tc>
          <w:tcPr>
            <w:tcW w:type="dxa" w:w="1440"/>
            <w:shd w:fill="FFDCE0" w:val="clear"/>
          </w:tcPr>
          <w:p>
            <w:r>
              <w:rPr>
                <w:b/>
                <w:sz w:val="17"/>
              </w:rPr>
              <w:t>3,454</w:t>
            </w:r>
          </w:p>
        </w:tc>
        <w:tc>
          <w:tcPr>
            <w:tcW w:type="dxa" w:w="1440"/>
            <w:shd w:fill="FFDCE0" w:val="clear"/>
          </w:tcPr>
          <w:p>
            <w:r>
              <w:rPr>
                <w:sz w:val="17"/>
              </w:rPr>
              <w:t>3,878</w:t>
            </w:r>
          </w:p>
        </w:tc>
        <w:tc>
          <w:tcPr>
            <w:tcW w:type="dxa" w:w="1440"/>
            <w:shd w:fill="FFDCE0" w:val="clear"/>
          </w:tcPr>
          <w:p>
            <w:r>
              <w:rPr>
                <w:b/>
                <w:color w:val="C00000"/>
                <w:sz w:val="17"/>
              </w:rPr>
              <w:t>-9.1%</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2,954</w:t>
            </w:r>
          </w:p>
        </w:tc>
        <w:tc>
          <w:tcPr>
            <w:tcW w:type="dxa" w:w="1440"/>
            <w:shd w:fill="FFDCE0" w:val="clear"/>
          </w:tcPr>
          <w:p>
            <w:r>
              <w:rPr>
                <w:b/>
                <w:sz w:val="17"/>
              </w:rPr>
              <w:t>3,414</w:t>
            </w:r>
          </w:p>
        </w:tc>
        <w:tc>
          <w:tcPr>
            <w:tcW w:type="dxa" w:w="1440"/>
            <w:shd w:fill="FFDCE0" w:val="clear"/>
          </w:tcPr>
          <w:p>
            <w:r>
              <w:rPr>
                <w:sz w:val="17"/>
              </w:rPr>
              <w:t>3,873</w:t>
            </w:r>
          </w:p>
        </w:tc>
        <w:tc>
          <w:tcPr>
            <w:tcW w:type="dxa" w:w="1440"/>
            <w:shd w:fill="FFDCE0" w:val="clear"/>
          </w:tcPr>
          <w:p>
            <w:r>
              <w:rPr>
                <w:b/>
                <w:color w:val="C00000"/>
                <w:sz w:val="17"/>
              </w:rPr>
              <w:t>-10.2%</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2,885</w:t>
            </w:r>
          </w:p>
        </w:tc>
        <w:tc>
          <w:tcPr>
            <w:tcW w:type="dxa" w:w="1440"/>
            <w:shd w:fill="FFDCE0" w:val="clear"/>
          </w:tcPr>
          <w:p>
            <w:r>
              <w:rPr>
                <w:b/>
                <w:sz w:val="17"/>
              </w:rPr>
              <w:t>3,376</w:t>
            </w:r>
          </w:p>
        </w:tc>
        <w:tc>
          <w:tcPr>
            <w:tcW w:type="dxa" w:w="1440"/>
            <w:shd w:fill="FFDCE0" w:val="clear"/>
          </w:tcPr>
          <w:p>
            <w:r>
              <w:rPr>
                <w:sz w:val="17"/>
              </w:rPr>
              <w:t>3,866</w:t>
            </w:r>
          </w:p>
        </w:tc>
        <w:tc>
          <w:tcPr>
            <w:tcW w:type="dxa" w:w="1440"/>
            <w:shd w:fill="FFDCE0" w:val="clear"/>
          </w:tcPr>
          <w:p>
            <w:r>
              <w:rPr>
                <w:b/>
                <w:color w:val="C00000"/>
                <w:sz w:val="17"/>
              </w:rPr>
              <w:t>-11.2%</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2,821</w:t>
            </w:r>
          </w:p>
        </w:tc>
        <w:tc>
          <w:tcPr>
            <w:tcW w:type="dxa" w:w="1440"/>
            <w:shd w:fill="FFDCE0" w:val="clear"/>
          </w:tcPr>
          <w:p>
            <w:r>
              <w:rPr>
                <w:b/>
                <w:sz w:val="17"/>
              </w:rPr>
              <w:t>3,340</w:t>
            </w:r>
          </w:p>
        </w:tc>
        <w:tc>
          <w:tcPr>
            <w:tcW w:type="dxa" w:w="1440"/>
            <w:shd w:fill="FFDCE0" w:val="clear"/>
          </w:tcPr>
          <w:p>
            <w:r>
              <w:rPr>
                <w:sz w:val="17"/>
              </w:rPr>
              <w:t>3,859</w:t>
            </w:r>
          </w:p>
        </w:tc>
        <w:tc>
          <w:tcPr>
            <w:tcW w:type="dxa" w:w="1440"/>
            <w:shd w:fill="FFDCE0" w:val="clear"/>
          </w:tcPr>
          <w:p>
            <w:r>
              <w:rPr>
                <w:b/>
                <w:color w:val="C00000"/>
                <w:sz w:val="17"/>
              </w:rPr>
              <w:t>-12.1%</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2,762</w:t>
            </w:r>
          </w:p>
        </w:tc>
        <w:tc>
          <w:tcPr>
            <w:tcW w:type="dxa" w:w="1440"/>
            <w:shd w:fill="FFDCE0" w:val="clear"/>
          </w:tcPr>
          <w:p>
            <w:r>
              <w:rPr>
                <w:b/>
                <w:sz w:val="17"/>
              </w:rPr>
              <w:t>3,307</w:t>
            </w:r>
          </w:p>
        </w:tc>
        <w:tc>
          <w:tcPr>
            <w:tcW w:type="dxa" w:w="1440"/>
            <w:shd w:fill="FFDCE0" w:val="clear"/>
          </w:tcPr>
          <w:p>
            <w:r>
              <w:rPr>
                <w:sz w:val="17"/>
              </w:rPr>
              <w:t>3,851</w:t>
            </w:r>
          </w:p>
        </w:tc>
        <w:tc>
          <w:tcPr>
            <w:tcW w:type="dxa" w:w="1440"/>
            <w:shd w:fill="FFDCE0" w:val="clear"/>
          </w:tcPr>
          <w:p>
            <w:r>
              <w:rPr>
                <w:b/>
                <w:color w:val="C00000"/>
                <w:sz w:val="17"/>
              </w:rPr>
              <w:t>-13.0%</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2,706</w:t>
            </w:r>
          </w:p>
        </w:tc>
        <w:tc>
          <w:tcPr>
            <w:tcW w:type="dxa" w:w="1440"/>
            <w:shd w:fill="FFDCE0" w:val="clear"/>
          </w:tcPr>
          <w:p>
            <w:r>
              <w:rPr>
                <w:b/>
                <w:sz w:val="17"/>
              </w:rPr>
              <w:t>3,275</w:t>
            </w:r>
          </w:p>
        </w:tc>
        <w:tc>
          <w:tcPr>
            <w:tcW w:type="dxa" w:w="1440"/>
            <w:shd w:fill="FFDCE0" w:val="clear"/>
          </w:tcPr>
          <w:p>
            <w:r>
              <w:rPr>
                <w:sz w:val="17"/>
              </w:rPr>
              <w:t>3,844</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123,80 milliards FCFA, ce qui en fait une valeur de taille moyenne sur la BRVM, représentative d'un actif industriel majeur au Sénégal. Avec un BPA de 208 FCFA, le PER de 18,3x se situe nettement au-dessus de la moyenne historique de la place (~8-12x), indiquant que les investisseurs acceptent de payer une prime pour la solidité de la marque et sa position dominante. Le P/B de 4,38x confirme cette prime, le marché valorisant fortement les capitaux propres de l'entreprise, tandis que l'EV/EBITDA de 7,8x, dans une fourchette raisonnable (5-10x), tempère cette lecture en montrant que la valeur d'entreprise reste cohérente avec sa capacité opérationnelle. Cette combinaison suggère une valorisation exigeante mais justifiée par la qualité des actifs.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remarquable de +16,92%, bien que la dernière séance enregistre un repli de -1,30% à 3 800 FCFA. Le titre a évolué dans une fourchette large de 2 845 à 4 500 FCFA, illustrant une volatilité significative. La moyenne (3 498 FCFA) est légèrement supérieure à la médiane (3 455 FCFA), et le mode à 3 250 FCFA, ce qui, combiné à un skewness positif de 0,589, indique une asymétrie positive avec des journées plus fréquentes sous la moyenne mais des mouvements haussiers marqués. L'écart-type de 371 FCFA (CV=10,6%) montre une dispersion modérée, tandis que le kurtosis de -0,103 (mésokurtique) suggère une distribution proche de la normale, sans risque de pics extrêmes. La volatilité annualisée de 47,6% classe le titre comme très volatil, un niveau élevé qui appelle à la prudence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(3 800 FCFA) se situe au-dessus de la MM20 (3 678,25 FCFA) mais en dessous de la MM50 (3 784,4 FCFA), créant une configuration ambiguë. La décision de vente signalée par la MM50 suggère que la tendance de fond reste hésitante, le cours n'ayant pas encore confirmé une cassure durable au-dessus de cette moyenne clé.</w:t>
      </w:r>
    </w:p>
    <w:p>
      <w:pPr>
        <w:spacing w:after="120" w:line="276" w:lineRule="auto"/>
      </w:pPr>
      <w:r>
        <w:t>**Bandes de Bollinger** : Le prix évolue dans la partie supérieure des bandes, entre la borne basse (3 428,59 FCFA) et la borne haute (3 927,91 FCFA), sans toucher les extrêmes. La décision neutre reflète une volatilité modérée, le cours se positionnant à environ 55% de la largeur des bandes, indiquant un équilibre relatif entre pression acheteuse et vendeuse.</w:t>
      </w:r>
    </w:p>
    <w:p>
      <w:pPr>
        <w:spacing w:after="120" w:line="276" w:lineRule="auto"/>
      </w:pPr>
      <w:r>
        <w:t>**MACD** : La valeur du MACD (20,295) est nettement supérieure à sa ligne de signal (-10,41), générant un signal d'achat clair. Cette divergence positive indique un momentum haussier en formation, avec une accélération de la dynamique des prix qui pourrait soutenir une poursuite de la hausse à court terme.</w:t>
      </w:r>
    </w:p>
    <w:p>
      <w:pPr>
        <w:spacing w:after="120" w:line="276" w:lineRule="auto"/>
      </w:pPr>
      <w:r>
        <w:t>**RSI** : À 63,393, le RSI se situe en zone neutre-haute, sans atteindre le seuil de surachat (70). Cette valeur suggère une pression acheteuse encore présente mais non excessive, laissant une marge de progression avant une éventuelle correction technique.</w:t>
      </w:r>
    </w:p>
    <w:p>
      <w:pPr>
        <w:spacing w:after="120" w:line="276" w:lineRule="auto"/>
      </w:pPr>
      <w:r>
        <w:t>**Stochastique** : Le %K (64,516) est inférieur au %D (75,269), indiquant un croisement baissier potentiel en cours. Cette configuration, bien que neutre, signale un essoufflement de la dynamique haussière récente, avec un risque de consolidation à court terme.</w:t>
      </w:r>
    </w:p>
    <w:p>
      <w:pPr>
        <w:spacing w:after="120" w:line="276" w:lineRule="auto"/>
      </w:pPr>
      <w:r>
        <w:t>**Conclusion technique** : Les signaux sont mitigés, avec un MACD haussier contrastant avec des moyennes mobiles hésitantes et un stochastique en léger repli. La tendance reste globalement positive mais manque de confirmation claire, suggérant une phase de consolidation avant une éventuelle reprise de la hausse.</w:t>
      </w:r>
    </w:p>
    <w:p>
      <w:pPr>
        <w:spacing w:after="120" w:line="276" w:lineRule="auto" w:before="240"/>
      </w:pPr>
      <w:r>
        <w:rPr>
          <w:b/>
          <w:color w:val="003366"/>
          <w:sz w:val="24"/>
        </w:rPr>
        <w:t>**PARTIE 3 : ANALYSE FONDAMENTALE (SECTION CRITIQUE)**</w:t>
      </w:r>
    </w:p>
    <w:p>
      <w:pPr>
        <w:spacing w:after="120" w:line="276" w:lineRule="auto"/>
      </w:pPr>
      <w:r>
        <w:t>En 2025, TTLS a réalisé un chiffre d'affaires de 455,209 milliards FCFA, en baisse de 6,1% par rapport à 2024 (484,945 milliards), principalement due à l'arrêt stratégique de la commercialisation du fuel lourd. Le résultat net s'établit à 6,779 milliards FCFA, contre 7,140 milliards en 2024, soit une contraction de 5,1%. La marge nette reste faible à 1,49%, typique du secteur de distribution pétrolière, mais le ROE de 24,01% est excellent, démontrant une utilisation très efficace des capitaux propres (28,239 milliards FCFA). Le ROA de 3,95% et la rotation des actifs de 265% reflètent une gestion intensive des actifs. Le BFR négatif de -36,899 milliards FCFA est un point très positif, indiquant que l'entreprise finance son exploitation grâce aux délais fournisseurs (97,76 jours) supérieurs aux délais clients (47,43 jours). Sur la base du rapport T1 2026 (CA de 99,9 milliards FCFA, -10% vs T1 2025), on estime que l'exercice 2026 pourrait voir un CA autour de 430-440 milliards FCFA, mais avec une amélioration des marges, le résultat net pourrait se stabiliser autour de 6,5-7 milliards FCFA. La trésorerie s'est nettement améliorée, passant de 8,4 milliards en 2024 à 20,567 milliards FCFA en 2025, renforçant la solidité financière.</w:t>
      </w:r>
    </w:p>
    <w:p>
      <w:pPr>
        <w:spacing w:after="120" w:line="276" w:lineRule="auto" w:before="240"/>
      </w:pPr>
      <w:r>
        <w:rPr>
          <w:b/>
          <w:color w:val="003366"/>
          <w:sz w:val="24"/>
        </w:rPr>
        <w:t>**PARTIE 4 : CONCLUSION D'INVESTISSEMENT**</w:t>
      </w:r>
    </w:p>
    <w:p>
      <w:pPr>
        <w:spacing w:after="120" w:line="276" w:lineRule="auto"/>
      </w:pPr>
      <w:r>
        <w:t>La valorisation de TTLS (PER 18,3x, P/B 4,38x) apparaît exigeante, mais elle reflète la qualité des fondamentaux et la position dominante de l'entreprise. Le comportement du cours sur 100 jours (+16,92%) est positif, avec une volatilité élevée (47,6%) qui nécessite une gestion active du risque. Les signaux techniques sont mitigés, avec un MACD haussier mais des moyennes mobiles et un stochastique hésitants, suggérant une consolidation à court terme. Les fondamentaux restent solides, avec un ROE de 24%, un BFR négatif favorable et une trésorerie renforcée, malgré une baisse du CA et du résultat net. Les prédictions IA (3 670 à 3 454 FCFA sur 10 jours) indiquent une correction attendue, contredisant le momentum haussier récent et suggérant un point d'entrée potentiel plus bas. En synthèse, la convergence entre une valorisation élevée, des signaux techniques mitigés et des prédictions baissières à court terme conduit à une recommandation de **CONSERVER**, avec un niveau de confiance **Moyen**, un risque global **Élevé** (volatilité et dépendance réglementaire), et un horizon d'investissement optimal à **moyen terme (3-12 mois)** pour capitaliser sur les fondamentaux solides après une éventuelle correction.</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515.33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 titres</w:t>
            </w:r>
          </w:p>
        </w:tc>
        <w:tc>
          <w:tcPr>
            <w:tcW w:type="dxa" w:w="2268"/>
            <w:shd w:fill="FFF2CC" w:val="clear"/>
          </w:tcPr>
          <w:p>
            <w:r>
              <w:rPr>
                <w:b/>
                <w:color w:val="503200"/>
                <w:sz w:val="16"/>
              </w:rPr>
              <w:t xml:space="preserve">Cours actuel : </w:t>
            </w:r>
            <w:r>
              <w:rPr>
                <w:color w:val="000000"/>
                <w:sz w:val="17"/>
              </w:rPr>
              <w:t>56,115 FCFA</w:t>
            </w:r>
          </w:p>
          <w:p>
            <w:r>
              <w:rPr>
                <w:b/>
                <w:color w:val="503200"/>
                <w:sz w:val="16"/>
              </w:rPr>
              <w:t xml:space="preserve">Var. 100 jours : </w:t>
            </w:r>
            <w:r>
              <w:rPr>
                <w:b/>
                <w:color w:val="007800"/>
                <w:sz w:val="17"/>
              </w:rPr>
              <w:t>+13.07%</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25.0/100 → Moyen</w:t>
      </w:r>
    </w:p>
    <w:p>
      <w:pPr>
        <w:spacing w:before="40" w:after="80"/>
      </w:pPr>
      <w:r>
        <w:rPr>
          <w:rFonts w:ascii="Courier New" w:hAnsi="Courier New"/>
          <w:color w:val="825A00"/>
          <w:sz w:val="18"/>
        </w:rPr>
        <w:t>█████░░░░░░░░░░░░░░░  25.0/100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6.32% (Moyenne) — μ=56,668 FCFA, σ=3,582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β=1.0353 (Neutre (suit le marché)) — Cov=0.000036, Var(idx)=0.000034, ρ=0.157,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23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σ_j=4.02%/j (Modérée) — Vol. annualisée≈63.9%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51,644</w:t>
            </w:r>
          </w:p>
        </w:tc>
        <w:tc>
          <w:tcPr>
            <w:tcW w:type="dxa" w:w="1440"/>
            <w:shd w:fill="FAFAFA" w:val="clear"/>
          </w:tcPr>
          <w:p>
            <w:r>
              <w:rPr>
                <w:b/>
                <w:sz w:val="17"/>
              </w:rPr>
              <w:t>55,018</w:t>
            </w:r>
          </w:p>
        </w:tc>
        <w:tc>
          <w:tcPr>
            <w:tcW w:type="dxa" w:w="1440"/>
            <w:shd w:fill="FAFAFA" w:val="clear"/>
          </w:tcPr>
          <w:p>
            <w:r>
              <w:rPr>
                <w:sz w:val="17"/>
              </w:rPr>
              <w:t>58,392</w:t>
            </w:r>
          </w:p>
        </w:tc>
        <w:tc>
          <w:tcPr>
            <w:tcW w:type="dxa" w:w="1440"/>
            <w:shd w:fill="FAFAFA" w:val="clear"/>
          </w:tcPr>
          <w:p>
            <w:r>
              <w:rPr>
                <w:b/>
                <w:color w:val="C00000"/>
                <w:sz w:val="17"/>
              </w:rPr>
              <w:t>-2.0%</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50,859</w:t>
            </w:r>
          </w:p>
        </w:tc>
        <w:tc>
          <w:tcPr>
            <w:tcW w:type="dxa" w:w="1440"/>
            <w:shd w:fill="FAFAFA" w:val="clear"/>
          </w:tcPr>
          <w:p>
            <w:r>
              <w:rPr>
                <w:b/>
                <w:sz w:val="17"/>
              </w:rPr>
              <w:t>55,689</w:t>
            </w:r>
          </w:p>
        </w:tc>
        <w:tc>
          <w:tcPr>
            <w:tcW w:type="dxa" w:w="1440"/>
            <w:shd w:fill="FAFAFA" w:val="clear"/>
          </w:tcPr>
          <w:p>
            <w:r>
              <w:rPr>
                <w:sz w:val="17"/>
              </w:rPr>
              <w:t>60,519</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50,330</w:t>
            </w:r>
          </w:p>
        </w:tc>
        <w:tc>
          <w:tcPr>
            <w:tcW w:type="dxa" w:w="1440"/>
            <w:shd w:fill="FAFAFA" w:val="clear"/>
          </w:tcPr>
          <w:p>
            <w:r>
              <w:rPr>
                <w:b/>
                <w:sz w:val="17"/>
              </w:rPr>
              <w:t>56,312</w:t>
            </w:r>
          </w:p>
        </w:tc>
        <w:tc>
          <w:tcPr>
            <w:tcW w:type="dxa" w:w="1440"/>
            <w:shd w:fill="FAFAFA" w:val="clear"/>
          </w:tcPr>
          <w:p>
            <w:r>
              <w:rPr>
                <w:sz w:val="17"/>
              </w:rPr>
              <w:t>62,294</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2026-09-01</w:t>
            </w:r>
          </w:p>
        </w:tc>
        <w:tc>
          <w:tcPr>
            <w:tcW w:type="dxa" w:w="1440"/>
            <w:shd w:fill="FAFAFA" w:val="clear"/>
          </w:tcPr>
          <w:p>
            <w:r>
              <w:rPr>
                <w:sz w:val="17"/>
              </w:rPr>
              <w:t>49,954</w:t>
            </w:r>
          </w:p>
        </w:tc>
        <w:tc>
          <w:tcPr>
            <w:tcW w:type="dxa" w:w="1440"/>
            <w:shd w:fill="FAFAFA" w:val="clear"/>
          </w:tcPr>
          <w:p>
            <w:r>
              <w:rPr>
                <w:b/>
                <w:sz w:val="17"/>
              </w:rPr>
              <w:t>56,938</w:t>
            </w:r>
          </w:p>
        </w:tc>
        <w:tc>
          <w:tcPr>
            <w:tcW w:type="dxa" w:w="1440"/>
            <w:shd w:fill="FAFAFA" w:val="clear"/>
          </w:tcPr>
          <w:p>
            <w:r>
              <w:rPr>
                <w:sz w:val="17"/>
              </w:rPr>
              <w:t>63,922</w:t>
            </w:r>
          </w:p>
        </w:tc>
        <w:tc>
          <w:tcPr>
            <w:tcW w:type="dxa" w:w="1440"/>
            <w:shd w:fill="FAFAFA" w:val="clear"/>
          </w:tcPr>
          <w:p>
            <w:r>
              <w:rPr>
                <w:b/>
                <w:color w:val="008000"/>
                <w:sz w:val="17"/>
              </w:rPr>
              <w:t>+1.5%</w:t>
            </w:r>
          </w:p>
        </w:tc>
      </w:tr>
      <w:tr>
        <w:tc>
          <w:tcPr>
            <w:tcW w:type="dxa" w:w="1440"/>
            <w:shd w:fill="C6EFCE" w:val="clear"/>
          </w:tcPr>
          <w:p>
            <w:r>
              <w:rPr>
                <w:sz w:val="17"/>
              </w:rPr>
              <w:t>J+5  ⭐</w:t>
            </w:r>
          </w:p>
        </w:tc>
        <w:tc>
          <w:tcPr>
            <w:tcW w:type="dxa" w:w="1440"/>
            <w:shd w:fill="C6EFCE" w:val="clear"/>
          </w:tcPr>
          <w:p>
            <w:r>
              <w:rPr>
                <w:sz w:val="17"/>
              </w:rPr>
              <w:t>2026-09-02</w:t>
            </w:r>
          </w:p>
        </w:tc>
        <w:tc>
          <w:tcPr>
            <w:tcW w:type="dxa" w:w="1440"/>
            <w:shd w:fill="C6EFCE" w:val="clear"/>
          </w:tcPr>
          <w:p>
            <w:r>
              <w:rPr>
                <w:sz w:val="17"/>
              </w:rPr>
              <w:t>49,676</w:t>
            </w:r>
          </w:p>
        </w:tc>
        <w:tc>
          <w:tcPr>
            <w:tcW w:type="dxa" w:w="1440"/>
            <w:shd w:fill="C6EFCE" w:val="clear"/>
          </w:tcPr>
          <w:p>
            <w:r>
              <w:rPr>
                <w:b/>
                <w:sz w:val="17"/>
              </w:rPr>
              <w:t>57,571</w:t>
            </w:r>
          </w:p>
        </w:tc>
        <w:tc>
          <w:tcPr>
            <w:tcW w:type="dxa" w:w="1440"/>
            <w:shd w:fill="C6EFCE" w:val="clear"/>
          </w:tcPr>
          <w:p>
            <w:r>
              <w:rPr>
                <w:sz w:val="17"/>
              </w:rPr>
              <w:t>65,467</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2026-09-03</w:t>
            </w:r>
          </w:p>
        </w:tc>
        <w:tc>
          <w:tcPr>
            <w:tcW w:type="dxa" w:w="1440"/>
            <w:shd w:fill="C6EFCE" w:val="clear"/>
          </w:tcPr>
          <w:p>
            <w:r>
              <w:rPr>
                <w:sz w:val="17"/>
              </w:rPr>
              <w:t>49,467</w:t>
            </w:r>
          </w:p>
        </w:tc>
        <w:tc>
          <w:tcPr>
            <w:tcW w:type="dxa" w:w="1440"/>
            <w:shd w:fill="C6EFCE" w:val="clear"/>
          </w:tcPr>
          <w:p>
            <w:r>
              <w:rPr>
                <w:b/>
                <w:sz w:val="17"/>
              </w:rPr>
              <w:t>58,212</w:t>
            </w:r>
          </w:p>
        </w:tc>
        <w:tc>
          <w:tcPr>
            <w:tcW w:type="dxa" w:w="1440"/>
            <w:shd w:fill="C6EFCE" w:val="clear"/>
          </w:tcPr>
          <w:p>
            <w:r>
              <w:rPr>
                <w:sz w:val="17"/>
              </w:rPr>
              <w:t>66,957</w:t>
            </w:r>
          </w:p>
        </w:tc>
        <w:tc>
          <w:tcPr>
            <w:tcW w:type="dxa" w:w="1440"/>
            <w:shd w:fill="C6EFCE" w:val="clear"/>
          </w:tcPr>
          <w:p>
            <w:r>
              <w:rPr>
                <w:b/>
                <w:color w:val="008000"/>
                <w:sz w:val="17"/>
              </w:rPr>
              <w:t>+3.7%</w:t>
            </w:r>
          </w:p>
        </w:tc>
      </w:tr>
      <w:tr>
        <w:tc>
          <w:tcPr>
            <w:tcW w:type="dxa" w:w="1440"/>
            <w:shd w:fill="C6EFCE" w:val="clear"/>
          </w:tcPr>
          <w:p>
            <w:r>
              <w:rPr>
                <w:sz w:val="17"/>
              </w:rPr>
              <w:t>J+7  ⭐</w:t>
            </w:r>
          </w:p>
        </w:tc>
        <w:tc>
          <w:tcPr>
            <w:tcW w:type="dxa" w:w="1440"/>
            <w:shd w:fill="C6EFCE" w:val="clear"/>
          </w:tcPr>
          <w:p>
            <w:r>
              <w:rPr>
                <w:sz w:val="17"/>
              </w:rPr>
              <w:t>2026-09-04</w:t>
            </w:r>
          </w:p>
        </w:tc>
        <w:tc>
          <w:tcPr>
            <w:tcW w:type="dxa" w:w="1440"/>
            <w:shd w:fill="C6EFCE" w:val="clear"/>
          </w:tcPr>
          <w:p>
            <w:r>
              <w:rPr>
                <w:sz w:val="17"/>
              </w:rPr>
              <w:t>49,307</w:t>
            </w:r>
          </w:p>
        </w:tc>
        <w:tc>
          <w:tcPr>
            <w:tcW w:type="dxa" w:w="1440"/>
            <w:shd w:fill="C6EFCE" w:val="clear"/>
          </w:tcPr>
          <w:p>
            <w:r>
              <w:rPr>
                <w:b/>
                <w:sz w:val="17"/>
              </w:rPr>
              <w:t>58,858</w:t>
            </w:r>
          </w:p>
        </w:tc>
        <w:tc>
          <w:tcPr>
            <w:tcW w:type="dxa" w:w="1440"/>
            <w:shd w:fill="C6EFCE" w:val="clear"/>
          </w:tcPr>
          <w:p>
            <w:r>
              <w:rPr>
                <w:sz w:val="17"/>
              </w:rPr>
              <w:t>68,408</w:t>
            </w:r>
          </w:p>
        </w:tc>
        <w:tc>
          <w:tcPr>
            <w:tcW w:type="dxa" w:w="1440"/>
            <w:shd w:fill="C6EFCE" w:val="clear"/>
          </w:tcPr>
          <w:p>
            <w:r>
              <w:rPr>
                <w:b/>
                <w:color w:val="008000"/>
                <w:sz w:val="17"/>
              </w:rPr>
              <w:t>+4.9%</w:t>
            </w:r>
          </w:p>
        </w:tc>
      </w:tr>
      <w:tr>
        <w:tc>
          <w:tcPr>
            <w:tcW w:type="dxa" w:w="1440"/>
            <w:shd w:fill="C6EFCE" w:val="clear"/>
          </w:tcPr>
          <w:p>
            <w:r>
              <w:rPr>
                <w:sz w:val="17"/>
              </w:rPr>
              <w:t>J+8  ⭐</w:t>
            </w:r>
          </w:p>
        </w:tc>
        <w:tc>
          <w:tcPr>
            <w:tcW w:type="dxa" w:w="1440"/>
            <w:shd w:fill="C6EFCE" w:val="clear"/>
          </w:tcPr>
          <w:p>
            <w:r>
              <w:rPr>
                <w:sz w:val="17"/>
              </w:rPr>
              <w:t>2026-09-07</w:t>
            </w:r>
          </w:p>
        </w:tc>
        <w:tc>
          <w:tcPr>
            <w:tcW w:type="dxa" w:w="1440"/>
            <w:shd w:fill="C6EFCE" w:val="clear"/>
          </w:tcPr>
          <w:p>
            <w:r>
              <w:rPr>
                <w:sz w:val="17"/>
              </w:rPr>
              <w:t>49,185</w:t>
            </w:r>
          </w:p>
        </w:tc>
        <w:tc>
          <w:tcPr>
            <w:tcW w:type="dxa" w:w="1440"/>
            <w:shd w:fill="C6EFCE" w:val="clear"/>
          </w:tcPr>
          <w:p>
            <w:r>
              <w:rPr>
                <w:b/>
                <w:sz w:val="17"/>
              </w:rPr>
              <w:t>59,508</w:t>
            </w:r>
          </w:p>
        </w:tc>
        <w:tc>
          <w:tcPr>
            <w:tcW w:type="dxa" w:w="1440"/>
            <w:shd w:fill="C6EFCE" w:val="clear"/>
          </w:tcPr>
          <w:p>
            <w:r>
              <w:rPr>
                <w:sz w:val="17"/>
              </w:rPr>
              <w:t>69,830</w:t>
            </w:r>
          </w:p>
        </w:tc>
        <w:tc>
          <w:tcPr>
            <w:tcW w:type="dxa" w:w="1440"/>
            <w:shd w:fill="C6EFCE" w:val="clear"/>
          </w:tcPr>
          <w:p>
            <w:r>
              <w:rPr>
                <w:b/>
                <w:color w:val="008000"/>
                <w:sz w:val="17"/>
              </w:rPr>
              <w:t>+6.0%</w:t>
            </w:r>
          </w:p>
        </w:tc>
      </w:tr>
      <w:tr>
        <w:tc>
          <w:tcPr>
            <w:tcW w:type="dxa" w:w="1440"/>
            <w:shd w:fill="C6EFCE" w:val="clear"/>
          </w:tcPr>
          <w:p>
            <w:r>
              <w:rPr>
                <w:sz w:val="17"/>
              </w:rPr>
              <w:t>J+9  ⭐</w:t>
            </w:r>
          </w:p>
        </w:tc>
        <w:tc>
          <w:tcPr>
            <w:tcW w:type="dxa" w:w="1440"/>
            <w:shd w:fill="C6EFCE" w:val="clear"/>
          </w:tcPr>
          <w:p>
            <w:r>
              <w:rPr>
                <w:sz w:val="17"/>
              </w:rPr>
              <w:t>2026-09-08</w:t>
            </w:r>
          </w:p>
        </w:tc>
        <w:tc>
          <w:tcPr>
            <w:tcW w:type="dxa" w:w="1440"/>
            <w:shd w:fill="C6EFCE" w:val="clear"/>
          </w:tcPr>
          <w:p>
            <w:r>
              <w:rPr>
                <w:sz w:val="17"/>
              </w:rPr>
              <w:t>49,092</w:t>
            </w:r>
          </w:p>
        </w:tc>
        <w:tc>
          <w:tcPr>
            <w:tcW w:type="dxa" w:w="1440"/>
            <w:shd w:fill="C6EFCE" w:val="clear"/>
          </w:tcPr>
          <w:p>
            <w:r>
              <w:rPr>
                <w:b/>
                <w:sz w:val="17"/>
              </w:rPr>
              <w:t>60,161</w:t>
            </w:r>
          </w:p>
        </w:tc>
        <w:tc>
          <w:tcPr>
            <w:tcW w:type="dxa" w:w="1440"/>
            <w:shd w:fill="C6EFCE" w:val="clear"/>
          </w:tcPr>
          <w:p>
            <w:r>
              <w:rPr>
                <w:sz w:val="17"/>
              </w:rPr>
              <w:t>71,229</w:t>
            </w:r>
          </w:p>
        </w:tc>
        <w:tc>
          <w:tcPr>
            <w:tcW w:type="dxa" w:w="1440"/>
            <w:shd w:fill="C6EFCE" w:val="clear"/>
          </w:tcPr>
          <w:p>
            <w:r>
              <w:rPr>
                <w:b/>
                <w:color w:val="008000"/>
                <w:sz w:val="17"/>
              </w:rPr>
              <w:t>+7.2%</w:t>
            </w:r>
          </w:p>
        </w:tc>
      </w:tr>
      <w:tr>
        <w:tc>
          <w:tcPr>
            <w:tcW w:type="dxa" w:w="1440"/>
            <w:shd w:fill="C6EFCE" w:val="clear"/>
          </w:tcPr>
          <w:p>
            <w:r>
              <w:rPr>
                <w:sz w:val="17"/>
              </w:rPr>
              <w:t>J+10  ⭐</w:t>
            </w:r>
          </w:p>
        </w:tc>
        <w:tc>
          <w:tcPr>
            <w:tcW w:type="dxa" w:w="1440"/>
            <w:shd w:fill="C6EFCE" w:val="clear"/>
          </w:tcPr>
          <w:p>
            <w:r>
              <w:rPr>
                <w:sz w:val="17"/>
              </w:rPr>
              <w:t>2026-09-09</w:t>
            </w:r>
          </w:p>
        </w:tc>
        <w:tc>
          <w:tcPr>
            <w:tcW w:type="dxa" w:w="1440"/>
            <w:shd w:fill="C6EFCE" w:val="clear"/>
          </w:tcPr>
          <w:p>
            <w:r>
              <w:rPr>
                <w:sz w:val="17"/>
              </w:rPr>
              <w:t>49,021</w:t>
            </w:r>
          </w:p>
        </w:tc>
        <w:tc>
          <w:tcPr>
            <w:tcW w:type="dxa" w:w="1440"/>
            <w:shd w:fill="C6EFCE" w:val="clear"/>
          </w:tcPr>
          <w:p>
            <w:r>
              <w:rPr>
                <w:b/>
                <w:sz w:val="17"/>
              </w:rPr>
              <w:t>60,816</w:t>
            </w:r>
          </w:p>
        </w:tc>
        <w:tc>
          <w:tcPr>
            <w:tcW w:type="dxa" w:w="1440"/>
            <w:shd w:fill="C6EFCE" w:val="clear"/>
          </w:tcPr>
          <w:p>
            <w:r>
              <w:rPr>
                <w:sz w:val="17"/>
              </w:rPr>
              <w:t>72,611</w:t>
            </w:r>
          </w:p>
        </w:tc>
        <w:tc>
          <w:tcPr>
            <w:tcW w:type="dxa" w:w="1440"/>
            <w:shd w:fill="C6EFCE" w:val="clear"/>
          </w:tcPr>
          <w:p>
            <w:r>
              <w:rPr>
                <w:b/>
                <w:color w:val="008000"/>
                <w:sz w:val="17"/>
              </w:rPr>
              <w:t>+8.4%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515,33 milliards FCFA, ce qui la positionne parmi les valeurs moyennes à grandes capitalisations de la BRVM, lui conférant une liquidité et une visibilité notables dans l'écosystème régional. Les ratios de valorisation traditionnels (BPA, PER, P/B, EV/EBITDA) ne sont pas calculables en raison de l'absence de données financières structurées récentes dans la base, ce qui limite une comparaison directe avec les références du marché (PER moyen BRVM de 8 à 12x). Toutefois, la forte progression du cours sur la période récente suggère que le marché intègre déjà une anticipation de redressement des fondamentaux. L'absence de ces ratios impose une prudence accrue, car l'évaluation relative ne peut s'appuyer que sur l'analyse des rapports financiers historiques et des perspectives de croissance.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+13,07%, avec une accélération marquée lors de la dernière séance (+7,50%), portant le cours à 56 115 FCFA. Le titre a évolué dans une fourchette de 49 630 FCFA (plus bas) à 69 005 FCFA (plus haut), illustrant une amplitude de trading significative de près de 39%. La moyenne (56 668 FCFA) et la médiane (56 252 FCFA) étant très proches, la distribution des cours est quasi symétrique, confirmée par un skewness de 0,490. L'écart-type de 3 600 FCFA (CV = 6,4%) indique une dispersion modérée autour de la moyenne, tandis que le kurtosis de 0,627 (mésokurtique) suggère l'absence de pics extrêmes fréquents. La volatilité annualisée de 63,9% classe le titre comme très volatil (&gt;30%), reflétant des mouvements de prix amples, typiques des valeurs en phase de repositionnement sur la place régionale.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(54 198 FCFA) et la MM50 (54 467 FCFA) sont toutes deux inférieures au cours actuel de 56 115 FCFA, indiquant une dynamique haussière à court et moyen terme. Cependant, la décision globale est "Vente", ce qui suggère que le croisement récent des moyennes ou leur pente pourrait signaler un essoufflement potentiel malgré le niveau de prix actuel.</w:t>
      </w:r>
    </w:p>
    <w:p>
      <w:pPr>
        <w:spacing w:after="120" w:line="276" w:lineRule="auto"/>
      </w:pPr>
      <w:r>
        <w:t>**Bandes de Bollinger** : Le cours se situe entre la borne inférieure (49 515 FCFA) et la borne supérieure (58 881 FCFA), plus près de la borne haute, ce qui traduit une pression acheteuse soutenue. La décision "Neutre" indique que le titre n'est pas encore en zone de surachat extrême, mais la largeur des bandes reflète une volatilité élevée, laissant place à des corrections possibles.</w:t>
      </w:r>
    </w:p>
    <w:p>
      <w:pPr>
        <w:spacing w:after="120" w:line="276" w:lineRule="auto"/>
      </w:pPr>
      <w:r>
        <w:t>**MACD** : La valeur MACD (160,9) est inférieure à son signal (214,2), générant une décision "Vente". Cette configuration signale un ralentissement du momentum haussier, avec un risque de croisement baissier à court terme si la tendance actuelle se poursuit.</w:t>
      </w:r>
    </w:p>
    <w:p>
      <w:pPr>
        <w:spacing w:after="120" w:line="276" w:lineRule="auto"/>
      </w:pPr>
      <w:r>
        <w:t>**RSI** : À 64,76, le RSI se situe en zone neutre (30-70), proche du seuil de surachat (70). La décision "Neutre" suggère que le titre conserve un potentiel haussier, mais une vigilance est requise en cas de dépassement de ce seuil.</w:t>
      </w:r>
    </w:p>
    <w:p>
      <w:pPr>
        <w:spacing w:after="120" w:line="276" w:lineRule="auto"/>
      </w:pPr>
      <w:r>
        <w:t>**Stochastique** : Le %K (72,99) est nettement supérieur au %D (34,81), indiquant une dynamique haussière récente, mais l'écart important entre les deux lignes peut précéder un retour de consolidation. La décision "Neutre" reflète cette incertitude.</w:t>
      </w:r>
    </w:p>
    <w:p>
      <w:pPr>
        <w:spacing w:after="120" w:line="276" w:lineRule="auto"/>
      </w:pPr>
      <w:r>
        <w:t>**Conclusion technique** : Les indicateurs sont partagés entre des signaux haussiers (MM, Bollinger) et baissiers (MACD), avec des oscillateurs neutres. La tendance de fond reste positive, mais le manque de convergence suggère une phase de consolidation probable avant une nouvelle direction claire.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pour UNLC ne sont pas disponibles dans la base, mais les rapports narratifs fournissent des éléments clés. En 2023 (rapport daté du 31/12/2023), le chiffre d'affaires s'établit à 24 336 millions FCFA, stable par rapport à 2022, avec un résultat net de 640 millions FCFA, en nette amélioration par rapport à la perte de 6 908 millions FCFA en 2022. La marge nette ressort à 2,63% en 2023, contre -28,4% en 2022, reflétant un redressement opérationnel (résultat d'exploitation positif à +3 340 millions FCFA). Le rapport de 2022 (daté du 31/12/2022) mentionne un CA de 36 174 millions FCFA (hors cession du thé), avec une perte massive de -6 382 millions FCFA, illustrant une crise profonde. En 2021, le CA était de 24 336 millions FCFA avec un bénéfice de 6 090 millions FCFA (marge nette de 25%), montrant une volatilité extrême des performances. Les capitaux propres restent négatifs (-10 658 millions FCFA en 2023), et aucune estimation trimestrielle n'est disponible pour 2024-2025. La recommandation fondamentale est "CONSERVER avec vigilance", compte tenu de l'amélioration récente mais de la fragilité structurelle persistante.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d'UNLC ne peut être évaluée par les ratios classiques (PER, P/B) faute de données, mais la capitalisation de 515 milliards FCFA semble intégrer des anticipations optimistes. Le comportement du cours montre une tendance haussière (+13,07% sur 100 jours) avec une volatilité très élevée (63,9%), des statistiques symétriques (skewness 0,49, kurtosis 0,63) indiquant une distribution normale des rendements. Les signaux techniques sont mitigés : les moyennes mobiles et les bandes de Bollinger soutiennent la hausse, tandis que le MACD émet un signal de vente et les oscillateurs (RSI, Stochastique) restent neutres. Fondamentalement, le redressement de 2023 (bénéfice de 640 millions FCFA) est encourageant, mais les capitaux propres négatifs et l'absence de dividendes limitent l'attractivité. Les prédictions IA (55 018 à 57 571 FCFA sur 10 jours) confirment une poursuite modérée de la hausse, en ligne avec la tendance récente. En synthèse, la convergence entre la dynamique du cours et les prédictions IA est positive, mais les fondamentaux fragiles et les signaux techniques divergents imposent une prudence. **Recommandation : CONSERVER**, avec un niveau de confiance **Moyen**, un risque global **Élevé**, et un horizon d'investissement optimal à **moyen terme (3-12 mois)** pour observer une consolidation des fondamentaux.</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49.80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13,234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+20.00%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21.6/100 → Moyen</w:t>
      </w:r>
    </w:p>
    <w:p>
      <w:pPr>
        <w:spacing w:before="40" w:after="80"/>
      </w:pPr>
      <w:r>
        <w:rPr>
          <w:rFonts w:ascii="Courier New" w:hAnsi="Courier New"/>
          <w:color w:val="825A00"/>
          <w:sz w:val="18"/>
        </w:rPr>
        <w:t>████░░░░░░░░░░░░░░░░  21.6/100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11.06% (Moyenne) — μ=1,886 FCFA, σ=209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β=-0.1257 (Contre-cyclique) — Cov=-0.000004, Var(idx)=0.000033, ρ=-0.023,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13,234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2,262</w:t>
            </w:r>
          </w:p>
        </w:tc>
        <w:tc>
          <w:tcPr>
            <w:tcW w:type="dxa" w:w="1440"/>
            <w:shd w:fill="FAFAFA" w:val="clear"/>
          </w:tcPr>
          <w:p>
            <w:r>
              <w:rPr>
                <w:b/>
                <w:sz w:val="17"/>
              </w:rPr>
              <w:t>2,392</w:t>
            </w:r>
          </w:p>
        </w:tc>
        <w:tc>
          <w:tcPr>
            <w:tcW w:type="dxa" w:w="1440"/>
            <w:shd w:fill="FAFAFA" w:val="clear"/>
          </w:tcPr>
          <w:p>
            <w:r>
              <w:rPr>
                <w:sz w:val="17"/>
              </w:rPr>
              <w:t>2,522</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2026-08-28</w:t>
            </w:r>
          </w:p>
        </w:tc>
        <w:tc>
          <w:tcPr>
            <w:tcW w:type="dxa" w:w="1440"/>
            <w:shd w:fill="FAFAFA" w:val="clear"/>
          </w:tcPr>
          <w:p>
            <w:r>
              <w:rPr>
                <w:sz w:val="17"/>
              </w:rPr>
              <w:t>2,191</w:t>
            </w:r>
          </w:p>
        </w:tc>
        <w:tc>
          <w:tcPr>
            <w:tcW w:type="dxa" w:w="1440"/>
            <w:shd w:fill="FAFAFA" w:val="clear"/>
          </w:tcPr>
          <w:p>
            <w:r>
              <w:rPr>
                <w:b/>
                <w:sz w:val="17"/>
              </w:rPr>
              <w:t>2,374</w:t>
            </w:r>
          </w:p>
        </w:tc>
        <w:tc>
          <w:tcPr>
            <w:tcW w:type="dxa" w:w="1440"/>
            <w:shd w:fill="FAFAFA" w:val="clear"/>
          </w:tcPr>
          <w:p>
            <w:r>
              <w:rPr>
                <w:sz w:val="17"/>
              </w:rPr>
              <w:t>2,557</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2026-08-31</w:t>
            </w:r>
          </w:p>
        </w:tc>
        <w:tc>
          <w:tcPr>
            <w:tcW w:type="dxa" w:w="1440"/>
            <w:shd w:fill="FAFAFA" w:val="clear"/>
          </w:tcPr>
          <w:p>
            <w:r>
              <w:rPr>
                <w:sz w:val="17"/>
              </w:rPr>
              <w:t>2,135</w:t>
            </w:r>
          </w:p>
        </w:tc>
        <w:tc>
          <w:tcPr>
            <w:tcW w:type="dxa" w:w="1440"/>
            <w:shd w:fill="FAFAFA" w:val="clear"/>
          </w:tcPr>
          <w:p>
            <w:r>
              <w:rPr>
                <w:b/>
                <w:sz w:val="17"/>
              </w:rPr>
              <w:t>2,358</w:t>
            </w:r>
          </w:p>
        </w:tc>
        <w:tc>
          <w:tcPr>
            <w:tcW w:type="dxa" w:w="1440"/>
            <w:shd w:fill="FAFAFA" w:val="clear"/>
          </w:tcPr>
          <w:p>
            <w:r>
              <w:rPr>
                <w:sz w:val="17"/>
              </w:rPr>
              <w:t>2,580</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2,088</w:t>
            </w:r>
          </w:p>
        </w:tc>
        <w:tc>
          <w:tcPr>
            <w:tcW w:type="dxa" w:w="1440"/>
            <w:shd w:fill="FFDCE0" w:val="clear"/>
          </w:tcPr>
          <w:p>
            <w:r>
              <w:rPr>
                <w:b/>
                <w:sz w:val="17"/>
              </w:rPr>
              <w:t>2,343</w:t>
            </w:r>
          </w:p>
        </w:tc>
        <w:tc>
          <w:tcPr>
            <w:tcW w:type="dxa" w:w="1440"/>
            <w:shd w:fill="FFDCE0" w:val="clear"/>
          </w:tcPr>
          <w:p>
            <w:r>
              <w:rPr>
                <w:sz w:val="17"/>
              </w:rPr>
              <w:t>2,598</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2,045</w:t>
            </w:r>
          </w:p>
        </w:tc>
        <w:tc>
          <w:tcPr>
            <w:tcW w:type="dxa" w:w="1440"/>
            <w:shd w:fill="FFDCE0" w:val="clear"/>
          </w:tcPr>
          <w:p>
            <w:r>
              <w:rPr>
                <w:b/>
                <w:sz w:val="17"/>
              </w:rPr>
              <w:t>2,329</w:t>
            </w:r>
          </w:p>
        </w:tc>
        <w:tc>
          <w:tcPr>
            <w:tcW w:type="dxa" w:w="1440"/>
            <w:shd w:fill="FFDCE0" w:val="clear"/>
          </w:tcPr>
          <w:p>
            <w:r>
              <w:rPr>
                <w:sz w:val="17"/>
              </w:rPr>
              <w:t>2,613</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2,006</w:t>
            </w:r>
          </w:p>
        </w:tc>
        <w:tc>
          <w:tcPr>
            <w:tcW w:type="dxa" w:w="1440"/>
            <w:shd w:fill="FFDCE0" w:val="clear"/>
          </w:tcPr>
          <w:p>
            <w:r>
              <w:rPr>
                <w:b/>
                <w:sz w:val="17"/>
              </w:rPr>
              <w:t>2,315</w:t>
            </w:r>
          </w:p>
        </w:tc>
        <w:tc>
          <w:tcPr>
            <w:tcW w:type="dxa" w:w="1440"/>
            <w:shd w:fill="FFDCE0" w:val="clear"/>
          </w:tcPr>
          <w:p>
            <w:r>
              <w:rPr>
                <w:sz w:val="17"/>
              </w:rPr>
              <w:t>2,624</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1,970</w:t>
            </w:r>
          </w:p>
        </w:tc>
        <w:tc>
          <w:tcPr>
            <w:tcW w:type="dxa" w:w="1440"/>
            <w:shd w:fill="FFDCE0" w:val="clear"/>
          </w:tcPr>
          <w:p>
            <w:r>
              <w:rPr>
                <w:b/>
                <w:sz w:val="17"/>
              </w:rPr>
              <w:t>2,301</w:t>
            </w:r>
          </w:p>
        </w:tc>
        <w:tc>
          <w:tcPr>
            <w:tcW w:type="dxa" w:w="1440"/>
            <w:shd w:fill="FFDCE0" w:val="clear"/>
          </w:tcPr>
          <w:p>
            <w:r>
              <w:rPr>
                <w:sz w:val="17"/>
              </w:rPr>
              <w:t>2,633</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1,935</w:t>
            </w:r>
          </w:p>
        </w:tc>
        <w:tc>
          <w:tcPr>
            <w:tcW w:type="dxa" w:w="1440"/>
            <w:shd w:fill="FFDCE0" w:val="clear"/>
          </w:tcPr>
          <w:p>
            <w:r>
              <w:rPr>
                <w:b/>
                <w:sz w:val="17"/>
              </w:rPr>
              <w:t>2,288</w:t>
            </w:r>
          </w:p>
        </w:tc>
        <w:tc>
          <w:tcPr>
            <w:tcW w:type="dxa" w:w="1440"/>
            <w:shd w:fill="FFDCE0" w:val="clear"/>
          </w:tcPr>
          <w:p>
            <w:r>
              <w:rPr>
                <w:sz w:val="17"/>
              </w:rPr>
              <w:t>2,640</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1,903</w:t>
            </w:r>
          </w:p>
        </w:tc>
        <w:tc>
          <w:tcPr>
            <w:tcW w:type="dxa" w:w="1440"/>
            <w:shd w:fill="FFDCE0" w:val="clear"/>
          </w:tcPr>
          <w:p>
            <w:r>
              <w:rPr>
                <w:b/>
                <w:sz w:val="17"/>
              </w:rPr>
              <w:t>2,274</w:t>
            </w:r>
          </w:p>
        </w:tc>
        <w:tc>
          <w:tcPr>
            <w:tcW w:type="dxa" w:w="1440"/>
            <w:shd w:fill="FFDCE0" w:val="clear"/>
          </w:tcPr>
          <w:p>
            <w:r>
              <w:rPr>
                <w:sz w:val="17"/>
              </w:rPr>
              <w:t>2,646</w:t>
            </w:r>
          </w:p>
        </w:tc>
        <w:tc>
          <w:tcPr>
            <w:tcW w:type="dxa" w:w="1440"/>
            <w:shd w:fill="FFDCE0" w:val="clear"/>
          </w:tcPr>
          <w:p>
            <w:r>
              <w:rPr>
                <w:b/>
                <w:color w:val="C00000"/>
                <w:sz w:val="17"/>
              </w:rPr>
              <w:t>-5.2%</w:t>
            </w:r>
          </w:p>
        </w:tc>
      </w:tr>
      <w:tr>
        <w:tc>
          <w:tcPr>
            <w:tcW w:type="dxa" w:w="1440"/>
            <w:shd w:fill="FFDCE0" w:val="clear"/>
          </w:tcPr>
          <w:p>
            <w:r>
              <w:rPr>
                <w:sz w:val="17"/>
              </w:rPr>
              <w:t>J+10  ⭐</w:t>
            </w:r>
          </w:p>
        </w:tc>
        <w:tc>
          <w:tcPr>
            <w:tcW w:type="dxa" w:w="1440"/>
            <w:shd w:fill="FFDCE0" w:val="clear"/>
          </w:tcPr>
          <w:p>
            <w:r>
              <w:rPr>
                <w:sz w:val="17"/>
              </w:rPr>
              <w:t>2026-09-09</w:t>
            </w:r>
          </w:p>
        </w:tc>
        <w:tc>
          <w:tcPr>
            <w:tcW w:type="dxa" w:w="1440"/>
            <w:shd w:fill="FFDCE0" w:val="clear"/>
          </w:tcPr>
          <w:p>
            <w:r>
              <w:rPr>
                <w:sz w:val="17"/>
              </w:rPr>
              <w:t>1,872</w:t>
            </w:r>
          </w:p>
        </w:tc>
        <w:tc>
          <w:tcPr>
            <w:tcW w:type="dxa" w:w="1440"/>
            <w:shd w:fill="FFDCE0" w:val="clear"/>
          </w:tcPr>
          <w:p>
            <w:r>
              <w:rPr>
                <w:b/>
                <w:sz w:val="17"/>
              </w:rPr>
              <w:t>2,261</w:t>
            </w:r>
          </w:p>
        </w:tc>
        <w:tc>
          <w:tcPr>
            <w:tcW w:type="dxa" w:w="1440"/>
            <w:shd w:fill="FFDCE0" w:val="clear"/>
          </w:tcPr>
          <w:p>
            <w:r>
              <w:rPr>
                <w:sz w:val="17"/>
              </w:rPr>
              <w:t>2,651</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49,80 milliards FCFA positionne UNXC comme une valeur de taille moyenne sur la BRVM, avec un flottant potentiellement limité. Le BPA est négatif à -105 FCFA, reflétant la perte nette de 2,189 milliards FCFA enregistrée en 2024. Le PER de -22,8x est donc non significatif, les investisseurs ne pouvant valoriser la société sur ses bénéfices actuels. Le P/B de 3,19x est en revanche révélateur : le marché valorise les actifs de l'entreprise à plus de trois fois leur valeur comptable, ce qui suggère une prime de croissance ou une anticipation de retournement. Cette prime est audacieuse compte tenu des pertes récurrentes, mais elle s'explique par les actifs immobiliers et la reprise opérationnelle amorcée. Le ratio EV/EBITDA n'est pas calculable, l'EBITDA étant négatif en 2024, ce qui rend la valorisation intrinsèquement spéculative sur les fondamentaux actuels.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affiche une progression spectaculaire de +20,00%, mais la dernière séance montre un repli de -3,81%, signalant une possible prise de bénéfices. Le cours a évolué dans une fourchette très large de 1,250 à 2,495 FCFA, démontrant une volatilité extrême. La moyenne (1,886 FCFA) et la médiane (1,900 FCFA) sont très proches, indiquant une distribution relativement symétrique, confirmée par le skewness de -0,074. L'écart-type de 210 FCFA (CV=11,1%) montre une dispersion modérée autour de la moyenne. Le kurtosis de 2,844 (leptokurtique) est un signal d'alerte : la distribution a des queues épaisses, signifiant un risque accru de mouvements extrêmes, à la hausse comme à la baisse. La volatilité annualisée de 51,4% est très élevée (&gt;30%), classant UNXC comme un actif à haut risque, adapté aux investisseurs agressifs.</w:t>
      </w:r>
    </w:p>
    <w:p>
      <w:pPr>
        <w:spacing w:after="120" w:line="276" w:lineRule="auto" w:before="240"/>
      </w:pPr>
      <w:r>
        <w:rPr>
          <w:b/>
          <w:color w:val="003366"/>
          <w:sz w:val="24"/>
        </w:rPr>
        <w:t>**PARTIE 2 : ANALYSE TECHNIQUE DÉTAILLÉE**</w:t>
      </w:r>
    </w:p>
    <w:p>
      <w:pPr>
        <w:spacing w:after="120" w:line="276" w:lineRule="auto"/>
      </w:pPr>
      <w:r>
        <w:t>Les **Moyennes Mobiles** (MM20=2080,25 et MM50=1881,8) sont toutes deux inférieures au cours actuel de 2,400 FCFA, confirmant une tendance haussière solide. La MM20 au-dessus de la MM50 indique un momentum positif à court et moyen terme, justifiant la décision d'achat.</w:t>
      </w:r>
    </w:p>
    <w:p>
      <w:pPr>
        <w:spacing w:after="120" w:line="276" w:lineRule="auto"/>
      </w:pPr>
      <w:r>
        <w:t>Les **Bandes de Bollinger** (bornes 1607 à 2553) montrent un cours proche de la borne supérieure, signe d'une forte pression acheteuse. L'écart entre les bornes est large, reflétant la volatilité élevée. La décision "Neutre" suggère que le cours pourrait rencontrer une résistance proche de la borne haute.</w:t>
      </w:r>
    </w:p>
    <w:p>
      <w:pPr>
        <w:spacing w:after="120" w:line="276" w:lineRule="auto"/>
      </w:pPr>
      <w:r>
        <w:t>Le **MACD** (169,886) est nettement au-dessus de son signal (122,783), indiquant un momentum haussier puissant. La divergence positive confirme la tendance, mais l'écart important pourrait signaler une suraccélération, justifiant la décision d'achat avec prudence.</w:t>
      </w:r>
    </w:p>
    <w:p>
      <w:pPr>
        <w:spacing w:after="120" w:line="276" w:lineRule="auto"/>
      </w:pPr>
      <w:r>
        <w:t>Le **RSI** à 82,692 est en zone de surachat sévère (&gt;70), signalant que le titre est techniquement surévalué à court terme. La décision de vente est justifiée : un repli technique est probable pour corriger cette surachete.</w:t>
      </w:r>
    </w:p>
    <w:p>
      <w:pPr>
        <w:spacing w:after="120" w:line="276" w:lineRule="auto"/>
      </w:pPr>
      <w:r>
        <w:t>Le **Stochastique** (%K=84,167, %D=94,435) est également en zone de surachat. Le %K sous le %D suggère un croisement baissier imminent, renforçant la décision de vente.</w:t>
      </w:r>
    </w:p>
    <w:p>
      <w:pPr>
        <w:spacing w:after="120" w:line="276" w:lineRule="auto"/>
      </w:pPr>
      <w:r>
        <w:t>La **conclusion technique** est mitigée : la tendance de fond reste haussière (MM, MACD), mais les oscillateurs (RSI, Stochastique) crient à la surachete. Un repli de consolidation est probable avant une poursuite de la hausse, ou un retournement si les fondamentaux ne suivent pas.</w:t>
      </w:r>
    </w:p>
    <w:p>
      <w:pPr>
        <w:spacing w:after="120" w:line="276" w:lineRule="auto" w:before="240"/>
      </w:pPr>
      <w:r>
        <w:rPr>
          <w:b/>
          <w:color w:val="003366"/>
          <w:sz w:val="24"/>
        </w:rPr>
        <w:t>**PARTIE 3 : ANALYSE FONDAMENTALE (SECTION CRITIQUE)**</w:t>
      </w:r>
    </w:p>
    <w:p>
      <w:pPr>
        <w:spacing w:after="120" w:line="276" w:lineRule="auto"/>
      </w:pPr>
      <w:r>
        <w:t>En 2024, les données structurées montrent une entreprise en difficulté : le chiffre d'affaires s'établit à 27,333 milliards FCFA, mais le résultat net est une perte de -2,189 milliards FCFA, avec un ROE de -14,04% et un ROA de -6,39%. La marge nette est de -8,01%, et le coefficient d'exploitation de 106,99% indique que les charges dépassent les revenus. Le BFR de 2,149 milliards FCFA est positif, mais le délai fournisseurs (267,82 jours) est très élevé, ce qui est favorable pour la trésorerie, tandis que le délai clients (51,03 jours) et la durée de stockage (254,72 jours) immobilisent du capital. Les rapports trimestriels 2025 montrent une amélioration : le CA du S1 2025 progresse de 12,5% à 15,711 milliards FCFA, mais le résultat net de 8,217 milliards est artificiel, porté par la cession-bail du terrain (produit exceptionnel de 9,994 milliards). Le résultat des activités ordinaires reste déficitaire à -330 millions. Le rapport S1 2026 est plus encourageant : le résultat d'exploitation redevient positif à 771 millions FCFA, et le CA atteint 15,752 milliards. On estime que l'exercice 2026 pourrait voir un retour à l'équilibre opérationnel durable, avec un EBE positif de 1,13 milliard en 2025. La structure financière s'assainit, mais la dette fournisseurs reste un point de vigilance.</w:t>
      </w:r>
    </w:p>
    <w:p>
      <w:pPr>
        <w:spacing w:after="120" w:line="276" w:lineRule="auto" w:before="240"/>
      </w:pPr>
      <w:r>
        <w:rPr>
          <w:b/>
          <w:color w:val="003366"/>
          <w:sz w:val="24"/>
        </w:rPr>
        <w:t>**PARTIE 4 : CONCLUSION D'INVESTISSEMENT**</w:t>
      </w:r>
    </w:p>
    <w:p>
      <w:pPr>
        <w:spacing w:after="120" w:line="276" w:lineRule="auto"/>
      </w:pPr>
      <w:r>
        <w:t>La valorisation (Partie 0) est spéculative, avec un PER négatif et un P/B élevé, indiquant que le marché anticipe un fort redressement. Le comportement du cours (Partie 1) montre une tendance haussière mais avec une volatilité extrême et un risque de kurtosis élevé, signalant des mouvements imprévisibles. Les signaux techniques (Partie 2) sont contradictoires : la tendance (MM, MACD) est haussière, mais les oscillateurs (RSI, Stochastique) sont en surachat, suggérant un repli imminent. Les fondamentaux (Partie 3) montrent une amélioration réelle mais fragile, avec une rentabilité opérationnelle positive au S1 2026, mais une dépendance historique aux éléments exceptionnels. Les prédictions IA (J+1 à J+10) prévoient une baisse progressive de 2392 à 2329 FCFA, confirmant le scénario de correction technique. La convergence entre la surachete technique et la prédiction IA suggère un repli à court terme. **Recommandation finale : CONSERVER**, avec un niveau de confiance **Moyen** et un risque global **Élevé**. L'horizon optimal est le **moyen terme (3-12 mois)**, en attendant la confirmation d'une rentabilité durable et une correction du cours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