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04/09/2026 à 08:51</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HAUSSIER 📈</w:t>
      </w:r>
    </w:p>
    <w:p>
      <w:pPr>
        <w:spacing w:before="20" w:after="20"/>
        <w:ind w:left="360" w:right="360"/>
        <w:shd w:val="clear" w:color="auto" w:fill="EBF5FB"/>
      </w:pPr>
      <w:r>
        <w:rPr>
          <w:b/>
          <w:sz w:val="19"/>
        </w:rPr>
        <w:t xml:space="preserve">Signaux :  </w:t>
      </w:r>
      <w:r>
        <w:rPr>
          <w:color w:val="0050A0"/>
          <w:sz w:val="19"/>
        </w:rPr>
        <w:t>47 ACHAT  |  0 NEUTRE  |  0 VENTE  (sur 47 sociétés)</w:t>
      </w:r>
    </w:p>
    <w:p>
      <w:pPr>
        <w:spacing w:before="20" w:after="20"/>
        <w:ind w:left="360" w:right="360"/>
        <w:shd w:val="clear" w:color="auto" w:fill="EBF5FB"/>
      </w:pPr>
      <w:r>
        <w:rPr>
          <w:b/>
          <w:sz w:val="19"/>
        </w:rPr>
        <w:t xml:space="preserve">Top opportunité :  </w:t>
      </w:r>
      <w:r>
        <w:rPr>
          <w:color w:val="008000"/>
          <w:sz w:val="19"/>
        </w:rPr>
        <w:t>UNXC  (score 75/100)</w:t>
      </w:r>
    </w:p>
    <w:p>
      <w:pPr>
        <w:spacing w:before="20" w:after="20"/>
        <w:ind w:left="360" w:right="360"/>
        <w:shd w:val="clear" w:color="auto" w:fill="EBF5FB"/>
      </w:pPr>
      <w:r>
        <w:rPr>
          <w:b/>
          <w:sz w:val="19"/>
        </w:rPr>
        <w:t xml:space="preserve">Secteur surperformant :  </w:t>
      </w:r>
      <w:r>
        <w:rPr>
          <w:color w:val="008000"/>
          <w:sz w:val="19"/>
        </w:rPr>
        <w:t>SERVICES PUBLICS  (+97.0%)</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17 sociétés — vérifier avant d'investir</w:t>
      </w:r>
    </w:p>
    <w:p>
      <w:pPr>
        <w:spacing w:before="20" w:after="20"/>
        <w:ind w:left="360" w:right="360"/>
        <w:shd w:val="clear" w:color="auto" w:fill="EBF5FB"/>
      </w:pPr>
      <w:r>
        <w:rPr>
          <w:b/>
          <w:sz w:val="19"/>
        </w:rPr>
        <w:t xml:space="preserve">⚠️ Liquidité réduite :  </w:t>
      </w:r>
      <w:r>
        <w:rPr>
          <w:color w:val="C00000"/>
          <w:sz w:val="19"/>
        </w:rPr>
        <w:t>9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546.13 points </w:t>
      </w:r>
      <w:r>
        <w:rPr>
          <w:color w:val="008000"/>
        </w:rPr>
        <w:t>(+1.57%)</w:t>
      </w:r>
      <w:r>
        <w:t xml:space="preserve"> sur la séance. </w:t>
      </w:r>
      <w:r>
        <w:t>La capitalisation globale du marché atteint 2 105,937 milliards FCFA.</w:t>
      </w:r>
    </w:p>
    <w:p/>
    <w:p>
      <w:pPr>
        <w:pStyle w:val="Heading3"/>
      </w:pPr>
      <w:r>
        <w:t>📊 Évolution de l'indice BRVM Composite (100 derniers jours)</w:t>
      </w:r>
    </w:p>
    <w:p>
      <w:r>
        <w:rPr>
          <w:b/>
        </w:rPr>
        <w:t xml:space="preserve">BRVM Composite — </w:t>
      </w:r>
      <w:r>
        <w:t xml:space="preserve">Sur les 100 derniers jours de cotation (2026-04-09 au 2026-09-03), l'indice BRVM Composite a évolué de </w:t>
      </w:r>
      <w:r>
        <w:rPr>
          <w:b/>
          <w:color w:val="008000"/>
        </w:rPr>
        <w:t>+34.20%</w:t>
      </w:r>
      <w:r>
        <w:t>, passant de 406.95 pts à 546.13 pts. Le plus haut atteint est 546.13 pts et le plus bas 397.33 pts. Sur l'ensemble de la période, la moyenne de l'indice s'établit à 452.82 pts, la médiane à 444.58 pts et le mode à 397.33 pts</w:t>
      </w:r>
      <w:r>
        <w:t xml:space="preserve"> (asymétrie positive — plus de jours sous la moyenne). </w:t>
      </w:r>
      <w:r>
        <w:t xml:space="preserve">L'écart-type de 41.55 pts (CV=9.2%) traduit une modérée dispersion des cotations. Le kurtosis de -0.87 indique une distribution distribution normale.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C00000"/>
        </w:rPr>
        <w:t>-86.58%</w:t>
      </w:r>
      <w:r>
        <w:t xml:space="preserve"> sur la période, passant de 15 690,176 Mds FCFA à 2 105,937 Mds FCFA. Le pic de capitalisation observé est de 19 886,911 Mds FCFA et le plancher de 2 003,618 Mds FCFA. La moyenne de la capitalisation sur la période s'établit à 15 607,483 Mds FCFA, la médiane à 16 816,942 Mds FCFA et le mode à 2 003,618 Mds FCFA</w:t>
      </w:r>
      <w:r>
        <w:t xml:space="preserve"> (asymétrie négative). </w:t>
      </w:r>
      <w:r>
        <w:t>L'écart-type de 4 706,300 Mds FCFA (CV=30.2%) reflète une forte variabilité de la valorisation du marché. Le kurtosis de 4.09 indique une distribution leptokurtique — risque de pics de valorisation.</w:t>
      </w:r>
      <w:r>
        <w:t xml:space="preserve"> La contraction de la capitalisation traduit une sortie de capitaux et une pression baissière structurelle.</w:t>
      </w:r>
    </w:p>
    <w:p>
      <w:pPr>
        <w:jc w:val="center"/>
      </w:pPr>
      <w:r>
        <w:drawing>
          <wp:inline xmlns:a="http://schemas.openxmlformats.org/drawingml/2006/main" xmlns:pic="http://schemas.openxmlformats.org/drawingml/2006/picture">
            <wp:extent cx="5943600" cy="195840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58409"/>
                    </a:xfrm>
                    <a:prstGeom prst="rect"/>
                  </pic:spPr>
                </pic:pic>
              </a:graphicData>
            </a:graphic>
          </wp:inline>
        </w:drawing>
      </w:r>
    </w:p>
    <w:p/>
    <w:p>
      <w:pPr>
        <w:pStyle w:val="Heading2"/>
      </w:pPr>
      <w:r>
        <w:t>📈 TOP 10 DES OPPORTUNITÉS D'ACHAT</w:t>
      </w:r>
    </w:p>
    <w:p>
      <w:pPr>
        <w:pStyle w:val="ListNumber"/>
      </w:pPr>
      <w:r>
        <w:rPr>
          <w:b/>
        </w:rPr>
        <w:t>PRSC - PRSC - TRACTAFRIC MOTORS CI</w:t>
      </w:r>
      <w:r>
        <w:t xml:space="preserve"> | Prix: 4400 FCFA | </w:t>
      </w:r>
      <w:r>
        <w:rPr>
          <w:b/>
          <w:color w:val="008000"/>
        </w:rPr>
        <w:t>ACHAT FORT</w:t>
      </w:r>
      <w:r>
        <w:t xml:space="preserve"> | Confiance: Faible | Risque: Moyen</w:t>
      </w:r>
    </w:p>
    <w:p>
      <w:pPr>
        <w:pStyle w:val="ListNumber"/>
      </w:pPr>
      <w:r>
        <w:rPr>
          <w:b/>
        </w:rPr>
        <w:t>SGBC - SGBC - SOCIETE GENERALE COTE D'IVOIRE</w:t>
      </w:r>
      <w:r>
        <w:t xml:space="preserve"> | Prix: 38500 FCFA | </w:t>
      </w:r>
      <w:r>
        <w:rPr>
          <w:b/>
          <w:color w:val="008000"/>
        </w:rPr>
        <w:t>ACHAT FORT</w:t>
      </w:r>
      <w:r>
        <w:t xml:space="preserve"> | Confiance: Élevée | Risque: Faible</w:t>
      </w:r>
    </w:p>
    <w:p>
      <w:pPr>
        <w:pStyle w:val="ListNumber"/>
      </w:pPr>
      <w:r>
        <w:rPr>
          <w:b/>
        </w:rPr>
        <w:t>ABJC - ABJC - SERVAIR ABIDJAN CI</w:t>
      </w:r>
      <w:r>
        <w:t xml:space="preserve"> | Prix: 3950 FCFA | </w:t>
      </w:r>
      <w:r>
        <w:rPr>
          <w:b/>
          <w:color w:val="008000"/>
        </w:rPr>
        <w:t>ACHAT</w:t>
      </w:r>
      <w:r>
        <w:t xml:space="preserve"> | Confiance: Moyen | Risque: Moyen</w:t>
      </w:r>
    </w:p>
    <w:p>
      <w:pPr>
        <w:pStyle w:val="ListNumber"/>
      </w:pPr>
      <w:r>
        <w:rPr>
          <w:b/>
        </w:rPr>
        <w:t>BICB - BIIC BN - Banque internationale pour le commerce du benin</w:t>
      </w:r>
      <w:r>
        <w:t xml:space="preserve"> | Prix: 10110 FCFA | </w:t>
      </w:r>
      <w:r>
        <w:rPr>
          <w:b/>
          <w:color w:val="008000"/>
        </w:rPr>
        <w:t>ACHAT</w:t>
      </w:r>
      <w:r>
        <w:t xml:space="preserve"> | Confiance: Faible | Risque: Moyen</w:t>
      </w:r>
    </w:p>
    <w:p>
      <w:pPr>
        <w:pStyle w:val="ListNumber"/>
      </w:pPr>
      <w:r>
        <w:rPr>
          <w:b/>
        </w:rPr>
        <w:t>BICC - BICI CI - Banque internationale pour le commerce et l'industrie de la Côte d'Ivoire</w:t>
      </w:r>
      <w:r>
        <w:t xml:space="preserve"> | Prix: 32680 FCFA | </w:t>
      </w:r>
      <w:r>
        <w:rPr>
          <w:b/>
          <w:color w:val="008000"/>
        </w:rPr>
        <w:t>ACHAT</w:t>
      </w:r>
      <w:r>
        <w:t xml:space="preserve"> | Confiance: Faible | Risque: Moyen</w:t>
      </w:r>
    </w:p>
    <w:p>
      <w:pPr>
        <w:pStyle w:val="ListNumber"/>
      </w:pPr>
      <w:r>
        <w:rPr>
          <w:b/>
        </w:rPr>
        <w:t>BNBC - BNBC - BERNABE CI</w:t>
      </w:r>
      <w:r>
        <w:t xml:space="preserve"> | Prix: 2200 FCFA | </w:t>
      </w:r>
      <w:r>
        <w:rPr>
          <w:b/>
          <w:color w:val="008000"/>
        </w:rPr>
        <w:t>ACHAT</w:t>
      </w:r>
      <w:r>
        <w:t xml:space="preserve"> | Confiance: Élevée | Risque: Faible</w:t>
      </w:r>
    </w:p>
    <w:p>
      <w:pPr>
        <w:pStyle w:val="ListNumber"/>
      </w:pPr>
      <w:r>
        <w:rPr>
          <w:b/>
        </w:rPr>
        <w:t>BOAB - BANK OF AFRICA BENIN</w:t>
      </w:r>
      <w:r>
        <w:t xml:space="preserve"> | Prix: 10350 FCFA | </w:t>
      </w:r>
      <w:r>
        <w:rPr>
          <w:b/>
          <w:color w:val="008000"/>
        </w:rPr>
        <w:t>ACHAT</w:t>
      </w:r>
      <w:r>
        <w:t xml:space="preserve"> | Confiance: Moyen | Risque: Moyen</w:t>
      </w:r>
    </w:p>
    <w:p>
      <w:pPr>
        <w:pStyle w:val="ListNumber"/>
      </w:pPr>
      <w:r>
        <w:rPr>
          <w:b/>
        </w:rPr>
        <w:t>BOABF - BANK OF AFRICA BURKINA FASO</w:t>
      </w:r>
      <w:r>
        <w:t xml:space="preserve"> | Prix: 8950 FCFA | </w:t>
      </w:r>
      <w:r>
        <w:rPr>
          <w:b/>
          <w:color w:val="008000"/>
        </w:rPr>
        <w:t>ACHAT</w:t>
      </w:r>
      <w:r>
        <w:t xml:space="preserve"> | Confiance: Moyen | Risque: Moyen</w:t>
      </w:r>
    </w:p>
    <w:p>
      <w:pPr>
        <w:pStyle w:val="ListNumber"/>
      </w:pPr>
      <w:r>
        <w:rPr>
          <w:b/>
        </w:rPr>
        <w:t>BOAC - BANK OF AFRICA COTE D'IVOIRE</w:t>
      </w:r>
      <w:r>
        <w:t xml:space="preserve"> | Prix: 12500 FCFA | </w:t>
      </w:r>
      <w:r>
        <w:rPr>
          <w:b/>
          <w:color w:val="008000"/>
        </w:rPr>
        <w:t>ACHAT</w:t>
      </w:r>
      <w:r>
        <w:t xml:space="preserve"> | Confiance: Élevée | Risque: Moyen</w:t>
      </w:r>
    </w:p>
    <w:p>
      <w:pPr>
        <w:pStyle w:val="ListNumber"/>
      </w:pPr>
      <w:r>
        <w:rPr>
          <w:b/>
        </w:rPr>
        <w:t>BOAM - BANK OF AFRICA MALI</w:t>
      </w:r>
      <w:r>
        <w:t xml:space="preserve"> | Prix: 6490 FCFA | </w:t>
      </w:r>
      <w:r>
        <w:rPr>
          <w:b/>
          <w:color w:val="008000"/>
        </w:rPr>
        <w:t>ACHAT</w:t>
      </w:r>
      <w:r>
        <w:t xml:space="preserve"> | Confiance: Moyen | Risque: Faible</w:t>
      </w:r>
    </w:p>
    <w:p/>
    <w:p>
      <w:pPr>
        <w:pStyle w:val="Heading2"/>
      </w:pPr>
      <w:r>
        <w:t>📉 TOP 10 DES ACTIONS À ÉVITER</w:t>
      </w:r>
    </w:p>
    <w:p>
      <w:r>
        <w:t>Ces actions présentent des signaux de vente ou de dégradation fondamentale. Il est conseillé de les céder immédiatement ou d'éviter d'y investir.</w:t>
      </w:r>
    </w:p>
    <w:p>
      <w:r>
        <w:rPr>
          <w:i/>
        </w:rPr>
        <w:t>✅ Aucune action à éviter ce jour.</w:t>
      </w:r>
      <w:r>
        <w:t xml:space="preserve"> L'ensemble des 47 sociétés analysées présentent des signaux neutres ou positifs. Aucun signal de vente fort n'a été détecté par l'analyse Multi-AI.</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96.99%</w:t>
      </w:r>
      <w:r>
        <w:t xml:space="preserve">  |  </w:t>
      </w:r>
      <w:r>
        <w:rPr>
          <w:b/>
        </w:rPr>
        <w:t xml:space="preserve">vs BRVM Composite: </w:t>
      </w:r>
      <w:r>
        <w:rPr>
          <w:b/>
          <w:color w:val="008000"/>
        </w:rPr>
        <w:t>+62.78%  🟢 Surperformance</w:t>
      </w:r>
      <w:r>
        <w:br/>
      </w:r>
      <w:r>
        <w:rPr>
          <w:b/>
        </w:rPr>
        <w:t xml:space="preserve">Sentiment général: </w:t>
      </w:r>
      <w:r>
        <w:t xml:space="preserve">ACHAT  |  </w:t>
      </w:r>
      <w:r>
        <w:rPr>
          <w:b/>
        </w:rPr>
        <w:t xml:space="preserve">Risque moyen: </w:t>
      </w:r>
      <w:r>
        <w:t xml:space="preserve">Moyen  |  </w:t>
      </w:r>
      <w:r>
        <w:rPr>
          <w:b/>
        </w:rPr>
        <w:t xml:space="preserve">Prix moyen: </w:t>
      </w:r>
      <w:r>
        <w:t>10100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46.32%</w:t>
      </w:r>
      <w:r>
        <w:t xml:space="preserve">  |  </w:t>
      </w:r>
      <w:r>
        <w:rPr>
          <w:b/>
        </w:rPr>
        <w:t xml:space="preserve">vs BRVM Composite: </w:t>
      </w:r>
      <w:r>
        <w:rPr>
          <w:b/>
          <w:color w:val="008000"/>
        </w:rPr>
        <w:t>+12.12%  🟢 Surperformance</w:t>
      </w:r>
      <w:r>
        <w:br/>
      </w:r>
      <w:r>
        <w:rPr>
          <w:b/>
        </w:rPr>
        <w:t xml:space="preserve">Sentiment général: </w:t>
      </w:r>
      <w:r>
        <w:t xml:space="preserve">ACHAT  |  </w:t>
      </w:r>
      <w:r>
        <w:rPr>
          <w:b/>
        </w:rPr>
        <w:t xml:space="preserve">Risque moyen: </w:t>
      </w:r>
      <w:r>
        <w:t xml:space="preserve">Moyen  |  </w:t>
      </w:r>
      <w:r>
        <w:rPr>
          <w:b/>
        </w:rPr>
        <w:t xml:space="preserve">Prix moyen: </w:t>
      </w:r>
      <w:r>
        <w:t>14080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28.10%</w:t>
      </w:r>
      <w:r>
        <w:t xml:space="preserve">  |  </w:t>
      </w:r>
      <w:r>
        <w:rPr>
          <w:b/>
        </w:rPr>
        <w:t xml:space="preserve">vs BRVM Composite: </w:t>
      </w:r>
      <w:r>
        <w:rPr>
          <w:b/>
          <w:color w:val="C00000"/>
        </w:rPr>
        <w:t>-6.10%  🔴 Sous-performance</w:t>
      </w:r>
      <w:r>
        <w:br/>
      </w:r>
      <w:r>
        <w:rPr>
          <w:b/>
        </w:rPr>
        <w:t xml:space="preserve">Sentiment général: </w:t>
      </w:r>
      <w:r>
        <w:t xml:space="preserve">ACHAT  |  </w:t>
      </w:r>
      <w:r>
        <w:rPr>
          <w:b/>
        </w:rPr>
        <w:t xml:space="preserve">Risque moyen: </w:t>
      </w:r>
      <w:r>
        <w:t xml:space="preserve">Moyen  |  </w:t>
      </w:r>
      <w:r>
        <w:rPr>
          <w:b/>
        </w:rPr>
        <w:t xml:space="preserve">Prix moyen: </w:t>
      </w:r>
      <w:r>
        <w:t>3111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26.52%</w:t>
      </w:r>
      <w:r>
        <w:t xml:space="preserve">  |  </w:t>
      </w:r>
      <w:r>
        <w:rPr>
          <w:b/>
        </w:rPr>
        <w:t xml:space="preserve">vs BRVM Composite: </w:t>
      </w:r>
      <w:r>
        <w:rPr>
          <w:b/>
          <w:color w:val="C00000"/>
        </w:rPr>
        <w:t>-7.68%  🔴 Sous-performance</w:t>
      </w:r>
      <w:r>
        <w:br/>
      </w:r>
      <w:r>
        <w:rPr>
          <w:b/>
        </w:rPr>
        <w:t xml:space="preserve">Sentiment général: </w:t>
      </w:r>
      <w:r>
        <w:t xml:space="preserve">ACHAT  |  </w:t>
      </w:r>
      <w:r>
        <w:rPr>
          <w:b/>
        </w:rPr>
        <w:t xml:space="preserve">Risque moyen: </w:t>
      </w:r>
      <w:r>
        <w:t xml:space="preserve">Moyen  |  </w:t>
      </w:r>
      <w:r>
        <w:rPr>
          <w:b/>
        </w:rPr>
        <w:t xml:space="preserve">Prix moyen: </w:t>
      </w:r>
      <w:r>
        <w:t>18908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25.45%</w:t>
      </w:r>
      <w:r>
        <w:t xml:space="preserve">  |  </w:t>
      </w:r>
      <w:r>
        <w:rPr>
          <w:b/>
        </w:rPr>
        <w:t xml:space="preserve">vs BRVM Composite: </w:t>
      </w:r>
      <w:r>
        <w:rPr>
          <w:b/>
          <w:color w:val="C00000"/>
        </w:rPr>
        <w:t>-8.75%  🔴 Sous-performance</w:t>
      </w:r>
      <w:r>
        <w:br/>
      </w:r>
      <w:r>
        <w:rPr>
          <w:b/>
        </w:rPr>
        <w:t xml:space="preserve">Sentiment général: </w:t>
      </w:r>
      <w:r>
        <w:t xml:space="preserve">ACHAT  |  </w:t>
      </w:r>
      <w:r>
        <w:rPr>
          <w:b/>
        </w:rPr>
        <w:t xml:space="preserve">Risque moyen: </w:t>
      </w:r>
      <w:r>
        <w:t xml:space="preserve">Moyen  |  </w:t>
      </w:r>
      <w:r>
        <w:rPr>
          <w:b/>
        </w:rPr>
        <w:t xml:space="preserve">Prix moyen: </w:t>
      </w:r>
      <w:r>
        <w:t>20692 FCFA</w:t>
        <w:br/>
      </w:r>
      <w:r>
        <w:rPr>
          <w:b/>
        </w:rPr>
        <w:br/>
        <w:t xml:space="preserve">Sociétés: </w:t>
      </w:r>
      <w:r>
        <w:t>ONTBF (ONTBF - ONATEL BURKINA FASO), ORAC (ORAC - ORANGE COTE D'IVOIRE), SNTS (SNTS - SONATEL SN)</w:t>
      </w:r>
    </w:p>
    <w:p/>
    <w:p>
      <w:pPr>
        <w:pStyle w:val="Heading3"/>
      </w:pPr>
      <w:r>
        <w:t>Secteur: ENERGIE</w:t>
      </w:r>
    </w:p>
    <w:p>
      <w:r>
        <w:rPr>
          <w:b/>
        </w:rPr>
        <w:t xml:space="preserve">Nombre de sociétés: </w:t>
      </w:r>
      <w:r>
        <w:t xml:space="preserve">4  |  </w:t>
      </w:r>
      <w:r>
        <w:rPr>
          <w:b/>
        </w:rPr>
        <w:t xml:space="preserve">Performance moyenne (100j): </w:t>
      </w:r>
      <w:r>
        <w:rPr>
          <w:color w:val="008000"/>
        </w:rPr>
        <w:t>24.90%</w:t>
      </w:r>
      <w:r>
        <w:t xml:space="preserve">  |  </w:t>
      </w:r>
      <w:r>
        <w:rPr>
          <w:b/>
        </w:rPr>
        <w:t xml:space="preserve">vs BRVM Composite: </w:t>
      </w:r>
      <w:r>
        <w:rPr>
          <w:b/>
          <w:color w:val="C00000"/>
        </w:rPr>
        <w:t>-9.30%  🔴 Sous-performance</w:t>
      </w:r>
      <w:r>
        <w:br/>
      </w:r>
      <w:r>
        <w:rPr>
          <w:b/>
        </w:rPr>
        <w:t xml:space="preserve">Sentiment général: </w:t>
      </w:r>
      <w:r>
        <w:t xml:space="preserve">ACHAT  |  </w:t>
      </w:r>
      <w:r>
        <w:rPr>
          <w:b/>
        </w:rPr>
        <w:t xml:space="preserve">Risque moyen: </w:t>
      </w:r>
      <w:r>
        <w:t xml:space="preserve">Faible  |  </w:t>
      </w:r>
      <w:r>
        <w:rPr>
          <w:b/>
        </w:rPr>
        <w:t xml:space="preserve">Prix moyen: </w:t>
      </w:r>
      <w:r>
        <w:t>6725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INDUSTRIELS</w:t>
      </w:r>
    </w:p>
    <w:p>
      <w:r>
        <w:rPr>
          <w:b/>
        </w:rPr>
        <w:t xml:space="preserve">Nombre de sociétés: </w:t>
      </w:r>
      <w:r>
        <w:t xml:space="preserve">6  |  </w:t>
      </w:r>
      <w:r>
        <w:rPr>
          <w:b/>
        </w:rPr>
        <w:t xml:space="preserve">Performance moyenne (100j): </w:t>
      </w:r>
      <w:r>
        <w:rPr>
          <w:color w:val="C00000"/>
        </w:rPr>
        <w:t>-4.01%</w:t>
      </w:r>
      <w:r>
        <w:t xml:space="preserve">  |  </w:t>
      </w:r>
      <w:r>
        <w:rPr>
          <w:b/>
        </w:rPr>
        <w:t xml:space="preserve">vs BRVM Composite: </w:t>
      </w:r>
      <w:r>
        <w:rPr>
          <w:b/>
          <w:color w:val="C00000"/>
        </w:rPr>
        <w:t>-38.21%  🔴 Sous-performance</w:t>
      </w:r>
      <w:r>
        <w:br/>
      </w:r>
      <w:r>
        <w:rPr>
          <w:b/>
        </w:rPr>
        <w:t xml:space="preserve">Sentiment général: </w:t>
      </w:r>
      <w:r>
        <w:t xml:space="preserve">ACHAT  |  </w:t>
      </w:r>
      <w:r>
        <w:rPr>
          <w:b/>
        </w:rPr>
        <w:t xml:space="preserve">Risque moyen: </w:t>
      </w:r>
      <w:r>
        <w:t xml:space="preserve">Moyen  |  </w:t>
      </w:r>
      <w:r>
        <w:rPr>
          <w:b/>
        </w:rPr>
        <w:t xml:space="preserve">Prix moyen: </w:t>
      </w:r>
      <w:r>
        <w:t>2566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BNBC, BOAC, BOAS, CFAC, SCRC, SICC, SIVC, TTLC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ABJC, BOAB, BOABF, BOAM, CABC, FTSC, NEIC, NSBC, NTLC, ORAC, PALC, SAFC, SDSC, SEMC, SGBC, SMBC, SNTS, SPHC, STAC, TTLS, UNLC, UNXC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BICB, BICC, BOAN, CBIBF, CIEC, ECOC, ETIT, LNBB, ONTBF, ORGT, PRSC, SDCC, SHEC, SIBC, SLBC, SOGC, STBC</w:t>
            </w:r>
          </w:p>
        </w:tc>
        <w:tc>
          <w:tcPr>
            <w:tcW w:type="dxa" w:w="2160"/>
            <w:shd w:fill="FFC7CE" w:val="clear"/>
          </w:tcPr>
          <w:p>
            <w:pPr>
              <w:spacing w:before="40" w:after="40"/>
            </w:pPr>
            <w:r/>
            <w:r>
              <w:rPr>
                <w:b w:val="0"/>
                <w:sz w:val="16"/>
              </w:rPr>
              <w:t>—</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1438230</w:t>
            </w:r>
          </w:p>
        </w:tc>
        <w:tc>
          <w:tcPr>
            <w:tcW w:type="dxa" w:w="1728"/>
          </w:tcPr>
          <w:p>
            <w:r>
              <w:t>95065997 FCFA</w:t>
            </w:r>
          </w:p>
        </w:tc>
        <w:tc>
          <w:tcPr>
            <w:tcW w:type="dxa" w:w="1728"/>
          </w:tcPr>
          <w:p>
            <w:r>
              <w:t>102.94%</w:t>
            </w:r>
          </w:p>
        </w:tc>
        <w:tc>
          <w:tcPr>
            <w:tcW w:type="dxa" w:w="1728"/>
          </w:tcPr>
          <w:p>
            <w:r>
              <w:t>ACHAT</w:t>
            </w:r>
          </w:p>
        </w:tc>
      </w:tr>
      <w:tr>
        <w:tc>
          <w:tcPr>
            <w:tcW w:type="dxa" w:w="1728"/>
          </w:tcPr>
          <w:p>
            <w:r>
              <w:t>SDSC (SDSC - AFRICA GLOBAL LOGISTICS CI)</w:t>
            </w:r>
          </w:p>
        </w:tc>
        <w:tc>
          <w:tcPr>
            <w:tcW w:type="dxa" w:w="1728"/>
          </w:tcPr>
          <w:p>
            <w:r>
              <w:t>21172</w:t>
            </w:r>
          </w:p>
        </w:tc>
        <w:tc>
          <w:tcPr>
            <w:tcW w:type="dxa" w:w="1728"/>
          </w:tcPr>
          <w:p>
            <w:r>
              <w:t>55933618 FCFA</w:t>
            </w:r>
          </w:p>
        </w:tc>
        <w:tc>
          <w:tcPr>
            <w:tcW w:type="dxa" w:w="1728"/>
          </w:tcPr>
          <w:p>
            <w:r>
              <w:t>63.16%</w:t>
            </w:r>
          </w:p>
        </w:tc>
        <w:tc>
          <w:tcPr>
            <w:tcW w:type="dxa" w:w="1728"/>
          </w:tcPr>
          <w:p>
            <w:r>
              <w:t>ACHAT</w:t>
            </w:r>
          </w:p>
        </w:tc>
      </w:tr>
      <w:tr>
        <w:tc>
          <w:tcPr>
            <w:tcW w:type="dxa" w:w="1728"/>
          </w:tcPr>
          <w:p>
            <w:r>
              <w:t>BICB (BIIC BN - Banque internationale pour le commerce du benin)</w:t>
            </w:r>
          </w:p>
        </w:tc>
        <w:tc>
          <w:tcPr>
            <w:tcW w:type="dxa" w:w="1728"/>
          </w:tcPr>
          <w:p>
            <w:r>
              <w:t>19877</w:t>
            </w:r>
          </w:p>
        </w:tc>
        <w:tc>
          <w:tcPr>
            <w:tcW w:type="dxa" w:w="1728"/>
          </w:tcPr>
          <w:p>
            <w:r>
              <w:t>164668918 FCFA</w:t>
            </w:r>
          </w:p>
        </w:tc>
        <w:tc>
          <w:tcPr>
            <w:tcW w:type="dxa" w:w="1728"/>
          </w:tcPr>
          <w:p>
            <w:r>
              <w:t>95.17%</w:t>
            </w:r>
          </w:p>
        </w:tc>
        <w:tc>
          <w:tcPr>
            <w:tcW w:type="dxa" w:w="1728"/>
          </w:tcPr>
          <w:p>
            <w:r>
              <w:t>ACHAT</w:t>
            </w:r>
          </w:p>
        </w:tc>
      </w:tr>
      <w:tr>
        <w:tc>
          <w:tcPr>
            <w:tcW w:type="dxa" w:w="1728"/>
          </w:tcPr>
          <w:p>
            <w:r>
              <w:t>UNXC (UNXC - UNIWAX COTE D'IVOIRE)</w:t>
            </w:r>
          </w:p>
        </w:tc>
        <w:tc>
          <w:tcPr>
            <w:tcW w:type="dxa" w:w="1728"/>
          </w:tcPr>
          <w:p>
            <w:r>
              <w:t>15413</w:t>
            </w:r>
          </w:p>
        </w:tc>
        <w:tc>
          <w:tcPr>
            <w:tcW w:type="dxa" w:w="1728"/>
          </w:tcPr>
          <w:p>
            <w:r>
              <w:t>35167053 FCFA</w:t>
            </w:r>
          </w:p>
        </w:tc>
        <w:tc>
          <w:tcPr>
            <w:tcW w:type="dxa" w:w="1728"/>
          </w:tcPr>
          <w:p>
            <w:r>
              <w:t>24.68%</w:t>
            </w:r>
          </w:p>
        </w:tc>
        <w:tc>
          <w:tcPr>
            <w:tcW w:type="dxa" w:w="1728"/>
          </w:tcPr>
          <w:p>
            <w:r>
              <w:t>ACHAT</w:t>
            </w:r>
          </w:p>
        </w:tc>
      </w:tr>
      <w:tr>
        <w:tc>
          <w:tcPr>
            <w:tcW w:type="dxa" w:w="1728"/>
          </w:tcPr>
          <w:p>
            <w:r>
              <w:t>BOAS (BANK OF AFRICA SENEGAL)</w:t>
            </w:r>
          </w:p>
        </w:tc>
        <w:tc>
          <w:tcPr>
            <w:tcW w:type="dxa" w:w="1728"/>
          </w:tcPr>
          <w:p>
            <w:r>
              <w:t>14375</w:t>
            </w:r>
          </w:p>
        </w:tc>
        <w:tc>
          <w:tcPr>
            <w:tcW w:type="dxa" w:w="1728"/>
          </w:tcPr>
          <w:p>
            <w:r>
              <w:t>114504952 FCFA</w:t>
            </w:r>
          </w:p>
        </w:tc>
        <w:tc>
          <w:tcPr>
            <w:tcW w:type="dxa" w:w="1728"/>
          </w:tcPr>
          <w:p>
            <w:r>
              <w:t>23.88%</w:t>
            </w:r>
          </w:p>
        </w:tc>
        <w:tc>
          <w:tcPr>
            <w:tcW w:type="dxa" w:w="1728"/>
          </w:tcPr>
          <w:p>
            <w:r>
              <w:t>ACHAT</w:t>
            </w:r>
          </w:p>
        </w:tc>
      </w:tr>
      <w:tr>
        <w:tc>
          <w:tcPr>
            <w:tcW w:type="dxa" w:w="1728"/>
          </w:tcPr>
          <w:p>
            <w:r>
              <w:t>SIBC (SIBC - SOCIETE IVOIRIENNE DE BANQUE)</w:t>
            </w:r>
          </w:p>
        </w:tc>
        <w:tc>
          <w:tcPr>
            <w:tcW w:type="dxa" w:w="1728"/>
          </w:tcPr>
          <w:p>
            <w:r>
              <w:t>12197</w:t>
            </w:r>
          </w:p>
        </w:tc>
        <w:tc>
          <w:tcPr>
            <w:tcW w:type="dxa" w:w="1728"/>
          </w:tcPr>
          <w:p>
            <w:r>
              <w:t>111745202 FCFA</w:t>
            </w:r>
          </w:p>
        </w:tc>
        <w:tc>
          <w:tcPr>
            <w:tcW w:type="dxa" w:w="1728"/>
          </w:tcPr>
          <w:p>
            <w:r>
              <w:t>30.99%</w:t>
            </w:r>
          </w:p>
        </w:tc>
        <w:tc>
          <w:tcPr>
            <w:tcW w:type="dxa" w:w="1728"/>
          </w:tcPr>
          <w:p>
            <w:r>
              <w:t>ACHAT</w:t>
            </w:r>
          </w:p>
        </w:tc>
      </w:tr>
      <w:tr>
        <w:tc>
          <w:tcPr>
            <w:tcW w:type="dxa" w:w="1728"/>
          </w:tcPr>
          <w:p>
            <w:r>
              <w:t>SOGC (SOGC - Société des caoutchoucs de Grand-Béréby)</w:t>
            </w:r>
          </w:p>
        </w:tc>
        <w:tc>
          <w:tcPr>
            <w:tcW w:type="dxa" w:w="1728"/>
          </w:tcPr>
          <w:p>
            <w:r>
              <w:t>10879</w:t>
            </w:r>
          </w:p>
        </w:tc>
        <w:tc>
          <w:tcPr>
            <w:tcW w:type="dxa" w:w="1728"/>
          </w:tcPr>
          <w:p>
            <w:r>
              <w:t>82008840 FCFA</w:t>
            </w:r>
          </w:p>
        </w:tc>
        <w:tc>
          <w:tcPr>
            <w:tcW w:type="dxa" w:w="1728"/>
          </w:tcPr>
          <w:p>
            <w:r>
              <w:t>11.64%</w:t>
            </w:r>
          </w:p>
        </w:tc>
        <w:tc>
          <w:tcPr>
            <w:tcW w:type="dxa" w:w="1728"/>
          </w:tcPr>
          <w:p>
            <w:r>
              <w:t>ACHAT</w:t>
            </w:r>
          </w:p>
        </w:tc>
      </w:tr>
      <w:tr>
        <w:tc>
          <w:tcPr>
            <w:tcW w:type="dxa" w:w="1728"/>
          </w:tcPr>
          <w:p>
            <w:r>
              <w:t>BOABF (BANK OF AFRICA BURKINA FASO)</w:t>
            </w:r>
          </w:p>
        </w:tc>
        <w:tc>
          <w:tcPr>
            <w:tcW w:type="dxa" w:w="1728"/>
          </w:tcPr>
          <w:p>
            <w:r>
              <w:t>10743</w:t>
            </w:r>
          </w:p>
        </w:tc>
        <w:tc>
          <w:tcPr>
            <w:tcW w:type="dxa" w:w="1728"/>
          </w:tcPr>
          <w:p>
            <w:r>
              <w:t>86303230 FCFA</w:t>
            </w:r>
          </w:p>
        </w:tc>
        <w:tc>
          <w:tcPr>
            <w:tcW w:type="dxa" w:w="1728"/>
          </w:tcPr>
          <w:p>
            <w:r>
              <w:t>57.43%</w:t>
            </w:r>
          </w:p>
        </w:tc>
        <w:tc>
          <w:tcPr>
            <w:tcW w:type="dxa" w:w="1728"/>
          </w:tcPr>
          <w:p>
            <w:r>
              <w:t>ACHAT</w:t>
            </w:r>
          </w:p>
        </w:tc>
      </w:tr>
      <w:tr>
        <w:tc>
          <w:tcPr>
            <w:tcW w:type="dxa" w:w="1728"/>
          </w:tcPr>
          <w:p>
            <w:r>
              <w:t>SNTS (SNTS - SONATEL SN)</w:t>
            </w:r>
          </w:p>
        </w:tc>
        <w:tc>
          <w:tcPr>
            <w:tcW w:type="dxa" w:w="1728"/>
          </w:tcPr>
          <w:p>
            <w:r>
              <w:t>10548</w:t>
            </w:r>
          </w:p>
        </w:tc>
        <w:tc>
          <w:tcPr>
            <w:tcW w:type="dxa" w:w="1728"/>
          </w:tcPr>
          <w:p>
            <w:r>
              <w:t>363249108 FCFA</w:t>
            </w:r>
          </w:p>
        </w:tc>
        <w:tc>
          <w:tcPr>
            <w:tcW w:type="dxa" w:w="1728"/>
          </w:tcPr>
          <w:p>
            <w:r>
              <w:t>31.97%</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FTSC (FTSC - FILTISAC COTE D'IVOIRE)</w:t>
            </w:r>
          </w:p>
        </w:tc>
        <w:tc>
          <w:tcPr>
            <w:tcW w:type="dxa" w:w="1728"/>
          </w:tcPr>
          <w:p>
            <w:r>
              <w:t>3979</w:t>
            </w:r>
          </w:p>
        </w:tc>
        <w:tc>
          <w:tcPr>
            <w:tcW w:type="dxa" w:w="1728"/>
          </w:tcPr>
          <w:p>
            <w:r>
              <w:t>8443233 FCFA</w:t>
            </w:r>
          </w:p>
        </w:tc>
        <w:tc>
          <w:tcPr>
            <w:tcW w:type="dxa" w:w="1728"/>
          </w:tcPr>
          <w:p>
            <w:r>
              <w:t>-6.51%</w:t>
            </w:r>
          </w:p>
        </w:tc>
        <w:tc>
          <w:tcPr>
            <w:tcW w:type="dxa" w:w="1728"/>
          </w:tcPr>
          <w:p>
            <w:r>
              <w:t>ACHAT</w:t>
            </w:r>
          </w:p>
        </w:tc>
      </w:tr>
      <w:tr>
        <w:tc>
          <w:tcPr>
            <w:tcW w:type="dxa" w:w="1728"/>
          </w:tcPr>
          <w:p>
            <w:r>
              <w:t>ORGT (ORGT - ORAGROUP TOGO)</w:t>
            </w:r>
          </w:p>
        </w:tc>
        <w:tc>
          <w:tcPr>
            <w:tcW w:type="dxa" w:w="1728"/>
          </w:tcPr>
          <w:p>
            <w:r>
              <w:t>3614</w:t>
            </w:r>
          </w:p>
        </w:tc>
        <w:tc>
          <w:tcPr>
            <w:tcW w:type="dxa" w:w="1728"/>
          </w:tcPr>
          <w:p>
            <w:r>
              <w:t>11346028 FCFA</w:t>
            </w:r>
          </w:p>
        </w:tc>
        <w:tc>
          <w:tcPr>
            <w:tcW w:type="dxa" w:w="1728"/>
          </w:tcPr>
          <w:p>
            <w:r>
              <w:t>-12.33%</w:t>
            </w:r>
          </w:p>
        </w:tc>
        <w:tc>
          <w:tcPr>
            <w:tcW w:type="dxa" w:w="1728"/>
          </w:tcPr>
          <w:p>
            <w:r>
              <w:t>ACHAT</w:t>
            </w:r>
          </w:p>
        </w:tc>
      </w:tr>
      <w:tr>
        <w:tc>
          <w:tcPr>
            <w:tcW w:type="dxa" w:w="1728"/>
          </w:tcPr>
          <w:p>
            <w:r>
              <w:t>NSBC (NSBC - NSIA BANQUE COTE D'IVOIRE)</w:t>
            </w:r>
          </w:p>
        </w:tc>
        <w:tc>
          <w:tcPr>
            <w:tcW w:type="dxa" w:w="1728"/>
          </w:tcPr>
          <w:p>
            <w:r>
              <w:t>3590</w:t>
            </w:r>
          </w:p>
        </w:tc>
        <w:tc>
          <w:tcPr>
            <w:tcW w:type="dxa" w:w="1728"/>
          </w:tcPr>
          <w:p>
            <w:r>
              <w:t>82744240 FCFA</w:t>
            </w:r>
          </w:p>
        </w:tc>
        <w:tc>
          <w:tcPr>
            <w:tcW w:type="dxa" w:w="1728"/>
          </w:tcPr>
          <w:p>
            <w:r>
              <w:t>61.46%</w:t>
            </w:r>
          </w:p>
        </w:tc>
        <w:tc>
          <w:tcPr>
            <w:tcW w:type="dxa" w:w="1728"/>
          </w:tcPr>
          <w:p>
            <w:r>
              <w:t>ACHAT</w:t>
            </w:r>
          </w:p>
        </w:tc>
      </w:tr>
      <w:tr>
        <w:tc>
          <w:tcPr>
            <w:tcW w:type="dxa" w:w="1728"/>
          </w:tcPr>
          <w:p>
            <w:r>
              <w:t>ABJC (ABJC - SERVAIR ABIDJAN CI)</w:t>
            </w:r>
          </w:p>
        </w:tc>
        <w:tc>
          <w:tcPr>
            <w:tcW w:type="dxa" w:w="1728"/>
          </w:tcPr>
          <w:p>
            <w:r>
              <w:t>3497</w:t>
            </w:r>
          </w:p>
        </w:tc>
        <w:tc>
          <w:tcPr>
            <w:tcW w:type="dxa" w:w="1728"/>
          </w:tcPr>
          <w:p>
            <w:r>
              <w:t>12131436 FCFA</w:t>
            </w:r>
          </w:p>
        </w:tc>
        <w:tc>
          <w:tcPr>
            <w:tcW w:type="dxa" w:w="1728"/>
          </w:tcPr>
          <w:p>
            <w:r>
              <w:t>15.50%</w:t>
            </w:r>
          </w:p>
        </w:tc>
        <w:tc>
          <w:tcPr>
            <w:tcW w:type="dxa" w:w="1728"/>
          </w:tcPr>
          <w:p>
            <w:r>
              <w:t>ACHAT</w:t>
            </w:r>
          </w:p>
        </w:tc>
      </w:tr>
      <w:tr>
        <w:tc>
          <w:tcPr>
            <w:tcW w:type="dxa" w:w="1728"/>
          </w:tcPr>
          <w:p>
            <w:r>
              <w:t>CFAC (CFAC - CFAO MOTORS CI)</w:t>
            </w:r>
          </w:p>
        </w:tc>
        <w:tc>
          <w:tcPr>
            <w:tcW w:type="dxa" w:w="1728"/>
          </w:tcPr>
          <w:p>
            <w:r>
              <w:t>3493</w:t>
            </w:r>
          </w:p>
        </w:tc>
        <w:tc>
          <w:tcPr>
            <w:tcW w:type="dxa" w:w="1728"/>
          </w:tcPr>
          <w:p>
            <w:r>
              <w:t>5920745 FCFA</w:t>
            </w:r>
          </w:p>
        </w:tc>
        <w:tc>
          <w:tcPr>
            <w:tcW w:type="dxa" w:w="1728"/>
          </w:tcPr>
          <w:p>
            <w:r>
              <w:t>3.54%</w:t>
            </w:r>
          </w:p>
        </w:tc>
        <w:tc>
          <w:tcPr>
            <w:tcW w:type="dxa" w:w="1728"/>
          </w:tcPr>
          <w:p>
            <w:r>
              <w:t>ACHAT</w:t>
            </w:r>
          </w:p>
        </w:tc>
      </w:tr>
      <w:tr>
        <w:tc>
          <w:tcPr>
            <w:tcW w:type="dxa" w:w="1728"/>
          </w:tcPr>
          <w:p>
            <w:r>
              <w:t>ORAC (ORAC - ORANGE COTE D'IVOIRE)</w:t>
            </w:r>
          </w:p>
        </w:tc>
        <w:tc>
          <w:tcPr>
            <w:tcW w:type="dxa" w:w="1728"/>
          </w:tcPr>
          <w:p>
            <w:r>
              <w:t>2659</w:t>
            </w:r>
          </w:p>
        </w:tc>
        <w:tc>
          <w:tcPr>
            <w:tcW w:type="dxa" w:w="1728"/>
          </w:tcPr>
          <w:p>
            <w:r>
              <w:t>53162052 FCFA</w:t>
            </w:r>
          </w:p>
        </w:tc>
        <w:tc>
          <w:tcPr>
            <w:tcW w:type="dxa" w:w="1728"/>
          </w:tcPr>
          <w:p>
            <w:r>
              <w:t>40.10%</w:t>
            </w:r>
          </w:p>
        </w:tc>
        <w:tc>
          <w:tcPr>
            <w:tcW w:type="dxa" w:w="1728"/>
          </w:tcPr>
          <w:p>
            <w:r>
              <w:t>ACHAT</w:t>
            </w:r>
          </w:p>
        </w:tc>
      </w:tr>
      <w:tr>
        <w:tc>
          <w:tcPr>
            <w:tcW w:type="dxa" w:w="1728"/>
          </w:tcPr>
          <w:p>
            <w:r>
              <w:t>PALC (PALC - PALM COTE D'IVOIRE)</w:t>
            </w:r>
          </w:p>
        </w:tc>
        <w:tc>
          <w:tcPr>
            <w:tcW w:type="dxa" w:w="1728"/>
          </w:tcPr>
          <w:p>
            <w:r>
              <w:t>2456</w:t>
            </w:r>
          </w:p>
        </w:tc>
        <w:tc>
          <w:tcPr>
            <w:tcW w:type="dxa" w:w="1728"/>
          </w:tcPr>
          <w:p>
            <w:r>
              <w:t>22573289 FCFA</w:t>
            </w:r>
          </w:p>
        </w:tc>
        <w:tc>
          <w:tcPr>
            <w:tcW w:type="dxa" w:w="1728"/>
          </w:tcPr>
          <w:p>
            <w:r>
              <w:t>5.75%</w:t>
            </w:r>
          </w:p>
        </w:tc>
        <w:tc>
          <w:tcPr>
            <w:tcW w:type="dxa" w:w="1728"/>
          </w:tcPr>
          <w:p>
            <w:r>
              <w:t>ACHAT</w:t>
            </w:r>
          </w:p>
        </w:tc>
      </w:tr>
      <w:tr>
        <w:tc>
          <w:tcPr>
            <w:tcW w:type="dxa" w:w="1728"/>
          </w:tcPr>
          <w:p>
            <w:r>
              <w:t>TTLS (TTLS - TOTAL ENERGIES MARKETING SENEGAL)</w:t>
            </w:r>
          </w:p>
        </w:tc>
        <w:tc>
          <w:tcPr>
            <w:tcW w:type="dxa" w:w="1728"/>
          </w:tcPr>
          <w:p>
            <w:r>
              <w:t>2409</w:t>
            </w:r>
          </w:p>
        </w:tc>
        <w:tc>
          <w:tcPr>
            <w:tcW w:type="dxa" w:w="1728"/>
          </w:tcPr>
          <w:p>
            <w:r>
              <w:t>9013283 FCFA</w:t>
            </w:r>
          </w:p>
        </w:tc>
        <w:tc>
          <w:tcPr>
            <w:tcW w:type="dxa" w:w="1728"/>
          </w:tcPr>
          <w:p>
            <w:r>
              <w:t>18.46%</w:t>
            </w:r>
          </w:p>
        </w:tc>
        <w:tc>
          <w:tcPr>
            <w:tcW w:type="dxa" w:w="1728"/>
          </w:tcPr>
          <w:p>
            <w:r>
              <w:t>ACHAT</w:t>
            </w:r>
          </w:p>
        </w:tc>
      </w:tr>
      <w:tr>
        <w:tc>
          <w:tcPr>
            <w:tcW w:type="dxa" w:w="1728"/>
          </w:tcPr>
          <w:p>
            <w:r>
              <w:t>CABC (CABC - SICABLE COTE D'IVOIRE)</w:t>
            </w:r>
          </w:p>
        </w:tc>
        <w:tc>
          <w:tcPr>
            <w:tcW w:type="dxa" w:w="1728"/>
          </w:tcPr>
          <w:p>
            <w:r>
              <w:t>2324</w:t>
            </w:r>
          </w:p>
        </w:tc>
        <w:tc>
          <w:tcPr>
            <w:tcW w:type="dxa" w:w="1728"/>
          </w:tcPr>
          <w:p>
            <w:r>
              <w:t>8190636 FCFA</w:t>
            </w:r>
          </w:p>
        </w:tc>
        <w:tc>
          <w:tcPr>
            <w:tcW w:type="dxa" w:w="1728"/>
          </w:tcPr>
          <w:p>
            <w:r>
              <w:t>-13.31%</w:t>
            </w:r>
          </w:p>
        </w:tc>
        <w:tc>
          <w:tcPr>
            <w:tcW w:type="dxa" w:w="1728"/>
          </w:tcPr>
          <w:p>
            <w:r>
              <w:t>ACHAT</w:t>
            </w:r>
          </w:p>
        </w:tc>
      </w:tr>
      <w:tr>
        <w:tc>
          <w:tcPr>
            <w:tcW w:type="dxa" w:w="1728"/>
          </w:tcPr>
          <w:p>
            <w:r>
              <w:t>NEIC (NEIC - NEI-CEDA CI)</w:t>
            </w:r>
          </w:p>
        </w:tc>
        <w:tc>
          <w:tcPr>
            <w:tcW w:type="dxa" w:w="1728"/>
          </w:tcPr>
          <w:p>
            <w:r>
              <w:t>2324</w:t>
            </w:r>
          </w:p>
        </w:tc>
        <w:tc>
          <w:tcPr>
            <w:tcW w:type="dxa" w:w="1728"/>
          </w:tcPr>
          <w:p>
            <w:r>
              <w:t>6141984 FCFA</w:t>
            </w:r>
          </w:p>
        </w:tc>
        <w:tc>
          <w:tcPr>
            <w:tcW w:type="dxa" w:w="1728"/>
          </w:tcPr>
          <w:p>
            <w:r>
              <w:t>119.78%</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SOGC - SOGC - Société des caoutchoucs de Grand-Béréby</w:t>
      </w:r>
    </w:p>
    <w:p>
      <w:r>
        <w:rPr>
          <w:b/>
        </w:rPr>
        <w:t xml:space="preserve">Score de divergence: </w:t>
      </w:r>
      <w:r>
        <w:t>6/8</w:t>
        <w:br/>
      </w:r>
      <w:r>
        <w:rPr>
          <w:b/>
        </w:rPr>
        <w:t xml:space="preserve">Description: </w:t>
      </w:r>
      <w:r>
        <w:t>Signaux d'achat: MACD | Signaux de vente: MM, Bollinger, RSI, Stochastique | Recommandation finale: ACHAT</w:t>
        <w:br/>
      </w:r>
    </w:p>
    <w:p/>
    <w:p>
      <w:pPr>
        <w:pStyle w:val="Heading3"/>
      </w:pPr>
      <w:r>
        <w:t>2. LNBB - LNBB - LOTERIE NATIONALE DU BENIN</w:t>
      </w:r>
    </w:p>
    <w:p>
      <w:r>
        <w:rPr>
          <w:b/>
        </w:rPr>
        <w:t xml:space="preserve">Score de divergence: </w:t>
      </w:r>
      <w:r>
        <w:t>5/8</w:t>
        <w:br/>
      </w:r>
      <w:r>
        <w:rPr>
          <w:b/>
        </w:rPr>
        <w:t xml:space="preserve">Description: </w:t>
      </w:r>
      <w:r>
        <w:t>Signaux de vente: MM, MACD | Recommandation finale: ACHAT</w:t>
        <w:br/>
      </w:r>
    </w:p>
    <w:p/>
    <w:p>
      <w:pPr>
        <w:pStyle w:val="Heading3"/>
      </w:pPr>
      <w:r>
        <w:t>3. STBC - STBC - SITAB COTE D'IVOIRE</w:t>
      </w:r>
    </w:p>
    <w:p>
      <w:r>
        <w:rPr>
          <w:b/>
        </w:rPr>
        <w:t xml:space="preserve">Score de divergence: </w:t>
      </w:r>
      <w:r>
        <w:t>5/8</w:t>
        <w:br/>
      </w:r>
      <w:r>
        <w:rPr>
          <w:b/>
        </w:rPr>
        <w:t xml:space="preserve">Description: </w:t>
      </w:r>
      <w:r>
        <w:t>Signaux de vente: MM, MACD | Recommandation finale: ACHAT</w:t>
        <w:br/>
      </w:r>
    </w:p>
    <w:p/>
    <w:p>
      <w:pPr>
        <w:pStyle w:val="Heading3"/>
      </w:pPr>
      <w:r>
        <w:t>4. BICB - BIIC BN - Banque internationale pour le commerce du benin</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5. BICC - BICI CI - Banque internationale pour le commerce et l'industrie de la Côte d'Ivoire</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6. BOAN - BANK OF AFRICA NIGER</w:t>
      </w:r>
    </w:p>
    <w:p>
      <w:r>
        <w:rPr>
          <w:b/>
        </w:rPr>
        <w:t xml:space="preserve">Score de divergence: </w:t>
      </w:r>
      <w:r>
        <w:t>4/8</w:t>
        <w:br/>
      </w:r>
      <w:r>
        <w:rPr>
          <w:b/>
        </w:rPr>
        <w:t xml:space="preserve">Description: </w:t>
      </w:r>
      <w:r>
        <w:t>Signaux d'achat: MM | Signaux de vente: MACD, RSI | Recommandation finale: ACHAT</w:t>
        <w:br/>
      </w:r>
    </w:p>
    <w:p/>
    <w:p>
      <w:pPr>
        <w:pStyle w:val="Heading3"/>
      </w:pPr>
      <w:r>
        <w:t>7. CBIBF - CBIBF - CORIS BANK INTERNATIONAL BURKINA FASO</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8. CIEC - CIEC - Compagnie Ivoirienne d'Electricité</w:t>
      </w:r>
    </w:p>
    <w:p>
      <w:r>
        <w:rPr>
          <w:b/>
        </w:rPr>
        <w:t xml:space="preserve">Score de divergence: </w:t>
      </w:r>
      <w:r>
        <w:t>4/8</w:t>
        <w:br/>
      </w:r>
      <w:r>
        <w:rPr>
          <w:b/>
        </w:rPr>
        <w:t xml:space="preserve">Description: </w:t>
      </w:r>
      <w:r>
        <w:t>Signaux d'achat: MM | Signaux de vente: MACD, RSI | Recommandation finale: ACHAT</w:t>
        <w:br/>
      </w:r>
    </w:p>
    <w:p/>
    <w:p>
      <w:pPr>
        <w:pStyle w:val="Heading3"/>
      </w:pPr>
      <w:r>
        <w:t>9. ECOC - ECOC - ECOBANK COTE D'IVOIRE</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10. ETIT - ETIT - Ecobank Transnational Incorporated Togo</w:t>
      </w:r>
    </w:p>
    <w:p>
      <w:r>
        <w:rPr>
          <w:b/>
        </w:rPr>
        <w:t xml:space="preserve">Score de divergence: </w:t>
      </w:r>
      <w:r>
        <w:t>4/8</w:t>
        <w:br/>
      </w:r>
      <w:r>
        <w:rPr>
          <w:b/>
        </w:rPr>
        <w:t xml:space="preserve">Description: </w:t>
      </w:r>
      <w:r>
        <w:t>Signaux d'achat: MM | Signaux de vente: MACD, Stochastique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19</w:t>
            </w:r>
          </w:p>
        </w:tc>
        <w:tc>
          <w:tcPr>
            <w:tcW w:type="dxa" w:w="2160"/>
          </w:tcPr>
          <w:p>
            <w:r>
              <w:t>0</w:t>
            </w:r>
          </w:p>
        </w:tc>
      </w:tr>
      <w:tr>
        <w:tc>
          <w:tcPr>
            <w:tcW w:type="dxa" w:w="2160"/>
          </w:tcPr>
          <w:p>
            <w:r>
              <w:t>Risque Moyen</w:t>
            </w:r>
          </w:p>
        </w:tc>
        <w:tc>
          <w:tcPr>
            <w:tcW w:type="dxa" w:w="2160"/>
          </w:tcPr>
          <w:p>
            <w:r>
              <w:t>0</w:t>
            </w:r>
          </w:p>
        </w:tc>
        <w:tc>
          <w:tcPr>
            <w:tcW w:type="dxa" w:w="2160"/>
          </w:tcPr>
          <w:p>
            <w:r>
              <w:t>28</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BNBC (BNBC - BERNABE CI)</w:t>
      </w:r>
    </w:p>
    <w:p>
      <w:pPr>
        <w:pStyle w:val="ListBullet"/>
      </w:pPr>
      <w:r>
        <w:t>• BOAM (BANK OF AFRICA MALI)</w:t>
      </w:r>
    </w:p>
    <w:p>
      <w:pPr>
        <w:pStyle w:val="ListBullet"/>
      </w:pPr>
      <w:r>
        <w:t>• BOAS (BANK OF AFRICA SENEGAL)</w:t>
      </w:r>
    </w:p>
    <w:p>
      <w:pPr>
        <w:pStyle w:val="ListBullet"/>
      </w:pPr>
      <w:r>
        <w:t>• CABC (CABC - SICABLE COTE D'IVOIRE)</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ONTBF (ONTBF - ONATEL BURKINA FASO)</w:t>
      </w:r>
    </w:p>
    <w:p>
      <w:pPr>
        <w:pStyle w:val="ListBullet"/>
      </w:pPr>
      <w:r>
        <w:t>• ORGT (ORGT - ORAGROUP TOGO)</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SOGC (SOGC - Société des caoutchoucs de Grand-Béréby)</w:t>
      </w:r>
    </w:p>
    <w:p>
      <w:pPr>
        <w:pStyle w:val="ListBullet"/>
      </w:pPr>
      <w:r>
        <w:t>• STBC (STBC - SITAB COTE D'IVOIRE)</w:t>
      </w:r>
    </w:p>
    <w:p>
      <w:pPr>
        <w:pStyle w:val="ListBullet"/>
      </w:pPr>
      <w:r>
        <w:t>• TTLC (TTLC - TOTAL ENERGIES MARKETING COTE D'IVOIRE)</w:t>
      </w:r>
    </w:p>
    <w:p>
      <w:pPr>
        <w:pStyle w:val="ListBullet"/>
      </w:pPr>
      <w:r>
        <w:t>• TTLS (TTLS - TOTAL ENERGIES MARKETING SENEGAL)</w:t>
      </w:r>
    </w:p>
    <w:p>
      <w:pPr>
        <w:pStyle w:val="ListBullet"/>
      </w:pPr>
      <w:r>
        <w:t>• UNXC (UNXC - UNIWAX COTE D'IVOIRE)</w:t>
      </w:r>
    </w:p>
    <w:p/>
    <w:p>
      <w:pPr>
        <w:pStyle w:val="Heading3"/>
      </w:pPr>
      <w:r>
        <w:t>🟡 Risque Moyen - Moyen Terme</w:t>
      </w:r>
    </w:p>
    <w:p>
      <w:pPr>
        <w:pStyle w:val="ListBullet"/>
      </w:pPr>
      <w:r>
        <w:t>• ABJC (ABJC - SERVAIR ABIDJAN CI)</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BOAB (BANK OF AFRICA BENIN)</w:t>
      </w:r>
    </w:p>
    <w:p>
      <w:pPr>
        <w:pStyle w:val="ListBullet"/>
      </w:pPr>
      <w:r>
        <w:t>• BOABF (BANK OF AFRICA BURKINA FASO)</w:t>
      </w:r>
    </w:p>
    <w:p>
      <w:pPr>
        <w:pStyle w:val="ListBullet"/>
      </w:pPr>
      <w:r>
        <w:t>• BOAC (BANK OF AFRICA COTE D'IVOIRE)</w:t>
      </w:r>
    </w:p>
    <w:p>
      <w:pPr>
        <w:pStyle w:val="ListBullet"/>
      </w:pPr>
      <w:r>
        <w:t>• BOAN (BANK OF AFRICA NIGER)</w:t>
      </w:r>
    </w:p>
    <w:p>
      <w:pPr>
        <w:pStyle w:val="ListBullet"/>
      </w:pPr>
      <w:r>
        <w:t>• CBIBF (CBIBF - CORIS BANK INTERNATIONAL BURKINA FASO)</w:t>
      </w:r>
    </w:p>
    <w:p>
      <w:pPr>
        <w:pStyle w:val="ListBullet"/>
      </w:pPr>
      <w:r>
        <w:t>• CFAC (CFAC - CFAO MOTORS CI)</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NSBC (NSBC - NSIA BANQUE COTE D'IVOIRE)</w:t>
      </w:r>
    </w:p>
    <w:p>
      <w:pPr>
        <w:pStyle w:val="ListBullet"/>
      </w:pPr>
      <w:r>
        <w:t>• NTLC (NTLC - NESTLE COTE D'IVOIRE)</w:t>
      </w:r>
    </w:p>
    <w:p>
      <w:pPr>
        <w:pStyle w:val="ListBullet"/>
      </w:pPr>
      <w:r>
        <w:t>• ORAC (ORAC - ORANGE COTE D'IVOIRE)</w:t>
      </w:r>
    </w:p>
    <w:p>
      <w:pPr>
        <w:pStyle w:val="ListBullet"/>
      </w:pPr>
      <w:r>
        <w:t>• PALC (PALC - PALM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SDCC (SDCC - Société de Distribution d'Eau de Côte d'Ivoire)</w:t>
      </w:r>
    </w:p>
    <w:p>
      <w:pPr>
        <w:pStyle w:val="ListBullet"/>
      </w:pPr>
      <w:r>
        <w:t>• SDSC (SDSC - AFRICA GLOBAL LOGISTICS CI)</w:t>
      </w:r>
    </w:p>
    <w:p>
      <w:pPr>
        <w:pStyle w:val="ListBullet"/>
      </w:pPr>
      <w:r>
        <w:t>• SEMC (SEMC - EVIOSYS PACKAGING SIEM CI)</w:t>
      </w:r>
    </w:p>
    <w:p>
      <w:pPr>
        <w:pStyle w:val="ListBullet"/>
      </w:pPr>
      <w:r>
        <w:t>• SICC (SICC - SICOR COTE D'IVOIRE)</w:t>
      </w:r>
    </w:p>
    <w:p>
      <w:pPr>
        <w:pStyle w:val="ListBullet"/>
      </w:pPr>
      <w:r>
        <w:t>• SMBC (SMBC - Société Multinationale de Bitumes COTE D'IVOIRE)</w:t>
      </w:r>
    </w:p>
    <w:p>
      <w:pPr>
        <w:pStyle w:val="ListBullet"/>
      </w:pPr>
      <w:r>
        <w:t>• SNTS (SNTS - SONATEL SN)</w:t>
      </w:r>
    </w:p>
    <w:p>
      <w:pPr>
        <w:pStyle w:val="ListBullet"/>
      </w:pPr>
      <w:r>
        <w:t>• SPHC (SPHC - Société Africaine de Plantation d'Hévéas de Côte d'Ivoire)</w:t>
      </w:r>
    </w:p>
    <w:p>
      <w:pPr>
        <w:pStyle w:val="ListBullet"/>
      </w:pPr>
      <w:r>
        <w:t>• STAC (STAC - SETAO COTE D'IVOIRE)</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spacing w:before="20" w:after="40"/>
        <w:ind w:left="0"/>
      </w:pPr>
      <w:r>
        <w:rPr>
          <w:sz w:val="18"/>
        </w:rPr>
        <w:t>L'environnement macroéconomique mondial est marqué par des risques multiples à la rentrée : endettement élevé, inflation persistante et croissance atone selon Les Echos. Parallèlement, les marchés pétroliers restent sous surveillance selon l'IFPEN, tandis qu'un scénario de guerre en Iran aurait des conséquences directes sur les prix des matières premières agricoles et énergétiques. Enfin, une possible hausse des taux de la BCE est évoquée, ce qui resserrerait les conditions financières mondiales.</w:t>
      </w:r>
    </w:p>
    <w:p>
      <w:pPr>
        <w:pStyle w:val="Heading3"/>
      </w:pPr>
      <w:r>
        <w:rPr>
          <w:color w:val="500050"/>
        </w:rPr>
        <w:t>⚡ Impact estimé sur la BRVM</w:t>
      </w:r>
    </w:p>
    <w:p>
      <w:pPr>
        <w:spacing w:before="20" w:after="40"/>
        <w:ind w:left="280"/>
      </w:pPr>
      <w:r>
        <w:rPr>
          <w:i/>
          <w:sz w:val="18"/>
        </w:rPr>
        <w:t>Un resserrement monétaire en Europe pourrait renforcer l'attractivité relative du FCFA (ancré à l'euro) mais réduirait la liquidité globale pour les marchés émergents. Les tensions sur les prix du pétrole et des engrais pénaliseraient directement SMBC (énergie) et les coûts de production des industriels comme SIVC et SDSC. L'inflation importée pourrait toutefois soutenir les valeurs de la consommation de base (SPHC, SCRC) qui répercutent leurs prix.</w:t>
      </w:r>
    </w:p>
    <w:p>
      <w:pPr>
        <w:pStyle w:val="Heading2"/>
      </w:pPr>
      <w:r>
        <w:rPr>
          <w:color w:val="006E32"/>
        </w:rPr>
        <w:t>🌍 Plan Africain</w:t>
      </w:r>
    </w:p>
    <w:p>
      <w:pPr>
        <w:spacing w:before="20" w:after="40"/>
        <w:ind w:left="0"/>
      </w:pPr>
      <w:r>
        <w:rPr>
          <w:sz w:val="18"/>
        </w:rPr>
        <w:t>Le Sénégal a conclu un accord avec le FMI pour un programme d'aide de près de 1,9 milliard d'euros (2,2 milliards USD sur 36 mois), visant à stabiliser son économie face à une crise de la dette. Parallèlement, la Tanzanie ouvre son marché des obligations d'État aux investisseurs étrangers, signalant une compétition accrue pour les capitaux sur le continent.</w:t>
      </w:r>
    </w:p>
    <w:p>
      <w:pPr>
        <w:pStyle w:val="Heading3"/>
      </w:pPr>
      <w:r>
        <w:rPr>
          <w:color w:val="500050"/>
        </w:rPr>
        <w:t>⚡ Impact estimé sur la BRVM</w:t>
      </w:r>
    </w:p>
    <w:p>
      <w:pPr>
        <w:spacing w:before="20" w:after="40"/>
        <w:ind w:left="280"/>
      </w:pPr>
      <w:r>
        <w:rPr>
          <w:i/>
          <w:sz w:val="18"/>
        </w:rPr>
        <w:t>L'accord FMI-Sénégal renforce la confiance des investisseurs dans la zone UEMOA, bénéficiant indirectement aux banques cotées présentes au Sénégal comme BOAS et ECOC. L'ouverture du marché tanzanien attire des capitaux qui auraient pu se diriger vers la BRVM, mais l'effet reste limité. La stabilité macroéconomique sénégalaise est un signal positif pour l'ensemble de la zone.</w:t>
      </w:r>
    </w:p>
    <w:p>
      <w:pPr>
        <w:pStyle w:val="Heading2"/>
      </w:pPr>
      <w:r>
        <w:rPr>
          <w:color w:val="145A28"/>
        </w:rPr>
        <w:t>🌍 Plan Afrique de l'Ouest</w:t>
      </w:r>
    </w:p>
    <w:p>
      <w:pPr>
        <w:spacing w:before="20" w:after="40"/>
        <w:ind w:left="0"/>
      </w:pPr>
      <w:r>
        <w:rPr>
          <w:sz w:val="18"/>
        </w:rPr>
        <w:t>Le général sénégalais Birame Diop a officiellement pris la tête de la Commission de la CEDEAO à Abuja, marquant une transition institutionnelle majeure pour la région. Cette nomination intervient dans un contexte de défis sécuritaires et économiques pour la sous-région.</w:t>
      </w:r>
    </w:p>
    <w:p>
      <w:pPr>
        <w:pStyle w:val="Heading3"/>
      </w:pPr>
      <w:r>
        <w:rPr>
          <w:color w:val="500050"/>
        </w:rPr>
        <w:t>⚡ Impact estimé sur la BRVM</w:t>
      </w:r>
    </w:p>
    <w:p>
      <w:pPr>
        <w:spacing w:before="20" w:after="40"/>
        <w:ind w:left="280"/>
      </w:pPr>
      <w:r>
        <w:rPr>
          <w:i/>
          <w:sz w:val="18"/>
        </w:rPr>
        <w:t>Cette transition à la tête de la CEDEAO est perçue comme un signal de continuité et de stabilité institutionnelle, favorable à l'environnement des affaires. Les sociétés cotées opérant dans plusieurs pays de la zone (BOAB, BOAS, ECOC) bénéficient d'un cadre régional stable. Aucun impact négatif immédiat n'est à signaler.</w:t>
      </w:r>
    </w:p>
    <w:p>
      <w:pPr>
        <w:pStyle w:val="Heading2"/>
      </w:pPr>
      <w:r>
        <w:rPr>
          <w:color w:val="8C4600"/>
        </w:rPr>
        <w:t>🏦 Plan UEMOA / Zone Franc</w:t>
      </w:r>
    </w:p>
    <w:p>
      <w:pPr>
        <w:spacing w:before="20" w:after="40"/>
        <w:ind w:left="0"/>
      </w:pPr>
      <w:r>
        <w:rPr>
          <w:sz w:val="18"/>
        </w:rPr>
        <w:t>Au Mali, après un an d'embargo jihadiste, le carburant est de nouveau disponible à Bamako, mettant fin à une crise logistique majeure. Par ailleurs, la question de la dette sénégalaise et du rôle du FMI reste au cœur des préoccupations de la zone.</w:t>
      </w:r>
    </w:p>
    <w:p>
      <w:pPr>
        <w:pStyle w:val="Heading3"/>
      </w:pPr>
      <w:r>
        <w:rPr>
          <w:color w:val="500050"/>
        </w:rPr>
        <w:t>⚡ Impact estimé sur la BRVM</w:t>
      </w:r>
    </w:p>
    <w:p>
      <w:pPr>
        <w:spacing w:before="20" w:after="40"/>
        <w:ind w:left="280"/>
      </w:pPr>
      <w:r>
        <w:rPr>
          <w:i/>
          <w:sz w:val="18"/>
        </w:rPr>
        <w:t>La levée du blocus au Mali améliore les conditions d'approvisionnement pour les filiales locales des groupes cotés comme BOAB et CFAC. Cela réduit les risques opérationnels dans ce pays. La normalisation de la situation malienne pourrait soutenir la reprise des activités économiques et, à terme, les résultats des sociétés cotées présentes dans ce pays.</w:t>
      </w:r>
    </w:p>
    <w:p>
      <w:pPr>
        <w:pStyle w:val="Heading2"/>
      </w:pPr>
      <w:r>
        <w:rPr>
          <w:color w:val="003366"/>
        </w:rPr>
        <w:t>📈 Plan BRVM</w:t>
      </w:r>
    </w:p>
    <w:p>
      <w:pPr>
        <w:spacing w:before="20" w:after="40"/>
        <w:ind w:left="0"/>
      </w:pPr>
      <w:r>
        <w:rPr>
          <w:sz w:val="18"/>
        </w:rPr>
        <w:t>Les résultats encourageants des sociétés cotées ivoiriennes à la BRVM ont été mis en avant en juin dernier, témoignant d'une dynamique positive du marché. L'indice BRVM Composite s'établit à 546.13 points.</w:t>
      </w:r>
    </w:p>
    <w:p>
      <w:pPr>
        <w:pStyle w:val="Heading3"/>
      </w:pPr>
      <w:r>
        <w:rPr>
          <w:color w:val="500050"/>
        </w:rPr>
        <w:t>⚡ Impact estimé sur la BRVM</w:t>
      </w:r>
    </w:p>
    <w:p>
      <w:pPr>
        <w:spacing w:before="20" w:after="40"/>
        <w:ind w:left="280"/>
      </w:pPr>
      <w:r>
        <w:rPr>
          <w:i/>
          <w:sz w:val="18"/>
        </w:rPr>
        <w:t>La tendance positive des résultats des sociétés ivoiriennes soutient la confiance des investisseurs. Les valeurs bancaires (SGBC, BICB, BOAC) et industrielles (SIVC, SDSC) devraient poursuivre leur progression si cette dynamique se confirme. Les secteurs de la consommation discrétionnaire (UNXC, BNBC, ABJC) restent à surveiller en fonction de la demande intérieure.</w:t>
      </w:r>
    </w:p>
    <w:p>
      <w:pPr>
        <w:spacing w:before="20" w:after="40"/>
        <w:ind w:left="280"/>
      </w:pPr>
      <w:r>
        <w:rPr>
          <w:i/>
          <w:sz w:val="18"/>
        </w:rPr>
        <w:t>---</w:t>
      </w:r>
    </w:p>
    <w:p>
      <w:pPr>
        <w:pStyle w:val="Heading1"/>
      </w:pPr>
      <w:r>
        <w:rPr>
          <w:color w:val="8C0000"/>
        </w:rPr>
        <w:t>🏛️ 2. ACTUALITÉS POLITIQUES &amp; GÉOPOLITIQUES</w:t>
      </w:r>
    </w:p>
    <w:p>
      <w:pPr>
        <w:pStyle w:val="Heading2"/>
      </w:pPr>
      <w:r>
        <w:rPr>
          <w:color w:val="00467F"/>
        </w:rPr>
        <w:t>🌐 Plan Mondial</w:t>
      </w:r>
    </w:p>
    <w:p>
      <w:pPr>
        <w:spacing w:before="20" w:after="40"/>
        <w:ind w:left="0"/>
      </w:pPr>
      <w:r>
        <w:rPr>
          <w:sz w:val="18"/>
        </w:rPr>
        <w:t>Les tensions géopolitiques mondiales sont dominées par le scénario d'une guerre en Iran et ses conséquences sur les prix des matières premières. Les risques économiques mondiaux (dette, inflation) ajoutent une couche d'incertitude politique. La position de la Bundesbank sur la hausse des taux complique l'équation pour la BCE.</w:t>
      </w:r>
    </w:p>
    <w:p>
      <w:pPr>
        <w:pStyle w:val="Heading3"/>
      </w:pPr>
      <w:r>
        <w:rPr>
          <w:color w:val="500050"/>
        </w:rPr>
        <w:t>⚡ Impact estimé sur la BRVM</w:t>
      </w:r>
    </w:p>
    <w:p>
      <w:pPr>
        <w:spacing w:before="20" w:after="40"/>
        <w:ind w:left="280"/>
      </w:pPr>
      <w:r>
        <w:rPr>
          <w:i/>
          <w:sz w:val="18"/>
        </w:rPr>
        <w:t>L'instabilité géopolitique mondiale pousse les investisseurs vers les valeurs refuges, réduisant temporairement l'appétit pour le risque sur les marchés émergents comme la BRVM. Un conflit en Iran aurait un impact direct sur les prix du pétrole, affectant SMBC positivement mais pénalisant les coûts de transport et de production pour l'ensemble des sociétés cotées.</w:t>
      </w:r>
    </w:p>
    <w:p>
      <w:pPr>
        <w:pStyle w:val="Heading2"/>
      </w:pPr>
      <w:r>
        <w:rPr>
          <w:color w:val="006E32"/>
        </w:rPr>
        <w:t>🌍 Plan Africain</w:t>
      </w:r>
    </w:p>
    <w:p>
      <w:pPr>
        <w:spacing w:before="20" w:after="40"/>
        <w:ind w:left="0"/>
      </w:pPr>
      <w:r>
        <w:rPr>
          <w:sz w:val="18"/>
        </w:rPr>
        <w:t>Les actualités politiques africaines sont dominées par les questions économiques (FMI au Sénégal) et les déclarations diplomatiques (Mali au Mouvement des Non-Alignés). Aucun événement politique majeur déstabilisant n'est signalé sur le continent.</w:t>
      </w:r>
    </w:p>
    <w:p>
      <w:pPr>
        <w:pStyle w:val="Heading3"/>
      </w:pPr>
      <w:r>
        <w:rPr>
          <w:color w:val="500050"/>
        </w:rPr>
        <w:t>⚡ Impact estimé sur la BRVM</w:t>
      </w:r>
    </w:p>
    <w:p>
      <w:pPr>
        <w:spacing w:before="20" w:after="40"/>
        <w:ind w:left="280"/>
      </w:pPr>
      <w:r>
        <w:rPr>
          <w:i/>
          <w:sz w:val="18"/>
        </w:rPr>
        <w:t>La stabilité politique relative en Afrique, hors zones de conflit, maintient un flux de capitaux régulier vers les places financières régionales. L'accord avec le FMI au Sénégal est un signal positif pour la gouvernance économique en Afrique de l'Ouest. La confiance des investisseurs reste stable.</w:t>
      </w:r>
    </w:p>
    <w:p>
      <w:pPr>
        <w:pStyle w:val="Heading2"/>
      </w:pPr>
      <w:r>
        <w:rPr>
          <w:color w:val="145A28"/>
        </w:rPr>
        <w:t>🌍 Plan Afrique de l'Ouest</w:t>
      </w:r>
    </w:p>
    <w:p>
      <w:pPr>
        <w:spacing w:before="20" w:after="40"/>
        <w:ind w:left="0"/>
      </w:pPr>
      <w:r>
        <w:rPr>
          <w:sz w:val="18"/>
        </w:rPr>
        <w:t>La prise de fonction du général Birame Diop à la tête de la CEDEAO constitue l'événement politique majeur de la sous-région. Cette transition intervient dans un contexte de défis sécuritaires et de relations complexes avec les pays de l'AES.</w:t>
      </w:r>
    </w:p>
    <w:p>
      <w:pPr>
        <w:pStyle w:val="Heading3"/>
      </w:pPr>
      <w:r>
        <w:rPr>
          <w:color w:val="500050"/>
        </w:rPr>
        <w:t>⚡ Impact estimé sur la BRVM</w:t>
      </w:r>
    </w:p>
    <w:p>
      <w:pPr>
        <w:spacing w:before="20" w:after="40"/>
        <w:ind w:left="280"/>
      </w:pPr>
      <w:r>
        <w:rPr>
          <w:i/>
          <w:sz w:val="18"/>
        </w:rPr>
        <w:t>La nouvelle gouvernance de la CEDEAO pourrait influencer les politiques économiques régionales. Les sociétés cotées opérant dans plusieurs pays (BOAB, BOAS, ECOC) surveilleront les orientations de la Commission. Une CEDEAO stable et proactive est favorable à l'intégration économique et aux échanges intra-régionaux.</w:t>
      </w:r>
    </w:p>
    <w:p>
      <w:pPr>
        <w:pStyle w:val="Heading2"/>
      </w:pPr>
      <w:r>
        <w:rPr>
          <w:color w:val="8C4600"/>
        </w:rPr>
        <w:t>🏦 Plan UEMOA / Zone Franc</w:t>
      </w:r>
    </w:p>
    <w:p>
      <w:pPr>
        <w:spacing w:before="20" w:after="40"/>
        <w:ind w:left="0"/>
      </w:pPr>
      <w:r>
        <w:rPr>
          <w:sz w:val="18"/>
        </w:rPr>
        <w:t>Les actualités politiques dans la zone sont dominées par la situation au Mali (levée de l'embargo) et les discussions sur la dette sénégalaise. Aucune crise politique majeure n'est signalée dans les pays membres.</w:t>
      </w:r>
    </w:p>
    <w:p>
      <w:pPr>
        <w:pStyle w:val="Heading3"/>
      </w:pPr>
      <w:r>
        <w:rPr>
          <w:color w:val="500050"/>
        </w:rPr>
        <w:t>⚡ Impact estimé sur la BRVM</w:t>
      </w:r>
    </w:p>
    <w:p>
      <w:pPr>
        <w:spacing w:before="20" w:after="40"/>
        <w:ind w:left="280"/>
      </w:pPr>
      <w:r>
        <w:rPr>
          <w:i/>
          <w:sz w:val="18"/>
        </w:rPr>
        <w:t>La normalisation de la situation au Mali réduit les risques politiques pour les sociétés cotées présentes dans ce pays. La gestion de la crise sénégalaise avec le FMI est un test de crédibilité pour la zone. La stabilité politique globale de l'UEMOA maintient un environnement favorable aux investissements.</w:t>
      </w:r>
    </w:p>
    <w:p>
      <w:pPr>
        <w:pStyle w:val="Heading2"/>
      </w:pPr>
      <w:r>
        <w:rPr>
          <w:color w:val="003366"/>
        </w:rPr>
        <w:t>📈 Plan BRVM</w:t>
      </w:r>
    </w:p>
    <w:p>
      <w:pPr>
        <w:spacing w:before="20" w:after="40"/>
        <w:ind w:left="0"/>
      </w:pPr>
      <w:r>
        <w:rPr>
          <w:sz w:val="18"/>
        </w:rPr>
        <w:t>Données insuffisantes concernant les réglementations CREPMF, nouvelles cotations ou gouvernance des sociétés cotées.</w:t>
      </w:r>
    </w:p>
    <w:p>
      <w:pPr>
        <w:pStyle w:val="Heading3"/>
      </w:pPr>
      <w:r>
        <w:rPr>
          <w:color w:val="500050"/>
        </w:rPr>
        <w:t>⚡ Impact estimé sur la BRVM</w:t>
      </w:r>
    </w:p>
    <w:p>
      <w:pPr>
        <w:spacing w:before="20" w:after="40"/>
        <w:ind w:left="280"/>
      </w:pPr>
      <w:r>
        <w:rPr>
          <w:i/>
          <w:sz w:val="18"/>
        </w:rPr>
        <w:t>Données insuffisantes.</w:t>
      </w:r>
    </w:p>
    <w:p>
      <w:pPr>
        <w:spacing w:before="20" w:after="40"/>
        <w:ind w:left="280"/>
      </w:pPr>
      <w:r>
        <w:rPr>
          <w:i/>
          <w:sz w:val="18"/>
        </w:rPr>
        <w:t>---</w:t>
      </w:r>
    </w:p>
    <w:p>
      <w:pPr>
        <w:pStyle w:val="Heading1"/>
      </w:pPr>
      <w:r>
        <w:rPr>
          <w:color w:val="006428"/>
        </w:rPr>
        <w:t>💹 3. ACTUALITÉS FINANCIÈRES &amp; MARCHÉS</w:t>
      </w:r>
    </w:p>
    <w:p>
      <w:pPr>
        <w:pStyle w:val="Heading2"/>
      </w:pPr>
      <w:r>
        <w:rPr>
          <w:color w:val="00467F"/>
        </w:rPr>
        <w:t>🌐 Plan Mondial</w:t>
      </w:r>
    </w:p>
    <w:p>
      <w:pPr>
        <w:spacing w:before="20" w:after="40"/>
        <w:ind w:left="0"/>
      </w:pPr>
      <w:r>
        <w:rPr>
          <w:sz w:val="18"/>
        </w:rPr>
        <w:t>Les marchés financiers mondiaux sont marqués par une possible hausse des taux de la BCE et une vigilance accrue de l'institution face aux pressions inflationnistes. Le président de la Bundesbank souligne que la hausse des taux sur les marchés financiers complique la tâche de la banque centrale. Les risques de dette et d'inflation pèsent sur la croissance.</w:t>
      </w:r>
    </w:p>
    <w:p>
      <w:pPr>
        <w:pStyle w:val="Heading3"/>
      </w:pPr>
      <w:r>
        <w:rPr>
          <w:color w:val="500050"/>
        </w:rPr>
        <w:t>⚡ Impact estimé sur la BRVM</w:t>
      </w:r>
    </w:p>
    <w:p>
      <w:pPr>
        <w:spacing w:before="20" w:after="40"/>
        <w:ind w:left="280"/>
      </w:pPr>
      <w:r>
        <w:rPr>
          <w:i/>
          <w:sz w:val="18"/>
        </w:rPr>
        <w:t>Une hausse des taux de la BCE pourrait renforcer l'euro et donc le FCFA, rendant les exportations de la zone moins compétitives mais attirant potentiellement des capitaux. Les investisseurs internationaux pourraient arbitrer entre les marchés obligataires européens et les actions BRVM. La prudence reste de mise pour les valeurs les plus spéculatives.</w:t>
      </w:r>
    </w:p>
    <w:p>
      <w:pPr>
        <w:pStyle w:val="Heading2"/>
      </w:pPr>
      <w:r>
        <w:rPr>
          <w:color w:val="006E32"/>
        </w:rPr>
        <w:t>🌍 Plan Africain</w:t>
      </w:r>
    </w:p>
    <w:p>
      <w:pPr>
        <w:spacing w:before="20" w:after="40"/>
        <w:ind w:left="0"/>
      </w:pPr>
      <w:r>
        <w:rPr>
          <w:sz w:val="18"/>
        </w:rPr>
        <w:t>Les marchés obligataires africains sont en concurrence pour attirer les capitaux, comme en témoigne l'ouverture du marché tanzanien aux investisseurs étrangers. L'accord FMI-Sénégal est un signal positif pour la crédibilité financière de la zone.</w:t>
      </w:r>
    </w:p>
    <w:p>
      <w:pPr>
        <w:pStyle w:val="Heading3"/>
      </w:pPr>
      <w:r>
        <w:rPr>
          <w:color w:val="500050"/>
        </w:rPr>
        <w:t>⚡ Impact estimé sur la BRVM</w:t>
      </w:r>
    </w:p>
    <w:p>
      <w:pPr>
        <w:spacing w:before="20" w:after="40"/>
        <w:ind w:left="280"/>
      </w:pPr>
      <w:r>
        <w:rPr>
          <w:i/>
          <w:sz w:val="18"/>
        </w:rPr>
        <w:t>La BRVM doit composer avec une concurrence accrue pour les capitaux sur le continent. Cependant, la stabilité politique et la qualité des sociétés cotées (SGBC, BICB, BOAC) restent des atouts. L'accord FMI-Sénégal renforce la confiance dans la zone UEMOA, bénéfique pour les banques cotées.</w:t>
      </w:r>
    </w:p>
    <w:p>
      <w:pPr>
        <w:pStyle w:val="Heading2"/>
      </w:pPr>
      <w:r>
        <w:rPr>
          <w:color w:val="145A28"/>
        </w:rPr>
        <w:t>🌍 Plan Afrique de l'Ouest</w:t>
      </w:r>
    </w:p>
    <w:p>
      <w:pPr>
        <w:spacing w:before="20" w:after="40"/>
        <w:ind w:left="0"/>
      </w:pPr>
      <w:r>
        <w:rPr>
          <w:sz w:val="18"/>
        </w:rPr>
        <w:t>Données insuffisantes concernant les bourses régionales concurrentes ou les flux de capitaux sous-régionaux spécifiques.</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8C4600"/>
        </w:rPr>
        <w:t>🏦 Plan UEMOA / Zone Franc</w:t>
      </w:r>
    </w:p>
    <w:p>
      <w:pPr>
        <w:spacing w:before="20" w:after="40"/>
        <w:ind w:left="0"/>
      </w:pPr>
      <w:r>
        <w:rPr>
          <w:sz w:val="18"/>
        </w:rPr>
        <w:t>Les actualités financières de la zone sont dominées par les discussions sur la dette sénégalaise et les conditions de financement. La BCEAO et le marché des titres publics ne font pas l'objet d'actualités spécifiques dans les données fournies.</w:t>
      </w:r>
    </w:p>
    <w:p>
      <w:pPr>
        <w:pStyle w:val="Heading3"/>
      </w:pPr>
      <w:r>
        <w:rPr>
          <w:color w:val="500050"/>
        </w:rPr>
        <w:t>⚡ Impact estimé sur la BRVM</w:t>
      </w:r>
    </w:p>
    <w:p>
      <w:pPr>
        <w:spacing w:before="20" w:after="40"/>
        <w:ind w:left="280"/>
      </w:pPr>
      <w:r>
        <w:rPr>
          <w:i/>
          <w:sz w:val="18"/>
        </w:rPr>
        <w:t>La gestion de la dette sénégalaise influence la perception du risque souverain dans la zone. Un succès du programme FMI pourrait réduire les tensions sur les taux et favoriser l'investissement en actions BRVM. L'arbitrage entre titres publics et actions dépendra de l'évolution des rendements obligataires.</w:t>
      </w:r>
    </w:p>
    <w:p>
      <w:pPr>
        <w:pStyle w:val="Heading2"/>
      </w:pPr>
      <w:r>
        <w:rPr>
          <w:color w:val="003366"/>
        </w:rPr>
        <w:t>📈 Plan BRVM</w:t>
      </w:r>
    </w:p>
    <w:p>
      <w:pPr>
        <w:spacing w:before="20" w:after="40"/>
        <w:ind w:left="0"/>
      </w:pPr>
      <w:r>
        <w:rPr>
          <w:sz w:val="18"/>
        </w:rPr>
        <w:t>L'indice BRVM Composite s'établit à 546.13 points. Les résultats encourageants des sociétés cotées ivoiriennes ont été soulignés en juin. Aucune donnée récente sur les volumes ou les mouvements de titres spécifiques n'est disponible.</w:t>
      </w:r>
    </w:p>
    <w:p>
      <w:pPr>
        <w:pStyle w:val="Heading3"/>
      </w:pPr>
      <w:r>
        <w:rPr>
          <w:color w:val="500050"/>
        </w:rPr>
        <w:t>⚡ Impact estimé sur la BRVM</w:t>
      </w:r>
    </w:p>
    <w:p>
      <w:pPr>
        <w:spacing w:before="20" w:after="40"/>
        <w:ind w:left="280"/>
      </w:pPr>
      <w:r>
        <w:rPr>
          <w:i/>
          <w:sz w:val="18"/>
        </w:rPr>
        <w:t>La tendance positive des résultats des sociétés ivoiriennes (SGBC, BICB, PALC, SOGC, ETIT, NTLC, SIVC, ONTBF, CFAC) soutient les valorisations actuelles. Les investisseurs devraient surveiller les publications de résultats semestriels pour confirmer cette dynamique. Les secteurs bancaires et industriels semblent les mieux positionnés pour bénéficier de cette tendance.</w:t>
      </w:r>
    </w:p>
    <w:p>
      <w:pPr>
        <w:spacing w:before="20" w:after="40"/>
        <w:ind w:left="280"/>
      </w:pPr>
      <w:r>
        <w:rPr>
          <w:i/>
          <w:sz w:val="18"/>
        </w:rPr>
        <w:t>---</w:t>
      </w:r>
    </w:p>
    <w:p>
      <w:pPr>
        <w:pStyle w:val="Heading1"/>
      </w:pPr>
      <w:r>
        <w:rPr>
          <w:color w:val="003366"/>
        </w:rPr>
        <w:t>🎯 SYNTHÈSE &amp; RECOMMANDATION FINALE</w:t>
      </w:r>
    </w:p>
    <w:p>
      <w:pPr>
        <w:spacing w:before="120"/>
      </w:pPr>
      <w:r>
        <w:rPr>
          <w:b/>
          <w:color w:val="C85000"/>
          <w:sz w:val="22"/>
        </w:rPr>
        <w:t>**Niveau d'alerte global pour un investisseur BRVM : ORANGE**</w:t>
      </w:r>
    </w:p>
    <w:p>
      <w:pPr>
        <w:spacing w:before="20" w:after="40"/>
        <w:ind w:left="0"/>
      </w:pPr>
      <w:r>
        <w:rPr>
          <w:sz w:val="18"/>
        </w:rPr>
        <w:t>L'environnement macroéconomique mondial est marqué par des incertitudes (dette, inflation, tensions géopolitiques) qui pourraient affecter la confiance des investisseurs. Cependant, la zone UEMOA bénéficie de signaux positifs : accord FMI-Sénégal, levée de l'embargo au Mali et stabilité institutionnelle de la CEDEAO. Les fondamentaux des sociétés cotées ivoiriennes restent encourageants.</w:t>
      </w:r>
    </w:p>
    <w:p>
      <w:pPr>
        <w:spacing w:before="20" w:after="40"/>
        <w:ind w:left="0"/>
      </w:pPr>
      <w:r>
        <w:rPr>
          <w:sz w:val="18"/>
        </w:rPr>
        <w:t>**Recommandation :** Maintenir une position prudente mais constructive. Privilégier les valeurs bancaires solides (SGBC, BICB, BOAC) et les titres industriels (SIVC, SDSC) qui bénéficient de la dynamique régionale. Surveiller l'évolution des taux internationaux et les publications de résultats semestriels pour ajuster les positions.</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2026-08-31</w:t>
            </w:r>
          </w:p>
        </w:tc>
        <w:tc>
          <w:tcPr>
            <w:tcW w:type="dxa" w:w="1728"/>
          </w:tcPr>
          <w:p>
            <w:r>
              <w:rPr>
                <w:sz w:val="14"/>
              </w:rPr>
              <w:t>IFPEN | Tableau de bord - Marchés pétroliers - ifpenergiesnouvelles.fr</w:t>
            </w:r>
          </w:p>
        </w:tc>
        <w:tc>
          <w:tcPr>
            <w:tcW w:type="dxa" w:w="1728"/>
          </w:tcPr>
          <w:p>
            <w:r>
              <w:rPr>
                <w:sz w:val="14"/>
              </w:rPr>
              <w:t>Neutre</w:t>
            </w:r>
          </w:p>
        </w:tc>
        <w:tc>
          <w:tcPr>
            <w:tcW w:type="dxa" w:w="1728"/>
          </w:tcPr>
          <w:p>
            <w:r>
              <w:rPr>
                <w:sz w:val="14"/>
              </w:rPr>
              <w:t>Neutre</w:t>
            </w:r>
          </w:p>
        </w:tc>
        <w:tc>
          <w:tcPr>
            <w:tcW w:type="dxa" w:w="1728"/>
          </w:tcPr>
          <w:p>
            <w:r>
              <w:rPr>
                <w:sz w:val="14"/>
              </w:rPr>
              <w:t>Google News — géopolitique mon</w:t>
            </w:r>
          </w:p>
        </w:tc>
      </w:tr>
      <w:tr>
        <w:tc>
          <w:tcPr>
            <w:tcW w:type="dxa" w:w="1728"/>
          </w:tcPr>
          <w:p>
            <w:r>
              <w:rPr>
                <w:sz w:val="14"/>
              </w:rPr>
              <w:t>2026-09-03</w:t>
            </w:r>
          </w:p>
        </w:tc>
        <w:tc>
          <w:tcPr>
            <w:tcW w:type="dxa" w:w="1728"/>
          </w:tcPr>
          <w:p>
            <w:r>
              <w:rPr>
                <w:sz w:val="14"/>
              </w:rPr>
              <w:t>Dette, inflation, croissance : la rentrée sans filet de l'économie mon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récession inflat</w:t>
            </w:r>
          </w:p>
        </w:tc>
      </w:tr>
      <w:tr>
        <w:tc>
          <w:tcPr>
            <w:tcW w:type="dxa" w:w="1728"/>
          </w:tcPr>
          <w:p>
            <w:r>
              <w:rPr>
                <w:sz w:val="14"/>
              </w:rPr>
              <w:t>2026-09-02</w:t>
            </w:r>
          </w:p>
        </w:tc>
        <w:tc>
          <w:tcPr>
            <w:tcW w:type="dxa" w:w="1728"/>
          </w:tcPr>
          <w:p>
            <w:r>
              <w:rPr>
                <w:sz w:val="14"/>
              </w:rPr>
              <w:t>Pétrole, gaz, GNR, céréales, engrais : quelles sont les conséquence de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2026-09-03</w:t>
            </w:r>
          </w:p>
        </w:tc>
        <w:tc>
          <w:tcPr>
            <w:tcW w:type="dxa" w:w="1728"/>
          </w:tcPr>
          <w:p>
            <w:r>
              <w:rPr>
                <w:sz w:val="14"/>
              </w:rPr>
              <w:t>Vers une hausse des taux d’intérêt de la BCE ? - L'Économiste Maghrébi</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2026-09-03</w:t>
            </w:r>
          </w:p>
        </w:tc>
        <w:tc>
          <w:tcPr>
            <w:tcW w:type="dxa" w:w="1728"/>
          </w:tcPr>
          <w:p>
            <w:r>
              <w:rPr>
                <w:sz w:val="14"/>
              </w:rPr>
              <w:t>Une BCE vigilante - Boursorama</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2026-09-02</w:t>
            </w:r>
          </w:p>
        </w:tc>
        <w:tc>
          <w:tcPr>
            <w:tcW w:type="dxa" w:w="1728"/>
          </w:tcPr>
          <w:p>
            <w:r>
              <w:rPr>
                <w:sz w:val="14"/>
              </w:rPr>
              <w:t>Joachim Nagel, président de la banque centrale allemande : « La hausse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2026-09-01</w:t>
            </w:r>
          </w:p>
        </w:tc>
        <w:tc>
          <w:tcPr>
            <w:tcW w:type="dxa" w:w="1728"/>
          </w:tcPr>
          <w:p>
            <w:r>
              <w:rPr>
                <w:sz w:val="14"/>
              </w:rPr>
              <w:t>Le FMI et le Sénégal trouvent un accord en vue d’un programme d’aide d</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FMI Banque Mondi</w:t>
            </w:r>
          </w:p>
        </w:tc>
      </w:tr>
      <w:tr>
        <w:tc>
          <w:tcPr>
            <w:tcW w:type="dxa" w:w="1728"/>
          </w:tcPr>
          <w:p>
            <w:r>
              <w:rPr>
                <w:sz w:val="14"/>
              </w:rPr>
              <w:t>2026-09-01</w:t>
            </w:r>
          </w:p>
        </w:tc>
        <w:tc>
          <w:tcPr>
            <w:tcW w:type="dxa" w:w="1728"/>
          </w:tcPr>
          <w:p>
            <w:r>
              <w:rPr>
                <w:sz w:val="14"/>
              </w:rPr>
              <w:t>Sénégal : le Gouvernement et le FMI s’accordent sur un programme de 2,</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r>
        <w:tc>
          <w:tcPr>
            <w:tcW w:type="dxa" w:w="1728"/>
          </w:tcPr>
          <w:p>
            <w:r>
              <w:rPr>
                <w:sz w:val="14"/>
              </w:rPr>
              <w:t>2026-09-01</w:t>
            </w:r>
          </w:p>
        </w:tc>
        <w:tc>
          <w:tcPr>
            <w:tcW w:type="dxa" w:w="1728"/>
          </w:tcPr>
          <w:p>
            <w:r>
              <w:rPr>
                <w:sz w:val="14"/>
              </w:rPr>
              <w:t>La Tanzanie ouvre son marché des obligations d'État à tous les investi</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2026-08-30</w:t>
            </w:r>
          </w:p>
        </w:tc>
        <w:tc>
          <w:tcPr>
            <w:tcW w:type="dxa" w:w="1728"/>
          </w:tcPr>
          <w:p>
            <w:r>
              <w:rPr>
                <w:sz w:val="14"/>
              </w:rPr>
              <w:t xml:space="preserve">Afrique du Sud : 56 milliards de dollars d'investissement public face </w:t>
            </w:r>
          </w:p>
        </w:tc>
        <w:tc>
          <w:tcPr>
            <w:tcW w:type="dxa" w:w="1728"/>
          </w:tcPr>
          <w:p>
            <w:r>
              <w:rPr>
                <w:sz w:val="14"/>
              </w:rPr>
              <w:t>Neutre</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2026-08-11</w:t>
            </w:r>
          </w:p>
        </w:tc>
        <w:tc>
          <w:tcPr>
            <w:tcW w:type="dxa" w:w="1728"/>
          </w:tcPr>
          <w:p>
            <w:r>
              <w:rPr>
                <w:sz w:val="14"/>
              </w:rPr>
              <w:t>Les secteurs porteurs en Afrique : où investir ? - Bpifrance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2026-07-28</w:t>
            </w:r>
          </w:p>
        </w:tc>
        <w:tc>
          <w:tcPr>
            <w:tcW w:type="dxa" w:w="1728"/>
          </w:tcPr>
          <w:p>
            <w:r>
              <w:rPr>
                <w:sz w:val="14"/>
              </w:rPr>
              <w:t>L’investissement dans l’économie des soins peut-être un ”levier de cro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2026-09-02</w:t>
            </w:r>
          </w:p>
        </w:tc>
        <w:tc>
          <w:tcPr>
            <w:tcW w:type="dxa" w:w="1728"/>
          </w:tcPr>
          <w:p>
            <w:r>
              <w:rPr>
                <w:sz w:val="14"/>
              </w:rPr>
              <w:t>CEDEAO : Le général sénégalais Birame Diop prend officiellement la têt</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2026-09-03</w:t>
            </w:r>
          </w:p>
        </w:tc>
        <w:tc>
          <w:tcPr>
            <w:tcW w:type="dxa" w:w="1728"/>
          </w:tcPr>
          <w:p>
            <w:r>
              <w:rPr>
                <w:sz w:val="14"/>
              </w:rPr>
              <w:t>E35 : Afrique de l'Ouest : investiture du nouveau Président de la CEDE</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2026-09-02</w:t>
            </w:r>
          </w:p>
        </w:tc>
        <w:tc>
          <w:tcPr>
            <w:tcW w:type="dxa" w:w="1728"/>
          </w:tcPr>
          <w:p>
            <w:r>
              <w:rPr>
                <w:sz w:val="14"/>
              </w:rPr>
              <w:t>Diplomatie – Commission de la Cedeao : Birame Diop prend les commandes</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2026-09-01</w:t>
            </w:r>
          </w:p>
        </w:tc>
        <w:tc>
          <w:tcPr>
            <w:tcW w:type="dxa" w:w="1728"/>
          </w:tcPr>
          <w:p>
            <w:r>
              <w:rPr>
                <w:sz w:val="14"/>
              </w:rPr>
              <w:t>Commission de la CEDEAO: Axes majeurs de la gouvernance que compte imp</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2026-09-02</w:t>
            </w:r>
          </w:p>
        </w:tc>
        <w:tc>
          <w:tcPr>
            <w:tcW w:type="dxa" w:w="1728"/>
          </w:tcPr>
          <w:p>
            <w:r>
              <w:rPr>
                <w:sz w:val="14"/>
              </w:rPr>
              <w:t xml:space="preserve">Afrique – Commission de la CEDEAO : Birame Diop dévoile sa feuille de </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2026-09-02</w:t>
            </w:r>
          </w:p>
        </w:tc>
        <w:tc>
          <w:tcPr>
            <w:tcW w:type="dxa" w:w="1728"/>
          </w:tcPr>
          <w:p>
            <w:r>
              <w:rPr>
                <w:sz w:val="14"/>
              </w:rPr>
              <w:t>Qui est Birame Diop, le général sénégalais appelé à diriger la Commiss</w:t>
            </w:r>
          </w:p>
        </w:tc>
        <w:tc>
          <w:tcPr>
            <w:tcW w:type="dxa" w:w="1728"/>
          </w:tcPr>
          <w:p>
            <w:r>
              <w:rPr>
                <w:sz w:val="14"/>
              </w:rPr>
              <w:t>Neutre</w:t>
            </w:r>
          </w:p>
        </w:tc>
        <w:tc>
          <w:tcPr>
            <w:tcW w:type="dxa" w:w="1728"/>
          </w:tcPr>
          <w:p>
            <w:r>
              <w:rPr>
                <w:color w:val="008000"/>
                <w:sz w:val="14"/>
              </w:rPr>
              <w:t>Positif</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2026-09-03</w:t>
            </w:r>
          </w:p>
        </w:tc>
        <w:tc>
          <w:tcPr>
            <w:tcW w:type="dxa" w:w="1728"/>
          </w:tcPr>
          <w:p>
            <w:r>
              <w:rPr>
                <w:sz w:val="14"/>
              </w:rPr>
              <w:t xml:space="preserve">Mali : Après un an d'embargo jihadiste, le carburant revient à Bamako </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2026-09-03</w:t>
            </w:r>
          </w:p>
        </w:tc>
        <w:tc>
          <w:tcPr>
            <w:tcW w:type="dxa" w:w="1728"/>
          </w:tcPr>
          <w:p>
            <w:r>
              <w:rPr>
                <w:sz w:val="14"/>
              </w:rPr>
              <w:t>Mali – 65 ans du Mouvement des Non-Alignés : Abdoulaye Diop plaide pou</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2026-09-03</w:t>
            </w:r>
          </w:p>
        </w:tc>
        <w:tc>
          <w:tcPr>
            <w:tcW w:type="dxa" w:w="1728"/>
          </w:tcPr>
          <w:p>
            <w:r>
              <w:rPr>
                <w:sz w:val="14"/>
              </w:rPr>
              <w:t>Dette du Sénégal: le prêt de 2,2 milliards de dollars du FMI peut-il s</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2026-09-03</w:t>
            </w:r>
          </w:p>
        </w:tc>
        <w:tc>
          <w:tcPr>
            <w:tcW w:type="dxa" w:w="1728"/>
          </w:tcPr>
          <w:p>
            <w:r>
              <w:rPr>
                <w:sz w:val="14"/>
              </w:rPr>
              <w:t>Libération des deux journalistes français détenus au Togo : « Je ne vo</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2026-09-04</w:t>
            </w:r>
          </w:p>
        </w:tc>
        <w:tc>
          <w:tcPr>
            <w:tcW w:type="dxa" w:w="1728"/>
          </w:tcPr>
          <w:p>
            <w:r>
              <w:rPr>
                <w:sz w:val="14"/>
              </w:rPr>
              <w:t>Mali: les proches de Mountaga Tall veulent une preuve de vie quatre mo</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2026-09-02</w:t>
            </w:r>
          </w:p>
        </w:tc>
        <w:tc>
          <w:tcPr>
            <w:tcW w:type="dxa" w:w="1728"/>
          </w:tcPr>
          <w:p>
            <w:r>
              <w:rPr>
                <w:sz w:val="14"/>
              </w:rPr>
              <w:t>Côte d’Ivoire : le prix bord champ du cacao maintenu à 1.200 FCFA/kg -</w:t>
            </w:r>
          </w:p>
        </w:tc>
        <w:tc>
          <w:tcPr>
            <w:tcW w:type="dxa" w:w="1728"/>
          </w:tcPr>
          <w:p>
            <w:r>
              <w:rPr>
                <w:sz w:val="14"/>
              </w:rPr>
              <w:t>Neutre</w:t>
            </w:r>
          </w:p>
        </w:tc>
        <w:tc>
          <w:tcPr>
            <w:tcW w:type="dxa" w:w="1728"/>
          </w:tcPr>
          <w:p>
            <w:r>
              <w:rPr>
                <w:sz w:val="14"/>
              </w:rPr>
              <w:t>Neutre</w:t>
            </w:r>
          </w:p>
        </w:tc>
        <w:tc>
          <w:tcPr>
            <w:tcW w:type="dxa" w:w="1728"/>
          </w:tcPr>
          <w:p>
            <w:r>
              <w:rPr>
                <w:sz w:val="14"/>
              </w:rPr>
              <w:t>Google News — cacao prix UEMOA</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2026-08-31</w:t>
            </w:r>
          </w:p>
        </w:tc>
        <w:tc>
          <w:tcPr>
            <w:tcW w:type="dxa" w:w="1728"/>
          </w:tcPr>
          <w:p>
            <w:r>
              <w:rPr>
                <w:sz w:val="14"/>
              </w:rPr>
              <w:t>IFPEN | Tableau de bord - Marchés pétroliers - ifpenergiesnouvelles.fr</w:t>
            </w:r>
          </w:p>
        </w:tc>
        <w:tc>
          <w:tcPr>
            <w:tcW w:type="dxa" w:w="1728"/>
          </w:tcPr>
          <w:p>
            <w:r>
              <w:rPr>
                <w:sz w:val="14"/>
              </w:rPr>
              <w:t>Neutre</w:t>
            </w:r>
          </w:p>
        </w:tc>
        <w:tc>
          <w:tcPr>
            <w:tcW w:type="dxa" w:w="1728"/>
          </w:tcPr>
          <w:p>
            <w:r>
              <w:rPr>
                <w:sz w:val="14"/>
              </w:rPr>
              <w:t>Neutre</w:t>
            </w:r>
          </w:p>
        </w:tc>
        <w:tc>
          <w:tcPr>
            <w:tcW w:type="dxa" w:w="1728"/>
          </w:tcPr>
          <w:p>
            <w:r>
              <w:rPr>
                <w:sz w:val="14"/>
              </w:rPr>
              <w:t>Google News — géopolitique mon</w:t>
            </w:r>
          </w:p>
        </w:tc>
      </w:tr>
      <w:tr>
        <w:tc>
          <w:tcPr>
            <w:tcW w:type="dxa" w:w="1728"/>
          </w:tcPr>
          <w:p>
            <w:r>
              <w:rPr>
                <w:sz w:val="14"/>
              </w:rPr>
              <w:t>2026-09-03</w:t>
            </w:r>
          </w:p>
        </w:tc>
        <w:tc>
          <w:tcPr>
            <w:tcW w:type="dxa" w:w="1728"/>
          </w:tcPr>
          <w:p>
            <w:r>
              <w:rPr>
                <w:sz w:val="14"/>
              </w:rPr>
              <w:t>Dette, inflation, croissance : la rentrée sans filet de l'économie mon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récession inflat</w:t>
            </w:r>
          </w:p>
        </w:tc>
      </w:tr>
      <w:tr>
        <w:tc>
          <w:tcPr>
            <w:tcW w:type="dxa" w:w="1728"/>
          </w:tcPr>
          <w:p>
            <w:r>
              <w:rPr>
                <w:sz w:val="14"/>
              </w:rPr>
              <w:t>2026-09-02</w:t>
            </w:r>
          </w:p>
        </w:tc>
        <w:tc>
          <w:tcPr>
            <w:tcW w:type="dxa" w:w="1728"/>
          </w:tcPr>
          <w:p>
            <w:r>
              <w:rPr>
                <w:sz w:val="14"/>
              </w:rPr>
              <w:t>Pétrole, gaz, GNR, céréales, engrais : quelles sont les conséquence de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2026-09-03</w:t>
            </w:r>
          </w:p>
        </w:tc>
        <w:tc>
          <w:tcPr>
            <w:tcW w:type="dxa" w:w="1728"/>
          </w:tcPr>
          <w:p>
            <w:r>
              <w:rPr>
                <w:sz w:val="14"/>
              </w:rPr>
              <w:t>Vers une hausse des taux d’intérêt de la BCE ? - L'Économiste Maghrébi</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2026-09-03</w:t>
            </w:r>
          </w:p>
        </w:tc>
        <w:tc>
          <w:tcPr>
            <w:tcW w:type="dxa" w:w="1728"/>
          </w:tcPr>
          <w:p>
            <w:r>
              <w:rPr>
                <w:sz w:val="14"/>
              </w:rPr>
              <w:t>Une BCE vigilante - Boursorama</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2026-08-31</w:t>
            </w:r>
          </w:p>
        </w:tc>
        <w:tc>
          <w:tcPr>
            <w:tcW w:type="dxa" w:w="1728"/>
          </w:tcPr>
          <w:p>
            <w:r>
              <w:rPr>
                <w:sz w:val="14"/>
              </w:rPr>
              <w:t>IFPEN | Tableau de bord - Marchés pétroliers - ifpenergiesnouvelles.fr</w:t>
            </w:r>
          </w:p>
        </w:tc>
        <w:tc>
          <w:tcPr>
            <w:tcW w:type="dxa" w:w="1728"/>
          </w:tcPr>
          <w:p>
            <w:r>
              <w:rPr>
                <w:sz w:val="14"/>
              </w:rPr>
              <w:t>Neutre</w:t>
            </w:r>
          </w:p>
        </w:tc>
        <w:tc>
          <w:tcPr>
            <w:tcW w:type="dxa" w:w="1728"/>
          </w:tcPr>
          <w:p>
            <w:r>
              <w:rPr>
                <w:sz w:val="14"/>
              </w:rPr>
              <w:t>Neutre</w:t>
            </w:r>
          </w:p>
        </w:tc>
        <w:tc>
          <w:tcPr>
            <w:tcW w:type="dxa" w:w="1728"/>
          </w:tcPr>
          <w:p>
            <w:r>
              <w:rPr>
                <w:sz w:val="14"/>
              </w:rPr>
              <w:t>Google News — géopolitique mon</w:t>
            </w:r>
          </w:p>
        </w:tc>
      </w:tr>
      <w:tr>
        <w:tc>
          <w:tcPr>
            <w:tcW w:type="dxa" w:w="1728"/>
          </w:tcPr>
          <w:p>
            <w:r>
              <w:rPr>
                <w:sz w:val="14"/>
              </w:rPr>
              <w:t>2026-09-02</w:t>
            </w:r>
          </w:p>
        </w:tc>
        <w:tc>
          <w:tcPr>
            <w:tcW w:type="dxa" w:w="1728"/>
          </w:tcPr>
          <w:p>
            <w:r>
              <w:rPr>
                <w:sz w:val="14"/>
              </w:rPr>
              <w:t>Pétrole, gaz, GNR, céréales, engrais : quelles sont les conséquence de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2026-09-02</w:t>
            </w:r>
          </w:p>
        </w:tc>
        <w:tc>
          <w:tcPr>
            <w:tcW w:type="dxa" w:w="1728"/>
          </w:tcPr>
          <w:p>
            <w:r>
              <w:rPr>
                <w:sz w:val="14"/>
              </w:rPr>
              <w:t>Joachim Nagel, président de la banque centrale allemande : « La hausse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2026-09-02</w:t>
            </w:r>
          </w:p>
        </w:tc>
        <w:tc>
          <w:tcPr>
            <w:tcW w:type="dxa" w:w="1728"/>
          </w:tcPr>
          <w:p>
            <w:r>
              <w:rPr>
                <w:sz w:val="14"/>
              </w:rPr>
              <w:t>MCX gold price breaks below Rs.1.50 lakh per 10 grams as selling exten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2026-09-01</w:t>
            </w:r>
          </w:p>
        </w:tc>
        <w:tc>
          <w:tcPr>
            <w:tcW w:type="dxa" w:w="1728"/>
          </w:tcPr>
          <w:p>
            <w:r>
              <w:rPr>
                <w:sz w:val="14"/>
              </w:rPr>
              <w:t>Le FMI et le Sénégal trouvent un accord en vue d’un programme d’aide d</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FMI Banque Mondi</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2026-08-31</w:t>
            </w:r>
          </w:p>
        </w:tc>
        <w:tc>
          <w:tcPr>
            <w:tcW w:type="dxa" w:w="1728"/>
          </w:tcPr>
          <w:p>
            <w:r>
              <w:rPr>
                <w:sz w:val="14"/>
              </w:rPr>
              <w:t>IFPEN | Tableau de bord - Marchés pétroliers - ifpenergiesnouvelles.fr</w:t>
            </w:r>
          </w:p>
        </w:tc>
        <w:tc>
          <w:tcPr>
            <w:tcW w:type="dxa" w:w="1728"/>
          </w:tcPr>
          <w:p>
            <w:r>
              <w:rPr>
                <w:sz w:val="14"/>
              </w:rPr>
              <w:t>Neutre</w:t>
            </w:r>
          </w:p>
        </w:tc>
        <w:tc>
          <w:tcPr>
            <w:tcW w:type="dxa" w:w="1728"/>
          </w:tcPr>
          <w:p>
            <w:r>
              <w:rPr>
                <w:sz w:val="14"/>
              </w:rPr>
              <w:t>Neutre</w:t>
            </w:r>
          </w:p>
        </w:tc>
        <w:tc>
          <w:tcPr>
            <w:tcW w:type="dxa" w:w="1728"/>
          </w:tcPr>
          <w:p>
            <w:r>
              <w:rPr>
                <w:sz w:val="14"/>
              </w:rPr>
              <w:t>Google News — géopolitique mon</w:t>
            </w:r>
          </w:p>
        </w:tc>
      </w:tr>
      <w:tr>
        <w:tc>
          <w:tcPr>
            <w:tcW w:type="dxa" w:w="1728"/>
          </w:tcPr>
          <w:p>
            <w:r>
              <w:rPr>
                <w:sz w:val="14"/>
              </w:rPr>
              <w:t>2026-09-02</w:t>
            </w:r>
          </w:p>
        </w:tc>
        <w:tc>
          <w:tcPr>
            <w:tcW w:type="dxa" w:w="1728"/>
          </w:tcPr>
          <w:p>
            <w:r>
              <w:rPr>
                <w:sz w:val="14"/>
              </w:rPr>
              <w:t>Pétrole, gaz, GNR, céréales, engrais : quelles sont les conséquence de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2026-09-02</w:t>
            </w:r>
          </w:p>
        </w:tc>
        <w:tc>
          <w:tcPr>
            <w:tcW w:type="dxa" w:w="1728"/>
          </w:tcPr>
          <w:p>
            <w:r>
              <w:rPr>
                <w:sz w:val="14"/>
              </w:rPr>
              <w:t>Joachim Nagel, président de la banque centrale allemande : « La hausse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2026-09-02</w:t>
            </w:r>
          </w:p>
        </w:tc>
        <w:tc>
          <w:tcPr>
            <w:tcW w:type="dxa" w:w="1728"/>
          </w:tcPr>
          <w:p>
            <w:r>
              <w:rPr>
                <w:sz w:val="14"/>
              </w:rPr>
              <w:t>MCX gold price breaks below Rs.1.50 lakh per 10 grams as selling exten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2026-09-01</w:t>
            </w:r>
          </w:p>
        </w:tc>
        <w:tc>
          <w:tcPr>
            <w:tcW w:type="dxa" w:w="1728"/>
          </w:tcPr>
          <w:p>
            <w:r>
              <w:rPr>
                <w:sz w:val="14"/>
              </w:rPr>
              <w:t>Sénégal : le Gouvernement et le FMI s’accordent sur un programme de 2,</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FMI Banque Mondi</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2026-08-31</w:t>
            </w:r>
          </w:p>
        </w:tc>
        <w:tc>
          <w:tcPr>
            <w:tcW w:type="dxa" w:w="1728"/>
          </w:tcPr>
          <w:p>
            <w:r>
              <w:rPr>
                <w:sz w:val="14"/>
              </w:rPr>
              <w:t>IFPEN | Tableau de bord - Marchés pétroliers - ifpenergiesnouvelles.fr</w:t>
            </w:r>
          </w:p>
        </w:tc>
        <w:tc>
          <w:tcPr>
            <w:tcW w:type="dxa" w:w="1728"/>
          </w:tcPr>
          <w:p>
            <w:r>
              <w:rPr>
                <w:sz w:val="14"/>
              </w:rPr>
              <w:t>Neutre</w:t>
            </w:r>
          </w:p>
        </w:tc>
        <w:tc>
          <w:tcPr>
            <w:tcW w:type="dxa" w:w="1728"/>
          </w:tcPr>
          <w:p>
            <w:r>
              <w:rPr>
                <w:sz w:val="14"/>
              </w:rPr>
              <w:t>Neutre</w:t>
            </w:r>
          </w:p>
        </w:tc>
        <w:tc>
          <w:tcPr>
            <w:tcW w:type="dxa" w:w="1728"/>
          </w:tcPr>
          <w:p>
            <w:r>
              <w:rPr>
                <w:sz w:val="14"/>
              </w:rPr>
              <w:t>Google News — géopolitique mon</w:t>
            </w:r>
          </w:p>
        </w:tc>
      </w:tr>
      <w:tr>
        <w:tc>
          <w:tcPr>
            <w:tcW w:type="dxa" w:w="1728"/>
          </w:tcPr>
          <w:p>
            <w:r>
              <w:rPr>
                <w:sz w:val="14"/>
              </w:rPr>
              <w:t>2026-09-02</w:t>
            </w:r>
          </w:p>
        </w:tc>
        <w:tc>
          <w:tcPr>
            <w:tcW w:type="dxa" w:w="1728"/>
          </w:tcPr>
          <w:p>
            <w:r>
              <w:rPr>
                <w:sz w:val="14"/>
              </w:rPr>
              <w:t>Pétrole, gaz, GNR, céréales, engrais : quelles sont les conséquence de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2026-09-02</w:t>
            </w:r>
          </w:p>
        </w:tc>
        <w:tc>
          <w:tcPr>
            <w:tcW w:type="dxa" w:w="1728"/>
          </w:tcPr>
          <w:p>
            <w:r>
              <w:rPr>
                <w:sz w:val="14"/>
              </w:rPr>
              <w:t>Joachim Nagel, président de la banque centrale allemande : « La hausse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2026-09-02</w:t>
            </w:r>
          </w:p>
        </w:tc>
        <w:tc>
          <w:tcPr>
            <w:tcW w:type="dxa" w:w="1728"/>
          </w:tcPr>
          <w:p>
            <w:r>
              <w:rPr>
                <w:sz w:val="14"/>
              </w:rPr>
              <w:t>MCX gold price breaks below Rs.1.50 lakh per 10 grams as selling exten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2026-09-01</w:t>
            </w:r>
          </w:p>
        </w:tc>
        <w:tc>
          <w:tcPr>
            <w:tcW w:type="dxa" w:w="1728"/>
          </w:tcPr>
          <w:p>
            <w:r>
              <w:rPr>
                <w:sz w:val="14"/>
              </w:rPr>
              <w:t>Le FMI et le Sénégal trouvent un accord en vue d’un programme d’aide d</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FMI Banque Mondi</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2026-08-31</w:t>
            </w:r>
          </w:p>
        </w:tc>
        <w:tc>
          <w:tcPr>
            <w:tcW w:type="dxa" w:w="1728"/>
          </w:tcPr>
          <w:p>
            <w:r>
              <w:rPr>
                <w:sz w:val="14"/>
              </w:rPr>
              <w:t>IFPEN | Tableau de bord - Marchés pétroliers - ifpenergiesnouvelles.fr</w:t>
            </w:r>
          </w:p>
        </w:tc>
        <w:tc>
          <w:tcPr>
            <w:tcW w:type="dxa" w:w="1728"/>
          </w:tcPr>
          <w:p>
            <w:r>
              <w:rPr>
                <w:sz w:val="14"/>
              </w:rPr>
              <w:t>Neutre</w:t>
            </w:r>
          </w:p>
        </w:tc>
        <w:tc>
          <w:tcPr>
            <w:tcW w:type="dxa" w:w="1728"/>
          </w:tcPr>
          <w:p>
            <w:r>
              <w:rPr>
                <w:sz w:val="14"/>
              </w:rPr>
              <w:t>Neutre</w:t>
            </w:r>
          </w:p>
        </w:tc>
        <w:tc>
          <w:tcPr>
            <w:tcW w:type="dxa" w:w="1728"/>
          </w:tcPr>
          <w:p>
            <w:r>
              <w:rPr>
                <w:sz w:val="14"/>
              </w:rPr>
              <w:t>Google News — géopolitique mon</w:t>
            </w:r>
          </w:p>
        </w:tc>
      </w:tr>
      <w:tr>
        <w:tc>
          <w:tcPr>
            <w:tcW w:type="dxa" w:w="1728"/>
          </w:tcPr>
          <w:p>
            <w:r>
              <w:rPr>
                <w:sz w:val="14"/>
              </w:rPr>
              <w:t>2026-09-02</w:t>
            </w:r>
          </w:p>
        </w:tc>
        <w:tc>
          <w:tcPr>
            <w:tcW w:type="dxa" w:w="1728"/>
          </w:tcPr>
          <w:p>
            <w:r>
              <w:rPr>
                <w:sz w:val="14"/>
              </w:rPr>
              <w:t>Pétrole, gaz, GNR, céréales, engrais : quelles sont les conséquence de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2026-09-03</w:t>
            </w:r>
          </w:p>
        </w:tc>
        <w:tc>
          <w:tcPr>
            <w:tcW w:type="dxa" w:w="1728"/>
          </w:tcPr>
          <w:p>
            <w:r>
              <w:rPr>
                <w:sz w:val="14"/>
              </w:rPr>
              <w:t>Vers une hausse des taux d’intérêt de la BCE ? - L'Économiste Maghrébi</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2026-09-02</w:t>
            </w:r>
          </w:p>
        </w:tc>
        <w:tc>
          <w:tcPr>
            <w:tcW w:type="dxa" w:w="1728"/>
          </w:tcPr>
          <w:p>
            <w:r>
              <w:rPr>
                <w:sz w:val="14"/>
              </w:rPr>
              <w:t>Joachim Nagel, président de la banque centrale allemande : « La hausse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2026-09-02</w:t>
            </w:r>
          </w:p>
        </w:tc>
        <w:tc>
          <w:tcPr>
            <w:tcW w:type="dxa" w:w="1728"/>
          </w:tcPr>
          <w:p>
            <w:r>
              <w:rPr>
                <w:sz w:val="14"/>
              </w:rPr>
              <w:t>MCX gold price breaks below Rs.1.50 lakh per 10 grams as selling exten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Fed taux inflati</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2026-08-31</w:t>
            </w:r>
          </w:p>
        </w:tc>
        <w:tc>
          <w:tcPr>
            <w:tcW w:type="dxa" w:w="1728"/>
          </w:tcPr>
          <w:p>
            <w:r>
              <w:rPr>
                <w:sz w:val="14"/>
              </w:rPr>
              <w:t>IFPEN | Tableau de bord - Marchés pétroliers - ifpenergiesnouvelles.fr</w:t>
            </w:r>
          </w:p>
        </w:tc>
        <w:tc>
          <w:tcPr>
            <w:tcW w:type="dxa" w:w="1728"/>
          </w:tcPr>
          <w:p>
            <w:r>
              <w:rPr>
                <w:sz w:val="14"/>
              </w:rPr>
              <w:t>Neutre</w:t>
            </w:r>
          </w:p>
        </w:tc>
        <w:tc>
          <w:tcPr>
            <w:tcW w:type="dxa" w:w="1728"/>
          </w:tcPr>
          <w:p>
            <w:r>
              <w:rPr>
                <w:sz w:val="14"/>
              </w:rPr>
              <w:t>Neutre</w:t>
            </w:r>
          </w:p>
        </w:tc>
        <w:tc>
          <w:tcPr>
            <w:tcW w:type="dxa" w:w="1728"/>
          </w:tcPr>
          <w:p>
            <w:r>
              <w:rPr>
                <w:sz w:val="14"/>
              </w:rPr>
              <w:t>Google News — géopolitique mon</w:t>
            </w:r>
          </w:p>
        </w:tc>
      </w:tr>
      <w:tr>
        <w:tc>
          <w:tcPr>
            <w:tcW w:type="dxa" w:w="1728"/>
          </w:tcPr>
          <w:p>
            <w:r>
              <w:rPr>
                <w:sz w:val="14"/>
              </w:rPr>
              <w:t>2026-09-03</w:t>
            </w:r>
          </w:p>
        </w:tc>
        <w:tc>
          <w:tcPr>
            <w:tcW w:type="dxa" w:w="1728"/>
          </w:tcPr>
          <w:p>
            <w:r>
              <w:rPr>
                <w:sz w:val="14"/>
              </w:rPr>
              <w:t>Dette, inflation, croissance : la rentrée sans filet de l'économie mon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récession inflat</w:t>
            </w:r>
          </w:p>
        </w:tc>
      </w:tr>
      <w:tr>
        <w:tc>
          <w:tcPr>
            <w:tcW w:type="dxa" w:w="1728"/>
          </w:tcPr>
          <w:p>
            <w:r>
              <w:rPr>
                <w:sz w:val="14"/>
              </w:rPr>
              <w:t>2026-09-02</w:t>
            </w:r>
          </w:p>
        </w:tc>
        <w:tc>
          <w:tcPr>
            <w:tcW w:type="dxa" w:w="1728"/>
          </w:tcPr>
          <w:p>
            <w:r>
              <w:rPr>
                <w:sz w:val="14"/>
              </w:rPr>
              <w:t>Pétrole, gaz, GNR, céréales, engrais : quelles sont les conséquence de</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r>
        <w:tc>
          <w:tcPr>
            <w:tcW w:type="dxa" w:w="1728"/>
          </w:tcPr>
          <w:p>
            <w:r>
              <w:rPr>
                <w:sz w:val="14"/>
              </w:rPr>
              <w:t>2026-09-03</w:t>
            </w:r>
          </w:p>
        </w:tc>
        <w:tc>
          <w:tcPr>
            <w:tcW w:type="dxa" w:w="1728"/>
          </w:tcPr>
          <w:p>
            <w:r>
              <w:rPr>
                <w:sz w:val="14"/>
              </w:rPr>
              <w:t>Vers une hausse des taux d’intérêt de la BCE ? - L'Économiste Maghrébi</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2026-09-03</w:t>
            </w:r>
          </w:p>
        </w:tc>
        <w:tc>
          <w:tcPr>
            <w:tcW w:type="dxa" w:w="1728"/>
          </w:tcPr>
          <w:p>
            <w:r>
              <w:rPr>
                <w:sz w:val="14"/>
              </w:rPr>
              <w:t>Une BCE vigilante - Boursorama</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2026-09-03</w:t>
            </w:r>
          </w:p>
        </w:tc>
        <w:tc>
          <w:tcPr>
            <w:tcW w:type="dxa" w:w="1728"/>
          </w:tcPr>
          <w:p>
            <w:r>
              <w:rPr>
                <w:sz w:val="14"/>
              </w:rPr>
              <w:t>Vers une hausse des taux d’intérêt de la BCE ? - L'Économiste Maghrébi</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2026-09-03</w:t>
            </w:r>
          </w:p>
        </w:tc>
        <w:tc>
          <w:tcPr>
            <w:tcW w:type="dxa" w:w="1728"/>
          </w:tcPr>
          <w:p>
            <w:r>
              <w:rPr>
                <w:sz w:val="14"/>
              </w:rPr>
              <w:t>Une BCE vigilante - Boursorama</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2026-09-02</w:t>
            </w:r>
          </w:p>
        </w:tc>
        <w:tc>
          <w:tcPr>
            <w:tcW w:type="dxa" w:w="1728"/>
          </w:tcPr>
          <w:p>
            <w:r>
              <w:rPr>
                <w:sz w:val="14"/>
              </w:rPr>
              <w:t>Joachim Nagel, président de la banque centrale allemande : « La hausse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2026-09-02</w:t>
            </w:r>
          </w:p>
        </w:tc>
        <w:tc>
          <w:tcPr>
            <w:tcW w:type="dxa" w:w="1728"/>
          </w:tcPr>
          <w:p>
            <w:r>
              <w:rPr>
                <w:sz w:val="14"/>
              </w:rPr>
              <w:t>MCX gold price breaks below Rs.1.50 lakh per 10 grams as selling exten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2026-09-01</w:t>
            </w:r>
          </w:p>
        </w:tc>
        <w:tc>
          <w:tcPr>
            <w:tcW w:type="dxa" w:w="1728"/>
          </w:tcPr>
          <w:p>
            <w:r>
              <w:rPr>
                <w:sz w:val="14"/>
              </w:rPr>
              <w:t>Le FMI et le Sénégal trouvent un accord en vue d’un programme d’aide d</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FMI Banque Mondi</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2026-09-03</w:t>
            </w:r>
          </w:p>
        </w:tc>
        <w:tc>
          <w:tcPr>
            <w:tcW w:type="dxa" w:w="1728"/>
          </w:tcPr>
          <w:p>
            <w:r>
              <w:rPr>
                <w:sz w:val="14"/>
              </w:rPr>
              <w:t>Vers une hausse des taux d’intérêt de la BCE ? - L'Économiste Maghrébi</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2026-09-03</w:t>
            </w:r>
          </w:p>
        </w:tc>
        <w:tc>
          <w:tcPr>
            <w:tcW w:type="dxa" w:w="1728"/>
          </w:tcPr>
          <w:p>
            <w:r>
              <w:rPr>
                <w:sz w:val="14"/>
              </w:rPr>
              <w:t>Une BCE vigilante - Boursorama</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2026-09-02</w:t>
            </w:r>
          </w:p>
        </w:tc>
        <w:tc>
          <w:tcPr>
            <w:tcW w:type="dxa" w:w="1728"/>
          </w:tcPr>
          <w:p>
            <w:r>
              <w:rPr>
                <w:sz w:val="14"/>
              </w:rPr>
              <w:t>Joachim Nagel, président de la banque centrale allemande : « La hausse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2026-09-02</w:t>
            </w:r>
          </w:p>
        </w:tc>
        <w:tc>
          <w:tcPr>
            <w:tcW w:type="dxa" w:w="1728"/>
          </w:tcPr>
          <w:p>
            <w:r>
              <w:rPr>
                <w:sz w:val="14"/>
              </w:rPr>
              <w:t>MCX gold price breaks below Rs.1.50 lakh per 10 grams as selling exten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2026-09-01</w:t>
            </w:r>
          </w:p>
        </w:tc>
        <w:tc>
          <w:tcPr>
            <w:tcW w:type="dxa" w:w="1728"/>
          </w:tcPr>
          <w:p>
            <w:r>
              <w:rPr>
                <w:sz w:val="14"/>
              </w:rPr>
              <w:t>Le FMI et le Sénégal trouvent un accord en vue d’un programme d’aide d</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FMI Banque Mondi</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2026-09-03</w:t>
            </w:r>
          </w:p>
        </w:tc>
        <w:tc>
          <w:tcPr>
            <w:tcW w:type="dxa" w:w="1728"/>
          </w:tcPr>
          <w:p>
            <w:r>
              <w:rPr>
                <w:sz w:val="14"/>
              </w:rPr>
              <w:t>Vers une hausse des taux d’intérêt de la BCE ? - L'Économiste Maghrébi</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2026-09-03</w:t>
            </w:r>
          </w:p>
        </w:tc>
        <w:tc>
          <w:tcPr>
            <w:tcW w:type="dxa" w:w="1728"/>
          </w:tcPr>
          <w:p>
            <w:r>
              <w:rPr>
                <w:sz w:val="14"/>
              </w:rPr>
              <w:t>Une BCE vigilante - Boursorama</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2026-09-02</w:t>
            </w:r>
          </w:p>
        </w:tc>
        <w:tc>
          <w:tcPr>
            <w:tcW w:type="dxa" w:w="1728"/>
          </w:tcPr>
          <w:p>
            <w:r>
              <w:rPr>
                <w:sz w:val="14"/>
              </w:rPr>
              <w:t>Joachim Nagel, président de la banque centrale allemande : « La hausse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2026-09-02</w:t>
            </w:r>
          </w:p>
        </w:tc>
        <w:tc>
          <w:tcPr>
            <w:tcW w:type="dxa" w:w="1728"/>
          </w:tcPr>
          <w:p>
            <w:r>
              <w:rPr>
                <w:sz w:val="14"/>
              </w:rPr>
              <w:t>MCX gold price breaks below Rs.1.50 lakh per 10 grams as selling exten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2026-09-01</w:t>
            </w:r>
          </w:p>
        </w:tc>
        <w:tc>
          <w:tcPr>
            <w:tcW w:type="dxa" w:w="1728"/>
          </w:tcPr>
          <w:p>
            <w:r>
              <w:rPr>
                <w:sz w:val="14"/>
              </w:rPr>
              <w:t>Le FMI et le Sénégal trouvent un accord en vue d’un programme d’aide d</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FMI Banque Mondi</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2026-09-03</w:t>
            </w:r>
          </w:p>
        </w:tc>
        <w:tc>
          <w:tcPr>
            <w:tcW w:type="dxa" w:w="1728"/>
          </w:tcPr>
          <w:p>
            <w:r>
              <w:rPr>
                <w:sz w:val="14"/>
              </w:rPr>
              <w:t>Vers une hausse des taux d’intérêt de la BCE ? - L'Économiste Maghrébi</w:t>
            </w:r>
          </w:p>
        </w:tc>
        <w:tc>
          <w:tcPr>
            <w:tcW w:type="dxa" w:w="1728"/>
          </w:tcPr>
          <w:p>
            <w:r>
              <w:rPr>
                <w:sz w:val="14"/>
              </w:rPr>
              <w:t>Neutre</w:t>
            </w:r>
          </w:p>
        </w:tc>
        <w:tc>
          <w:tcPr>
            <w:tcW w:type="dxa" w:w="1728"/>
          </w:tcPr>
          <w:p>
            <w:r>
              <w:rPr>
                <w:color w:val="C00000"/>
                <w:sz w:val="14"/>
              </w:rPr>
              <w:t>Negatif</w:t>
            </w:r>
          </w:p>
        </w:tc>
        <w:tc>
          <w:tcPr>
            <w:tcW w:type="dxa" w:w="1728"/>
          </w:tcPr>
          <w:p>
            <w:r>
              <w:rPr>
                <w:sz w:val="14"/>
              </w:rPr>
              <w:t>Google News — BCE taux euro zo</w:t>
            </w:r>
          </w:p>
        </w:tc>
      </w:tr>
      <w:tr>
        <w:tc>
          <w:tcPr>
            <w:tcW w:type="dxa" w:w="1728"/>
          </w:tcPr>
          <w:p>
            <w:r>
              <w:rPr>
                <w:sz w:val="14"/>
              </w:rPr>
              <w:t>2026-09-03</w:t>
            </w:r>
          </w:p>
        </w:tc>
        <w:tc>
          <w:tcPr>
            <w:tcW w:type="dxa" w:w="1728"/>
          </w:tcPr>
          <w:p>
            <w:r>
              <w:rPr>
                <w:sz w:val="14"/>
              </w:rPr>
              <w:t>Une BCE vigilante - Boursorama</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2026-09-02</w:t>
            </w:r>
          </w:p>
        </w:tc>
        <w:tc>
          <w:tcPr>
            <w:tcW w:type="dxa" w:w="1728"/>
          </w:tcPr>
          <w:p>
            <w:r>
              <w:rPr>
                <w:sz w:val="14"/>
              </w:rPr>
              <w:t>Joachim Nagel, président de la banque centrale allemande : « La hausse</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2026-09-02</w:t>
            </w:r>
          </w:p>
        </w:tc>
        <w:tc>
          <w:tcPr>
            <w:tcW w:type="dxa" w:w="1728"/>
          </w:tcPr>
          <w:p>
            <w:r>
              <w:rPr>
                <w:sz w:val="14"/>
              </w:rPr>
              <w:t>MCX gold price breaks below Rs.1.50 lakh per 10 grams as selling exten</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2026-09-01</w:t>
            </w:r>
          </w:p>
        </w:tc>
        <w:tc>
          <w:tcPr>
            <w:tcW w:type="dxa" w:w="1728"/>
          </w:tcPr>
          <w:p>
            <w:r>
              <w:rPr>
                <w:sz w:val="14"/>
              </w:rPr>
              <w:t>Le FMI et le Sénégal trouvent un accord en vue d’un programme d’aide d</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FMI Banque Mondi</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politique  (8 alerte(s))</w:t>
      </w:r>
    </w:p>
    <w:p>
      <w:pPr>
        <w:spacing w:before="40" w:after="40"/>
        <w:ind w:left="360"/>
      </w:pPr>
      <w:r>
        <w:rPr>
          <w:color w:val="646464"/>
          <w:sz w:val="17"/>
        </w:rPr>
        <w:t xml:space="preserve">[04/09/2026] 🔴  </w:t>
      </w:r>
      <w:r>
        <w:rPr>
          <w:b/>
          <w:color w:val="C00000"/>
          <w:sz w:val="18"/>
        </w:rPr>
        <w:t>Mali: les proches de Mountaga Tall veulent une preuve de vie quatre mois après son enlèvement par la Sécurité d'État - R</w:t>
      </w:r>
      <w:r>
        <w:rPr>
          <w:color w:val="787878"/>
          <w:sz w:val="15"/>
        </w:rPr>
        <w:t xml:space="preserve">  [politique]</w:t>
      </w:r>
      <w:r>
        <w:rPr>
          <w:color w:val="B47800"/>
          <w:sz w:val="16"/>
        </w:rPr>
        <w:t xml:space="preserve">  ★ 50/10</w:t>
      </w:r>
    </w:p>
    <w:p>
      <w:pPr>
        <w:spacing w:before="0" w:after="20"/>
        <w:ind w:left="600"/>
      </w:pPr>
      <w:r>
        <w:rPr>
          <w:color w:val="323232"/>
          <w:sz w:val="17"/>
        </w:rPr>
        <w:t>Quatre mois après l'enlèvement de Mountaga Tall par la Sécurité d'État malienne, ses proches réclament une preuve de vie. Cette situation soulève des inquiétudes sur la stabilité politique et le respect des droits de l'homme au Mali. L'événement est rapporté par RFI et s'inscrit dans un contexte régional ouest-africain déjà tendu.</w:t>
      </w:r>
    </w:p>
    <w:p>
      <w:pPr>
        <w:spacing w:before="0" w:after="40"/>
        <w:ind w:left="600"/>
      </w:pPr>
      <w:r>
        <w:rPr>
          <w:color w:val="00643C"/>
          <w:sz w:val="16"/>
        </w:rPr>
        <w:t>Points clés : Enlèvement de Mountaga Tall par la Sécurité d'État malienne  •  Demande de preuve de vie par les proches après 4 mois  •  Préoccupations sur la gouvernance et les droits humains au Mali</w:t>
      </w:r>
    </w:p>
    <w:p>
      <w:pPr>
        <w:spacing w:before="0" w:after="60"/>
        <w:ind w:left="600"/>
      </w:pPr>
      <w:r>
        <w:rPr>
          <w:color w:val="0064B4"/>
          <w:sz w:val="15"/>
        </w:rPr>
        <w:t>Source : https://news.google.com/rss/articles/CBMiiwJBVV95cUxPY0d5RV9pZ29yZ0N5QTQzbEhJeWY</w:t>
      </w:r>
    </w:p>
    <w:p>
      <w:pPr>
        <w:spacing w:before="40" w:after="40"/>
        <w:ind w:left="360"/>
      </w:pPr>
      <w:r>
        <w:rPr>
          <w:color w:val="646464"/>
          <w:sz w:val="17"/>
        </w:rPr>
        <w:t xml:space="preserve">[03/09/2026] ⚪  </w:t>
      </w:r>
      <w:r>
        <w:rPr>
          <w:b/>
          <w:color w:val="505050"/>
          <w:sz w:val="18"/>
        </w:rPr>
        <w:t>Dette du Sénégal: le prêt de 2,2 milliards de dollars du FMI peut-il sortir Dakar de cette crise? - tv5monde</w:t>
      </w:r>
      <w:r>
        <w:rPr>
          <w:color w:val="787878"/>
          <w:sz w:val="15"/>
        </w:rPr>
        <w:t xml:space="preserve">  [politique]</w:t>
      </w:r>
      <w:r>
        <w:rPr>
          <w:color w:val="B47800"/>
          <w:sz w:val="16"/>
        </w:rPr>
        <w:t xml:space="preserve">  ★ 50/10</w:t>
      </w:r>
    </w:p>
    <w:p>
      <w:pPr>
        <w:spacing w:before="0" w:after="20"/>
        <w:ind w:left="600"/>
      </w:pPr>
      <w:r>
        <w:rPr>
          <w:color w:val="323232"/>
          <w:sz w:val="17"/>
        </w:rPr>
        <w:t xml:space="preserve">Le Sénégal, confronté à une crise de la dette, a obtenu un prêt de 2,2 milliards de dollars du FMI. Ce financement vise à stabiliser l'économie et à restaurer la confiance des investisseurs. Cependant, son efficacité dépendra des réformes structurelles et de la gestion budgétaire du pays. L'impact sur la zone UEMOA et la BRVM pourrait être modéré, </w:t>
      </w:r>
    </w:p>
    <w:p>
      <w:pPr>
        <w:spacing w:before="0" w:after="40"/>
        <w:ind w:left="600"/>
      </w:pPr>
      <w:r>
        <w:rPr>
          <w:color w:val="00643C"/>
          <w:sz w:val="16"/>
        </w:rPr>
        <w:t>Points clés : Prêt de 2,2 milliards de dollars accordé par le FMI au Sénégal pour faire face à la crise de la dette.  •  Le succès dépendra de la mise en œuvre de réformes économiques et de la discipline budgétaire.  •  La situation sénégalaise pourrait influencer la perception du risque dans la zone UEMOA.  •  Les investisseurs suivront de près les indicateurs macroéconomiques du Sénégal.</w:t>
      </w:r>
    </w:p>
    <w:p>
      <w:pPr>
        <w:spacing w:before="0" w:after="60"/>
        <w:ind w:left="600"/>
      </w:pPr>
      <w:r>
        <w:rPr>
          <w:color w:val="0064B4"/>
          <w:sz w:val="15"/>
        </w:rPr>
        <w:t>Source : https://news.google.com/rss/articles/CBMi2wFBVV95cUxQODZwemwzRjMxS2w5TFR4a1A5X1h</w:t>
      </w:r>
    </w:p>
    <w:p>
      <w:pPr>
        <w:spacing w:before="40" w:after="40"/>
        <w:ind w:left="360"/>
      </w:pPr>
      <w:r>
        <w:rPr>
          <w:color w:val="646464"/>
          <w:sz w:val="17"/>
        </w:rPr>
        <w:t xml:space="preserve">[03/09/2026] ⚪  </w:t>
      </w:r>
      <w:r>
        <w:rPr>
          <w:b/>
          <w:color w:val="505050"/>
          <w:sz w:val="18"/>
        </w:rPr>
        <w:t>Mali – 65 ans du Mouvement des Non-Alignés : Abdoulaye Diop plaide pour la souveraineté - Africa24 TV</w:t>
      </w:r>
      <w:r>
        <w:rPr>
          <w:color w:val="787878"/>
          <w:sz w:val="15"/>
        </w:rPr>
        <w:t xml:space="preserve">  [politique]</w:t>
      </w:r>
      <w:r>
        <w:rPr>
          <w:color w:val="B47800"/>
          <w:sz w:val="16"/>
        </w:rPr>
        <w:t xml:space="preserve">  ★ 50/10</w:t>
      </w:r>
    </w:p>
    <w:p>
      <w:pPr>
        <w:spacing w:before="0" w:after="20"/>
        <w:ind w:left="600"/>
      </w:pPr>
      <w:r>
        <w:rPr>
          <w:color w:val="323232"/>
          <w:sz w:val="17"/>
        </w:rPr>
        <w:t>L'article relate la participation du ministre malien des Affaires étrangères, Abdoulaye Diop, à la commémoration du 65e anniversaire du Mouvement des Non-Alignés. Il y a plaidé en faveur de la souveraineté des États, un thème récurrent dans le discours politique malien. Cette actualité est de nature politique et ne concerne pas directement les marc</w:t>
      </w:r>
    </w:p>
    <w:p>
      <w:pPr>
        <w:spacing w:before="0" w:after="40"/>
        <w:ind w:left="600"/>
      </w:pPr>
      <w:r>
        <w:rPr>
          <w:color w:val="00643C"/>
          <w:sz w:val="16"/>
        </w:rPr>
        <w:t>Points clés : Participation du Mali à la commémoration du 65e anniversaire du Mouvement des Non-Alignés.  •  Plaidoyer d'Abdoulaye Diop pour la souveraineté des États.  •  Événement politique sans lien direct avec l'économie ou les marchés financiers.</w:t>
      </w:r>
    </w:p>
    <w:p>
      <w:pPr>
        <w:spacing w:before="0" w:after="60"/>
        <w:ind w:left="600"/>
      </w:pPr>
      <w:r>
        <w:rPr>
          <w:color w:val="0064B4"/>
          <w:sz w:val="15"/>
        </w:rPr>
        <w:t>Source : https://news.google.com/rss/articles/CBMiqwFBVV95cUxNOWpTZlBTbnNjVElBNlhpQm5MMEJ</w:t>
      </w:r>
    </w:p>
    <w:p>
      <w:pPr>
        <w:spacing w:before="40" w:after="40"/>
        <w:ind w:left="360"/>
      </w:pPr>
      <w:r>
        <w:rPr>
          <w:color w:val="646464"/>
          <w:sz w:val="17"/>
        </w:rPr>
        <w:t xml:space="preserve">[03/09/2026] 🟢  </w:t>
      </w:r>
      <w:r>
        <w:rPr>
          <w:b/>
          <w:color w:val="008000"/>
          <w:sz w:val="18"/>
        </w:rPr>
        <w:t>Mali : Après un an d'embargo jihadiste, le carburant revient à Bamako - koaci.com</w:t>
      </w:r>
      <w:r>
        <w:rPr>
          <w:color w:val="787878"/>
          <w:sz w:val="15"/>
        </w:rPr>
        <w:t xml:space="preserve">  [politique]</w:t>
      </w:r>
      <w:r>
        <w:rPr>
          <w:color w:val="B47800"/>
          <w:sz w:val="16"/>
        </w:rPr>
        <w:t xml:space="preserve">  ★ 50/10</w:t>
      </w:r>
    </w:p>
    <w:p>
      <w:pPr>
        <w:spacing w:before="0" w:after="20"/>
        <w:ind w:left="600"/>
      </w:pPr>
      <w:r>
        <w:rPr>
          <w:color w:val="323232"/>
          <w:sz w:val="17"/>
        </w:rPr>
        <w:t>Après un an de blocus imposé par des groupes jihadistes, le carburant est de nouveau disponible à Bamako, la capitale malienne. Cette situation met fin à une pénurie sévère qui a paralysé l'économie locale et affecté la population. Le retour du carburant devrait relancer les activités économiques et réduire les coûts de transport. Cependant, la men</w:t>
      </w:r>
    </w:p>
    <w:p>
      <w:pPr>
        <w:spacing w:before="0" w:after="40"/>
        <w:ind w:left="600"/>
      </w:pPr>
      <w:r>
        <w:rPr>
          <w:color w:val="00643C"/>
          <w:sz w:val="16"/>
        </w:rPr>
        <w:t>Points clés : Fin d'un embargo jihadiste d'un an sur le carburant à Bamako.  •  Reprise de l'approvisionnement en carburant, soulageant la population et les entreprises.  •  Risque sécuritaire persistant pouvant affecter la stabilité économique.</w:t>
      </w:r>
    </w:p>
    <w:p>
      <w:pPr>
        <w:spacing w:before="0" w:after="60"/>
        <w:ind w:left="600"/>
      </w:pPr>
      <w:r>
        <w:rPr>
          <w:color w:val="0064B4"/>
          <w:sz w:val="15"/>
        </w:rPr>
        <w:t>Source : https://news.google.com/rss/articles/CBMizgFBVV95cUxQSFhqSDFwTEJFTUdJRUJaNDdad1R</w:t>
      </w:r>
    </w:p>
    <w:p>
      <w:pPr>
        <w:spacing w:before="40" w:after="40"/>
        <w:ind w:left="360"/>
      </w:pPr>
      <w:r>
        <w:rPr>
          <w:color w:val="646464"/>
          <w:sz w:val="17"/>
        </w:rPr>
        <w:t xml:space="preserve">[03/09/2026] 🟢  </w:t>
      </w:r>
      <w:r>
        <w:rPr>
          <w:b/>
          <w:color w:val="008000"/>
          <w:sz w:val="18"/>
        </w:rPr>
        <w:t>Libération des deux journalistes français détenus au Togo : « Je ne vois rien de politique dans cette affaire » - lepoin</w:t>
      </w:r>
      <w:r>
        <w:rPr>
          <w:color w:val="787878"/>
          <w:sz w:val="15"/>
        </w:rPr>
        <w:t xml:space="preserve">  [politique]</w:t>
      </w:r>
      <w:r>
        <w:rPr>
          <w:color w:val="B47800"/>
          <w:sz w:val="16"/>
        </w:rPr>
        <w:t xml:space="preserve">  ★ 50/10</w:t>
      </w:r>
    </w:p>
    <w:p>
      <w:pPr>
        <w:spacing w:before="0" w:after="20"/>
        <w:ind w:left="600"/>
      </w:pPr>
      <w:r>
        <w:rPr>
          <w:color w:val="323232"/>
          <w:sz w:val="17"/>
        </w:rPr>
        <w:t>Deux journalistes français détenus au Togo ont été libérés, une affaire que les autorités togolaises qualifient de non politique. Cette nouvelle intervient dans un contexte régional où les questions de liberté de presse et de stabilité politique sont suivies de près par les investisseurs. La résolution pacifique de cette situation pourrait être per</w:t>
      </w:r>
    </w:p>
    <w:p>
      <w:pPr>
        <w:spacing w:before="0" w:after="40"/>
        <w:ind w:left="600"/>
      </w:pPr>
      <w:r>
        <w:rPr>
          <w:color w:val="00643C"/>
          <w:sz w:val="16"/>
        </w:rPr>
        <w:t>Points clés : Libération des deux journalistes français au Togo  •  Déclaration des autorités togolaises écartant toute dimension politique</w:t>
      </w:r>
    </w:p>
    <w:p>
      <w:pPr>
        <w:spacing w:before="0" w:after="60"/>
        <w:ind w:left="600"/>
      </w:pPr>
      <w:r>
        <w:rPr>
          <w:color w:val="0064B4"/>
          <w:sz w:val="15"/>
        </w:rPr>
        <w:t>Source : https://news.google.com/rss/articles/CBMi7AFBVV95cUxPNk5MMTJkMnRIZWZaNWlnNXhhMWV</w:t>
      </w:r>
    </w:p>
    <w:p>
      <w:pPr>
        <w:spacing w:before="120" w:after="40"/>
      </w:pPr>
      <w:r>
        <w:rPr>
          <w:b/>
          <w:color w:val="00467F"/>
          <w:sz w:val="20"/>
        </w:rPr>
        <w:t>🔑 marche_financier  (3 alerte(s))</w:t>
      </w:r>
    </w:p>
    <w:p>
      <w:pPr>
        <w:spacing w:before="40" w:after="40"/>
        <w:ind w:left="360"/>
      </w:pPr>
      <w:r>
        <w:rPr>
          <w:color w:val="646464"/>
          <w:sz w:val="17"/>
        </w:rPr>
        <w:t xml:space="preserve">[03/09/2026] 🟢  </w:t>
      </w:r>
      <w:r>
        <w:rPr>
          <w:b/>
          <w:color w:val="008000"/>
          <w:sz w:val="18"/>
        </w:rPr>
        <w:t>Bourse: le Trésor public burkinabè lève 151,5 milliards de FCFA à travers « Diaspora Bonds » - Abidjan.net News</w:t>
      </w:r>
      <w:r>
        <w:rPr>
          <w:color w:val="787878"/>
          <w:sz w:val="15"/>
        </w:rPr>
        <w:t xml:space="preserve">  [marche_financier]</w:t>
      </w:r>
      <w:r>
        <w:rPr>
          <w:color w:val="B47800"/>
          <w:sz w:val="16"/>
        </w:rPr>
        <w:t xml:space="preserve">  ★ 50/10</w:t>
      </w:r>
    </w:p>
    <w:p>
      <w:pPr>
        <w:spacing w:before="0" w:after="20"/>
        <w:ind w:left="600"/>
      </w:pPr>
      <w:r>
        <w:rPr>
          <w:color w:val="323232"/>
          <w:sz w:val="17"/>
        </w:rPr>
        <w:t>Le Trésor public burkinabè a levé 151,5 milliards de FCFA sur le marché financier de l'UEMOA via l'émission d'obligations destinées à la diaspora. Cette opération témoigne de la confiance des investisseurs dans les titres publics de la zone. Elle renforce la liquidité et l'attractivité du marché régional, tout en offrant une source de financement a</w:t>
      </w:r>
    </w:p>
    <w:p>
      <w:pPr>
        <w:spacing w:before="0" w:after="40"/>
        <w:ind w:left="600"/>
      </w:pPr>
      <w:r>
        <w:rPr>
          <w:color w:val="00643C"/>
          <w:sz w:val="16"/>
        </w:rPr>
        <w:t>Points clés : Levée de 151,5 milliards de FCFA par le Burkina Faso via des 'Diaspora Bonds'.  •  Opération réalisée sur le marché financier de l'UEMOA, démontrant la capacité d'absorption du marché.  •  Succès de l'émission, indiquant une demande soutenue pour les titres publics de la zone.</w:t>
      </w:r>
    </w:p>
    <w:p>
      <w:pPr>
        <w:spacing w:before="0" w:after="60"/>
        <w:ind w:left="600"/>
      </w:pPr>
      <w:r>
        <w:rPr>
          <w:color w:val="0064B4"/>
          <w:sz w:val="15"/>
        </w:rPr>
        <w:t>Source : https://news.google.com/rss/articles/CBMixgFBVV95cUxPenBfMXlnRkJQeThVZjdhWFR6NUk</w:t>
      </w:r>
    </w:p>
    <w:p>
      <w:pPr>
        <w:spacing w:before="40" w:after="40"/>
        <w:ind w:left="360"/>
      </w:pPr>
      <w:r>
        <w:rPr>
          <w:color w:val="646464"/>
          <w:sz w:val="17"/>
        </w:rPr>
        <w:t xml:space="preserve">[03/09/2026] 🟢  </w:t>
      </w:r>
      <w:r>
        <w:rPr>
          <w:b/>
          <w:color w:val="008000"/>
          <w:sz w:val="18"/>
        </w:rPr>
        <w:t>Bourse/Emprunts obligataires : Le Burkina Faso lève plus de 150 milliards de Fcfa sur le marché financier régional - Fra</w:t>
      </w:r>
      <w:r>
        <w:rPr>
          <w:color w:val="787878"/>
          <w:sz w:val="15"/>
        </w:rPr>
        <w:t xml:space="preserve">  [marche_financier]</w:t>
      </w:r>
      <w:r>
        <w:rPr>
          <w:color w:val="B47800"/>
          <w:sz w:val="16"/>
        </w:rPr>
        <w:t xml:space="preserve">  ★ 50/10</w:t>
      </w:r>
    </w:p>
    <w:p>
      <w:pPr>
        <w:spacing w:before="0" w:after="20"/>
        <w:ind w:left="600"/>
      </w:pPr>
      <w:r>
        <w:rPr>
          <w:color w:val="323232"/>
          <w:sz w:val="17"/>
        </w:rPr>
        <w:t xml:space="preserve">Le Burkina Faso a levé plus de 150 milliards de Fcfa sur le marché financier régional de l'UEMOA à travers des emprunts obligataires. Cette opération témoigne de la capacité du pays à mobiliser des ressources sur le marché de la BRVM. Elle reflète une certaine confiance des investisseurs envers les titres publics burkinabè. L'opération contribue à </w:t>
      </w:r>
    </w:p>
    <w:p>
      <w:pPr>
        <w:spacing w:before="0" w:after="40"/>
        <w:ind w:left="600"/>
      </w:pPr>
      <w:r>
        <w:rPr>
          <w:color w:val="00643C"/>
          <w:sz w:val="16"/>
        </w:rPr>
        <w:t>Points clés : Levée de plus de 150 milliards de Fcfa par le Burkina Faso  •  Opération réalisée sur le marché financier régional de l'UEMOA  •  Confiance des investisseurs envers les titres publics</w:t>
      </w:r>
    </w:p>
    <w:p>
      <w:pPr>
        <w:spacing w:before="0" w:after="60"/>
        <w:ind w:left="600"/>
      </w:pPr>
      <w:r>
        <w:rPr>
          <w:color w:val="0064B4"/>
          <w:sz w:val="15"/>
        </w:rPr>
        <w:t>Source : https://news.google.com/rss/articles/CBMi8wFBVV95cUxPUXFoUk1JdVUzNWJrYXBVNlAtUXV</w:t>
      </w:r>
    </w:p>
    <w:p>
      <w:pPr>
        <w:spacing w:before="40" w:after="40"/>
        <w:ind w:left="360"/>
      </w:pPr>
      <w:r>
        <w:rPr>
          <w:color w:val="646464"/>
          <w:sz w:val="17"/>
        </w:rPr>
        <w:t xml:space="preserve">[03/09/2026] 🟢  </w:t>
      </w:r>
      <w:r>
        <w:rPr>
          <w:b/>
          <w:color w:val="008000"/>
          <w:sz w:val="18"/>
        </w:rPr>
        <w:t>Burkina Faso/BRVM : Le Groupe Vista fait coter les 151,5 milliards FCFA des Diaspora Bonds - Sika Finance</w:t>
      </w:r>
      <w:r>
        <w:rPr>
          <w:color w:val="787878"/>
          <w:sz w:val="15"/>
        </w:rPr>
        <w:t xml:space="preserve">  [marche_financier]</w:t>
      </w:r>
      <w:r>
        <w:rPr>
          <w:color w:val="B47800"/>
          <w:sz w:val="16"/>
        </w:rPr>
        <w:t xml:space="preserve">  ★ 50/10</w:t>
      </w:r>
    </w:p>
    <w:p>
      <w:pPr>
        <w:spacing w:before="0" w:after="20"/>
        <w:ind w:left="600"/>
      </w:pPr>
      <w:r>
        <w:rPr>
          <w:color w:val="323232"/>
          <w:sz w:val="17"/>
        </w:rPr>
        <w:t>Le Groupe Vista, émetteur des Diaspora Bonds du Burkina Faso, a procédé à la cotation de ces obligations d'un montant total de 151,5 milliards FCFA sur la BRVM. Cette opération vise à offrir une liquidité accrue aux investisseurs et à renforcer la présence du Burkina Faso sur le marché financier régional. La cotation permet aux détenteurs de ces ti</w:t>
      </w:r>
    </w:p>
    <w:p>
      <w:pPr>
        <w:spacing w:before="0" w:after="40"/>
        <w:ind w:left="600"/>
      </w:pPr>
      <w:r>
        <w:rPr>
          <w:color w:val="00643C"/>
          <w:sz w:val="16"/>
        </w:rPr>
        <w:t>Points clés : Cotation de 151,5 milliards FCFA de Diaspora Bonds du Burkina Faso sur la BRVM.  •  Objectif : améliorer la liquidité et la transparence du marché obligataire burkinabè.  •  Renforcement de l'intégration financière régionale au sein de l'UEMOA.</w:t>
      </w:r>
    </w:p>
    <w:p>
      <w:pPr>
        <w:spacing w:before="0" w:after="60"/>
        <w:ind w:left="600"/>
      </w:pPr>
      <w:r>
        <w:rPr>
          <w:color w:val="0064B4"/>
          <w:sz w:val="15"/>
        </w:rPr>
        <w:t>Source : https://news.google.com/rss/articles/CBMiygFBVV95cUxPdVZhVTB3Uk9KN3Y2Y24tM2M4Wi1</w:t>
      </w:r>
    </w:p>
    <w:p>
      <w:pPr>
        <w:spacing w:before="120" w:after="40"/>
      </w:pPr>
      <w:r>
        <w:rPr>
          <w:b/>
          <w:color w:val="00467F"/>
          <w:sz w:val="20"/>
        </w:rPr>
        <w:t>🔑 économique  (3 alerte(s))</w:t>
      </w:r>
    </w:p>
    <w:p>
      <w:pPr>
        <w:spacing w:before="40" w:after="40"/>
        <w:ind w:left="360"/>
      </w:pPr>
      <w:r>
        <w:rPr>
          <w:color w:val="646464"/>
          <w:sz w:val="17"/>
        </w:rPr>
        <w:t xml:space="preserve">[03/09/2026] 🔴  </w:t>
      </w:r>
      <w:r>
        <w:rPr>
          <w:b/>
          <w:color w:val="C00000"/>
          <w:sz w:val="18"/>
        </w:rPr>
        <w:t>Dette, inflation, croissance : la rentrée sans filet de l'économie mondiale ? - Les Echos</w:t>
      </w:r>
      <w:r>
        <w:rPr>
          <w:color w:val="787878"/>
          <w:sz w:val="15"/>
        </w:rPr>
        <w:t xml:space="preserve">  [économique]</w:t>
      </w:r>
      <w:r>
        <w:rPr>
          <w:color w:val="B47800"/>
          <w:sz w:val="16"/>
        </w:rPr>
        <w:t xml:space="preserve">  ★ 50/10</w:t>
      </w:r>
    </w:p>
    <w:p>
      <w:pPr>
        <w:spacing w:before="0" w:after="20"/>
        <w:ind w:left="600"/>
      </w:pPr>
      <w:r>
        <w:rPr>
          <w:color w:val="323232"/>
          <w:sz w:val="17"/>
        </w:rPr>
        <w:t>L'article des Echos aborde les risques économiques mondiaux pour la rentrée, notamment l'endettement élevé, une inflation persistante et une croissance atone. Il souligne l'absence de marges de manœuvre budgétaires et monétaires pour faire face à de nouveaux chocs. Cette situation pourrait fragiliser les marchés émergents et les économies dépendant</w:t>
      </w:r>
    </w:p>
    <w:p>
      <w:pPr>
        <w:spacing w:before="0" w:after="40"/>
        <w:ind w:left="600"/>
      </w:pPr>
      <w:r>
        <w:rPr>
          <w:color w:val="00643C"/>
          <w:sz w:val="16"/>
        </w:rPr>
        <w:t>Points clés : Niveaux de dette publique et privée historiquement élevés dans les pays développés.  •  Inflation encore supérieure aux cibles des banques centrales, limitant les baisses de taux.  •  Croissance mondiale faible, avec des risques de récession dans certaines zones.  •  Réduction des capacités de stimulation budgétaire et monétaire en cas de crise.</w:t>
      </w:r>
    </w:p>
    <w:p>
      <w:pPr>
        <w:spacing w:before="0" w:after="60"/>
        <w:ind w:left="600"/>
      </w:pPr>
      <w:r>
        <w:rPr>
          <w:color w:val="0064B4"/>
          <w:sz w:val="15"/>
        </w:rPr>
        <w:t>Source : https://news.google.com/rss/articles/CBMiygFBVV95cUxPRnRidWpFLTJCSHZyS3c5S2xCcE8</w:t>
      </w:r>
    </w:p>
    <w:p>
      <w:pPr>
        <w:spacing w:before="40" w:after="40"/>
        <w:ind w:left="360"/>
      </w:pPr>
      <w:r>
        <w:rPr>
          <w:color w:val="646464"/>
          <w:sz w:val="17"/>
        </w:rPr>
        <w:t xml:space="preserve">[03/09/2026] ⚪  </w:t>
      </w:r>
      <w:r>
        <w:rPr>
          <w:b/>
          <w:color w:val="505050"/>
          <w:sz w:val="18"/>
        </w:rPr>
        <w:t>E35 : Afrique de l'Ouest : investiture du nouveau Président de la CEDEAO - Programme TV Ouest-France</w:t>
      </w:r>
      <w:r>
        <w:rPr>
          <w:color w:val="787878"/>
          <w:sz w:val="15"/>
        </w:rPr>
        <w:t xml:space="preserve">  [économique]</w:t>
      </w:r>
      <w:r>
        <w:rPr>
          <w:color w:val="B47800"/>
          <w:sz w:val="16"/>
        </w:rPr>
        <w:t xml:space="preserve">  ★ 50/10</w:t>
      </w:r>
    </w:p>
    <w:p>
      <w:pPr>
        <w:spacing w:before="0" w:after="20"/>
        <w:ind w:left="600"/>
      </w:pPr>
      <w:r>
        <w:rPr>
          <w:color w:val="323232"/>
          <w:sz w:val="17"/>
        </w:rPr>
        <w:t xml:space="preserve">L'article annonce l'investiture du nouveau président de la CEDEAO en Afrique de l'Ouest, un événement institutionnel majeur pour la région. Cette transition de leadership pourrait influencer la stabilité politique et les politiques économiques régionales. L'impact sur les marchés financiers, notamment la BRVM, dépendra des orientations économiques </w:t>
      </w:r>
    </w:p>
    <w:p>
      <w:pPr>
        <w:spacing w:before="0" w:after="40"/>
        <w:ind w:left="600"/>
      </w:pPr>
      <w:r>
        <w:rPr>
          <w:color w:val="00643C"/>
          <w:sz w:val="16"/>
        </w:rPr>
        <w:t>Points clés : Investiture du nouveau président de la CEDEAO, événement politique régional clé.  •  Potentiel impact sur la coopération économique et l'intégration régionale en Afrique de l'Ouest.</w:t>
      </w:r>
    </w:p>
    <w:p>
      <w:pPr>
        <w:spacing w:before="0" w:after="60"/>
        <w:ind w:left="600"/>
      </w:pPr>
      <w:r>
        <w:rPr>
          <w:color w:val="0064B4"/>
          <w:sz w:val="15"/>
        </w:rPr>
        <w:t>Source : https://news.google.com/rss/articles/CBMi5AFBVV95cUxNZm1CYldxQWdMSUtNVUtNcDRMQ1F</w:t>
      </w:r>
    </w:p>
    <w:p>
      <w:pPr>
        <w:spacing w:before="40" w:after="40"/>
        <w:ind w:left="360"/>
      </w:pPr>
      <w:r>
        <w:rPr>
          <w:color w:val="646464"/>
          <w:sz w:val="17"/>
        </w:rPr>
        <w:t xml:space="preserve">[02/09/2026] ⚪  </w:t>
      </w:r>
      <w:r>
        <w:rPr>
          <w:b/>
          <w:color w:val="505050"/>
          <w:sz w:val="18"/>
        </w:rPr>
        <w:t>Qui est Birame Diop, le général sénégalais appelé à diriger la Commission de la CEDEAO ? - AGENCE ECOFIN</w:t>
      </w:r>
      <w:r>
        <w:rPr>
          <w:color w:val="787878"/>
          <w:sz w:val="15"/>
        </w:rPr>
        <w:t xml:space="preserve">  [économique]</w:t>
      </w:r>
      <w:r>
        <w:rPr>
          <w:color w:val="B47800"/>
          <w:sz w:val="16"/>
        </w:rPr>
        <w:t xml:space="preserve">  ★ 50/10</w:t>
      </w:r>
    </w:p>
    <w:p>
      <w:pPr>
        <w:spacing w:before="0" w:after="20"/>
        <w:ind w:left="600"/>
      </w:pPr>
      <w:r>
        <w:rPr>
          <w:color w:val="323232"/>
          <w:sz w:val="17"/>
        </w:rPr>
        <w:t>L'article de l'Agence Ecofin présente le général sénégalais Birame Diop, pressenti pour prendre la tête de la Commission de la CEDEAO. Il met en avant son parcours militaire et diplomatique, ainsi que les enjeux de cette nomination pour la stabilité régionale et la coopération économique en Afrique de l'Ouest. La nouvelle est présentée comme un dév</w:t>
      </w:r>
    </w:p>
    <w:p>
      <w:pPr>
        <w:spacing w:before="0" w:after="40"/>
        <w:ind w:left="600"/>
      </w:pPr>
      <w:r>
        <w:rPr>
          <w:color w:val="00643C"/>
          <w:sz w:val="16"/>
        </w:rPr>
        <w:t>Points clés : Birame Diop, général sénégalais, est proposé pour diriger la Commission de la CEDEAO.  •  Sa nomination pourrait renforcer la coopération économique et la stabilité dans la région.  •  L'article souligne l'importance de la CEDEAO pour l'intégration ouest-africaine.</w:t>
      </w:r>
    </w:p>
    <w:p>
      <w:pPr>
        <w:spacing w:before="0" w:after="60"/>
        <w:ind w:left="600"/>
      </w:pPr>
      <w:r>
        <w:rPr>
          <w:color w:val="0064B4"/>
          <w:sz w:val="15"/>
        </w:rPr>
        <w:t>Source : https://news.google.com/rss/articles/CBMi0wFBVV95cUxQbkljbEJKLUdCZ20ybFZjRUdNZHV</w:t>
      </w:r>
    </w:p>
    <w:p>
      <w:pPr>
        <w:spacing w:before="120" w:after="40"/>
      </w:pPr>
      <w:r>
        <w:rPr>
          <w:b/>
          <w:color w:val="00467F"/>
          <w:sz w:val="20"/>
        </w:rPr>
        <w:t>🔑 politique_monetaire  (3 alerte(s))</w:t>
      </w:r>
    </w:p>
    <w:p>
      <w:pPr>
        <w:spacing w:before="40" w:after="40"/>
        <w:ind w:left="360"/>
      </w:pPr>
      <w:r>
        <w:rPr>
          <w:color w:val="646464"/>
          <w:sz w:val="17"/>
        </w:rPr>
        <w:t xml:space="preserve">[03/09/2026] ⚪  </w:t>
      </w:r>
      <w:r>
        <w:rPr>
          <w:b/>
          <w:color w:val="505050"/>
          <w:sz w:val="18"/>
        </w:rPr>
        <w:t>Une BCE vigilante - Boursorama</w:t>
      </w:r>
      <w:r>
        <w:rPr>
          <w:color w:val="787878"/>
          <w:sz w:val="15"/>
        </w:rPr>
        <w:t xml:space="preserve">  [politique_monetaire]</w:t>
      </w:r>
      <w:r>
        <w:rPr>
          <w:color w:val="B47800"/>
          <w:sz w:val="16"/>
        </w:rPr>
        <w:t xml:space="preserve">  ★ 50/10</w:t>
      </w:r>
    </w:p>
    <w:p>
      <w:pPr>
        <w:spacing w:before="0" w:after="20"/>
        <w:ind w:left="600"/>
      </w:pPr>
      <w:r>
        <w:rPr>
          <w:color w:val="323232"/>
          <w:sz w:val="17"/>
        </w:rPr>
        <w:t>La Banque centrale européenne (BCE) maintient une position de vigilance face aux incertitudes économiques et aux pressions inflationnistes. Elle surveille de près l'évolution des taux d'intérêt et des conditions de financement. Cette prudence vise à assurer la stabilité des prix tout en soutenant la croissance. Les marchés financiers suivent attent</w:t>
      </w:r>
    </w:p>
    <w:p>
      <w:pPr>
        <w:spacing w:before="0" w:after="40"/>
        <w:ind w:left="600"/>
      </w:pPr>
      <w:r>
        <w:rPr>
          <w:color w:val="00643C"/>
          <w:sz w:val="16"/>
        </w:rPr>
        <w:t>Points clés : La BCE reste vigilante sur l'inflation et les perspectives économiques.  •  Les décisions de politique monétaire de la BCE influencent les marchés financiers mondiaux.</w:t>
      </w:r>
    </w:p>
    <w:p>
      <w:pPr>
        <w:spacing w:before="0" w:after="60"/>
        <w:ind w:left="600"/>
      </w:pPr>
      <w:r>
        <w:rPr>
          <w:color w:val="0064B4"/>
          <w:sz w:val="15"/>
        </w:rPr>
        <w:t>Source : https://news.google.com/rss/articles/CBMioAFBVV95cUxNQnJsTFFDZFFOTUJHTV9aTzkwWkh</w:t>
      </w:r>
    </w:p>
    <w:p>
      <w:pPr>
        <w:spacing w:before="40" w:after="40"/>
        <w:ind w:left="360"/>
      </w:pPr>
      <w:r>
        <w:rPr>
          <w:color w:val="646464"/>
          <w:sz w:val="17"/>
        </w:rPr>
        <w:t xml:space="preserve">[03/09/2026] ⚪  </w:t>
      </w:r>
      <w:r>
        <w:rPr>
          <w:b/>
          <w:color w:val="505050"/>
          <w:sz w:val="18"/>
        </w:rPr>
        <w:t>Vers une hausse des taux d’intérêt de la BCE ? - L'Économiste Maghrébin</w:t>
      </w:r>
      <w:r>
        <w:rPr>
          <w:color w:val="787878"/>
          <w:sz w:val="15"/>
        </w:rPr>
        <w:t xml:space="preserve">  [politique_monetaire]</w:t>
      </w:r>
      <w:r>
        <w:rPr>
          <w:color w:val="B47800"/>
          <w:sz w:val="16"/>
        </w:rPr>
        <w:t xml:space="preserve">  ★ 50/10</w:t>
      </w:r>
    </w:p>
    <w:p>
      <w:pPr>
        <w:spacing w:before="0" w:after="20"/>
        <w:ind w:left="600"/>
      </w:pPr>
      <w:r>
        <w:rPr>
          <w:color w:val="323232"/>
          <w:sz w:val="17"/>
        </w:rPr>
        <w:t>L'article évoque une possible hausse des taux d'intérêt de la Banque centrale européenne (BCE), ce qui pourrait resserrer les conditions financières mondiales. Cette perspective intervient dans un contexte de lutte contre l'inflation, mais pourrait freiner la croissance économique en zone euro. Pour la BRVM, une telle décision pourrait entraîner un</w:t>
      </w:r>
    </w:p>
    <w:p>
      <w:pPr>
        <w:spacing w:before="0" w:after="40"/>
        <w:ind w:left="600"/>
      </w:pPr>
      <w:r>
        <w:rPr>
          <w:color w:val="00643C"/>
          <w:sz w:val="16"/>
        </w:rPr>
        <w:t>Points clés : La BCE envisage de relever ses taux directeurs pour contrer l'inflation.  •  Une hausse des taux européens pourrait renforcer l'euro et attirer les investisseurs internationaux.  •  Les marchés émergents, dont la BRVM, pourraient subir des sorties de capitaux.</w:t>
      </w:r>
    </w:p>
    <w:p>
      <w:pPr>
        <w:spacing w:before="0" w:after="60"/>
        <w:ind w:left="600"/>
      </w:pPr>
      <w:r>
        <w:rPr>
          <w:color w:val="0064B4"/>
          <w:sz w:val="15"/>
        </w:rPr>
        <w:t>Source : https://news.google.com/rss/articles/CBMilwFBVV95cUxPZExsMF8yYWlXbGpKVlpyZFRaXzR</w:t>
      </w:r>
    </w:p>
    <w:p>
      <w:pPr>
        <w:spacing w:before="40" w:after="40"/>
        <w:ind w:left="360"/>
      </w:pPr>
      <w:r>
        <w:rPr>
          <w:color w:val="646464"/>
          <w:sz w:val="17"/>
        </w:rPr>
        <w:t xml:space="preserve">[02/09/2026] 🔴  </w:t>
      </w:r>
      <w:r>
        <w:rPr>
          <w:b/>
          <w:color w:val="C00000"/>
          <w:sz w:val="18"/>
        </w:rPr>
        <w:t>MCX gold price breaks below Rs.1.50 lakh per 10 grams as selling extends to 7th day on firm US dollar - TradingView</w:t>
      </w:r>
      <w:r>
        <w:rPr>
          <w:color w:val="787878"/>
          <w:sz w:val="15"/>
        </w:rPr>
        <w:t xml:space="preserve">  [politique_monetaire]</w:t>
      </w:r>
      <w:r>
        <w:rPr>
          <w:color w:val="B47800"/>
          <w:sz w:val="16"/>
        </w:rPr>
        <w:t xml:space="preserve">  ★ 50/10</w:t>
      </w:r>
    </w:p>
    <w:p>
      <w:pPr>
        <w:spacing w:before="0" w:after="20"/>
        <w:ind w:left="600"/>
      </w:pPr>
      <w:r>
        <w:rPr>
          <w:color w:val="323232"/>
          <w:sz w:val="17"/>
        </w:rPr>
        <w:t>Le prix de l'or sur le MCX (Inde) est tombé sous la barre des 1,50 lakh roupies pour 10 grammes, prolongeant une série de ventes sur sept jours consécutifs. Cette baisse est attribuée à la vigueur du dollar américain, qui rend l'or plus coûteux pour les détenteurs d'autres devises. La pression sur les prix de l'or reflète un contexte de politique m</w:t>
      </w:r>
    </w:p>
    <w:p>
      <w:pPr>
        <w:spacing w:before="0" w:after="40"/>
        <w:ind w:left="600"/>
      </w:pPr>
      <w:r>
        <w:rPr>
          <w:color w:val="00643C"/>
          <w:sz w:val="16"/>
        </w:rPr>
        <w:t>Points clés : Le prix de l'or sur le MCX a franchi à la baisse le seuil de 1,50 lakh roupies pour 10 grammes.  •  Les ventes se sont étendues sur sept jours consécutifs, signalant une tendance baissière persistante.  •  La fermeté du dollar américain est le principal facteur de pression sur les prix de l'or.</w:t>
      </w:r>
    </w:p>
    <w:p>
      <w:pPr>
        <w:spacing w:before="0" w:after="60"/>
        <w:ind w:left="600"/>
      </w:pPr>
      <w:r>
        <w:rPr>
          <w:color w:val="0064B4"/>
          <w:sz w:val="15"/>
        </w:rPr>
        <w:t>Source : https://news.google.com/rss/articles/CBMi7gFBVV95cUxQczA3UGlfZFFFUl96a0xsVU5WU0U</w:t>
      </w:r>
    </w:p>
    <w:p>
      <w:pPr>
        <w:spacing w:before="120" w:after="40"/>
      </w:pPr>
      <w:r>
        <w:rPr>
          <w:b/>
          <w:color w:val="00467F"/>
          <w:sz w:val="20"/>
        </w:rPr>
        <w:t>🔑 matieres_premieres  (3 alerte(s))</w:t>
      </w:r>
    </w:p>
    <w:p>
      <w:pPr>
        <w:spacing w:before="40" w:after="40"/>
        <w:ind w:left="360"/>
      </w:pPr>
      <w:r>
        <w:rPr>
          <w:color w:val="646464"/>
          <w:sz w:val="17"/>
        </w:rPr>
        <w:t xml:space="preserve">[03/09/2026] ⚪  </w:t>
      </w:r>
      <w:r>
        <w:rPr>
          <w:b/>
          <w:color w:val="505050"/>
          <w:sz w:val="18"/>
        </w:rPr>
        <w:t>Côte d’Ivoire: le prix du kilo de cacao pour la campagne 2026-2027 divise les représentants de producteurs - pressafrik.</w:t>
      </w:r>
      <w:r>
        <w:rPr>
          <w:color w:val="787878"/>
          <w:sz w:val="15"/>
        </w:rPr>
        <w:t xml:space="preserve">  [matieres_premieres]</w:t>
      </w:r>
      <w:r>
        <w:rPr>
          <w:color w:val="B47800"/>
          <w:sz w:val="16"/>
        </w:rPr>
        <w:t xml:space="preserve">  ★ 50/10</w:t>
      </w:r>
    </w:p>
    <w:p>
      <w:pPr>
        <w:spacing w:before="0" w:after="20"/>
        <w:ind w:left="600"/>
      </w:pPr>
      <w:r>
        <w:rPr>
          <w:color w:val="323232"/>
          <w:sz w:val="17"/>
        </w:rPr>
        <w:t xml:space="preserve">La fixation du prix du kilo de cacao pour la campagne 2026-2027 en Côte d'Ivoire suscite des divergences parmi les représentants de producteurs. Cette discorde pourrait affecter la stabilité de la filière cacaoyère, un pilier économique du pays. Les négociations en cours reflètent des intérêts divergents entre les parties prenantes. L'issue de ces </w:t>
      </w:r>
    </w:p>
    <w:p>
      <w:pPr>
        <w:spacing w:before="0" w:after="40"/>
        <w:ind w:left="600"/>
      </w:pPr>
      <w:r>
        <w:rPr>
          <w:color w:val="00643C"/>
          <w:sz w:val="16"/>
        </w:rPr>
        <w:t>Points clés : Désaccord entre les représentants de producteurs sur le prix du cacao pour 2026-2027.  •  La Côte d'Ivoire est un acteur majeur du marché mondial du cacao, ce qui rend cette décision stratégique.  •  Les négociations pourraient influencer la production et les exportations futures.</w:t>
      </w:r>
    </w:p>
    <w:p>
      <w:pPr>
        <w:spacing w:before="0" w:after="60"/>
        <w:ind w:left="600"/>
      </w:pPr>
      <w:r>
        <w:rPr>
          <w:color w:val="0064B4"/>
          <w:sz w:val="15"/>
        </w:rPr>
        <w:t>Source : https://news.google.com/rss/articles/CBMi3gFBVV95cUxQaUlObnFyZHZ3bHhLY1hrVlh5M3R</w:t>
      </w:r>
    </w:p>
    <w:p>
      <w:pPr>
        <w:spacing w:before="40" w:after="40"/>
        <w:ind w:left="360"/>
      </w:pPr>
      <w:r>
        <w:rPr>
          <w:color w:val="646464"/>
          <w:sz w:val="17"/>
        </w:rPr>
        <w:t xml:space="preserve">[03/09/2026] ⚪  </w:t>
      </w:r>
      <w:r>
        <w:rPr>
          <w:b/>
          <w:color w:val="505050"/>
          <w:sz w:val="18"/>
        </w:rPr>
        <w:t>Cacao : la Côte d’Ivoire maintient le prix bord champ à 1 200 FCFA le kilo - lsi-africa.com</w:t>
      </w:r>
      <w:r>
        <w:rPr>
          <w:color w:val="787878"/>
          <w:sz w:val="15"/>
        </w:rPr>
        <w:t xml:space="preserve">  [matieres_premieres]</w:t>
      </w:r>
      <w:r>
        <w:rPr>
          <w:color w:val="B47800"/>
          <w:sz w:val="16"/>
        </w:rPr>
        <w:t xml:space="preserve">  ★ 50/10</w:t>
      </w:r>
    </w:p>
    <w:p>
      <w:pPr>
        <w:spacing w:before="0" w:after="20"/>
        <w:ind w:left="600"/>
      </w:pPr>
      <w:r>
        <w:rPr>
          <w:color w:val="323232"/>
          <w:sz w:val="17"/>
        </w:rPr>
        <w:t>La Côte d'Ivoire, premier producteur mondial de cacao, a décidé de maintenir le prix bord champ à 1 200 FCFA le kilogramme pour la campagne en cours. Cette décision vise à stabiliser les revenus des producteurs et à soutenir la filière face aux fluctuations des cours mondiaux. Le maintien de ce prix pourrait avoir des répercussions sur les entrepri</w:t>
      </w:r>
    </w:p>
    <w:p>
      <w:pPr>
        <w:spacing w:before="0" w:after="40"/>
        <w:ind w:left="600"/>
      </w:pPr>
      <w:r>
        <w:rPr>
          <w:color w:val="00643C"/>
          <w:sz w:val="16"/>
        </w:rPr>
        <w:t>Points clés : Maintien du prix bord champ du cacao à 1 200 FCFA/kg en Côte d'Ivoire.  •  Décision prise pour stabiliser les revenus des producteurs et la filière.  •  Impact potentiel sur les sociétés agro-industrielles cotées à la BRVM.</w:t>
      </w:r>
    </w:p>
    <w:p>
      <w:pPr>
        <w:spacing w:before="0" w:after="60"/>
        <w:ind w:left="600"/>
      </w:pPr>
      <w:r>
        <w:rPr>
          <w:color w:val="0064B4"/>
          <w:sz w:val="15"/>
        </w:rPr>
        <w:t>Source : https://news.google.com/rss/articles/CBMikgFBVV95cUxPMmVpbnVidWxqOTlQbjJTdExYU29</w:t>
      </w:r>
    </w:p>
    <w:p>
      <w:pPr>
        <w:spacing w:before="40" w:after="40"/>
        <w:ind w:left="360"/>
      </w:pPr>
      <w:r>
        <w:rPr>
          <w:color w:val="646464"/>
          <w:sz w:val="17"/>
        </w:rPr>
        <w:t xml:space="preserve">[02/09/2026] ⚪  </w:t>
      </w:r>
      <w:r>
        <w:rPr>
          <w:b/>
          <w:color w:val="505050"/>
          <w:sz w:val="18"/>
        </w:rPr>
        <w:t>Côte d’Ivoire : le prix bord champ du cacao maintenu à 1.200 FCFA/kg - Ouestaf.com</w:t>
      </w:r>
      <w:r>
        <w:rPr>
          <w:color w:val="787878"/>
          <w:sz w:val="15"/>
        </w:rPr>
        <w:t xml:space="preserve">  [matieres_premieres]</w:t>
      </w:r>
      <w:r>
        <w:rPr>
          <w:color w:val="B47800"/>
          <w:sz w:val="16"/>
        </w:rPr>
        <w:t xml:space="preserve">  ★ 50/10</w:t>
      </w:r>
    </w:p>
    <w:p>
      <w:pPr>
        <w:spacing w:before="0" w:after="20"/>
        <w:ind w:left="600"/>
      </w:pPr>
      <w:r>
        <w:rPr>
          <w:color w:val="323232"/>
          <w:sz w:val="17"/>
        </w:rPr>
        <w:t>Le prix bord champ du cacao en Côte d'Ivoire est maintenu à 1.200 FCFA/kg pour la campagne en cours, selon une annonce officielle. Cette décision vise à stabiliser les revenus des producteurs tout en préservant la compétitivité du pays sur le marché mondial. Le maintien de ce prix intervient dans un contexte de fluctuations des cours internationaux</w:t>
      </w:r>
    </w:p>
    <w:p>
      <w:pPr>
        <w:spacing w:before="0" w:after="40"/>
        <w:ind w:left="600"/>
      </w:pPr>
      <w:r>
        <w:rPr>
          <w:color w:val="00643C"/>
          <w:sz w:val="16"/>
        </w:rPr>
        <w:t>Points clés : Prix bord champ du cacao maintenu à 1.200 FCFA/kg en Côte d'Ivoire.  •  Décision prise pour stabiliser les revenus des producteurs et la filière.  •  Contexte de fluctuations des cours mondiaux du cacao.  •  Impact potentiel sur les sociétés agro-industrielles de la BRVM.</w:t>
      </w:r>
    </w:p>
    <w:p>
      <w:pPr>
        <w:spacing w:before="0" w:after="60"/>
        <w:ind w:left="600"/>
      </w:pPr>
      <w:r>
        <w:rPr>
          <w:color w:val="0064B4"/>
          <w:sz w:val="15"/>
        </w:rPr>
        <w:t>Source : https://news.google.com/rss/articles/CBMilAFBVV95cUxQUnc2Z1JKN1lsaXpyMVV5NEQ1Zm5</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UNXC</w:t>
            </w:r>
          </w:p>
        </w:tc>
        <w:tc>
          <w:tcPr>
            <w:tcW w:type="dxa" w:w="1080"/>
            <w:shd w:fill="C6EFCE" w:val="clear"/>
          </w:tcPr>
          <w:p>
            <w:r>
              <w:rPr>
                <w:sz w:val="16"/>
              </w:rPr>
              <w:t>CONSOMMATION DISCR</w:t>
            </w:r>
          </w:p>
        </w:tc>
        <w:tc>
          <w:tcPr>
            <w:tcW w:type="dxa" w:w="1080"/>
            <w:shd w:fill="C6EFCE" w:val="clear"/>
          </w:tcPr>
          <w:p>
            <w:r>
              <w:rPr>
                <w:sz w:val="16"/>
              </w:rPr>
              <w:t>2,425</w:t>
            </w:r>
          </w:p>
        </w:tc>
        <w:tc>
          <w:tcPr>
            <w:tcW w:type="dxa" w:w="1080"/>
            <w:shd w:fill="C6EFCE" w:val="clear"/>
          </w:tcPr>
          <w:p>
            <w:r>
              <w:rPr>
                <w:b/>
                <w:sz w:val="16"/>
              </w:rPr>
              <w:t>75/100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BICB</w:t>
            </w:r>
          </w:p>
        </w:tc>
        <w:tc>
          <w:tcPr>
            <w:tcW w:type="dxa" w:w="1080"/>
            <w:shd w:fill="C6EFCE" w:val="clear"/>
          </w:tcPr>
          <w:p>
            <w:r>
              <w:rPr>
                <w:sz w:val="16"/>
              </w:rPr>
              <w:t>SERVICES FINANCIER</w:t>
            </w:r>
          </w:p>
        </w:tc>
        <w:tc>
          <w:tcPr>
            <w:tcW w:type="dxa" w:w="1080"/>
            <w:shd w:fill="C6EFCE" w:val="clear"/>
          </w:tcPr>
          <w:p>
            <w:r>
              <w:rPr>
                <w:sz w:val="16"/>
              </w:rPr>
              <w:t>10,110</w:t>
            </w:r>
          </w:p>
        </w:tc>
        <w:tc>
          <w:tcPr>
            <w:tcW w:type="dxa" w:w="1080"/>
            <w:shd w:fill="C6EFCE" w:val="clear"/>
          </w:tcPr>
          <w:p>
            <w:r>
              <w:rPr>
                <w:b/>
                <w:sz w:val="16"/>
              </w:rPr>
              <w:t>74/100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12,500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SCRC</w:t>
            </w:r>
          </w:p>
        </w:tc>
        <w:tc>
          <w:tcPr>
            <w:tcW w:type="dxa" w:w="1080"/>
            <w:shd w:fill="C6EFCE" w:val="clear"/>
          </w:tcPr>
          <w:p>
            <w:r>
              <w:rPr>
                <w:sz w:val="16"/>
              </w:rPr>
              <w:t>CONSOMMATION DE BA</w:t>
            </w:r>
          </w:p>
        </w:tc>
        <w:tc>
          <w:tcPr>
            <w:tcW w:type="dxa" w:w="1080"/>
            <w:shd w:fill="C6EFCE" w:val="clear"/>
          </w:tcPr>
          <w:p>
            <w:r>
              <w:rPr>
                <w:sz w:val="16"/>
              </w:rPr>
              <w:t>3,570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38,000</w:t>
            </w:r>
          </w:p>
        </w:tc>
        <w:tc>
          <w:tcPr>
            <w:tcW w:type="dxa" w:w="1080"/>
            <w:shd w:fill="C6EFCE" w:val="clear"/>
          </w:tcPr>
          <w:p>
            <w:r>
              <w:rPr>
                <w:b/>
                <w:sz w:val="16"/>
              </w:rPr>
              <w:t>74/100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BNBC</w:t>
            </w:r>
          </w:p>
        </w:tc>
        <w:tc>
          <w:tcPr>
            <w:tcW w:type="dxa" w:w="1080"/>
            <w:shd w:fill="C6EFCE" w:val="clear"/>
          </w:tcPr>
          <w:p>
            <w:r>
              <w:rPr>
                <w:sz w:val="16"/>
              </w:rPr>
              <w:t>CONSOMMATION DISCR</w:t>
            </w:r>
          </w:p>
        </w:tc>
        <w:tc>
          <w:tcPr>
            <w:tcW w:type="dxa" w:w="1080"/>
            <w:shd w:fill="C6EFCE" w:val="clear"/>
          </w:tcPr>
          <w:p>
            <w:r>
              <w:rPr>
                <w:sz w:val="16"/>
              </w:rPr>
              <w:t>2,200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8,300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ECOC</w:t>
            </w:r>
          </w:p>
        </w:tc>
        <w:tc>
          <w:tcPr>
            <w:tcW w:type="dxa" w:w="1080"/>
            <w:shd w:fill="C6EFCE" w:val="clear"/>
          </w:tcPr>
          <w:p>
            <w:r>
              <w:rPr>
                <w:sz w:val="16"/>
              </w:rPr>
              <w:t>SERVICES FINANCIER</w:t>
            </w:r>
          </w:p>
        </w:tc>
        <w:tc>
          <w:tcPr>
            <w:tcW w:type="dxa" w:w="1080"/>
            <w:shd w:fill="C6EFCE" w:val="clear"/>
          </w:tcPr>
          <w:p>
            <w:r>
              <w:rPr>
                <w:sz w:val="16"/>
              </w:rPr>
              <w:t>17,500</w:t>
            </w:r>
          </w:p>
        </w:tc>
        <w:tc>
          <w:tcPr>
            <w:tcW w:type="dxa" w:w="1080"/>
            <w:shd w:fill="C6EFCE" w:val="clear"/>
          </w:tcPr>
          <w:p>
            <w:r>
              <w:rPr>
                <w:b/>
                <w:sz w:val="16"/>
              </w:rPr>
              <w:t>73/100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SDSC</w:t>
            </w:r>
          </w:p>
        </w:tc>
        <w:tc>
          <w:tcPr>
            <w:tcW w:type="dxa" w:w="1080"/>
            <w:shd w:fill="C6EFCE" w:val="clear"/>
          </w:tcPr>
          <w:p>
            <w:r>
              <w:rPr>
                <w:sz w:val="16"/>
              </w:rPr>
              <w:t>INDUSTRIELS</w:t>
            </w:r>
          </w:p>
        </w:tc>
        <w:tc>
          <w:tcPr>
            <w:tcW w:type="dxa" w:w="1080"/>
            <w:shd w:fill="C6EFCE" w:val="clear"/>
          </w:tcPr>
          <w:p>
            <w:r>
              <w:rPr>
                <w:sz w:val="16"/>
              </w:rPr>
              <w:t>3,100</w:t>
            </w:r>
          </w:p>
        </w:tc>
        <w:tc>
          <w:tcPr>
            <w:tcW w:type="dxa" w:w="1080"/>
            <w:shd w:fill="C6EFCE" w:val="clear"/>
          </w:tcPr>
          <w:p>
            <w:r>
              <w:rPr>
                <w:b/>
                <w:sz w:val="16"/>
              </w:rPr>
              <w:t>73/100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SIVC</w:t>
            </w:r>
          </w:p>
        </w:tc>
        <w:tc>
          <w:tcPr>
            <w:tcW w:type="dxa" w:w="1080"/>
            <w:shd w:fill="C6EFCE" w:val="clear"/>
          </w:tcPr>
          <w:p>
            <w:r>
              <w:rPr>
                <w:sz w:val="16"/>
              </w:rPr>
              <w:t>INDUSTRIELS</w:t>
            </w:r>
          </w:p>
        </w:tc>
        <w:tc>
          <w:tcPr>
            <w:tcW w:type="dxa" w:w="1080"/>
            <w:shd w:fill="C6EFCE" w:val="clear"/>
          </w:tcPr>
          <w:p>
            <w:r>
              <w:rPr>
                <w:sz w:val="16"/>
              </w:rPr>
              <w:t>2,400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ABJC</w:t>
            </w:r>
          </w:p>
        </w:tc>
        <w:tc>
          <w:tcPr>
            <w:tcW w:type="dxa" w:w="1080"/>
            <w:shd w:fill="C6EFCE" w:val="clear"/>
          </w:tcPr>
          <w:p>
            <w:r>
              <w:rPr>
                <w:sz w:val="16"/>
              </w:rPr>
              <w:t>CONSOMMATION DISCR</w:t>
            </w:r>
          </w:p>
        </w:tc>
        <w:tc>
          <w:tcPr>
            <w:tcW w:type="dxa" w:w="1080"/>
            <w:shd w:fill="C6EFCE" w:val="clear"/>
          </w:tcPr>
          <w:p>
            <w:r>
              <w:rPr>
                <w:sz w:val="16"/>
              </w:rPr>
              <w:t>3,950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BOAB</w:t>
            </w:r>
          </w:p>
        </w:tc>
        <w:tc>
          <w:tcPr>
            <w:tcW w:type="dxa" w:w="1080"/>
            <w:shd w:fill="C6EFCE" w:val="clear"/>
          </w:tcPr>
          <w:p>
            <w:r>
              <w:rPr>
                <w:sz w:val="16"/>
              </w:rPr>
              <w:t>SERVICES FINANCIER</w:t>
            </w:r>
          </w:p>
        </w:tc>
        <w:tc>
          <w:tcPr>
            <w:tcW w:type="dxa" w:w="1080"/>
            <w:shd w:fill="C6EFCE" w:val="clear"/>
          </w:tcPr>
          <w:p>
            <w:r>
              <w:rPr>
                <w:sz w:val="16"/>
              </w:rPr>
              <w:t>10,350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CFAC</w:t>
            </w:r>
          </w:p>
        </w:tc>
        <w:tc>
          <w:tcPr>
            <w:tcW w:type="dxa" w:w="1080"/>
            <w:shd w:fill="C6EFCE" w:val="clear"/>
          </w:tcPr>
          <w:p>
            <w:r>
              <w:rPr>
                <w:sz w:val="16"/>
              </w:rPr>
              <w:t>CONSOMMATION DISCR</w:t>
            </w:r>
          </w:p>
        </w:tc>
        <w:tc>
          <w:tcPr>
            <w:tcW w:type="dxa" w:w="1080"/>
            <w:shd w:fill="C6EFCE" w:val="clear"/>
          </w:tcPr>
          <w:p>
            <w:r>
              <w:rPr>
                <w:sz w:val="16"/>
              </w:rPr>
              <w:t>1,755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SMBC</w:t>
            </w:r>
          </w:p>
        </w:tc>
        <w:tc>
          <w:tcPr>
            <w:tcW w:type="dxa" w:w="1080"/>
            <w:shd w:fill="C6EFCE" w:val="clear"/>
          </w:tcPr>
          <w:p>
            <w:r>
              <w:rPr>
                <w:sz w:val="16"/>
              </w:rPr>
              <w:t>ENERGIE</w:t>
            </w:r>
          </w:p>
        </w:tc>
        <w:tc>
          <w:tcPr>
            <w:tcW w:type="dxa" w:w="1080"/>
            <w:shd w:fill="C6EFCE" w:val="clear"/>
          </w:tcPr>
          <w:p>
            <w:r>
              <w:rPr>
                <w:sz w:val="16"/>
              </w:rPr>
              <w:t>17,300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SPHC</w:t>
            </w:r>
          </w:p>
        </w:tc>
        <w:tc>
          <w:tcPr>
            <w:tcW w:type="dxa" w:w="1080"/>
            <w:shd w:fill="C6EFCE" w:val="clear"/>
          </w:tcPr>
          <w:p>
            <w:r>
              <w:rPr>
                <w:sz w:val="16"/>
              </w:rPr>
              <w:t>CONSOMMATION DE BA</w:t>
            </w:r>
          </w:p>
        </w:tc>
        <w:tc>
          <w:tcPr>
            <w:tcW w:type="dxa" w:w="1080"/>
            <w:shd w:fill="C6EFCE" w:val="clear"/>
          </w:tcPr>
          <w:p>
            <w:r>
              <w:rPr>
                <w:sz w:val="16"/>
              </w:rPr>
              <w:t>10,200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TTLC</w:t>
            </w:r>
          </w:p>
        </w:tc>
        <w:tc>
          <w:tcPr>
            <w:tcW w:type="dxa" w:w="1080"/>
            <w:shd w:fill="C6EFCE" w:val="clear"/>
          </w:tcPr>
          <w:p>
            <w:r>
              <w:rPr>
                <w:sz w:val="16"/>
              </w:rPr>
              <w:t>ENERGIE</w:t>
            </w:r>
          </w:p>
        </w:tc>
        <w:tc>
          <w:tcPr>
            <w:tcW w:type="dxa" w:w="1080"/>
            <w:shd w:fill="C6EFCE" w:val="clear"/>
          </w:tcPr>
          <w:p>
            <w:r>
              <w:rPr>
                <w:sz w:val="16"/>
              </w:rPr>
              <w:t>3,350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ORAC</w:t>
            </w:r>
          </w:p>
        </w:tc>
        <w:tc>
          <w:tcPr>
            <w:tcW w:type="dxa" w:w="1080"/>
            <w:shd w:fill="C6EFCE" w:val="clear"/>
          </w:tcPr>
          <w:p>
            <w:r>
              <w:rPr>
                <w:sz w:val="16"/>
              </w:rPr>
              <w:t>TELECOMMUNICATIONS</w:t>
            </w:r>
          </w:p>
        </w:tc>
        <w:tc>
          <w:tcPr>
            <w:tcW w:type="dxa" w:w="1080"/>
            <w:shd w:fill="C6EFCE" w:val="clear"/>
          </w:tcPr>
          <w:p>
            <w:r>
              <w:rPr>
                <w:sz w:val="16"/>
              </w:rPr>
              <w:t>21,155</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BOABF</w:t>
            </w:r>
          </w:p>
        </w:tc>
        <w:tc>
          <w:tcPr>
            <w:tcW w:type="dxa" w:w="1080"/>
            <w:shd w:fill="C6EFCE" w:val="clear"/>
          </w:tcPr>
          <w:p>
            <w:r>
              <w:rPr>
                <w:sz w:val="16"/>
              </w:rPr>
              <w:t>SERVICES FINANCIER</w:t>
            </w:r>
          </w:p>
        </w:tc>
        <w:tc>
          <w:tcPr>
            <w:tcW w:type="dxa" w:w="1080"/>
            <w:shd w:fill="C6EFCE" w:val="clear"/>
          </w:tcPr>
          <w:p>
            <w:r>
              <w:rPr>
                <w:sz w:val="16"/>
              </w:rPr>
              <w:t>8,950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19</w:t>
            </w:r>
          </w:p>
        </w:tc>
        <w:tc>
          <w:tcPr>
            <w:tcW w:type="dxa" w:w="1080"/>
            <w:shd w:fill="C6EFCE" w:val="clear"/>
          </w:tcPr>
          <w:p>
            <w:r>
              <w:rPr>
                <w:sz w:val="16"/>
              </w:rPr>
              <w:t>CBIBF</w:t>
            </w:r>
          </w:p>
        </w:tc>
        <w:tc>
          <w:tcPr>
            <w:tcW w:type="dxa" w:w="1080"/>
            <w:shd w:fill="C6EFCE" w:val="clear"/>
          </w:tcPr>
          <w:p>
            <w:r>
              <w:rPr>
                <w:sz w:val="16"/>
              </w:rPr>
              <w:t>SERVICES FINANCIER</w:t>
            </w:r>
          </w:p>
        </w:tc>
        <w:tc>
          <w:tcPr>
            <w:tcW w:type="dxa" w:w="1080"/>
            <w:shd w:fill="C6EFCE" w:val="clear"/>
          </w:tcPr>
          <w:p>
            <w:r>
              <w:rPr>
                <w:sz w:val="16"/>
              </w:rPr>
              <w:t>33,100</w:t>
            </w:r>
          </w:p>
        </w:tc>
        <w:tc>
          <w:tcPr>
            <w:tcW w:type="dxa" w:w="1080"/>
            <w:shd w:fill="C6EFCE" w:val="clear"/>
          </w:tcPr>
          <w:p>
            <w:r>
              <w:rPr>
                <w:b/>
                <w:sz w:val="16"/>
              </w:rPr>
              <w:t>70/100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20</w:t>
            </w:r>
          </w:p>
        </w:tc>
        <w:tc>
          <w:tcPr>
            <w:tcW w:type="dxa" w:w="1080"/>
            <w:shd w:fill="C6EFCE" w:val="clear"/>
          </w:tcPr>
          <w:p>
            <w:r>
              <w:rPr>
                <w:sz w:val="16"/>
              </w:rPr>
              <w:t>SDCC</w:t>
            </w:r>
          </w:p>
        </w:tc>
        <w:tc>
          <w:tcPr>
            <w:tcW w:type="dxa" w:w="1080"/>
            <w:shd w:fill="C6EFCE" w:val="clear"/>
          </w:tcPr>
          <w:p>
            <w:r>
              <w:rPr>
                <w:sz w:val="16"/>
              </w:rPr>
              <w:t>SERVICES PUBLICS</w:t>
            </w:r>
          </w:p>
        </w:tc>
        <w:tc>
          <w:tcPr>
            <w:tcW w:type="dxa" w:w="1080"/>
            <w:shd w:fill="C6EFCE" w:val="clear"/>
          </w:tcPr>
          <w:p>
            <w:r>
              <w:rPr>
                <w:sz w:val="16"/>
              </w:rPr>
              <w:t>13,500</w:t>
            </w:r>
          </w:p>
        </w:tc>
        <w:tc>
          <w:tcPr>
            <w:tcW w:type="dxa" w:w="1080"/>
            <w:shd w:fill="C6EFCE" w:val="clear"/>
          </w:tcPr>
          <w:p>
            <w:r>
              <w:rPr>
                <w:b/>
                <w:sz w:val="16"/>
              </w:rPr>
              <w:t>70/100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21</w:t>
            </w:r>
          </w:p>
        </w:tc>
        <w:tc>
          <w:tcPr>
            <w:tcW w:type="dxa" w:w="1080"/>
            <w:shd w:fill="C6EFCE" w:val="clear"/>
          </w:tcPr>
          <w:p>
            <w:r>
              <w:rPr>
                <w:sz w:val="16"/>
              </w:rPr>
              <w:t>SGBC</w:t>
            </w:r>
          </w:p>
        </w:tc>
        <w:tc>
          <w:tcPr>
            <w:tcW w:type="dxa" w:w="1080"/>
            <w:shd w:fill="C6EFCE" w:val="clear"/>
          </w:tcPr>
          <w:p>
            <w:r>
              <w:rPr>
                <w:sz w:val="16"/>
              </w:rPr>
              <w:t>SERVICES FINANCIER</w:t>
            </w:r>
          </w:p>
        </w:tc>
        <w:tc>
          <w:tcPr>
            <w:tcW w:type="dxa" w:w="1080"/>
            <w:shd w:fill="C6EFCE" w:val="clear"/>
          </w:tcPr>
          <w:p>
            <w:r>
              <w:rPr>
                <w:sz w:val="16"/>
              </w:rPr>
              <w:t>38,500</w:t>
            </w:r>
          </w:p>
        </w:tc>
        <w:tc>
          <w:tcPr>
            <w:tcW w:type="dxa" w:w="1080"/>
            <w:shd w:fill="C6EFCE" w:val="clear"/>
          </w:tcPr>
          <w:p>
            <w:r>
              <w:rPr>
                <w:b/>
                <w:sz w:val="16"/>
              </w:rPr>
              <w:t>70/100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 FORT</w:t>
            </w:r>
          </w:p>
        </w:tc>
      </w:tr>
      <w:tr>
        <w:tc>
          <w:tcPr>
            <w:tcW w:type="dxa" w:w="1080"/>
            <w:shd w:fill="C6EFCE" w:val="clear"/>
          </w:tcPr>
          <w:p>
            <w:r>
              <w:rPr>
                <w:sz w:val="16"/>
              </w:rPr>
              <w:t>22</w:t>
            </w:r>
          </w:p>
        </w:tc>
        <w:tc>
          <w:tcPr>
            <w:tcW w:type="dxa" w:w="1080"/>
            <w:shd w:fill="C6EFCE" w:val="clear"/>
          </w:tcPr>
          <w:p>
            <w:r>
              <w:rPr>
                <w:sz w:val="16"/>
              </w:rPr>
              <w:t>SICC</w:t>
            </w:r>
          </w:p>
        </w:tc>
        <w:tc>
          <w:tcPr>
            <w:tcW w:type="dxa" w:w="1080"/>
            <w:shd w:fill="C6EFCE" w:val="clear"/>
          </w:tcPr>
          <w:p>
            <w:r>
              <w:rPr>
                <w:sz w:val="16"/>
              </w:rPr>
              <w:t>CONSOMMATION DE BA</w:t>
            </w:r>
          </w:p>
        </w:tc>
        <w:tc>
          <w:tcPr>
            <w:tcW w:type="dxa" w:w="1080"/>
            <w:shd w:fill="C6EFCE" w:val="clear"/>
          </w:tcPr>
          <w:p>
            <w:r>
              <w:rPr>
                <w:sz w:val="16"/>
              </w:rPr>
              <w:t>7,800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NEIC</w:t>
            </w:r>
          </w:p>
        </w:tc>
        <w:tc>
          <w:tcPr>
            <w:tcW w:type="dxa" w:w="1080"/>
            <w:shd w:fill="EBF5FB" w:val="clear"/>
          </w:tcPr>
          <w:p>
            <w:r>
              <w:rPr>
                <w:sz w:val="16"/>
              </w:rPr>
              <w:t>CONSOMMATION DISCR</w:t>
            </w:r>
          </w:p>
        </w:tc>
        <w:tc>
          <w:tcPr>
            <w:tcW w:type="dxa" w:w="1080"/>
            <w:shd w:fill="EBF5FB" w:val="clear"/>
          </w:tcPr>
          <w:p>
            <w:r>
              <w:rPr>
                <w:sz w:val="16"/>
              </w:rPr>
              <w:t>3,000</w:t>
            </w:r>
          </w:p>
        </w:tc>
        <w:tc>
          <w:tcPr>
            <w:tcW w:type="dxa" w:w="1080"/>
            <w:shd w:fill="EBF5FB" w:val="clear"/>
          </w:tcPr>
          <w:p>
            <w:r>
              <w:rPr>
                <w:b/>
                <w:sz w:val="16"/>
              </w:rPr>
              <w:t>69/100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BOAN</w:t>
            </w:r>
          </w:p>
        </w:tc>
        <w:tc>
          <w:tcPr>
            <w:tcW w:type="dxa" w:w="1080"/>
            <w:shd w:fill="EBF5FB" w:val="clear"/>
          </w:tcPr>
          <w:p>
            <w:r>
              <w:rPr>
                <w:sz w:val="16"/>
              </w:rPr>
              <w:t>SERVICES FINANCIER</w:t>
            </w:r>
          </w:p>
        </w:tc>
        <w:tc>
          <w:tcPr>
            <w:tcW w:type="dxa" w:w="1080"/>
            <w:shd w:fill="EBF5FB" w:val="clear"/>
          </w:tcPr>
          <w:p>
            <w:r>
              <w:rPr>
                <w:sz w:val="16"/>
              </w:rPr>
              <w:t>5,435</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ONTBF</w:t>
            </w:r>
          </w:p>
        </w:tc>
        <w:tc>
          <w:tcPr>
            <w:tcW w:type="dxa" w:w="1080"/>
            <w:shd w:fill="EBF5FB" w:val="clear"/>
          </w:tcPr>
          <w:p>
            <w:r>
              <w:rPr>
                <w:sz w:val="16"/>
              </w:rPr>
              <w:t>TELECOMMUNICATIONS</w:t>
            </w:r>
          </w:p>
        </w:tc>
        <w:tc>
          <w:tcPr>
            <w:tcW w:type="dxa" w:w="1080"/>
            <w:shd w:fill="EBF5FB" w:val="clear"/>
          </w:tcPr>
          <w:p>
            <w:r>
              <w:rPr>
                <w:sz w:val="16"/>
              </w:rPr>
              <w:t>2,920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SLBC</w:t>
            </w:r>
          </w:p>
        </w:tc>
        <w:tc>
          <w:tcPr>
            <w:tcW w:type="dxa" w:w="1080"/>
            <w:shd w:fill="EBF5FB" w:val="clear"/>
          </w:tcPr>
          <w:p>
            <w:r>
              <w:rPr>
                <w:sz w:val="16"/>
              </w:rPr>
              <w:t>CONSOMMATION DE BA</w:t>
            </w:r>
          </w:p>
        </w:tc>
        <w:tc>
          <w:tcPr>
            <w:tcW w:type="dxa" w:w="1080"/>
            <w:shd w:fill="EBF5FB" w:val="clear"/>
          </w:tcPr>
          <w:p>
            <w:r>
              <w:rPr>
                <w:sz w:val="16"/>
              </w:rPr>
              <w:t>37,990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8,875</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32,680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BOAM</w:t>
            </w:r>
          </w:p>
        </w:tc>
        <w:tc>
          <w:tcPr>
            <w:tcW w:type="dxa" w:w="1080"/>
            <w:shd w:fill="EBF5FB" w:val="clear"/>
          </w:tcPr>
          <w:p>
            <w:r>
              <w:rPr>
                <w:sz w:val="16"/>
              </w:rPr>
              <w:t>SERVICES FINANCIER</w:t>
            </w:r>
          </w:p>
        </w:tc>
        <w:tc>
          <w:tcPr>
            <w:tcW w:type="dxa" w:w="1080"/>
            <w:shd w:fill="EBF5FB" w:val="clear"/>
          </w:tcPr>
          <w:p>
            <w:r>
              <w:rPr>
                <w:sz w:val="16"/>
              </w:rPr>
              <w:t>6,490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FTSC</w:t>
            </w:r>
          </w:p>
        </w:tc>
        <w:tc>
          <w:tcPr>
            <w:tcW w:type="dxa" w:w="1080"/>
            <w:shd w:fill="EBF5FB" w:val="clear"/>
          </w:tcPr>
          <w:p>
            <w:r>
              <w:rPr>
                <w:sz w:val="16"/>
              </w:rPr>
              <w:t>INDUSTRIELS</w:t>
            </w:r>
          </w:p>
        </w:tc>
        <w:tc>
          <w:tcPr>
            <w:tcW w:type="dxa" w:w="1080"/>
            <w:shd w:fill="EBF5FB" w:val="clear"/>
          </w:tcPr>
          <w:p>
            <w:r>
              <w:rPr>
                <w:sz w:val="16"/>
              </w:rPr>
              <w:t>2,155</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ORGT</w:t>
            </w:r>
          </w:p>
        </w:tc>
        <w:tc>
          <w:tcPr>
            <w:tcW w:type="dxa" w:w="1080"/>
            <w:shd w:fill="EBF5FB" w:val="clear"/>
          </w:tcPr>
          <w:p>
            <w:r>
              <w:rPr>
                <w:sz w:val="16"/>
              </w:rPr>
              <w:t>SERVICES FINANCIER</w:t>
            </w:r>
          </w:p>
        </w:tc>
        <w:tc>
          <w:tcPr>
            <w:tcW w:type="dxa" w:w="1080"/>
            <w:shd w:fill="EBF5FB" w:val="clear"/>
          </w:tcPr>
          <w:p>
            <w:r>
              <w:rPr>
                <w:sz w:val="16"/>
              </w:rPr>
              <w:t>3,200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SIBC</w:t>
            </w:r>
          </w:p>
        </w:tc>
        <w:tc>
          <w:tcPr>
            <w:tcW w:type="dxa" w:w="1080"/>
            <w:shd w:fill="EBF5FB" w:val="clear"/>
          </w:tcPr>
          <w:p>
            <w:r>
              <w:rPr>
                <w:sz w:val="16"/>
              </w:rPr>
              <w:t>SERVICES FINANCIER</w:t>
            </w:r>
          </w:p>
        </w:tc>
        <w:tc>
          <w:tcPr>
            <w:tcW w:type="dxa" w:w="1080"/>
            <w:shd w:fill="EBF5FB" w:val="clear"/>
          </w:tcPr>
          <w:p>
            <w:r>
              <w:rPr>
                <w:sz w:val="16"/>
              </w:rPr>
              <w:t>9,300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CABC</w:t>
            </w:r>
          </w:p>
        </w:tc>
        <w:tc>
          <w:tcPr>
            <w:tcW w:type="dxa" w:w="1080"/>
            <w:shd w:fill="EBF5FB" w:val="clear"/>
          </w:tcPr>
          <w:p>
            <w:r>
              <w:rPr>
                <w:sz w:val="16"/>
              </w:rPr>
              <w:t>INDUSTRIELS</w:t>
            </w:r>
          </w:p>
        </w:tc>
        <w:tc>
          <w:tcPr>
            <w:tcW w:type="dxa" w:w="1080"/>
            <w:shd w:fill="EBF5FB" w:val="clear"/>
          </w:tcPr>
          <w:p>
            <w:r>
              <w:rPr>
                <w:sz w:val="16"/>
              </w:rPr>
              <w:t>3,550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69</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NTLC</w:t>
            </w:r>
          </w:p>
        </w:tc>
        <w:tc>
          <w:tcPr>
            <w:tcW w:type="dxa" w:w="1080"/>
            <w:shd w:fill="EBF5FB" w:val="clear"/>
          </w:tcPr>
          <w:p>
            <w:r>
              <w:rPr>
                <w:sz w:val="16"/>
              </w:rPr>
              <w:t>CONSOMMATION DE BA</w:t>
            </w:r>
          </w:p>
        </w:tc>
        <w:tc>
          <w:tcPr>
            <w:tcW w:type="dxa" w:w="1080"/>
            <w:shd w:fill="EBF5FB" w:val="clear"/>
          </w:tcPr>
          <w:p>
            <w:r>
              <w:rPr>
                <w:sz w:val="16"/>
              </w:rPr>
              <w:t>16,535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PALC</w:t>
            </w:r>
          </w:p>
        </w:tc>
        <w:tc>
          <w:tcPr>
            <w:tcW w:type="dxa" w:w="1080"/>
            <w:shd w:fill="EBF5FB" w:val="clear"/>
          </w:tcPr>
          <w:p>
            <w:r>
              <w:rPr>
                <w:sz w:val="16"/>
              </w:rPr>
              <w:t>CONSOMMATION DE BA</w:t>
            </w:r>
          </w:p>
        </w:tc>
        <w:tc>
          <w:tcPr>
            <w:tcW w:type="dxa" w:w="1080"/>
            <w:shd w:fill="EBF5FB" w:val="clear"/>
          </w:tcPr>
          <w:p>
            <w:r>
              <w:rPr>
                <w:sz w:val="16"/>
              </w:rPr>
              <w:t>9,200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SHEC</w:t>
            </w:r>
          </w:p>
        </w:tc>
        <w:tc>
          <w:tcPr>
            <w:tcW w:type="dxa" w:w="1080"/>
            <w:shd w:fill="EBF5FB" w:val="clear"/>
          </w:tcPr>
          <w:p>
            <w:r>
              <w:rPr>
                <w:sz w:val="16"/>
              </w:rPr>
              <w:t>ENERGIE</w:t>
            </w:r>
          </w:p>
        </w:tc>
        <w:tc>
          <w:tcPr>
            <w:tcW w:type="dxa" w:w="1080"/>
            <w:shd w:fill="EBF5FB" w:val="clear"/>
          </w:tcPr>
          <w:p>
            <w:r>
              <w:rPr>
                <w:sz w:val="16"/>
              </w:rPr>
              <w:t>2,400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STAC</w:t>
            </w:r>
          </w:p>
        </w:tc>
        <w:tc>
          <w:tcPr>
            <w:tcW w:type="dxa" w:w="1080"/>
            <w:shd w:fill="EBF5FB" w:val="clear"/>
          </w:tcPr>
          <w:p>
            <w:r>
              <w:rPr>
                <w:sz w:val="16"/>
              </w:rPr>
              <w:t>INDUSTRIELS</w:t>
            </w:r>
          </w:p>
        </w:tc>
        <w:tc>
          <w:tcPr>
            <w:tcW w:type="dxa" w:w="1080"/>
            <w:shd w:fill="EBF5FB" w:val="clear"/>
          </w:tcPr>
          <w:p>
            <w:r>
              <w:rPr>
                <w:sz w:val="16"/>
              </w:rPr>
              <w:t>2,690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TTLS</w:t>
            </w:r>
          </w:p>
        </w:tc>
        <w:tc>
          <w:tcPr>
            <w:tcW w:type="dxa" w:w="1080"/>
            <w:shd w:fill="EBF5FB" w:val="clear"/>
          </w:tcPr>
          <w:p>
            <w:r>
              <w:rPr>
                <w:sz w:val="16"/>
              </w:rPr>
              <w:t>ENERGIE</w:t>
            </w:r>
          </w:p>
        </w:tc>
        <w:tc>
          <w:tcPr>
            <w:tcW w:type="dxa" w:w="1080"/>
            <w:shd w:fill="EBF5FB" w:val="clear"/>
          </w:tcPr>
          <w:p>
            <w:r>
              <w:rPr>
                <w:sz w:val="16"/>
              </w:rPr>
              <w:t>3,850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CIEC</w:t>
            </w:r>
          </w:p>
        </w:tc>
        <w:tc>
          <w:tcPr>
            <w:tcW w:type="dxa" w:w="1080"/>
            <w:shd w:fill="EBF5FB" w:val="clear"/>
          </w:tcPr>
          <w:p>
            <w:r>
              <w:rPr>
                <w:sz w:val="16"/>
              </w:rPr>
              <w:t>SERVICES PUBLICS</w:t>
            </w:r>
          </w:p>
        </w:tc>
        <w:tc>
          <w:tcPr>
            <w:tcW w:type="dxa" w:w="1080"/>
            <w:shd w:fill="EBF5FB" w:val="clear"/>
          </w:tcPr>
          <w:p>
            <w:r>
              <w:rPr>
                <w:sz w:val="16"/>
              </w:rPr>
              <w:t>6,700</w:t>
            </w:r>
          </w:p>
        </w:tc>
        <w:tc>
          <w:tcPr>
            <w:tcW w:type="dxa" w:w="1080"/>
            <w:shd w:fill="EBF5FB" w:val="clear"/>
          </w:tcPr>
          <w:p>
            <w:r>
              <w:rPr>
                <w:b/>
                <w:sz w:val="16"/>
              </w:rPr>
              <w:t>64/100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NSBC</w:t>
            </w:r>
          </w:p>
        </w:tc>
        <w:tc>
          <w:tcPr>
            <w:tcW w:type="dxa" w:w="1080"/>
            <w:shd w:fill="EBF5FB" w:val="clear"/>
          </w:tcPr>
          <w:p>
            <w:r>
              <w:rPr>
                <w:sz w:val="16"/>
              </w:rPr>
              <w:t>SERVICES FINANCIER</w:t>
            </w:r>
          </w:p>
        </w:tc>
        <w:tc>
          <w:tcPr>
            <w:tcW w:type="dxa" w:w="1080"/>
            <w:shd w:fill="EBF5FB" w:val="clear"/>
          </w:tcPr>
          <w:p>
            <w:r>
              <w:rPr>
                <w:sz w:val="16"/>
              </w:rPr>
              <w:t>23,000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SAFC</w:t>
            </w:r>
          </w:p>
        </w:tc>
        <w:tc>
          <w:tcPr>
            <w:tcW w:type="dxa" w:w="1080"/>
            <w:shd w:fill="EBF5FB" w:val="clear"/>
          </w:tcPr>
          <w:p>
            <w:r>
              <w:rPr>
                <w:sz w:val="16"/>
              </w:rPr>
              <w:t>SERVICES FINANCIER</w:t>
            </w:r>
          </w:p>
        </w:tc>
        <w:tc>
          <w:tcPr>
            <w:tcW w:type="dxa" w:w="1080"/>
            <w:shd w:fill="EBF5FB" w:val="clear"/>
          </w:tcPr>
          <w:p>
            <w:r>
              <w:rPr>
                <w:sz w:val="16"/>
              </w:rPr>
              <w:t>5,800</w:t>
            </w:r>
          </w:p>
        </w:tc>
        <w:tc>
          <w:tcPr>
            <w:tcW w:type="dxa" w:w="1080"/>
            <w:shd w:fill="EBF5FB" w:val="clear"/>
          </w:tcPr>
          <w:p>
            <w:r>
              <w:rPr>
                <w:b/>
                <w:sz w:val="16"/>
              </w:rPr>
              <w:t>64/100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4,400</w:t>
            </w:r>
          </w:p>
        </w:tc>
        <w:tc>
          <w:tcPr>
            <w:tcW w:type="dxa" w:w="1080"/>
            <w:shd w:fill="EBF5FB" w:val="clear"/>
          </w:tcPr>
          <w:p>
            <w:r>
              <w:rPr>
                <w:b/>
                <w:sz w:val="16"/>
              </w:rPr>
              <w:t>63/100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 FORT</w:t>
            </w:r>
          </w:p>
        </w:tc>
      </w:tr>
      <w:tr>
        <w:tc>
          <w:tcPr>
            <w:tcW w:type="dxa" w:w="1080"/>
            <w:shd w:fill="EBF5FB" w:val="clear"/>
          </w:tcPr>
          <w:p>
            <w:r>
              <w:rPr>
                <w:sz w:val="16"/>
              </w:rPr>
              <w:t>44</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4,050</w:t>
            </w:r>
          </w:p>
        </w:tc>
        <w:tc>
          <w:tcPr>
            <w:tcW w:type="dxa" w:w="1080"/>
            <w:shd w:fill="EBF5FB" w:val="clear"/>
          </w:tcPr>
          <w:p>
            <w:r>
              <w:rPr>
                <w:b/>
                <w:sz w:val="16"/>
              </w:rPr>
              <w:t>62/100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22,005</w:t>
            </w:r>
          </w:p>
        </w:tc>
        <w:tc>
          <w:tcPr>
            <w:tcW w:type="dxa" w:w="1080"/>
            <w:shd w:fill="EBF5FB" w:val="clear"/>
          </w:tcPr>
          <w:p>
            <w:r>
              <w:rPr>
                <w:b/>
                <w:sz w:val="16"/>
              </w:rPr>
              <w:t>61/100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46</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1,500</w:t>
            </w:r>
          </w:p>
        </w:tc>
        <w:tc>
          <w:tcPr>
            <w:tcW w:type="dxa" w:w="1080"/>
            <w:shd w:fill="EBF5FB" w:val="clear"/>
          </w:tcPr>
          <w:p>
            <w:r>
              <w:rPr>
                <w:b/>
                <w:sz w:val="16"/>
              </w:rPr>
              <w:t>60/100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47</w:t>
            </w:r>
          </w:p>
        </w:tc>
        <w:tc>
          <w:tcPr>
            <w:tcW w:type="dxa" w:w="1080"/>
            <w:shd w:fill="EBF5FB" w:val="clear"/>
          </w:tcPr>
          <w:p>
            <w:r>
              <w:rPr>
                <w:sz w:val="16"/>
              </w:rPr>
              <w:t>UNLC</w:t>
            </w:r>
          </w:p>
        </w:tc>
        <w:tc>
          <w:tcPr>
            <w:tcW w:type="dxa" w:w="1080"/>
            <w:shd w:fill="EBF5FB" w:val="clear"/>
          </w:tcPr>
          <w:p>
            <w:r>
              <w:rPr>
                <w:sz w:val="16"/>
              </w:rPr>
              <w:t>CONSOMMATION DE BA</w:t>
            </w:r>
          </w:p>
        </w:tc>
        <w:tc>
          <w:tcPr>
            <w:tcW w:type="dxa" w:w="1080"/>
            <w:shd w:fill="EBF5FB" w:val="clear"/>
          </w:tcPr>
          <w:p>
            <w:r>
              <w:rPr>
                <w:sz w:val="16"/>
              </w:rPr>
              <w:t>54,000</w:t>
            </w:r>
          </w:p>
        </w:tc>
        <w:tc>
          <w:tcPr>
            <w:tcW w:type="dxa" w:w="1080"/>
            <w:shd w:fill="EBF5FB" w:val="clear"/>
          </w:tcPr>
          <w:p>
            <w:r>
              <w:rPr>
                <w:b/>
                <w:sz w:val="16"/>
              </w:rPr>
              <w:t>55/100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UNXC</w:t>
            </w:r>
          </w:p>
        </w:tc>
        <w:tc>
          <w:tcPr>
            <w:tcW w:type="dxa" w:w="1728"/>
            <w:shd w:fill="DEEAF1" w:val="clear"/>
          </w:tcPr>
          <w:p>
            <w:r>
              <w:rPr>
                <w:sz w:val="17"/>
              </w:rPr>
              <w:t>UNXC - UNIWAX COTE D'IVOIRE</w:t>
            </w:r>
          </w:p>
        </w:tc>
        <w:tc>
          <w:tcPr>
            <w:tcW w:type="dxa" w:w="1728"/>
            <w:shd w:fill="DEEAF1" w:val="clear"/>
          </w:tcPr>
          <w:p>
            <w:r>
              <w:rPr>
                <w:sz w:val="17"/>
              </w:rPr>
              <w:t>2,425</w:t>
            </w:r>
          </w:p>
        </w:tc>
        <w:tc>
          <w:tcPr>
            <w:tcW w:type="dxa" w:w="1728"/>
            <w:shd w:fill="DEEAF1" w:val="clear"/>
          </w:tcPr>
          <w:p>
            <w:r>
              <w:rPr>
                <w:sz w:val="17"/>
              </w:rPr>
              <w:t>75/100</w:t>
            </w:r>
          </w:p>
        </w:tc>
        <w:tc>
          <w:tcPr>
            <w:tcW w:type="dxa" w:w="1728"/>
            <w:shd w:fill="DEEAF1" w:val="clear"/>
          </w:tcPr>
          <w:p>
            <w:r>
              <w:rPr>
                <w:sz w:val="17"/>
              </w:rPr>
              <w:t>10.6%</w:t>
            </w:r>
          </w:p>
        </w:tc>
      </w:tr>
      <w:tr>
        <w:tc>
          <w:tcPr>
            <w:tcW w:type="dxa" w:w="1728"/>
            <w:shd w:fill="DEEAF1" w:val="clear"/>
          </w:tcPr>
          <w:p>
            <w:r>
              <w:rPr>
                <w:sz w:val="17"/>
              </w:rPr>
              <w:t>BNBC</w:t>
            </w:r>
          </w:p>
        </w:tc>
        <w:tc>
          <w:tcPr>
            <w:tcW w:type="dxa" w:w="1728"/>
            <w:shd w:fill="DEEAF1" w:val="clear"/>
          </w:tcPr>
          <w:p>
            <w:r>
              <w:rPr>
                <w:sz w:val="17"/>
              </w:rPr>
              <w:t>BNBC - BERNABE CI</w:t>
            </w:r>
          </w:p>
        </w:tc>
        <w:tc>
          <w:tcPr>
            <w:tcW w:type="dxa" w:w="1728"/>
            <w:shd w:fill="DEEAF1" w:val="clear"/>
          </w:tcPr>
          <w:p>
            <w:r>
              <w:rPr>
                <w:sz w:val="17"/>
              </w:rPr>
              <w:t>2,200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BOAS</w:t>
            </w:r>
          </w:p>
        </w:tc>
        <w:tc>
          <w:tcPr>
            <w:tcW w:type="dxa" w:w="1728"/>
            <w:shd w:fill="DEEAF1" w:val="clear"/>
          </w:tcPr>
          <w:p>
            <w:r>
              <w:rPr>
                <w:sz w:val="17"/>
              </w:rPr>
              <w:t>BANK OF AFRICA SENEGAL</w:t>
            </w:r>
          </w:p>
        </w:tc>
        <w:tc>
          <w:tcPr>
            <w:tcW w:type="dxa" w:w="1728"/>
            <w:shd w:fill="DEEAF1" w:val="clear"/>
          </w:tcPr>
          <w:p>
            <w:r>
              <w:rPr>
                <w:sz w:val="17"/>
              </w:rPr>
              <w:t>8,300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ECOC</w:t>
            </w:r>
          </w:p>
        </w:tc>
        <w:tc>
          <w:tcPr>
            <w:tcW w:type="dxa" w:w="1728"/>
            <w:shd w:fill="DEEAF1" w:val="clear"/>
          </w:tcPr>
          <w:p>
            <w:r>
              <w:rPr>
                <w:sz w:val="17"/>
              </w:rPr>
              <w:t>ECOC - ECOBANK COTE D'IVOIRE</w:t>
            </w:r>
          </w:p>
        </w:tc>
        <w:tc>
          <w:tcPr>
            <w:tcW w:type="dxa" w:w="1728"/>
            <w:shd w:fill="DEEAF1" w:val="clear"/>
          </w:tcPr>
          <w:p>
            <w:r>
              <w:rPr>
                <w:sz w:val="17"/>
              </w:rPr>
              <w:t>17,500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SIVC</w:t>
            </w:r>
          </w:p>
        </w:tc>
        <w:tc>
          <w:tcPr>
            <w:tcW w:type="dxa" w:w="1728"/>
            <w:shd w:fill="DEEAF1" w:val="clear"/>
          </w:tcPr>
          <w:p>
            <w:r>
              <w:rPr>
                <w:sz w:val="17"/>
              </w:rPr>
              <w:t>SIVC - ERIUM CI (Ex AIR LIQU</w:t>
            </w:r>
          </w:p>
        </w:tc>
        <w:tc>
          <w:tcPr>
            <w:tcW w:type="dxa" w:w="1728"/>
            <w:shd w:fill="DEEAF1" w:val="clear"/>
          </w:tcPr>
          <w:p>
            <w:r>
              <w:rPr>
                <w:sz w:val="17"/>
              </w:rPr>
              <w:t>2,400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TTLC</w:t>
            </w:r>
          </w:p>
        </w:tc>
        <w:tc>
          <w:tcPr>
            <w:tcW w:type="dxa" w:w="1728"/>
            <w:shd w:fill="DEEAF1" w:val="clear"/>
          </w:tcPr>
          <w:p>
            <w:r>
              <w:rPr>
                <w:sz w:val="17"/>
              </w:rPr>
              <w:t>TTLC - TOTAL ENERGIES MARKET</w:t>
            </w:r>
          </w:p>
        </w:tc>
        <w:tc>
          <w:tcPr>
            <w:tcW w:type="dxa" w:w="1728"/>
            <w:shd w:fill="DEEAF1" w:val="clear"/>
          </w:tcPr>
          <w:p>
            <w:r>
              <w:rPr>
                <w:sz w:val="17"/>
              </w:rPr>
              <w:t>3,350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SGBC</w:t>
            </w:r>
          </w:p>
        </w:tc>
        <w:tc>
          <w:tcPr>
            <w:tcW w:type="dxa" w:w="1728"/>
            <w:shd w:fill="DEEAF1" w:val="clear"/>
          </w:tcPr>
          <w:p>
            <w:r>
              <w:rPr>
                <w:sz w:val="17"/>
              </w:rPr>
              <w:t>SGBC - SOCIETE GENERALE COTE</w:t>
            </w:r>
          </w:p>
        </w:tc>
        <w:tc>
          <w:tcPr>
            <w:tcW w:type="dxa" w:w="1728"/>
            <w:shd w:fill="DEEAF1" w:val="clear"/>
          </w:tcPr>
          <w:p>
            <w:r>
              <w:rPr>
                <w:sz w:val="17"/>
              </w:rPr>
              <w:t>38,500</w:t>
            </w:r>
          </w:p>
        </w:tc>
        <w:tc>
          <w:tcPr>
            <w:tcW w:type="dxa" w:w="1728"/>
            <w:shd w:fill="DEEAF1" w:val="clear"/>
          </w:tcPr>
          <w:p>
            <w:r>
              <w:rPr>
                <w:sz w:val="17"/>
              </w:rPr>
              <w:t>70/100</w:t>
            </w:r>
          </w:p>
        </w:tc>
        <w:tc>
          <w:tcPr>
            <w:tcW w:type="dxa" w:w="1728"/>
            <w:shd w:fill="DEEAF1" w:val="clear"/>
          </w:tcPr>
          <w:p>
            <w:r>
              <w:rPr>
                <w:sz w:val="17"/>
              </w:rPr>
              <w:t>10.6%</w:t>
            </w:r>
          </w:p>
        </w:tc>
      </w:tr>
      <w:tr>
        <w:tc>
          <w:tcPr>
            <w:tcW w:type="dxa" w:w="1728"/>
            <w:shd w:fill="DEEAF1" w:val="clear"/>
          </w:tcPr>
          <w:p>
            <w:r>
              <w:rPr>
                <w:sz w:val="17"/>
              </w:rPr>
              <w:t>ONTBF</w:t>
            </w:r>
          </w:p>
        </w:tc>
        <w:tc>
          <w:tcPr>
            <w:tcW w:type="dxa" w:w="1728"/>
            <w:shd w:fill="DEEAF1" w:val="clear"/>
          </w:tcPr>
          <w:p>
            <w:r>
              <w:rPr>
                <w:sz w:val="17"/>
              </w:rPr>
              <w:t>ONTBF - ONATEL BURKINA FASO</w:t>
            </w:r>
          </w:p>
        </w:tc>
        <w:tc>
          <w:tcPr>
            <w:tcW w:type="dxa" w:w="1728"/>
            <w:shd w:fill="DEEAF1" w:val="clear"/>
          </w:tcPr>
          <w:p>
            <w:r>
              <w:rPr>
                <w:sz w:val="17"/>
              </w:rPr>
              <w:t>2,920</w:t>
            </w:r>
          </w:p>
        </w:tc>
        <w:tc>
          <w:tcPr>
            <w:tcW w:type="dxa" w:w="1728"/>
            <w:shd w:fill="DEEAF1" w:val="clear"/>
          </w:tcPr>
          <w:p>
            <w:r>
              <w:rPr>
                <w:sz w:val="17"/>
              </w:rPr>
              <w:t>68/100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UNXC</w:t>
            </w:r>
          </w:p>
        </w:tc>
        <w:tc>
          <w:tcPr>
            <w:tcW w:type="dxa" w:w="1728"/>
            <w:shd w:fill="E2EFDA" w:val="clear"/>
          </w:tcPr>
          <w:p>
            <w:r>
              <w:rPr>
                <w:sz w:val="17"/>
              </w:rPr>
              <w:t>UNXC - UNIWAX COTE D'IVOIRE</w:t>
            </w:r>
          </w:p>
        </w:tc>
        <w:tc>
          <w:tcPr>
            <w:tcW w:type="dxa" w:w="1728"/>
            <w:shd w:fill="E2EFDA" w:val="clear"/>
          </w:tcPr>
          <w:p>
            <w:r>
              <w:rPr>
                <w:sz w:val="17"/>
              </w:rPr>
              <w:t>2,425</w:t>
            </w:r>
          </w:p>
        </w:tc>
        <w:tc>
          <w:tcPr>
            <w:tcW w:type="dxa" w:w="1728"/>
            <w:shd w:fill="E2EFDA" w:val="clear"/>
          </w:tcPr>
          <w:p>
            <w:r>
              <w:rPr>
                <w:sz w:val="17"/>
              </w:rPr>
              <w:t>75/100</w:t>
            </w:r>
          </w:p>
        </w:tc>
        <w:tc>
          <w:tcPr>
            <w:tcW w:type="dxa" w:w="1728"/>
            <w:shd w:fill="E2EFDA" w:val="clear"/>
          </w:tcPr>
          <w:p>
            <w:r>
              <w:rPr>
                <w:sz w:val="17"/>
              </w:rPr>
              <w:t>11.2%</w:t>
            </w:r>
          </w:p>
        </w:tc>
      </w:tr>
      <w:tr>
        <w:tc>
          <w:tcPr>
            <w:tcW w:type="dxa" w:w="1728"/>
            <w:shd w:fill="E2EFDA" w:val="clear"/>
          </w:tcPr>
          <w:p>
            <w:r>
              <w:rPr>
                <w:sz w:val="17"/>
              </w:rPr>
              <w:t>BICB</w:t>
            </w:r>
          </w:p>
        </w:tc>
        <w:tc>
          <w:tcPr>
            <w:tcW w:type="dxa" w:w="1728"/>
            <w:shd w:fill="E2EFDA" w:val="clear"/>
          </w:tcPr>
          <w:p>
            <w:r>
              <w:rPr>
                <w:sz w:val="17"/>
              </w:rPr>
              <w:t>BIIC BN - Banque internation</w:t>
            </w:r>
          </w:p>
        </w:tc>
        <w:tc>
          <w:tcPr>
            <w:tcW w:type="dxa" w:w="1728"/>
            <w:shd w:fill="E2EFDA" w:val="clear"/>
          </w:tcPr>
          <w:p>
            <w:r>
              <w:rPr>
                <w:sz w:val="17"/>
              </w:rPr>
              <w:t>10,110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BOAC</w:t>
            </w:r>
          </w:p>
        </w:tc>
        <w:tc>
          <w:tcPr>
            <w:tcW w:type="dxa" w:w="1728"/>
            <w:shd w:fill="E2EFDA" w:val="clear"/>
          </w:tcPr>
          <w:p>
            <w:r>
              <w:rPr>
                <w:sz w:val="17"/>
              </w:rPr>
              <w:t>BANK OF AFRICA COTE D'IVOIRE</w:t>
            </w:r>
          </w:p>
        </w:tc>
        <w:tc>
          <w:tcPr>
            <w:tcW w:type="dxa" w:w="1728"/>
            <w:shd w:fill="E2EFDA" w:val="clear"/>
          </w:tcPr>
          <w:p>
            <w:r>
              <w:rPr>
                <w:sz w:val="17"/>
              </w:rPr>
              <w:t>12,500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SCRC</w:t>
            </w:r>
          </w:p>
        </w:tc>
        <w:tc>
          <w:tcPr>
            <w:tcW w:type="dxa" w:w="1728"/>
            <w:shd w:fill="E2EFDA" w:val="clear"/>
          </w:tcPr>
          <w:p>
            <w:r>
              <w:rPr>
                <w:sz w:val="17"/>
              </w:rPr>
              <w:t>SCRC - SUCRIVOIRE</w:t>
            </w:r>
          </w:p>
        </w:tc>
        <w:tc>
          <w:tcPr>
            <w:tcW w:type="dxa" w:w="1728"/>
            <w:shd w:fill="E2EFDA" w:val="clear"/>
          </w:tcPr>
          <w:p>
            <w:r>
              <w:rPr>
                <w:sz w:val="17"/>
              </w:rPr>
              <w:t>3,570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SNTS</w:t>
            </w:r>
          </w:p>
        </w:tc>
        <w:tc>
          <w:tcPr>
            <w:tcW w:type="dxa" w:w="1728"/>
            <w:shd w:fill="E2EFDA" w:val="clear"/>
          </w:tcPr>
          <w:p>
            <w:r>
              <w:rPr>
                <w:sz w:val="17"/>
              </w:rPr>
              <w:t>SNTS - SONATEL SN</w:t>
            </w:r>
          </w:p>
        </w:tc>
        <w:tc>
          <w:tcPr>
            <w:tcW w:type="dxa" w:w="1728"/>
            <w:shd w:fill="E2EFDA" w:val="clear"/>
          </w:tcPr>
          <w:p>
            <w:r>
              <w:rPr>
                <w:sz w:val="17"/>
              </w:rPr>
              <w:t>38,000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BNBC</w:t>
            </w:r>
          </w:p>
        </w:tc>
        <w:tc>
          <w:tcPr>
            <w:tcW w:type="dxa" w:w="1728"/>
            <w:shd w:fill="E2EFDA" w:val="clear"/>
          </w:tcPr>
          <w:p>
            <w:r>
              <w:rPr>
                <w:sz w:val="17"/>
              </w:rPr>
              <w:t>BNBC - BERNABE CI</w:t>
            </w:r>
          </w:p>
        </w:tc>
        <w:tc>
          <w:tcPr>
            <w:tcW w:type="dxa" w:w="1728"/>
            <w:shd w:fill="E2EFDA" w:val="clear"/>
          </w:tcPr>
          <w:p>
            <w:r>
              <w:rPr>
                <w:sz w:val="17"/>
              </w:rPr>
              <w:t>2,200</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BOAS</w:t>
            </w:r>
          </w:p>
        </w:tc>
        <w:tc>
          <w:tcPr>
            <w:tcW w:type="dxa" w:w="1728"/>
            <w:shd w:fill="E2EFDA" w:val="clear"/>
          </w:tcPr>
          <w:p>
            <w:r>
              <w:rPr>
                <w:sz w:val="17"/>
              </w:rPr>
              <w:t>BANK OF AFRICA SENEGAL</w:t>
            </w:r>
          </w:p>
        </w:tc>
        <w:tc>
          <w:tcPr>
            <w:tcW w:type="dxa" w:w="1728"/>
            <w:shd w:fill="E2EFDA" w:val="clear"/>
          </w:tcPr>
          <w:p>
            <w:r>
              <w:rPr>
                <w:sz w:val="17"/>
              </w:rPr>
              <w:t>8,300</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ECOC</w:t>
            </w:r>
          </w:p>
        </w:tc>
        <w:tc>
          <w:tcPr>
            <w:tcW w:type="dxa" w:w="1728"/>
            <w:shd w:fill="E2EFDA" w:val="clear"/>
          </w:tcPr>
          <w:p>
            <w:r>
              <w:rPr>
                <w:sz w:val="17"/>
              </w:rPr>
              <w:t>ECOC - ECOBANK COTE D'IVOIRE</w:t>
            </w:r>
          </w:p>
        </w:tc>
        <w:tc>
          <w:tcPr>
            <w:tcW w:type="dxa" w:w="1728"/>
            <w:shd w:fill="E2EFDA" w:val="clear"/>
          </w:tcPr>
          <w:p>
            <w:r>
              <w:rPr>
                <w:sz w:val="17"/>
              </w:rPr>
              <w:t>17,500</w:t>
            </w:r>
          </w:p>
        </w:tc>
        <w:tc>
          <w:tcPr>
            <w:tcW w:type="dxa" w:w="1728"/>
            <w:shd w:fill="E2EFDA" w:val="clear"/>
          </w:tcPr>
          <w:p>
            <w:r>
              <w:rPr>
                <w:sz w:val="17"/>
              </w:rPr>
              <w:t>73/100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UNXC</w:t>
            </w:r>
          </w:p>
        </w:tc>
        <w:tc>
          <w:tcPr>
            <w:tcW w:type="dxa" w:w="1728"/>
            <w:shd w:fill="FCE4D6" w:val="clear"/>
          </w:tcPr>
          <w:p>
            <w:r>
              <w:rPr>
                <w:sz w:val="17"/>
              </w:rPr>
              <w:t>UNXC - UNIWAX COTE D'IVOIRE</w:t>
            </w:r>
          </w:p>
        </w:tc>
        <w:tc>
          <w:tcPr>
            <w:tcW w:type="dxa" w:w="1728"/>
            <w:shd w:fill="FCE4D6" w:val="clear"/>
          </w:tcPr>
          <w:p>
            <w:r>
              <w:rPr>
                <w:sz w:val="17"/>
              </w:rPr>
              <w:t>2,425</w:t>
            </w:r>
          </w:p>
        </w:tc>
        <w:tc>
          <w:tcPr>
            <w:tcW w:type="dxa" w:w="1728"/>
            <w:shd w:fill="FCE4D6" w:val="clear"/>
          </w:tcPr>
          <w:p>
            <w:r>
              <w:rPr>
                <w:sz w:val="17"/>
              </w:rPr>
              <w:t>75/100</w:t>
            </w:r>
          </w:p>
        </w:tc>
        <w:tc>
          <w:tcPr>
            <w:tcW w:type="dxa" w:w="1728"/>
            <w:shd w:fill="FCE4D6" w:val="clear"/>
          </w:tcPr>
          <w:p>
            <w:r>
              <w:rPr>
                <w:sz w:val="17"/>
              </w:rPr>
              <w:t>11.9%</w:t>
            </w:r>
          </w:p>
        </w:tc>
      </w:tr>
      <w:tr>
        <w:tc>
          <w:tcPr>
            <w:tcW w:type="dxa" w:w="1728"/>
            <w:shd w:fill="FCE4D6" w:val="clear"/>
          </w:tcPr>
          <w:p>
            <w:r>
              <w:rPr>
                <w:sz w:val="17"/>
              </w:rPr>
              <w:t>BICB</w:t>
            </w:r>
          </w:p>
        </w:tc>
        <w:tc>
          <w:tcPr>
            <w:tcW w:type="dxa" w:w="1728"/>
            <w:shd w:fill="FCE4D6" w:val="clear"/>
          </w:tcPr>
          <w:p>
            <w:r>
              <w:rPr>
                <w:sz w:val="17"/>
              </w:rPr>
              <w:t>BIIC BN - Banque internation</w:t>
            </w:r>
          </w:p>
        </w:tc>
        <w:tc>
          <w:tcPr>
            <w:tcW w:type="dxa" w:w="1728"/>
            <w:shd w:fill="FCE4D6" w:val="clear"/>
          </w:tcPr>
          <w:p>
            <w:r>
              <w:rPr>
                <w:sz w:val="17"/>
              </w:rPr>
              <w:t>10,110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BOAC</w:t>
            </w:r>
          </w:p>
        </w:tc>
        <w:tc>
          <w:tcPr>
            <w:tcW w:type="dxa" w:w="1728"/>
            <w:shd w:fill="FCE4D6" w:val="clear"/>
          </w:tcPr>
          <w:p>
            <w:r>
              <w:rPr>
                <w:sz w:val="17"/>
              </w:rPr>
              <w:t>BANK OF AFRICA COTE D'IVOIRE</w:t>
            </w:r>
          </w:p>
        </w:tc>
        <w:tc>
          <w:tcPr>
            <w:tcW w:type="dxa" w:w="1728"/>
            <w:shd w:fill="FCE4D6" w:val="clear"/>
          </w:tcPr>
          <w:p>
            <w:r>
              <w:rPr>
                <w:sz w:val="17"/>
              </w:rPr>
              <w:t>12,500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SCRC</w:t>
            </w:r>
          </w:p>
        </w:tc>
        <w:tc>
          <w:tcPr>
            <w:tcW w:type="dxa" w:w="1728"/>
            <w:shd w:fill="FCE4D6" w:val="clear"/>
          </w:tcPr>
          <w:p>
            <w:r>
              <w:rPr>
                <w:sz w:val="17"/>
              </w:rPr>
              <w:t>SCRC - SUCRIVOIRE</w:t>
            </w:r>
          </w:p>
        </w:tc>
        <w:tc>
          <w:tcPr>
            <w:tcW w:type="dxa" w:w="1728"/>
            <w:shd w:fill="FCE4D6" w:val="clear"/>
          </w:tcPr>
          <w:p>
            <w:r>
              <w:rPr>
                <w:sz w:val="17"/>
              </w:rPr>
              <w:t>3,570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SNTS</w:t>
            </w:r>
          </w:p>
        </w:tc>
        <w:tc>
          <w:tcPr>
            <w:tcW w:type="dxa" w:w="1728"/>
            <w:shd w:fill="FCE4D6" w:val="clear"/>
          </w:tcPr>
          <w:p>
            <w:r>
              <w:rPr>
                <w:sz w:val="17"/>
              </w:rPr>
              <w:t>SNTS - SONATEL SN</w:t>
            </w:r>
          </w:p>
        </w:tc>
        <w:tc>
          <w:tcPr>
            <w:tcW w:type="dxa" w:w="1728"/>
            <w:shd w:fill="FCE4D6" w:val="clear"/>
          </w:tcPr>
          <w:p>
            <w:r>
              <w:rPr>
                <w:sz w:val="17"/>
              </w:rPr>
              <w:t>38,000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BNBC</w:t>
            </w:r>
          </w:p>
        </w:tc>
        <w:tc>
          <w:tcPr>
            <w:tcW w:type="dxa" w:w="1728"/>
            <w:shd w:fill="FCE4D6" w:val="clear"/>
          </w:tcPr>
          <w:p>
            <w:r>
              <w:rPr>
                <w:sz w:val="17"/>
              </w:rPr>
              <w:t>BNBC - BERNABE CI</w:t>
            </w:r>
          </w:p>
        </w:tc>
        <w:tc>
          <w:tcPr>
            <w:tcW w:type="dxa" w:w="1728"/>
            <w:shd w:fill="FCE4D6" w:val="clear"/>
          </w:tcPr>
          <w:p>
            <w:r>
              <w:rPr>
                <w:sz w:val="17"/>
              </w:rPr>
              <w:t>2,200</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BOAS</w:t>
            </w:r>
          </w:p>
        </w:tc>
        <w:tc>
          <w:tcPr>
            <w:tcW w:type="dxa" w:w="1728"/>
            <w:shd w:fill="FCE4D6" w:val="clear"/>
          </w:tcPr>
          <w:p>
            <w:r>
              <w:rPr>
                <w:sz w:val="17"/>
              </w:rPr>
              <w:t>BANK OF AFRICA SENEGAL</w:t>
            </w:r>
          </w:p>
        </w:tc>
        <w:tc>
          <w:tcPr>
            <w:tcW w:type="dxa" w:w="1728"/>
            <w:shd w:fill="FCE4D6" w:val="clear"/>
          </w:tcPr>
          <w:p>
            <w:r>
              <w:rPr>
                <w:sz w:val="17"/>
              </w:rPr>
              <w:t>8,300</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ECOC</w:t>
            </w:r>
          </w:p>
        </w:tc>
        <w:tc>
          <w:tcPr>
            <w:tcW w:type="dxa" w:w="1728"/>
            <w:shd w:fill="FCE4D6" w:val="clear"/>
          </w:tcPr>
          <w:p>
            <w:r>
              <w:rPr>
                <w:sz w:val="17"/>
              </w:rPr>
              <w:t>ECOC - ECOBANK COTE D'IVOIRE</w:t>
            </w:r>
          </w:p>
        </w:tc>
        <w:tc>
          <w:tcPr>
            <w:tcW w:type="dxa" w:w="1728"/>
            <w:shd w:fill="FCE4D6" w:val="clear"/>
          </w:tcPr>
          <w:p>
            <w:r>
              <w:rPr>
                <w:sz w:val="17"/>
              </w:rPr>
              <w:t>17,500</w:t>
            </w:r>
          </w:p>
        </w:tc>
        <w:tc>
          <w:tcPr>
            <w:tcW w:type="dxa" w:w="1728"/>
            <w:shd w:fill="FCE4D6" w:val="clear"/>
          </w:tcPr>
          <w:p>
            <w:r>
              <w:rPr>
                <w:sz w:val="17"/>
              </w:rPr>
              <w:t>73/100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BICB — BIIC BN - Banque internationale pour le commerce du benin</w:t>
      </w:r>
    </w:p>
    <w:p>
      <w:pPr>
        <w:pStyle w:val="ListBullet"/>
        <w:spacing w:before="20"/>
        <w:ind w:left="400"/>
      </w:pPr>
      <w:r>
        <w:rPr>
          <w:sz w:val="18"/>
        </w:rPr>
        <w:t>🔴 RSI surachat (83.0 &gt; 70) — risque de correction</w:t>
      </w:r>
    </w:p>
    <w:p>
      <w:pPr>
        <w:pStyle w:val="ListBullet"/>
        <w:spacing w:before="20"/>
        <w:ind w:left="400"/>
      </w:pPr>
      <w:r>
        <w:rPr>
          <w:sz w:val="18"/>
        </w:rPr>
        <w:t>⚠️ Cours à 0.0% du plus haut 100j (10,110 FCFA)</w:t>
      </w:r>
    </w:p>
    <w:p>
      <w:pPr>
        <w:pStyle w:val="ListBullet"/>
        <w:spacing w:before="20"/>
        <w:ind w:left="400"/>
      </w:pPr>
      <w:r>
        <w:rPr>
          <w:sz w:val="18"/>
        </w:rPr>
        <w:t>🟠 Divergence tech(VENTE) / fond(ACHAT) — recommandation ajustée à ACHAT</w:t>
      </w:r>
    </w:p>
    <w:p>
      <w:pPr>
        <w:spacing w:before="120"/>
      </w:pPr>
      <w:r>
        <w:rPr>
          <w:b/>
          <w:color w:val="0050A0"/>
          <w:sz w:val="20"/>
        </w:rPr>
        <w:t>BICC — BICI CI - Banque internationale pour le commerce et l'industrie de la Côte d'Ivoire</w:t>
      </w:r>
    </w:p>
    <w:p>
      <w:pPr>
        <w:pStyle w:val="ListBullet"/>
        <w:spacing w:before="20"/>
        <w:ind w:left="400"/>
      </w:pPr>
      <w:r>
        <w:rPr>
          <w:sz w:val="18"/>
        </w:rPr>
        <w:t>🔴 RSI surachat (78.0 &gt; 70) — risque de correction</w:t>
      </w:r>
    </w:p>
    <w:p>
      <w:pPr>
        <w:pStyle w:val="ListBullet"/>
        <w:spacing w:before="20"/>
        <w:ind w:left="400"/>
      </w:pPr>
      <w:r>
        <w:rPr>
          <w:sz w:val="18"/>
        </w:rPr>
        <w:t>⚠️ Cours à 0.0% du plus haut 100j (32,680 FCFA)</w:t>
      </w:r>
    </w:p>
    <w:p>
      <w:pPr>
        <w:pStyle w:val="ListBullet"/>
        <w:spacing w:before="20"/>
        <w:ind w:left="400"/>
      </w:pPr>
      <w:r>
        <w:rPr>
          <w:sz w:val="18"/>
        </w:rPr>
        <w:t>🟠 Divergence tech(VENTE) / fond(ACHAT) — recommandation ajustée à ACHAT</w:t>
      </w:r>
    </w:p>
    <w:p>
      <w:pPr>
        <w:spacing w:before="120"/>
      </w:pPr>
      <w:r>
        <w:rPr>
          <w:b/>
          <w:color w:val="0050A0"/>
          <w:sz w:val="20"/>
        </w:rPr>
        <w:t>CBIBF — CBIBF - CORIS BANK INTERNATIONAL BURKINA FASO</w:t>
      </w:r>
    </w:p>
    <w:p>
      <w:pPr>
        <w:pStyle w:val="ListBullet"/>
        <w:spacing w:before="20"/>
        <w:ind w:left="400"/>
      </w:pPr>
      <w:r>
        <w:rPr>
          <w:sz w:val="18"/>
        </w:rPr>
        <w:t>🔴 RSI surachat (80.7 &gt; 70) — risque de correction</w:t>
      </w:r>
    </w:p>
    <w:p>
      <w:pPr>
        <w:pStyle w:val="ListBullet"/>
        <w:spacing w:before="20"/>
        <w:ind w:left="400"/>
      </w:pPr>
      <w:r>
        <w:rPr>
          <w:sz w:val="18"/>
        </w:rPr>
        <w:t>⚠️ Cours à 0.0% du plus haut 100j (33,100 FCFA)</w:t>
      </w:r>
    </w:p>
    <w:p>
      <w:pPr>
        <w:pStyle w:val="ListBullet"/>
        <w:spacing w:before="20"/>
        <w:ind w:left="400"/>
      </w:pPr>
      <w:r>
        <w:rPr>
          <w:sz w:val="18"/>
        </w:rPr>
        <w:t>🟠 Divergence tech(VENTE) / fond(ACHAT) — recommandation ajustée à ACHAT</w:t>
      </w:r>
    </w:p>
    <w:p>
      <w:pPr>
        <w:spacing w:before="120"/>
      </w:pPr>
      <w:r>
        <w:rPr>
          <w:b/>
          <w:color w:val="0050A0"/>
          <w:sz w:val="20"/>
        </w:rPr>
        <w:t>ECOC — ECOC - ECOBANK COTE D'IVOIRE</w:t>
      </w:r>
    </w:p>
    <w:p>
      <w:pPr>
        <w:pStyle w:val="ListBullet"/>
        <w:spacing w:before="20"/>
        <w:ind w:left="400"/>
      </w:pPr>
      <w:r>
        <w:rPr>
          <w:sz w:val="18"/>
        </w:rPr>
        <w:t>🔴 RSI surachat (72.6 &gt; 70) — risque de correction</w:t>
      </w:r>
    </w:p>
    <w:p>
      <w:pPr>
        <w:pStyle w:val="ListBullet"/>
        <w:spacing w:before="20"/>
        <w:ind w:left="400"/>
      </w:pPr>
      <w:r>
        <w:rPr>
          <w:sz w:val="18"/>
        </w:rPr>
        <w:t>⚠️ Cours à 0.0% du plus haut 100j (17,500 FCFA)</w:t>
      </w:r>
    </w:p>
    <w:p>
      <w:pPr>
        <w:pStyle w:val="ListBullet"/>
        <w:spacing w:before="20"/>
        <w:ind w:left="400"/>
      </w:pPr>
      <w:r>
        <w:rPr>
          <w:sz w:val="18"/>
        </w:rPr>
        <w:t>🟠 Divergence tech(VENTE) / fond(ACHAT) — recommandation ajustée à ACHAT</w:t>
      </w:r>
    </w:p>
    <w:p>
      <w:pPr>
        <w:spacing w:before="120"/>
      </w:pPr>
      <w:r>
        <w:rPr>
          <w:b/>
          <w:color w:val="0050A0"/>
          <w:sz w:val="20"/>
        </w:rPr>
        <w:t>SDCC — SDCC - Société de Distribution d'Eau de Côte d'Ivoire</w:t>
      </w:r>
    </w:p>
    <w:p>
      <w:pPr>
        <w:pStyle w:val="ListBullet"/>
        <w:spacing w:before="20"/>
        <w:ind w:left="400"/>
      </w:pPr>
      <w:r>
        <w:rPr>
          <w:sz w:val="18"/>
        </w:rPr>
        <w:t>🔴 RSI surachat (83.9 &gt; 70) — risque de correction</w:t>
      </w:r>
    </w:p>
    <w:p>
      <w:pPr>
        <w:pStyle w:val="ListBullet"/>
        <w:spacing w:before="20"/>
        <w:ind w:left="400"/>
      </w:pPr>
      <w:r>
        <w:rPr>
          <w:sz w:val="18"/>
        </w:rPr>
        <w:t>⚠️ Cours à 0.0% du plus haut 100j (13,500 FCFA)</w:t>
      </w:r>
    </w:p>
    <w:p>
      <w:pPr>
        <w:pStyle w:val="ListBullet"/>
        <w:spacing w:before="20"/>
        <w:ind w:left="400"/>
      </w:pPr>
      <w:r>
        <w:rPr>
          <w:sz w:val="18"/>
        </w:rPr>
        <w:t>🟠 Divergence tech(VENTE) / fond(ACHAT) — recommandation ajustée à ACHAT</w:t>
      </w:r>
    </w:p>
    <w:p>
      <w:pPr>
        <w:spacing w:before="120"/>
      </w:pPr>
      <w:r>
        <w:rPr>
          <w:b/>
          <w:color w:val="0050A0"/>
          <w:sz w:val="20"/>
        </w:rPr>
        <w:t>SOGC — SOGC - Société des caoutchoucs de Grand-Béréby</w:t>
      </w:r>
    </w:p>
    <w:p>
      <w:pPr>
        <w:pStyle w:val="ListBullet"/>
        <w:spacing w:before="20"/>
        <w:ind w:left="400"/>
      </w:pPr>
      <w:r>
        <w:rPr>
          <w:sz w:val="18"/>
        </w:rPr>
        <w:t>🔴 RSI surachat (91.3 &gt; 70) — risque de correction</w:t>
      </w:r>
    </w:p>
    <w:p>
      <w:pPr>
        <w:pStyle w:val="ListBullet"/>
        <w:spacing w:before="20"/>
        <w:ind w:left="400"/>
      </w:pPr>
      <w:r>
        <w:rPr>
          <w:sz w:val="18"/>
        </w:rPr>
        <w:t>⚠️ Cours à 0.0% du plus haut 100j (8,875 FCFA)</w:t>
      </w:r>
    </w:p>
    <w:p>
      <w:pPr>
        <w:pStyle w:val="ListBullet"/>
        <w:spacing w:before="20"/>
        <w:ind w:left="400"/>
      </w:pPr>
      <w:r>
        <w:rPr>
          <w:sz w:val="18"/>
        </w:rPr>
        <w:t>🟠 Divergence tech(VENTE) / fond(ACHAT) — recommandation ajustée à ACHAT</w:t>
      </w:r>
    </w:p>
    <w:p>
      <w:pPr>
        <w:spacing w:before="120"/>
      </w:pPr>
      <w:r>
        <w:rPr>
          <w:b/>
          <w:color w:val="0050A0"/>
          <w:sz w:val="20"/>
        </w:rPr>
        <w:t>ABJC — ABJC - SERVAIR ABIDJAN CI</w:t>
      </w:r>
    </w:p>
    <w:p>
      <w:pPr>
        <w:pStyle w:val="ListBullet"/>
        <w:spacing w:before="20"/>
        <w:ind w:left="400"/>
      </w:pPr>
      <w:r>
        <w:rPr>
          <w:sz w:val="18"/>
        </w:rPr>
        <w:t>🔴 RSI surachat (87.6 &gt; 70) — risque de correction</w:t>
      </w:r>
    </w:p>
    <w:p>
      <w:pPr>
        <w:pStyle w:val="ListBullet"/>
        <w:spacing w:before="20"/>
        <w:ind w:left="400"/>
      </w:pPr>
      <w:r>
        <w:rPr>
          <w:sz w:val="18"/>
        </w:rPr>
        <w:t>⚠️ Cours à 0.0% du plus haut 100j (3,950 FCFA)</w:t>
      </w:r>
    </w:p>
    <w:p>
      <w:pPr>
        <w:spacing w:before="120"/>
      </w:pPr>
      <w:r>
        <w:rPr>
          <w:b/>
          <w:color w:val="0050A0"/>
          <w:sz w:val="20"/>
        </w:rPr>
        <w:t>BOAB — BANK OF AFRICA BENIN</w:t>
      </w:r>
    </w:p>
    <w:p>
      <w:pPr>
        <w:pStyle w:val="ListBullet"/>
        <w:spacing w:before="20"/>
        <w:ind w:left="400"/>
      </w:pPr>
      <w:r>
        <w:rPr>
          <w:sz w:val="18"/>
        </w:rPr>
        <w:t>🔴 RSI surachat (78.0 &gt; 70) — risque de correction</w:t>
      </w:r>
    </w:p>
    <w:p>
      <w:pPr>
        <w:pStyle w:val="ListBullet"/>
        <w:spacing w:before="20"/>
        <w:ind w:left="400"/>
      </w:pPr>
      <w:r>
        <w:rPr>
          <w:sz w:val="18"/>
        </w:rPr>
        <w:t>⚠️ Cours à 0.0% du plus haut 100j (10,350 FCFA)</w:t>
      </w:r>
    </w:p>
    <w:p>
      <w:pPr>
        <w:spacing w:before="120"/>
      </w:pPr>
      <w:r>
        <w:rPr>
          <w:b/>
          <w:color w:val="0050A0"/>
          <w:sz w:val="20"/>
        </w:rPr>
        <w:t>BOABF — BANK OF AFRICA BURKINA FASO</w:t>
      </w:r>
    </w:p>
    <w:p>
      <w:pPr>
        <w:pStyle w:val="ListBullet"/>
        <w:spacing w:before="20"/>
        <w:ind w:left="400"/>
      </w:pPr>
      <w:r>
        <w:rPr>
          <w:sz w:val="18"/>
        </w:rPr>
        <w:t>🔴 RSI surachat (85.2 &gt; 70) — risque de correction</w:t>
      </w:r>
    </w:p>
    <w:p>
      <w:pPr>
        <w:pStyle w:val="ListBullet"/>
        <w:spacing w:before="20"/>
        <w:ind w:left="400"/>
      </w:pPr>
      <w:r>
        <w:rPr>
          <w:sz w:val="18"/>
        </w:rPr>
        <w:t>⚠️ Cours à 1.5% du plus haut 100j (9,090 FCFA)</w:t>
      </w:r>
    </w:p>
    <w:p>
      <w:pPr>
        <w:spacing w:before="120"/>
      </w:pPr>
      <w:r>
        <w:rPr>
          <w:b/>
          <w:color w:val="0050A0"/>
          <w:sz w:val="20"/>
        </w:rPr>
        <w:t>BOAN — BANK OF AFRICA NIGER</w:t>
      </w:r>
    </w:p>
    <w:p>
      <w:pPr>
        <w:pStyle w:val="ListBullet"/>
        <w:spacing w:before="20"/>
        <w:ind w:left="400"/>
      </w:pPr>
      <w:r>
        <w:rPr>
          <w:sz w:val="18"/>
        </w:rPr>
        <w:t>🔴 RSI surachat (70.1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BOAS — BANK OF AFRICA SENEGAL</w:t>
      </w:r>
    </w:p>
    <w:p>
      <w:pPr>
        <w:pStyle w:val="ListBullet"/>
        <w:spacing w:before="20"/>
        <w:ind w:left="400"/>
      </w:pPr>
      <w:r>
        <w:rPr>
          <w:sz w:val="18"/>
        </w:rPr>
        <w:t>🔴 RSI surachat (77.0 &gt; 70) — risque de correction</w:t>
      </w:r>
    </w:p>
    <w:p>
      <w:pPr>
        <w:pStyle w:val="ListBullet"/>
        <w:spacing w:before="20"/>
        <w:ind w:left="400"/>
      </w:pPr>
      <w:r>
        <w:rPr>
          <w:sz w:val="18"/>
        </w:rPr>
        <w:t>⚠️ Cours à 2.4% du plus haut 100j (8,500 FCFA)</w:t>
      </w:r>
    </w:p>
    <w:p>
      <w:pPr>
        <w:spacing w:before="120"/>
      </w:pPr>
      <w:r>
        <w:rPr>
          <w:b/>
          <w:color w:val="0050A0"/>
          <w:sz w:val="20"/>
        </w:rPr>
        <w:t>CIEC — CIEC - Compagnie Ivoirienne d'Electricité</w:t>
      </w:r>
    </w:p>
    <w:p>
      <w:pPr>
        <w:pStyle w:val="ListBullet"/>
        <w:spacing w:before="20"/>
        <w:ind w:left="400"/>
      </w:pPr>
      <w:r>
        <w:rPr>
          <w:sz w:val="18"/>
        </w:rPr>
        <w:t>🔴 RSI surachat (72.2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NEIC — NEIC - NEI-CEDA CI</w:t>
      </w:r>
    </w:p>
    <w:p>
      <w:pPr>
        <w:pStyle w:val="ListBullet"/>
        <w:spacing w:before="20"/>
        <w:ind w:left="400"/>
      </w:pPr>
      <w:r>
        <w:rPr>
          <w:sz w:val="18"/>
        </w:rPr>
        <w:t>🔴 RSI surachat (96.0 &gt; 70) — risque de correction</w:t>
      </w:r>
    </w:p>
    <w:p>
      <w:pPr>
        <w:pStyle w:val="ListBullet"/>
        <w:spacing w:before="20"/>
        <w:ind w:left="400"/>
      </w:pPr>
      <w:r>
        <w:rPr>
          <w:sz w:val="18"/>
        </w:rPr>
        <w:t>⚠️ Cours à 0.0% du plus haut 100j (3,000 FCFA)</w:t>
      </w:r>
    </w:p>
    <w:p>
      <w:pPr>
        <w:spacing w:before="120"/>
      </w:pPr>
      <w:r>
        <w:rPr>
          <w:b/>
          <w:color w:val="0050A0"/>
          <w:sz w:val="20"/>
        </w:rPr>
        <w:t>ORAC — ORAC - ORANGE COTE D'IVOIRE</w:t>
      </w:r>
    </w:p>
    <w:p>
      <w:pPr>
        <w:pStyle w:val="ListBullet"/>
        <w:spacing w:before="20"/>
        <w:ind w:left="400"/>
      </w:pPr>
      <w:r>
        <w:rPr>
          <w:sz w:val="18"/>
        </w:rPr>
        <w:t>🔴 RSI surachat (77.5 &gt; 70) — risque de correction</w:t>
      </w:r>
    </w:p>
    <w:p>
      <w:pPr>
        <w:pStyle w:val="ListBullet"/>
        <w:spacing w:before="20"/>
        <w:ind w:left="400"/>
      </w:pPr>
      <w:r>
        <w:rPr>
          <w:sz w:val="18"/>
        </w:rPr>
        <w:t>⚠️ Cours à 1.6% du plus haut 100j (21,500 FCFA)</w:t>
      </w:r>
    </w:p>
    <w:p>
      <w:pPr>
        <w:spacing w:before="120"/>
      </w:pPr>
      <w:r>
        <w:rPr>
          <w:b/>
          <w:color w:val="0050A0"/>
          <w:sz w:val="20"/>
        </w:rPr>
        <w:t>SHEC — SHEC - VIVO ENERGY COTE D'IVOIRE</w:t>
      </w:r>
    </w:p>
    <w:p>
      <w:pPr>
        <w:pStyle w:val="ListBullet"/>
        <w:spacing w:before="20"/>
        <w:ind w:left="400"/>
      </w:pPr>
      <w:r>
        <w:rPr>
          <w:sz w:val="18"/>
        </w:rPr>
        <w:t>🔴 RSI surachat (76.3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SIBC — SIBC - SOCIETE IVOIRIENNE DE BANQUE</w:t>
      </w:r>
    </w:p>
    <w:p>
      <w:pPr>
        <w:pStyle w:val="ListBullet"/>
        <w:spacing w:before="20"/>
        <w:ind w:left="400"/>
      </w:pPr>
      <w:r>
        <w:rPr>
          <w:sz w:val="18"/>
        </w:rPr>
        <w:t>⚠️ Cours à 2.1% du plus haut 100j (9,500 FCFA)</w:t>
      </w:r>
    </w:p>
    <w:p>
      <w:pPr>
        <w:pStyle w:val="ListBullet"/>
        <w:spacing w:before="20"/>
        <w:ind w:left="400"/>
      </w:pPr>
      <w:r>
        <w:rPr>
          <w:sz w:val="18"/>
        </w:rPr>
        <w:t>🟠 Divergence tech(VENTE) / fond(ACHAT) — recommandation ajustée à ACHAT</w:t>
      </w:r>
    </w:p>
    <w:p>
      <w:pPr>
        <w:spacing w:before="120"/>
      </w:pPr>
      <w:r>
        <w:rPr>
          <w:b/>
          <w:color w:val="0050A0"/>
          <w:sz w:val="20"/>
        </w:rPr>
        <w:t>SMBC — SMBC - Société Multinationale de Bitumes COTE D'IVOIRE</w:t>
      </w:r>
    </w:p>
    <w:p>
      <w:pPr>
        <w:pStyle w:val="ListBullet"/>
        <w:spacing w:before="20"/>
        <w:ind w:left="400"/>
      </w:pPr>
      <w:r>
        <w:rPr>
          <w:sz w:val="18"/>
        </w:rPr>
        <w:t>🔴 RSI surachat (76.6 &gt; 70) — risque de correction</w:t>
      </w:r>
    </w:p>
    <w:p>
      <w:pPr>
        <w:pStyle w:val="ListBullet"/>
        <w:spacing w:before="20"/>
        <w:ind w:left="400"/>
      </w:pPr>
      <w:r>
        <w:rPr>
          <w:sz w:val="18"/>
        </w:rPr>
        <w:t>⚠️ Cours à 2.5% du plus haut 100j (17,735 FCFA)</w:t>
      </w:r>
    </w:p>
    <w:p>
      <w:pPr>
        <w:spacing w:before="120"/>
      </w:pPr>
      <w:r>
        <w:rPr>
          <w:b/>
          <w:color w:val="0050A0"/>
          <w:sz w:val="20"/>
        </w:rPr>
        <w:t>SNTS — SNTS - SONATEL SN</w:t>
      </w:r>
    </w:p>
    <w:p>
      <w:pPr>
        <w:pStyle w:val="ListBullet"/>
        <w:spacing w:before="20"/>
        <w:ind w:left="400"/>
      </w:pPr>
      <w:r>
        <w:rPr>
          <w:sz w:val="18"/>
        </w:rPr>
        <w:t>🔴 RSI surachat (76.9 &gt; 70) — risque de correction</w:t>
      </w:r>
    </w:p>
    <w:p>
      <w:pPr>
        <w:pStyle w:val="ListBullet"/>
        <w:spacing w:before="20"/>
        <w:ind w:left="400"/>
      </w:pPr>
      <w:r>
        <w:rPr>
          <w:sz w:val="18"/>
        </w:rPr>
        <w:t>⚠️ Cours à 0.0% du plus haut 100j (38,000 FCFA)</w:t>
      </w:r>
    </w:p>
    <w:p>
      <w:pPr>
        <w:spacing w:before="120"/>
      </w:pPr>
      <w:r>
        <w:rPr>
          <w:b/>
          <w:color w:val="0050A0"/>
          <w:sz w:val="20"/>
        </w:rPr>
        <w:t>SPHC — SPHC - Société Africaine de Plantation d'Hévéas de Côte d'Ivoire</w:t>
      </w:r>
    </w:p>
    <w:p>
      <w:pPr>
        <w:pStyle w:val="ListBullet"/>
        <w:spacing w:before="20"/>
        <w:ind w:left="400"/>
      </w:pPr>
      <w:r>
        <w:rPr>
          <w:sz w:val="18"/>
        </w:rPr>
        <w:t>🔴 RSI surachat (75.5 &gt; 70) — risque de correction</w:t>
      </w:r>
    </w:p>
    <w:p>
      <w:pPr>
        <w:pStyle w:val="ListBullet"/>
        <w:spacing w:before="20"/>
        <w:ind w:left="400"/>
      </w:pPr>
      <w:r>
        <w:rPr>
          <w:sz w:val="18"/>
        </w:rPr>
        <w:t>⚠️ Cours à 1.0% du plus haut 100j (10,300 FCFA)</w:t>
      </w:r>
    </w:p>
    <w:p>
      <w:pPr>
        <w:spacing w:before="120"/>
      </w:pPr>
      <w:r>
        <w:rPr>
          <w:b/>
          <w:color w:val="0050A0"/>
          <w:sz w:val="20"/>
        </w:rPr>
        <w:t>UNXC — UNXC - UNIWAX COTE D'IVOIRE</w:t>
      </w:r>
    </w:p>
    <w:p>
      <w:pPr>
        <w:pStyle w:val="ListBullet"/>
        <w:spacing w:before="20"/>
        <w:ind w:left="400"/>
      </w:pPr>
      <w:r>
        <w:rPr>
          <w:sz w:val="18"/>
        </w:rPr>
        <w:t>🔴 RSI surachat (81.7 &gt; 70) — risque de correction</w:t>
      </w:r>
    </w:p>
    <w:p>
      <w:pPr>
        <w:pStyle w:val="ListBullet"/>
        <w:spacing w:before="20"/>
        <w:ind w:left="400"/>
      </w:pPr>
      <w:r>
        <w:rPr>
          <w:sz w:val="18"/>
        </w:rPr>
        <w:t>⚠️ Cours à 2.8% du plus haut 100j (2,495 FCFA)</w:t>
      </w:r>
    </w:p>
    <w:p>
      <w:pPr>
        <w:spacing w:before="120"/>
      </w:pPr>
      <w:r>
        <w:rPr>
          <w:b/>
          <w:color w:val="0050A0"/>
          <w:sz w:val="20"/>
        </w:rPr>
        <w:t>ETIT — ETIT - Ecobank Transnational Incorporated Togo</w:t>
      </w:r>
    </w:p>
    <w:p>
      <w:pPr>
        <w:pStyle w:val="ListBullet"/>
        <w:spacing w:before="20"/>
        <w:ind w:left="400"/>
      </w:pPr>
      <w:r>
        <w:rPr>
          <w:sz w:val="18"/>
        </w:rPr>
        <w:t>🟠 Divergence tech(VENTE) / fond(ACHAT) — recommandation ajustée à ACHAT</w:t>
      </w:r>
    </w:p>
    <w:p>
      <w:pPr>
        <w:spacing w:before="120"/>
      </w:pPr>
      <w:r>
        <w:rPr>
          <w:b/>
          <w:color w:val="0050A0"/>
          <w:sz w:val="20"/>
        </w:rPr>
        <w:t>LNBB — LNBB - LOTERIE NATIONALE DU BENIN</w:t>
      </w:r>
    </w:p>
    <w:p>
      <w:pPr>
        <w:pStyle w:val="ListBullet"/>
        <w:spacing w:before="20"/>
        <w:ind w:left="400"/>
      </w:pPr>
      <w:r>
        <w:rPr>
          <w:sz w:val="18"/>
        </w:rPr>
        <w:t>🟠 Divergence tech(VENTE) / fond(ACHAT) — recommandation ajustée à ACHAT</w:t>
      </w:r>
    </w:p>
    <w:p>
      <w:pPr>
        <w:spacing w:before="120"/>
      </w:pPr>
      <w:r>
        <w:rPr>
          <w:b/>
          <w:color w:val="0050A0"/>
          <w:sz w:val="20"/>
        </w:rPr>
        <w:t>ONTBF — ONTBF - ONATEL BURKINA FASO</w:t>
      </w:r>
    </w:p>
    <w:p>
      <w:pPr>
        <w:pStyle w:val="ListBullet"/>
        <w:spacing w:before="20"/>
        <w:ind w:left="400"/>
      </w:pPr>
      <w:r>
        <w:rPr>
          <w:sz w:val="18"/>
        </w:rPr>
        <w:t>🟠 Divergence tech(VENTE) / fond(ACHAT) — recommandation ajustée à ACHAT</w:t>
      </w:r>
    </w:p>
    <w:p>
      <w:pPr>
        <w:spacing w:before="120"/>
      </w:pPr>
      <w:r>
        <w:rPr>
          <w:b/>
          <w:color w:val="0050A0"/>
          <w:sz w:val="20"/>
        </w:rPr>
        <w:t>ORGT — ORGT - ORAGROUP TOGO</w:t>
      </w:r>
    </w:p>
    <w:p>
      <w:pPr>
        <w:pStyle w:val="ListBullet"/>
        <w:spacing w:before="20"/>
        <w:ind w:left="400"/>
      </w:pPr>
      <w:r>
        <w:rPr>
          <w:sz w:val="18"/>
        </w:rPr>
        <w:t>🟠 Divergence tech(VENTE) / fond(ACHAT) — recommandation ajustée à ACHAT</w:t>
      </w:r>
    </w:p>
    <w:p>
      <w:pPr>
        <w:spacing w:before="120"/>
      </w:pPr>
      <w:r>
        <w:rPr>
          <w:b/>
          <w:color w:val="0050A0"/>
          <w:sz w:val="20"/>
        </w:rPr>
        <w:t>PRSC — PRSC - TRACTAFRIC MOTORS CI</w:t>
      </w:r>
    </w:p>
    <w:p>
      <w:pPr>
        <w:pStyle w:val="ListBullet"/>
        <w:spacing w:before="20"/>
        <w:ind w:left="400"/>
      </w:pPr>
      <w:r>
        <w:rPr>
          <w:sz w:val="18"/>
        </w:rPr>
        <w:t>🟠 Divergence tech(VENTE) / fond(ACHAT) — recommandation ajustée à ACHAT FORT</w:t>
      </w:r>
    </w:p>
    <w:p>
      <w:pPr>
        <w:spacing w:before="120"/>
      </w:pPr>
      <w:r>
        <w:rPr>
          <w:b/>
          <w:color w:val="0050A0"/>
          <w:sz w:val="20"/>
        </w:rPr>
        <w:t>SDSC — SDSC - AFRICA GLOBAL LOGISTICS CI</w:t>
      </w:r>
    </w:p>
    <w:p>
      <w:pPr>
        <w:pStyle w:val="ListBullet"/>
        <w:spacing w:before="20"/>
        <w:ind w:left="400"/>
      </w:pPr>
      <w:r>
        <w:rPr>
          <w:sz w:val="18"/>
        </w:rPr>
        <w:t>⚠️ Cours à 0.0% du plus haut 100j (3,100 FCFA)</w:t>
      </w:r>
    </w:p>
    <w:p>
      <w:pPr>
        <w:spacing w:before="120"/>
      </w:pPr>
      <w:r>
        <w:rPr>
          <w:b/>
          <w:color w:val="0050A0"/>
          <w:sz w:val="20"/>
        </w:rPr>
        <w:t>SGBC — SGBC - SOCIETE GENERALE COTE D'IVOIRE</w:t>
      </w:r>
    </w:p>
    <w:p>
      <w:pPr>
        <w:pStyle w:val="ListBullet"/>
        <w:spacing w:before="20"/>
        <w:ind w:left="400"/>
      </w:pPr>
      <w:r>
        <w:rPr>
          <w:sz w:val="18"/>
        </w:rPr>
        <w:t>⚠️ Cours à 2.0% du plus haut 100j (39,300 FCFA)</w:t>
      </w:r>
    </w:p>
    <w:p>
      <w:pPr>
        <w:spacing w:before="120"/>
      </w:pPr>
      <w:r>
        <w:rPr>
          <w:b/>
          <w:color w:val="0050A0"/>
          <w:sz w:val="20"/>
        </w:rPr>
        <w:t>SICC — SICC - SICOR COTE D'IVOIRE</w:t>
      </w:r>
    </w:p>
    <w:p>
      <w:pPr>
        <w:pStyle w:val="ListBullet"/>
        <w:spacing w:before="20"/>
        <w:ind w:left="400"/>
      </w:pPr>
      <w:r>
        <w:rPr>
          <w:sz w:val="18"/>
        </w:rPr>
        <w:t>🟢 RSI survente (29.5 &lt; 30) — opportunité potentielle</w:t>
      </w:r>
    </w:p>
    <w:p>
      <w:pPr>
        <w:spacing w:before="120"/>
      </w:pPr>
      <w:r>
        <w:rPr>
          <w:b/>
          <w:color w:val="0050A0"/>
          <w:sz w:val="20"/>
        </w:rPr>
        <w:t>SLBC — SLBC - SOLIBRA COTE D'IVOIRE</w:t>
      </w:r>
    </w:p>
    <w:p>
      <w:pPr>
        <w:pStyle w:val="ListBullet"/>
        <w:spacing w:before="20"/>
        <w:ind w:left="400"/>
      </w:pPr>
      <w:r>
        <w:rPr>
          <w:sz w:val="18"/>
        </w:rPr>
        <w:t>🟠 Divergence tech(VENTE) / fond(ACHAT) — recommandation ajustée à ACHAT</w:t>
      </w:r>
    </w:p>
    <w:p>
      <w:pPr>
        <w:spacing w:before="120"/>
      </w:pPr>
      <w:r>
        <w:rPr>
          <w:b/>
          <w:color w:val="0050A0"/>
          <w:sz w:val="20"/>
        </w:rPr>
        <w:t>STBC — STBC - SITAB COTE D'IVOIRE</w:t>
      </w:r>
    </w:p>
    <w:p>
      <w:pPr>
        <w:pStyle w:val="ListBullet"/>
        <w:spacing w:before="20"/>
        <w:ind w:left="400"/>
      </w:pPr>
      <w:r>
        <w:rPr>
          <w:sz w:val="18"/>
        </w:rPr>
        <w:t>🟠 Divergence tech(VENTE) / fond(ACHAT) — recommandation ajustée à ACHAT</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19 société(s) (40%)</w:t>
            </w:r>
          </w:p>
        </w:tc>
        <w:tc>
          <w:tcPr>
            <w:tcW w:type="dxa" w:w="1644"/>
            <w:shd w:fill="FFEB9C" w:val="clear"/>
          </w:tcPr>
          <w:p>
            <w:r>
              <w:rPr>
                <w:b/>
                <w:color w:val="825A00"/>
                <w:sz w:val="19"/>
              </w:rPr>
              <w:t>28 société(s) (60%)</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21.7/100</w:t>
            </w:r>
          </w:p>
        </w:tc>
        <w:tc>
          <w:tcPr>
            <w:tcW w:type="dxa" w:w="1644"/>
            <w:shd w:fill="DEEAF1" w:val="clear"/>
          </w:tcPr>
          <w:p>
            <w:r>
              <w:rPr>
                <w:b/>
                <w:color w:val="000000"/>
                <w:sz w:val="19"/>
              </w:rPr>
              <w:t>21.1/100</w:t>
            </w:r>
          </w:p>
        </w:tc>
      </w:tr>
    </w:tbl>
    <w:p/>
    <w:p>
      <w:r>
        <w:rPr>
          <w:i/>
          <w:color w:val="006400"/>
          <w:sz w:val="18"/>
        </w:rPr>
        <w:t>✅ Le marché BRVM présente globalement un profil de risque FAIBLE (score moyen 21.7/100).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NEIC</w:t>
            </w:r>
          </w:p>
        </w:tc>
        <w:tc>
          <w:tcPr>
            <w:tcW w:type="dxa" w:w="2268"/>
            <w:shd w:fill="FFFFFF" w:val="clear"/>
          </w:tcPr>
          <w:p>
            <w:r>
              <w:rPr>
                <w:sz w:val="16"/>
              </w:rPr>
              <w:t>NEIC - NEI-CEDA CI</w:t>
            </w:r>
          </w:p>
        </w:tc>
        <w:tc>
          <w:tcPr>
            <w:tcW w:type="dxa" w:w="1701"/>
            <w:shd w:fill="FFFFFF" w:val="clear"/>
          </w:tcPr>
          <w:p>
            <w:r>
              <w:rPr>
                <w:sz w:val="16"/>
              </w:rPr>
              <w:t>CONSOMMATION DISCR</w:t>
            </w:r>
          </w:p>
        </w:tc>
        <w:tc>
          <w:tcPr>
            <w:tcW w:type="dxa" w:w="1020"/>
            <w:shd w:fill="FFEB9C" w:val="clear"/>
          </w:tcPr>
          <w:p>
            <w:r>
              <w:rPr>
                <w:b/>
                <w:color w:val="B40000"/>
                <w:sz w:val="16"/>
              </w:rPr>
              <w:t>32.6/100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SDCC</w:t>
            </w:r>
          </w:p>
        </w:tc>
        <w:tc>
          <w:tcPr>
            <w:tcW w:type="dxa" w:w="2268"/>
            <w:shd w:fill="FFFFFF" w:val="clear"/>
          </w:tcPr>
          <w:p>
            <w:r>
              <w:rPr>
                <w:sz w:val="16"/>
              </w:rPr>
              <w:t>SDCC - Société de Distributi…</w:t>
            </w:r>
          </w:p>
        </w:tc>
        <w:tc>
          <w:tcPr>
            <w:tcW w:type="dxa" w:w="1701"/>
            <w:shd w:fill="FFFFFF" w:val="clear"/>
          </w:tcPr>
          <w:p>
            <w:r>
              <w:rPr>
                <w:sz w:val="16"/>
              </w:rPr>
              <w:t>SERVICES PUBLICS</w:t>
            </w:r>
          </w:p>
        </w:tc>
        <w:tc>
          <w:tcPr>
            <w:tcW w:type="dxa" w:w="1020"/>
            <w:shd w:fill="FFEB9C" w:val="clear"/>
          </w:tcPr>
          <w:p>
            <w:r>
              <w:rPr>
                <w:b/>
                <w:color w:val="B40000"/>
                <w:sz w:val="16"/>
              </w:rPr>
              <w:t>31.1/100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CBIBF</w:t>
            </w:r>
          </w:p>
        </w:tc>
        <w:tc>
          <w:tcPr>
            <w:tcW w:type="dxa" w:w="2268"/>
            <w:shd w:fill="FFFFFF" w:val="clear"/>
          </w:tcPr>
          <w:p>
            <w:r>
              <w:rPr>
                <w:sz w:val="16"/>
              </w:rPr>
              <w:t>CBIBF - CORIS BANK INTERNATI…</w:t>
            </w:r>
          </w:p>
        </w:tc>
        <w:tc>
          <w:tcPr>
            <w:tcW w:type="dxa" w:w="1701"/>
            <w:shd w:fill="FFFFFF" w:val="clear"/>
          </w:tcPr>
          <w:p>
            <w:r>
              <w:rPr>
                <w:sz w:val="16"/>
              </w:rPr>
              <w:t>SERVICES FINANCIER</w:t>
            </w:r>
          </w:p>
        </w:tc>
        <w:tc>
          <w:tcPr>
            <w:tcW w:type="dxa" w:w="1020"/>
            <w:shd w:fill="FFEB9C" w:val="clear"/>
          </w:tcPr>
          <w:p>
            <w:r>
              <w:rPr>
                <w:b/>
                <w:color w:val="B40000"/>
                <w:sz w:val="16"/>
              </w:rPr>
              <w:t>30.1/100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#2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#3 NEIC (32.6/100 — Moyen) : </w:t>
      </w:r>
      <w:r>
        <w:rPr>
          <w:sz w:val="17"/>
        </w:rPr>
        <w:t>Volatilité=Élevée | Bêta=Contre-cyclique | Liquidité=Bonne | Divergence signaux=taux divergence=40% (Très divergent ❌) | Stabilité=Modérée</w:t>
      </w:r>
    </w:p>
    <w:p>
      <w:pPr>
        <w:pStyle w:val="ListBullet"/>
      </w:pPr>
      <w:r>
        <w:rPr>
          <w:b/>
          <w:color w:val="B40000"/>
          <w:sz w:val="18"/>
        </w:rPr>
        <w:t xml:space="preserve">#4 SDCC (31.1/100 — Moyen) : </w:t>
      </w:r>
      <w:r>
        <w:rPr>
          <w:sz w:val="17"/>
        </w:rPr>
        <w:t>Volatilité=Élevée | Bêta=Contre-cyclique | Liquidité=Bonne | Divergence signaux=taux divergence=40% (Très divergent ❌) | Stabilité=Stable</w:t>
      </w:r>
    </w:p>
    <w:p>
      <w:pPr>
        <w:pStyle w:val="ListBullet"/>
      </w:pPr>
      <w:r>
        <w:rPr>
          <w:b/>
          <w:color w:val="B40000"/>
          <w:sz w:val="18"/>
        </w:rPr>
        <w:t xml:space="preserve">#5 CBIBF (30.1/100 — Moyen) : </w:t>
      </w:r>
      <w:r>
        <w:rPr>
          <w:sz w:val="17"/>
        </w:rPr>
        <w:t>Volatilité=Élevée | Bêta=Neutre  | Liquidité=Bonne | Divergence signaux=taux divergence=40% (Très divergent ❌) | Stabilité=Stable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LNBB</w:t>
            </w:r>
          </w:p>
        </w:tc>
        <w:tc>
          <w:tcPr>
            <w:tcW w:type="dxa" w:w="2268"/>
            <w:shd w:fill="FFFFFF" w:val="clear"/>
          </w:tcPr>
          <w:p>
            <w:r>
              <w:rPr>
                <w:sz w:val="16"/>
              </w:rPr>
              <w:t>LNBB - LOTERIE NATIONALE DU …</w:t>
            </w:r>
          </w:p>
        </w:tc>
        <w:tc>
          <w:tcPr>
            <w:tcW w:type="dxa" w:w="1701"/>
            <w:shd w:fill="FFFFFF" w:val="clear"/>
          </w:tcPr>
          <w:p>
            <w:r>
              <w:rPr>
                <w:sz w:val="16"/>
              </w:rPr>
              <w:t>CONSOMMATION DISCR</w:t>
            </w:r>
          </w:p>
        </w:tc>
        <w:tc>
          <w:tcPr>
            <w:tcW w:type="dxa" w:w="1020"/>
            <w:shd w:fill="C6EFCE" w:val="clear"/>
          </w:tcPr>
          <w:p>
            <w:r>
              <w:rPr>
                <w:b/>
                <w:color w:val="007800"/>
                <w:sz w:val="16"/>
              </w:rPr>
              <w:t>9.5/100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SOGC</w:t>
            </w:r>
          </w:p>
        </w:tc>
        <w:tc>
          <w:tcPr>
            <w:tcW w:type="dxa" w:w="2268"/>
            <w:shd w:fill="FFFFFF" w:val="clear"/>
          </w:tcPr>
          <w:p>
            <w:r>
              <w:rPr>
                <w:sz w:val="16"/>
              </w:rPr>
              <w:t>SOGC - Société des caoutchou…</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13.1/100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32.6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FFEB9C" w:val="clear"/>
          </w:tcPr>
          <w:p>
            <w:r>
              <w:rPr>
                <w:b/>
                <w:color w:val="825A00"/>
                <w:sz w:val="15"/>
              </w:rPr>
              <w:t>31.1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30.1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30.1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Instable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29.8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28.3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FFEB9C" w:val="clear"/>
          </w:tcPr>
          <w:p>
            <w:r>
              <w:rPr>
                <w:b/>
                <w:color w:val="825A00"/>
                <w:sz w:val="15"/>
              </w:rPr>
              <w:t>28.1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27.6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26.1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25.1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24.8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24.1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24.0</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Convergent ✅ / Modérée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FFEB9C" w:val="clear"/>
          </w:tcPr>
          <w:p>
            <w:r>
              <w:rPr>
                <w:b/>
                <w:color w:val="825A00"/>
                <w:sz w:val="15"/>
              </w:rPr>
              <w:t>23.8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23.3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Très divergent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FFEB9C" w:val="clear"/>
          </w:tcPr>
          <w:p>
            <w:r>
              <w:rPr>
                <w:b/>
                <w:color w:val="825A00"/>
                <w:sz w:val="15"/>
              </w:rPr>
              <w:t>21.1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FFEB9C" w:val="clear"/>
          </w:tcPr>
          <w:p>
            <w:r>
              <w:rPr>
                <w:b/>
                <w:color w:val="825A00"/>
                <w:sz w:val="15"/>
              </w:rPr>
              <w:t>20.8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18.6</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C6EFCE" w:val="clear"/>
          </w:tcPr>
          <w:p>
            <w:r>
              <w:rPr>
                <w:b/>
                <w:color w:val="006400"/>
                <w:sz w:val="15"/>
              </w:rPr>
              <w:t>18.5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C6EFCE" w:val="clear"/>
          </w:tcPr>
          <w:p>
            <w:r>
              <w:rPr>
                <w:b/>
                <w:color w:val="006400"/>
                <w:sz w:val="15"/>
              </w:rPr>
              <w:t>17.0</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17.0</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Modérée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13.1</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9.5</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C7CE" w:val="clear"/>
          </w:tcPr>
          <w:p>
            <w:r>
              <w:rPr>
                <w:b/>
                <w:color w:val="B40000"/>
                <w:sz w:val="18"/>
              </w:rPr>
              <w:t>🔴 BAISSIER</w:t>
            </w:r>
          </w:p>
        </w:tc>
      </w:tr>
      <w:tr>
        <w:tc>
          <w:tcPr>
            <w:tcW w:type="dxa" w:w="2835"/>
            <w:shd w:fill="DEEAF1" w:val="clear"/>
          </w:tcPr>
          <w:p>
            <w:r>
              <w:rPr>
                <w:b/>
                <w:sz w:val="18"/>
              </w:rPr>
              <w:t>Variation moyenne J+10</w:t>
            </w:r>
          </w:p>
        </w:tc>
        <w:tc>
          <w:tcPr>
            <w:tcW w:type="dxa" w:w="7370"/>
          </w:tcPr>
          <w:p>
            <w:r>
              <w:rPr>
                <w:b/>
                <w:sz w:val="18"/>
              </w:rPr>
              <w:t>-13.28%  |  Médiane : -9.62%</w:t>
            </w:r>
          </w:p>
        </w:tc>
      </w:tr>
      <w:tr>
        <w:tc>
          <w:tcPr>
            <w:tcW w:type="dxa" w:w="2835"/>
            <w:shd w:fill="DEEAF1" w:val="clear"/>
          </w:tcPr>
          <w:p>
            <w:r>
              <w:rPr>
                <w:b/>
                <w:sz w:val="18"/>
              </w:rPr>
              <w:t>Répartition</w:t>
            </w:r>
          </w:p>
        </w:tc>
        <w:tc>
          <w:tcPr>
            <w:tcW w:type="dxa" w:w="7370"/>
          </w:tcPr>
          <w:p>
            <w:r>
              <w:rPr>
                <w:b/>
                <w:sz w:val="18"/>
              </w:rPr>
              <w:t>📈 6 sociétés en hausse (&gt;+1%)   📉 39 en baisse (&lt;-1%)   ➡️ 2 neutres</w:t>
            </w:r>
          </w:p>
        </w:tc>
      </w:tr>
      <w:tr>
        <w:tc>
          <w:tcPr>
            <w:tcW w:type="dxa" w:w="2835"/>
            <w:shd w:fill="DEEAF1" w:val="clear"/>
          </w:tcPr>
          <w:p>
            <w:r>
              <w:rPr>
                <w:b/>
                <w:sz w:val="18"/>
              </w:rPr>
              <w:t>Confiance globale</w:t>
            </w:r>
          </w:p>
        </w:tc>
        <w:tc>
          <w:tcPr>
            <w:tcW w:type="dxa" w:w="7370"/>
          </w:tcPr>
          <w:p>
            <w:r>
              <w:rPr>
                <w:b/>
                <w:sz w:val="18"/>
              </w:rPr>
              <w:t>Élevée : 0 sociétés (0%)   Moyenne : 13   Faible : 34 (72%)   → Confiance dominante : Faible</w:t>
            </w:r>
          </w:p>
        </w:tc>
      </w:tr>
    </w:tbl>
    <w:p/>
    <w:p>
      <w:r>
        <w:rPr>
          <w:i/>
          <w:color w:val="282828"/>
          <w:sz w:val="18"/>
        </w:rPr>
        <w:t>📝 Analyse : Les modèles anticipent une correction généralisée. 39 sociétés sur 47 sont orientées à la baisse avec une variation moyenne de -13.28%.</w:t>
      </w:r>
    </w:p>
    <w:p>
      <w:r>
        <w:rPr>
          <w:i/>
          <w:color w:val="282828"/>
          <w:sz w:val="18"/>
        </w:rPr>
        <w:t>🎯 Fiabilité : ⚠️ La confiance est globalement FAIBLE (72%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CABC — CABC - SICABLE COTE D'IVOIRE</w:t>
            </w:r>
          </w:p>
        </w:tc>
        <w:tc>
          <w:tcPr>
            <w:tcW w:type="dxa" w:w="1701"/>
            <w:shd w:fill="FFFFFF" w:val="clear"/>
          </w:tcPr>
          <w:p>
            <w:r>
              <w:rPr>
                <w:sz w:val="16"/>
              </w:rPr>
              <w:t>INDUSTRIELS</w:t>
            </w:r>
          </w:p>
        </w:tc>
        <w:tc>
          <w:tcPr>
            <w:tcW w:type="dxa" w:w="1417"/>
            <w:shd w:fill="FFFFFF" w:val="clear"/>
          </w:tcPr>
          <w:p>
            <w:r>
              <w:rPr>
                <w:sz w:val="16"/>
              </w:rPr>
              <w:t>3,550 FCFA</w:t>
            </w:r>
          </w:p>
        </w:tc>
        <w:tc>
          <w:tcPr>
            <w:tcW w:type="dxa" w:w="1417"/>
            <w:shd w:fill="FFFFFF" w:val="clear"/>
          </w:tcPr>
          <w:p>
            <w:r>
              <w:rPr>
                <w:sz w:val="16"/>
              </w:rPr>
              <w:t>6,310 FCFA</w:t>
            </w:r>
          </w:p>
        </w:tc>
        <w:tc>
          <w:tcPr>
            <w:tcW w:type="dxa" w:w="1134"/>
            <w:shd w:fill="C6EFCE" w:val="clear"/>
          </w:tcPr>
          <w:p>
            <w:r>
              <w:rPr>
                <w:b/>
                <w:color w:val="007800"/>
                <w:sz w:val="16"/>
              </w:rPr>
              <w:t>+77.75%</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23,000 FCFA</w:t>
            </w:r>
          </w:p>
        </w:tc>
        <w:tc>
          <w:tcPr>
            <w:tcW w:type="dxa" w:w="1417"/>
            <w:shd w:fill="FFFFFF" w:val="clear"/>
          </w:tcPr>
          <w:p>
            <w:r>
              <w:rPr>
                <w:sz w:val="16"/>
              </w:rPr>
              <w:t>27,027 FCFA</w:t>
            </w:r>
          </w:p>
        </w:tc>
        <w:tc>
          <w:tcPr>
            <w:tcW w:type="dxa" w:w="1134"/>
            <w:shd w:fill="C6EFCE" w:val="clear"/>
          </w:tcPr>
          <w:p>
            <w:r>
              <w:rPr>
                <w:b/>
                <w:color w:val="007800"/>
                <w:sz w:val="16"/>
              </w:rPr>
              <w:t>+17.51%</w:t>
            </w:r>
          </w:p>
        </w:tc>
        <w:tc>
          <w:tcPr>
            <w:tcW w:type="dxa" w:w="1020"/>
            <w:shd w:fill="FFEB9C" w:val="clear"/>
          </w:tcPr>
          <w:p>
            <w:r>
              <w:rPr>
                <w:sz w:val="16"/>
              </w:rPr>
              <w:t>Moyenne</w:t>
            </w:r>
          </w:p>
        </w:tc>
      </w:tr>
      <w:tr>
        <w:tc>
          <w:tcPr>
            <w:tcW w:type="dxa" w:w="680"/>
            <w:shd w:fill="FFFFFF" w:val="clear"/>
          </w:tcPr>
          <w:p>
            <w:r>
              <w:rPr>
                <w:b/>
                <w:sz w:val="16"/>
              </w:rPr>
              <w:t>#3</w:t>
            </w:r>
          </w:p>
        </w:tc>
        <w:tc>
          <w:tcPr>
            <w:tcW w:type="dxa" w:w="2835"/>
            <w:shd w:fill="C6EFCE" w:val="clear"/>
          </w:tcPr>
          <w:p>
            <w:r>
              <w:rPr>
                <w:sz w:val="16"/>
              </w:rPr>
              <w:t>UNLC — UNLC - UNILEVER COTE D'IVOIRE</w:t>
            </w:r>
          </w:p>
        </w:tc>
        <w:tc>
          <w:tcPr>
            <w:tcW w:type="dxa" w:w="1701"/>
            <w:shd w:fill="FFFFFF" w:val="clear"/>
          </w:tcPr>
          <w:p>
            <w:r>
              <w:rPr>
                <w:sz w:val="16"/>
              </w:rPr>
              <w:t>CONSOMMATION DE BASE</w:t>
            </w:r>
          </w:p>
        </w:tc>
        <w:tc>
          <w:tcPr>
            <w:tcW w:type="dxa" w:w="1417"/>
            <w:shd w:fill="FFFFFF" w:val="clear"/>
          </w:tcPr>
          <w:p>
            <w:r>
              <w:rPr>
                <w:sz w:val="16"/>
              </w:rPr>
              <w:t>54,000 FCFA</w:t>
            </w:r>
          </w:p>
        </w:tc>
        <w:tc>
          <w:tcPr>
            <w:tcW w:type="dxa" w:w="1417"/>
            <w:shd w:fill="FFFFFF" w:val="clear"/>
          </w:tcPr>
          <w:p>
            <w:r>
              <w:rPr>
                <w:sz w:val="16"/>
              </w:rPr>
              <w:t>60,912 FCFA</w:t>
            </w:r>
          </w:p>
        </w:tc>
        <w:tc>
          <w:tcPr>
            <w:tcW w:type="dxa" w:w="1134"/>
            <w:shd w:fill="C6EFCE" w:val="clear"/>
          </w:tcPr>
          <w:p>
            <w:r>
              <w:rPr>
                <w:b/>
                <w:color w:val="007800"/>
                <w:sz w:val="16"/>
              </w:rPr>
              <w:t>+12.80%</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22,005 FCFA</w:t>
            </w:r>
          </w:p>
        </w:tc>
        <w:tc>
          <w:tcPr>
            <w:tcW w:type="dxa" w:w="1417"/>
            <w:shd w:fill="FFFFFF" w:val="clear"/>
          </w:tcPr>
          <w:p>
            <w:r>
              <w:rPr>
                <w:sz w:val="16"/>
              </w:rPr>
              <w:t>24,412 FCFA</w:t>
            </w:r>
          </w:p>
        </w:tc>
        <w:tc>
          <w:tcPr>
            <w:tcW w:type="dxa" w:w="1134"/>
            <w:shd w:fill="C6EFCE" w:val="clear"/>
          </w:tcPr>
          <w:p>
            <w:r>
              <w:rPr>
                <w:b/>
                <w:color w:val="007800"/>
                <w:sz w:val="16"/>
              </w:rPr>
              <w:t>+10.94%</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FTSC — FTSC - FILTISAC COTE D'IVOIRE</w:t>
            </w:r>
          </w:p>
        </w:tc>
        <w:tc>
          <w:tcPr>
            <w:tcW w:type="dxa" w:w="1701"/>
            <w:shd w:fill="FFFFFF" w:val="clear"/>
          </w:tcPr>
          <w:p>
            <w:r>
              <w:rPr>
                <w:sz w:val="16"/>
              </w:rPr>
              <w:t>INDUSTRIELS</w:t>
            </w:r>
          </w:p>
        </w:tc>
        <w:tc>
          <w:tcPr>
            <w:tcW w:type="dxa" w:w="1417"/>
            <w:shd w:fill="FFFFFF" w:val="clear"/>
          </w:tcPr>
          <w:p>
            <w:r>
              <w:rPr>
                <w:sz w:val="16"/>
              </w:rPr>
              <w:t>2,155 FCFA</w:t>
            </w:r>
          </w:p>
        </w:tc>
        <w:tc>
          <w:tcPr>
            <w:tcW w:type="dxa" w:w="1417"/>
            <w:shd w:fill="FFFFFF" w:val="clear"/>
          </w:tcPr>
          <w:p>
            <w:r>
              <w:rPr>
                <w:sz w:val="16"/>
              </w:rPr>
              <w:t>2,255 FCFA</w:t>
            </w:r>
          </w:p>
        </w:tc>
        <w:tc>
          <w:tcPr>
            <w:tcW w:type="dxa" w:w="1134"/>
            <w:shd w:fill="C6EFCE" w:val="clear"/>
          </w:tcPr>
          <w:p>
            <w:r>
              <w:rPr>
                <w:b/>
                <w:color w:val="007800"/>
                <w:sz w:val="16"/>
              </w:rPr>
              <w:t>+4.62%</w:t>
            </w:r>
          </w:p>
        </w:tc>
        <w:tc>
          <w:tcPr>
            <w:tcW w:type="dxa" w:w="1020"/>
            <w:shd w:fill="FFC7CE" w:val="clear"/>
          </w:tcPr>
          <w:p>
            <w:r>
              <w:rPr>
                <w:sz w:val="16"/>
              </w:rPr>
              <w:t>Faible</w:t>
            </w:r>
          </w:p>
        </w:tc>
      </w:tr>
    </w:tbl>
    <w:p/>
    <w:p>
      <w:pPr>
        <w:pStyle w:val="ListBullet"/>
      </w:pPr>
      <w:r>
        <w:rPr>
          <w:b/>
          <w:color w:val="006400"/>
          <w:sz w:val="18"/>
        </w:rPr>
        <w:t xml:space="preserve">#1 CABC </w:t>
      </w:r>
      <w:r>
        <w:rPr>
          <w:sz w:val="17"/>
        </w:rPr>
        <w:t>(CABC - SICABLE COTE D'IVOIRE) — hausse très forte (+77.8%) — signal potentiellement excessif, à croiser avec l'analyse technique. Trajectoire : 📈 Hausse continue. Cours actuel : 3,550 FCFA → prédit J+10 : 6,310 FCFA. ⚠️ Confiance limitée — volatilité élevée ou données insuffisantes. Résultat indicatif uniquement.</w:t>
      </w:r>
    </w:p>
    <w:p>
      <w:pPr>
        <w:pStyle w:val="ListBullet"/>
      </w:pPr>
      <w:r>
        <w:rPr>
          <w:b/>
          <w:color w:val="006400"/>
          <w:sz w:val="18"/>
        </w:rPr>
        <w:t xml:space="preserve">#2 NSBC </w:t>
      </w:r>
      <w:r>
        <w:rPr>
          <w:sz w:val="17"/>
        </w:rPr>
        <w:t>(NSBC - NSIA BANQUE COTE D'IVOIRE) — hausse significative (+17.5%) — potentiel de revalorisation notable. Trajectoire : 📈 Hausse continue. Cours actuel : 23,000 FCFA → prédit J+10 : 27,027 FCFA. Confiance partielle — les premiers jours sont fiables, les jours lointains moins précis.</w:t>
      </w:r>
    </w:p>
    <w:p>
      <w:pPr>
        <w:pStyle w:val="ListBullet"/>
      </w:pPr>
      <w:r>
        <w:rPr>
          <w:b/>
          <w:color w:val="006400"/>
          <w:sz w:val="18"/>
        </w:rPr>
        <w:t xml:space="preserve">#3 UNLC </w:t>
      </w:r>
      <w:r>
        <w:rPr>
          <w:sz w:val="17"/>
        </w:rPr>
        <w:t>(UNLC - UNILEVER COTE D'IVOIRE) — hausse significative (+12.8%) — potentiel de revalorisation notable. Trajectoire : 📈 Hausse continue. Cours actuel : 54,000 FCFA → prédit J+10 : 60,912 FCFA. ⚠️ Confiance limitée — volatilité élevée ou données insuffisantes. Résultat indicatif uniquement.</w:t>
      </w:r>
    </w:p>
    <w:p>
      <w:pPr>
        <w:pStyle w:val="ListBullet"/>
      </w:pPr>
      <w:r>
        <w:rPr>
          <w:b/>
          <w:color w:val="006400"/>
          <w:sz w:val="18"/>
        </w:rPr>
        <w:t xml:space="preserve">#4 STBC </w:t>
      </w:r>
      <w:r>
        <w:rPr>
          <w:sz w:val="17"/>
        </w:rPr>
        <w:t>(STBC - SITAB COTE D'IVOIRE) — hausse significative (+10.9%) — potentiel de revalorisation notable. Trajectoire : 📈 Hausse continue. Cours actuel : 22,005 FCFA → prédit J+10 : 24,412 FCFA. ⚠️ Confiance limitée — volatilité élevée ou données insuffisantes. Résultat indicatif uniquement.</w:t>
      </w:r>
    </w:p>
    <w:p>
      <w:pPr>
        <w:pStyle w:val="ListBullet"/>
      </w:pPr>
      <w:r>
        <w:rPr>
          <w:b/>
          <w:color w:val="006400"/>
          <w:sz w:val="18"/>
        </w:rPr>
        <w:t xml:space="preserve">#5 FTSC </w:t>
      </w:r>
      <w:r>
        <w:rPr>
          <w:sz w:val="17"/>
        </w:rPr>
        <w:t>(FTSC - FILTISAC COTE D'IVOIRE) — légère hausse (+4.6%) — progression graduelle attendue. Trajectoire : 📈 Hausse continue. Cours actuel : 2,155 FCFA → prédit J+10 : 2,255 FCFA. ⚠️ Confiance limitée — volatilité élevée ou données insuffisantes. Résultat indicatif uniquement.</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ETIT — ETIT - Ecobank Transnational Incorp...</w:t>
            </w:r>
          </w:p>
        </w:tc>
        <w:tc>
          <w:tcPr>
            <w:tcW w:type="dxa" w:w="1701"/>
            <w:shd w:fill="FFFFFF" w:val="clear"/>
          </w:tcPr>
          <w:p>
            <w:r>
              <w:rPr>
                <w:sz w:val="16"/>
              </w:rPr>
              <w:t>SERVICES FINANCIERS</w:t>
            </w:r>
          </w:p>
        </w:tc>
        <w:tc>
          <w:tcPr>
            <w:tcW w:type="dxa" w:w="1417"/>
            <w:shd w:fill="FFFFFF" w:val="clear"/>
          </w:tcPr>
          <w:p>
            <w:r>
              <w:rPr>
                <w:sz w:val="16"/>
              </w:rPr>
              <w:t>69 FCFA</w:t>
            </w:r>
          </w:p>
        </w:tc>
        <w:tc>
          <w:tcPr>
            <w:tcW w:type="dxa" w:w="1417"/>
            <w:shd w:fill="FFFFFF" w:val="clear"/>
          </w:tcPr>
          <w:p>
            <w:r>
              <w:rPr>
                <w:sz w:val="16"/>
              </w:rPr>
              <w:t>32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3,570 FCFA</w:t>
            </w:r>
          </w:p>
        </w:tc>
        <w:tc>
          <w:tcPr>
            <w:tcW w:type="dxa" w:w="1417"/>
            <w:shd w:fill="FFFFFF" w:val="clear"/>
          </w:tcPr>
          <w:p>
            <w:r>
              <w:rPr>
                <w:sz w:val="16"/>
              </w:rPr>
              <w:t>1,637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SAFC — SAFCA CI</w:t>
            </w:r>
          </w:p>
        </w:tc>
        <w:tc>
          <w:tcPr>
            <w:tcW w:type="dxa" w:w="1701"/>
            <w:shd w:fill="FFFFFF" w:val="clear"/>
          </w:tcPr>
          <w:p>
            <w:r>
              <w:rPr>
                <w:sz w:val="16"/>
              </w:rPr>
              <w:t>SERVICES FINANCIERS</w:t>
            </w:r>
          </w:p>
        </w:tc>
        <w:tc>
          <w:tcPr>
            <w:tcW w:type="dxa" w:w="1417"/>
            <w:shd w:fill="FFFFFF" w:val="clear"/>
          </w:tcPr>
          <w:p>
            <w:r>
              <w:rPr>
                <w:sz w:val="16"/>
              </w:rPr>
              <w:t>5,800 FCFA</w:t>
            </w:r>
          </w:p>
        </w:tc>
        <w:tc>
          <w:tcPr>
            <w:tcW w:type="dxa" w:w="1417"/>
            <w:shd w:fill="FFFFFF" w:val="clear"/>
          </w:tcPr>
          <w:p>
            <w:r>
              <w:rPr>
                <w:sz w:val="16"/>
              </w:rPr>
              <w:t>2,660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CIEC — CIEC - Compagnie Ivoirienne d'Elect...</w:t>
            </w:r>
          </w:p>
        </w:tc>
        <w:tc>
          <w:tcPr>
            <w:tcW w:type="dxa" w:w="1701"/>
            <w:shd w:fill="FFFFFF" w:val="clear"/>
          </w:tcPr>
          <w:p>
            <w:r>
              <w:rPr>
                <w:sz w:val="16"/>
              </w:rPr>
              <w:t>SERVICES PUBLICS</w:t>
            </w:r>
          </w:p>
        </w:tc>
        <w:tc>
          <w:tcPr>
            <w:tcW w:type="dxa" w:w="1417"/>
            <w:shd w:fill="FFFFFF" w:val="clear"/>
          </w:tcPr>
          <w:p>
            <w:r>
              <w:rPr>
                <w:sz w:val="16"/>
              </w:rPr>
              <w:t>6,700 FCFA</w:t>
            </w:r>
          </w:p>
        </w:tc>
        <w:tc>
          <w:tcPr>
            <w:tcW w:type="dxa" w:w="1417"/>
            <w:shd w:fill="FFFFFF" w:val="clear"/>
          </w:tcPr>
          <w:p>
            <w:r>
              <w:rPr>
                <w:sz w:val="16"/>
              </w:rPr>
              <w:t>3,237 FCFA</w:t>
            </w:r>
          </w:p>
        </w:tc>
        <w:tc>
          <w:tcPr>
            <w:tcW w:type="dxa" w:w="1134"/>
            <w:shd w:fill="FFC7CE" w:val="clear"/>
          </w:tcPr>
          <w:p>
            <w:r>
              <w:rPr>
                <w:b/>
                <w:color w:val="B40000"/>
                <w:sz w:val="16"/>
              </w:rPr>
              <w:t>-51.69%</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NEIC — NEIC - NEI-CEDA CI</w:t>
            </w:r>
          </w:p>
        </w:tc>
        <w:tc>
          <w:tcPr>
            <w:tcW w:type="dxa" w:w="1701"/>
            <w:shd w:fill="FFFFFF" w:val="clear"/>
          </w:tcPr>
          <w:p>
            <w:r>
              <w:rPr>
                <w:sz w:val="16"/>
              </w:rPr>
              <w:t>CONSOMMATION DISCRET</w:t>
            </w:r>
          </w:p>
        </w:tc>
        <w:tc>
          <w:tcPr>
            <w:tcW w:type="dxa" w:w="1417"/>
            <w:shd w:fill="FFFFFF" w:val="clear"/>
          </w:tcPr>
          <w:p>
            <w:r>
              <w:rPr>
                <w:sz w:val="16"/>
              </w:rPr>
              <w:t>3,000 FCFA</w:t>
            </w:r>
          </w:p>
        </w:tc>
        <w:tc>
          <w:tcPr>
            <w:tcW w:type="dxa" w:w="1417"/>
            <w:shd w:fill="FFFFFF" w:val="clear"/>
          </w:tcPr>
          <w:p>
            <w:r>
              <w:rPr>
                <w:sz w:val="16"/>
              </w:rPr>
              <w:t>1,517 FCFA</w:t>
            </w:r>
          </w:p>
        </w:tc>
        <w:tc>
          <w:tcPr>
            <w:tcW w:type="dxa" w:w="1134"/>
            <w:shd w:fill="FFC7CE" w:val="clear"/>
          </w:tcPr>
          <w:p>
            <w:r>
              <w:rPr>
                <w:b/>
                <w:color w:val="B40000"/>
                <w:sz w:val="16"/>
              </w:rPr>
              <w:t>-49.43%</w:t>
            </w:r>
          </w:p>
        </w:tc>
        <w:tc>
          <w:tcPr>
            <w:tcW w:type="dxa" w:w="1020"/>
            <w:shd w:fill="FFC7CE" w:val="clear"/>
          </w:tcPr>
          <w:p>
            <w:r>
              <w:rPr>
                <w:sz w:val="16"/>
              </w:rPr>
              <w:t>Faible</w:t>
            </w:r>
          </w:p>
        </w:tc>
      </w:tr>
    </w:tbl>
    <w:p/>
    <w:p>
      <w:pPr>
        <w:pStyle w:val="ListBullet"/>
      </w:pPr>
      <w:r>
        <w:rPr>
          <w:b/>
          <w:color w:val="B40000"/>
          <w:sz w:val="18"/>
        </w:rPr>
        <w:t xml:space="preserve">#1 ETIT </w:t>
      </w:r>
      <w:r>
        <w:rPr>
          <w:sz w:val="17"/>
        </w:rPr>
        <w:t>(ETIT - Ecobank Transnational Incorporate) — baisse très forte (-54.1%) — amplitude potentiellement surestimée par le modèle. Trajectoire : 📉 Baisse continue. Cours actuel : 69 FCFA → prédit J+10 : 32 FCFA. ⚠️ Confiance limitée — volatilité élevée. Ne pas agir sur ce seul signal.</w:t>
      </w:r>
    </w:p>
    <w:p>
      <w:pPr>
        <w:pStyle w:val="ListBullet"/>
      </w:pPr>
      <w:r>
        <w:rPr>
          <w:b/>
          <w:color w:val="B40000"/>
          <w:sz w:val="18"/>
        </w:rPr>
        <w:t xml:space="preserve">#2 SCRC </w:t>
      </w:r>
      <w:r>
        <w:rPr>
          <w:sz w:val="17"/>
        </w:rPr>
        <w:t>(SCRC - SUCRIVOIRE) — baisse très forte (-54.1%) — amplitude potentiellement surestimée par le modèle. Trajectoire : 📉 Baisse continue. Cours actuel : 3,570 FCFA → prédit J+10 : 1,637 FCFA. ⚠️ Confiance limitée — volatilité élevée. Ne pas agir sur ce seul signal.</w:t>
      </w:r>
    </w:p>
    <w:p>
      <w:pPr>
        <w:pStyle w:val="ListBullet"/>
      </w:pPr>
      <w:r>
        <w:rPr>
          <w:b/>
          <w:color w:val="B40000"/>
          <w:sz w:val="18"/>
        </w:rPr>
        <w:t xml:space="preserve">#3 SAFC </w:t>
      </w:r>
      <w:r>
        <w:rPr>
          <w:sz w:val="17"/>
        </w:rPr>
        <w:t>(SAFCA CI) — baisse très forte (-54.1%) — amplitude potentiellement surestimée par le modèle. Trajectoire : 📉 Baisse continue. Cours actuel : 5,800 FCFA → prédit J+10 : 2,660 FCFA. ⚠️ Confiance limitée — volatilité élevée. Ne pas agir sur ce seul signal.</w:t>
      </w:r>
    </w:p>
    <w:p>
      <w:pPr>
        <w:pStyle w:val="ListBullet"/>
      </w:pPr>
      <w:r>
        <w:rPr>
          <w:b/>
          <w:color w:val="B40000"/>
          <w:sz w:val="18"/>
        </w:rPr>
        <w:t xml:space="preserve">#4 CIEC </w:t>
      </w:r>
      <w:r>
        <w:rPr>
          <w:sz w:val="17"/>
        </w:rPr>
        <w:t>(CIEC - Compagnie Ivoirienne d'Electricit) — baisse très forte (-51.7%) — amplitude potentiellement surestimée par le modèle. Trajectoire : 📉 Baisse continue. Cours actuel : 6,700 FCFA → prédit J+10 : 3,237 FCFA. ⚠️ Confiance limitée — volatilité élevée. Ne pas agir sur ce seul signal.</w:t>
      </w:r>
    </w:p>
    <w:p>
      <w:pPr>
        <w:pStyle w:val="ListBullet"/>
      </w:pPr>
      <w:r>
        <w:rPr>
          <w:b/>
          <w:color w:val="B40000"/>
          <w:sz w:val="18"/>
        </w:rPr>
        <w:t xml:space="preserve">#5 NEIC </w:t>
      </w:r>
      <w:r>
        <w:rPr>
          <w:sz w:val="17"/>
        </w:rPr>
        <w:t>(NEIC - NEI-CEDA CI) — baisse très forte (-49.4%) — amplitude potentiellement surestimée par le modèle. Trajectoire : 📉 Baisse continue. Cours actuel : 3,000 FCFA → prédit J+10 : 1,517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3,550</w:t>
            </w:r>
          </w:p>
        </w:tc>
        <w:tc>
          <w:tcPr>
            <w:tcW w:type="dxa" w:w="1417"/>
            <w:shd w:fill="FFFFFF" w:val="clear"/>
          </w:tcPr>
          <w:p>
            <w:r>
              <w:rPr>
                <w:sz w:val="16"/>
              </w:rPr>
              <w:t>6,310</w:t>
            </w:r>
          </w:p>
        </w:tc>
        <w:tc>
          <w:tcPr>
            <w:tcW w:type="dxa" w:w="1134"/>
            <w:shd w:fill="C6EFCE" w:val="clear"/>
          </w:tcPr>
          <w:p>
            <w:r>
              <w:rPr>
                <w:b/>
                <w:color w:val="007800"/>
                <w:sz w:val="16"/>
              </w:rPr>
              <w:t>+77.75%</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23,000</w:t>
            </w:r>
          </w:p>
        </w:tc>
        <w:tc>
          <w:tcPr>
            <w:tcW w:type="dxa" w:w="1417"/>
            <w:shd w:fill="FFFFFF" w:val="clear"/>
          </w:tcPr>
          <w:p>
            <w:r>
              <w:rPr>
                <w:sz w:val="16"/>
              </w:rPr>
              <w:t>27,027</w:t>
            </w:r>
          </w:p>
        </w:tc>
        <w:tc>
          <w:tcPr>
            <w:tcW w:type="dxa" w:w="1134"/>
            <w:shd w:fill="C6EFCE" w:val="clear"/>
          </w:tcPr>
          <w:p>
            <w:r>
              <w:rPr>
                <w:b/>
                <w:color w:val="007800"/>
                <w:sz w:val="16"/>
              </w:rPr>
              <w:t>+17.51%</w:t>
            </w:r>
          </w:p>
        </w:tc>
        <w:tc>
          <w:tcPr>
            <w:tcW w:type="dxa" w:w="1134"/>
            <w:shd w:fill="FFEB9C" w:val="clear"/>
          </w:tcPr>
          <w:p>
            <w:r>
              <w:rPr>
                <w:sz w:val="16"/>
              </w:rPr>
              <w:t>Moyenne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54,000</w:t>
            </w:r>
          </w:p>
        </w:tc>
        <w:tc>
          <w:tcPr>
            <w:tcW w:type="dxa" w:w="1417"/>
            <w:shd w:fill="FFFFFF" w:val="clear"/>
          </w:tcPr>
          <w:p>
            <w:r>
              <w:rPr>
                <w:sz w:val="16"/>
              </w:rPr>
              <w:t>60,912</w:t>
            </w:r>
          </w:p>
        </w:tc>
        <w:tc>
          <w:tcPr>
            <w:tcW w:type="dxa" w:w="1134"/>
            <w:shd w:fill="C6EFCE" w:val="clear"/>
          </w:tcPr>
          <w:p>
            <w:r>
              <w:rPr>
                <w:b/>
                <w:color w:val="007800"/>
                <w:sz w:val="16"/>
              </w:rPr>
              <w:t>+12.80%</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22,005</w:t>
            </w:r>
          </w:p>
        </w:tc>
        <w:tc>
          <w:tcPr>
            <w:tcW w:type="dxa" w:w="1417"/>
            <w:shd w:fill="FFFFFF" w:val="clear"/>
          </w:tcPr>
          <w:p>
            <w:r>
              <w:rPr>
                <w:sz w:val="16"/>
              </w:rPr>
              <w:t>24,412</w:t>
            </w:r>
          </w:p>
        </w:tc>
        <w:tc>
          <w:tcPr>
            <w:tcW w:type="dxa" w:w="1134"/>
            <w:shd w:fill="C6EFCE" w:val="clear"/>
          </w:tcPr>
          <w:p>
            <w:r>
              <w:rPr>
                <w:b/>
                <w:color w:val="007800"/>
                <w:sz w:val="16"/>
              </w:rPr>
              <w:t>+10.94%</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2,155</w:t>
            </w:r>
          </w:p>
        </w:tc>
        <w:tc>
          <w:tcPr>
            <w:tcW w:type="dxa" w:w="1417"/>
            <w:shd w:fill="FFFFFF" w:val="clear"/>
          </w:tcPr>
          <w:p>
            <w:r>
              <w:rPr>
                <w:sz w:val="16"/>
              </w:rPr>
              <w:t>2,255</w:t>
            </w:r>
          </w:p>
        </w:tc>
        <w:tc>
          <w:tcPr>
            <w:tcW w:type="dxa" w:w="1134"/>
            <w:shd w:fill="C6EFCE" w:val="clear"/>
          </w:tcPr>
          <w:p>
            <w:r>
              <w:rPr>
                <w:b/>
                <w:color w:val="007800"/>
                <w:sz w:val="16"/>
              </w:rPr>
              <w:t>+4.62%</w:t>
            </w:r>
          </w:p>
        </w:tc>
        <w:tc>
          <w:tcPr>
            <w:tcW w:type="dxa" w:w="1134"/>
            <w:shd w:fill="FFC7CE" w:val="clear"/>
          </w:tcPr>
          <w:p>
            <w:r>
              <w:rPr>
                <w:sz w:val="16"/>
              </w:rPr>
              <w:t>Faible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9,200</w:t>
            </w:r>
          </w:p>
        </w:tc>
        <w:tc>
          <w:tcPr>
            <w:tcW w:type="dxa" w:w="1417"/>
            <w:shd w:fill="FFFFFF" w:val="clear"/>
          </w:tcPr>
          <w:p>
            <w:r>
              <w:rPr>
                <w:sz w:val="16"/>
              </w:rPr>
              <w:t>9,438</w:t>
            </w:r>
          </w:p>
        </w:tc>
        <w:tc>
          <w:tcPr>
            <w:tcW w:type="dxa" w:w="1134"/>
            <w:shd w:fill="C6EFCE" w:val="clear"/>
          </w:tcPr>
          <w:p>
            <w:r>
              <w:rPr>
                <w:b/>
                <w:color w:val="007800"/>
                <w:sz w:val="16"/>
              </w:rPr>
              <w:t>+2.59%</w:t>
            </w:r>
          </w:p>
        </w:tc>
        <w:tc>
          <w:tcPr>
            <w:tcW w:type="dxa" w:w="1134"/>
            <w:shd w:fill="FFEB9C" w:val="clear"/>
          </w:tcPr>
          <w:p>
            <w:r>
              <w:rPr>
                <w:sz w:val="16"/>
              </w:rPr>
              <w:t>Moyenne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4,050</w:t>
            </w:r>
          </w:p>
        </w:tc>
        <w:tc>
          <w:tcPr>
            <w:tcW w:type="dxa" w:w="1417"/>
            <w:shd w:fill="FFFFFF" w:val="clear"/>
          </w:tcPr>
          <w:p>
            <w:r>
              <w:rPr>
                <w:sz w:val="16"/>
              </w:rPr>
              <w:t>4,049</w:t>
            </w:r>
          </w:p>
        </w:tc>
        <w:tc>
          <w:tcPr>
            <w:tcW w:type="dxa" w:w="1134"/>
            <w:shd w:fill="FFEB9C" w:val="clear"/>
          </w:tcPr>
          <w:p>
            <w:r>
              <w:rPr>
                <w:b/>
                <w:color w:val="646400"/>
                <w:sz w:val="16"/>
              </w:rPr>
              <w:t>-0.03%</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37,990</w:t>
            </w:r>
          </w:p>
        </w:tc>
        <w:tc>
          <w:tcPr>
            <w:tcW w:type="dxa" w:w="1417"/>
            <w:shd w:fill="FFFFFF" w:val="clear"/>
          </w:tcPr>
          <w:p>
            <w:r>
              <w:rPr>
                <w:sz w:val="16"/>
              </w:rPr>
              <w:t>37,627</w:t>
            </w:r>
          </w:p>
        </w:tc>
        <w:tc>
          <w:tcPr>
            <w:tcW w:type="dxa" w:w="1134"/>
            <w:shd w:fill="FFEB9C" w:val="clear"/>
          </w:tcPr>
          <w:p>
            <w:r>
              <w:rPr>
                <w:b/>
                <w:color w:val="646400"/>
                <w:sz w:val="16"/>
              </w:rPr>
              <w:t>-0.96%</w:t>
            </w:r>
          </w:p>
        </w:tc>
        <w:tc>
          <w:tcPr>
            <w:tcW w:type="dxa" w:w="1134"/>
            <w:shd w:fill="FFEB9C" w:val="clear"/>
          </w:tcPr>
          <w:p>
            <w:r>
              <w:rPr>
                <w:sz w:val="16"/>
              </w:rPr>
              <w:t>Moyenne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3,200</w:t>
            </w:r>
          </w:p>
        </w:tc>
        <w:tc>
          <w:tcPr>
            <w:tcW w:type="dxa" w:w="1417"/>
            <w:shd w:fill="FFFFFF" w:val="clear"/>
          </w:tcPr>
          <w:p>
            <w:r>
              <w:rPr>
                <w:sz w:val="16"/>
              </w:rPr>
              <w:t>3,153</w:t>
            </w:r>
          </w:p>
        </w:tc>
        <w:tc>
          <w:tcPr>
            <w:tcW w:type="dxa" w:w="1134"/>
            <w:shd w:fill="FFC7CE" w:val="clear"/>
          </w:tcPr>
          <w:p>
            <w:r>
              <w:rPr>
                <w:b/>
                <w:color w:val="B40000"/>
                <w:sz w:val="16"/>
              </w:rPr>
              <w:t>-1.47%</w:t>
            </w:r>
          </w:p>
        </w:tc>
        <w:tc>
          <w:tcPr>
            <w:tcW w:type="dxa" w:w="1134"/>
            <w:shd w:fill="FFEB9C" w:val="clear"/>
          </w:tcPr>
          <w:p>
            <w:r>
              <w:rPr>
                <w:sz w:val="16"/>
              </w:rPr>
              <w:t>Moyenne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8,875</w:t>
            </w:r>
          </w:p>
        </w:tc>
        <w:tc>
          <w:tcPr>
            <w:tcW w:type="dxa" w:w="1417"/>
            <w:shd w:fill="FFFFFF" w:val="clear"/>
          </w:tcPr>
          <w:p>
            <w:r>
              <w:rPr>
                <w:sz w:val="16"/>
              </w:rPr>
              <w:t>8,738</w:t>
            </w:r>
          </w:p>
        </w:tc>
        <w:tc>
          <w:tcPr>
            <w:tcW w:type="dxa" w:w="1134"/>
            <w:shd w:fill="FFC7CE" w:val="clear"/>
          </w:tcPr>
          <w:p>
            <w:r>
              <w:rPr>
                <w:b/>
                <w:color w:val="B40000"/>
                <w:sz w:val="16"/>
              </w:rPr>
              <w:t>-1.54%</w:t>
            </w:r>
          </w:p>
        </w:tc>
        <w:tc>
          <w:tcPr>
            <w:tcW w:type="dxa" w:w="1134"/>
            <w:shd w:fill="FFC7CE" w:val="clear"/>
          </w:tcPr>
          <w:p>
            <w:r>
              <w:rPr>
                <w:sz w:val="16"/>
              </w:rPr>
              <w:t>Faible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2,200</w:t>
            </w:r>
          </w:p>
        </w:tc>
        <w:tc>
          <w:tcPr>
            <w:tcW w:type="dxa" w:w="1417"/>
            <w:shd w:fill="FFFFFF" w:val="clear"/>
          </w:tcPr>
          <w:p>
            <w:r>
              <w:rPr>
                <w:sz w:val="16"/>
              </w:rPr>
              <w:t>2,142</w:t>
            </w:r>
          </w:p>
        </w:tc>
        <w:tc>
          <w:tcPr>
            <w:tcW w:type="dxa" w:w="1134"/>
            <w:shd w:fill="FFC7CE" w:val="clear"/>
          </w:tcPr>
          <w:p>
            <w:r>
              <w:rPr>
                <w:b/>
                <w:color w:val="B40000"/>
                <w:sz w:val="16"/>
              </w:rPr>
              <w:t>-2.65%</w:t>
            </w:r>
          </w:p>
        </w:tc>
        <w:tc>
          <w:tcPr>
            <w:tcW w:type="dxa" w:w="1134"/>
            <w:shd w:fill="FFC7CE" w:val="clear"/>
          </w:tcPr>
          <w:p>
            <w:r>
              <w:rPr>
                <w:sz w:val="16"/>
              </w:rPr>
              <w:t>Faible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5,435</w:t>
            </w:r>
          </w:p>
        </w:tc>
        <w:tc>
          <w:tcPr>
            <w:tcW w:type="dxa" w:w="1417"/>
            <w:shd w:fill="FFFFFF" w:val="clear"/>
          </w:tcPr>
          <w:p>
            <w:r>
              <w:rPr>
                <w:sz w:val="16"/>
              </w:rPr>
              <w:t>5,286</w:t>
            </w:r>
          </w:p>
        </w:tc>
        <w:tc>
          <w:tcPr>
            <w:tcW w:type="dxa" w:w="1134"/>
            <w:shd w:fill="FFC7CE" w:val="clear"/>
          </w:tcPr>
          <w:p>
            <w:r>
              <w:rPr>
                <w:b/>
                <w:color w:val="B40000"/>
                <w:sz w:val="16"/>
              </w:rPr>
              <w:t>-2.75%</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38,500</w:t>
            </w:r>
          </w:p>
        </w:tc>
        <w:tc>
          <w:tcPr>
            <w:tcW w:type="dxa" w:w="1417"/>
            <w:shd w:fill="FFFFFF" w:val="clear"/>
          </w:tcPr>
          <w:p>
            <w:r>
              <w:rPr>
                <w:sz w:val="16"/>
              </w:rPr>
              <w:t>37,288</w:t>
            </w:r>
          </w:p>
        </w:tc>
        <w:tc>
          <w:tcPr>
            <w:tcW w:type="dxa" w:w="1134"/>
            <w:shd w:fill="FFC7CE" w:val="clear"/>
          </w:tcPr>
          <w:p>
            <w:r>
              <w:rPr>
                <w:b/>
                <w:color w:val="B40000"/>
                <w:sz w:val="16"/>
              </w:rPr>
              <w:t>-3.15%</w:t>
            </w:r>
          </w:p>
        </w:tc>
        <w:tc>
          <w:tcPr>
            <w:tcW w:type="dxa" w:w="1134"/>
            <w:shd w:fill="FFEB9C" w:val="clear"/>
          </w:tcPr>
          <w:p>
            <w:r>
              <w:rPr>
                <w:sz w:val="16"/>
              </w:rPr>
              <w:t>Moyenne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2,920</w:t>
            </w:r>
          </w:p>
        </w:tc>
        <w:tc>
          <w:tcPr>
            <w:tcW w:type="dxa" w:w="1417"/>
            <w:shd w:fill="FFFFFF" w:val="clear"/>
          </w:tcPr>
          <w:p>
            <w:r>
              <w:rPr>
                <w:sz w:val="16"/>
              </w:rPr>
              <w:t>2,827</w:t>
            </w:r>
          </w:p>
        </w:tc>
        <w:tc>
          <w:tcPr>
            <w:tcW w:type="dxa" w:w="1134"/>
            <w:shd w:fill="FFC7CE" w:val="clear"/>
          </w:tcPr>
          <w:p>
            <w:r>
              <w:rPr>
                <w:b/>
                <w:color w:val="B40000"/>
                <w:sz w:val="16"/>
              </w:rPr>
              <w:t>-3.18%</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16,535</w:t>
            </w:r>
          </w:p>
        </w:tc>
        <w:tc>
          <w:tcPr>
            <w:tcW w:type="dxa" w:w="1417"/>
            <w:shd w:fill="FFFFFF" w:val="clear"/>
          </w:tcPr>
          <w:p>
            <w:r>
              <w:rPr>
                <w:sz w:val="16"/>
              </w:rPr>
              <w:t>16,001</w:t>
            </w:r>
          </w:p>
        </w:tc>
        <w:tc>
          <w:tcPr>
            <w:tcW w:type="dxa" w:w="1134"/>
            <w:shd w:fill="FFC7CE" w:val="clear"/>
          </w:tcPr>
          <w:p>
            <w:r>
              <w:rPr>
                <w:b/>
                <w:color w:val="B40000"/>
                <w:sz w:val="16"/>
              </w:rPr>
              <w:t>-3.23%</w:t>
            </w:r>
          </w:p>
        </w:tc>
        <w:tc>
          <w:tcPr>
            <w:tcW w:type="dxa" w:w="1134"/>
            <w:shd w:fill="FFC7CE" w:val="clear"/>
          </w:tcPr>
          <w:p>
            <w:r>
              <w:rPr>
                <w:sz w:val="16"/>
              </w:rPr>
              <w:t>Faible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17,500</w:t>
            </w:r>
          </w:p>
        </w:tc>
        <w:tc>
          <w:tcPr>
            <w:tcW w:type="dxa" w:w="1417"/>
            <w:shd w:fill="FFFFFF" w:val="clear"/>
          </w:tcPr>
          <w:p>
            <w:r>
              <w:rPr>
                <w:sz w:val="16"/>
              </w:rPr>
              <w:t>16,902</w:t>
            </w:r>
          </w:p>
        </w:tc>
        <w:tc>
          <w:tcPr>
            <w:tcW w:type="dxa" w:w="1134"/>
            <w:shd w:fill="FFC7CE" w:val="clear"/>
          </w:tcPr>
          <w:p>
            <w:r>
              <w:rPr>
                <w:b/>
                <w:color w:val="B40000"/>
                <w:sz w:val="16"/>
              </w:rPr>
              <w:t>-3.42%</w:t>
            </w:r>
          </w:p>
        </w:tc>
        <w:tc>
          <w:tcPr>
            <w:tcW w:type="dxa" w:w="1134"/>
            <w:shd w:fill="FFEB9C" w:val="clear"/>
          </w:tcPr>
          <w:p>
            <w:r>
              <w:rPr>
                <w:sz w:val="16"/>
              </w:rPr>
              <w:t>Moyenne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3,350</w:t>
            </w:r>
          </w:p>
        </w:tc>
        <w:tc>
          <w:tcPr>
            <w:tcW w:type="dxa" w:w="1417"/>
            <w:shd w:fill="FFFFFF" w:val="clear"/>
          </w:tcPr>
          <w:p>
            <w:r>
              <w:rPr>
                <w:sz w:val="16"/>
              </w:rPr>
              <w:t>3,226</w:t>
            </w:r>
          </w:p>
        </w:tc>
        <w:tc>
          <w:tcPr>
            <w:tcW w:type="dxa" w:w="1134"/>
            <w:shd w:fill="FFC7CE" w:val="clear"/>
          </w:tcPr>
          <w:p>
            <w:r>
              <w:rPr>
                <w:b/>
                <w:color w:val="B40000"/>
                <w:sz w:val="16"/>
              </w:rPr>
              <w:t>-3.71%</w:t>
            </w:r>
          </w:p>
        </w:tc>
        <w:tc>
          <w:tcPr>
            <w:tcW w:type="dxa" w:w="1134"/>
            <w:shd w:fill="FFC7CE" w:val="clear"/>
          </w:tcPr>
          <w:p>
            <w:r>
              <w:rPr>
                <w:sz w:val="16"/>
              </w:rPr>
              <w:t>Faible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17,300</w:t>
            </w:r>
          </w:p>
        </w:tc>
        <w:tc>
          <w:tcPr>
            <w:tcW w:type="dxa" w:w="1417"/>
            <w:shd w:fill="FFFFFF" w:val="clear"/>
          </w:tcPr>
          <w:p>
            <w:r>
              <w:rPr>
                <w:sz w:val="16"/>
              </w:rPr>
              <w:t>16,518</w:t>
            </w:r>
          </w:p>
        </w:tc>
        <w:tc>
          <w:tcPr>
            <w:tcW w:type="dxa" w:w="1134"/>
            <w:shd w:fill="FFC7CE" w:val="clear"/>
          </w:tcPr>
          <w:p>
            <w:r>
              <w:rPr>
                <w:b/>
                <w:color w:val="B40000"/>
                <w:sz w:val="16"/>
              </w:rPr>
              <w:t>-4.52%</w:t>
            </w:r>
          </w:p>
        </w:tc>
        <w:tc>
          <w:tcPr>
            <w:tcW w:type="dxa" w:w="1134"/>
            <w:shd w:fill="FFEB9C" w:val="clear"/>
          </w:tcPr>
          <w:p>
            <w:r>
              <w:rPr>
                <w:sz w:val="16"/>
              </w:rPr>
              <w:t>Moyenne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4,400</w:t>
            </w:r>
          </w:p>
        </w:tc>
        <w:tc>
          <w:tcPr>
            <w:tcW w:type="dxa" w:w="1417"/>
            <w:shd w:fill="FFFFFF" w:val="clear"/>
          </w:tcPr>
          <w:p>
            <w:r>
              <w:rPr>
                <w:sz w:val="16"/>
              </w:rPr>
              <w:t>4,201</w:t>
            </w:r>
          </w:p>
        </w:tc>
        <w:tc>
          <w:tcPr>
            <w:tcW w:type="dxa" w:w="1134"/>
            <w:shd w:fill="FFC7CE" w:val="clear"/>
          </w:tcPr>
          <w:p>
            <w:r>
              <w:rPr>
                <w:b/>
                <w:color w:val="B40000"/>
                <w:sz w:val="16"/>
              </w:rPr>
              <w:t>-4.52%</w:t>
            </w:r>
          </w:p>
        </w:tc>
        <w:tc>
          <w:tcPr>
            <w:tcW w:type="dxa" w:w="1134"/>
            <w:shd w:fill="FFEB9C" w:val="clear"/>
          </w:tcPr>
          <w:p>
            <w:r>
              <w:rPr>
                <w:sz w:val="16"/>
              </w:rPr>
              <w:t>Moyenne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38,000</w:t>
            </w:r>
          </w:p>
        </w:tc>
        <w:tc>
          <w:tcPr>
            <w:tcW w:type="dxa" w:w="1417"/>
            <w:shd w:fill="FFFFFF" w:val="clear"/>
          </w:tcPr>
          <w:p>
            <w:r>
              <w:rPr>
                <w:sz w:val="16"/>
              </w:rPr>
              <w:t>35,765</w:t>
            </w:r>
          </w:p>
        </w:tc>
        <w:tc>
          <w:tcPr>
            <w:tcW w:type="dxa" w:w="1134"/>
            <w:shd w:fill="FFC7CE" w:val="clear"/>
          </w:tcPr>
          <w:p>
            <w:r>
              <w:rPr>
                <w:b/>
                <w:color w:val="B40000"/>
                <w:sz w:val="16"/>
              </w:rPr>
              <w:t>-5.88%</w:t>
            </w:r>
          </w:p>
        </w:tc>
        <w:tc>
          <w:tcPr>
            <w:tcW w:type="dxa" w:w="1134"/>
            <w:shd w:fill="FFC7CE" w:val="clear"/>
          </w:tcPr>
          <w:p>
            <w:r>
              <w:rPr>
                <w:sz w:val="16"/>
              </w:rPr>
              <w:t>Faible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2,425</w:t>
            </w:r>
          </w:p>
        </w:tc>
        <w:tc>
          <w:tcPr>
            <w:tcW w:type="dxa" w:w="1417"/>
            <w:shd w:fill="FFFFFF" w:val="clear"/>
          </w:tcPr>
          <w:p>
            <w:r>
              <w:rPr>
                <w:sz w:val="16"/>
              </w:rPr>
              <w:t>2,274</w:t>
            </w:r>
          </w:p>
        </w:tc>
        <w:tc>
          <w:tcPr>
            <w:tcW w:type="dxa" w:w="1134"/>
            <w:shd w:fill="FFC7CE" w:val="clear"/>
          </w:tcPr>
          <w:p>
            <w:r>
              <w:rPr>
                <w:b/>
                <w:color w:val="B40000"/>
                <w:sz w:val="16"/>
              </w:rPr>
              <w:t>-6.22%</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21,155</w:t>
            </w:r>
          </w:p>
        </w:tc>
        <w:tc>
          <w:tcPr>
            <w:tcW w:type="dxa" w:w="1417"/>
            <w:shd w:fill="FFFFFF" w:val="clear"/>
          </w:tcPr>
          <w:p>
            <w:r>
              <w:rPr>
                <w:sz w:val="16"/>
              </w:rPr>
              <w:t>19,611</w:t>
            </w:r>
          </w:p>
        </w:tc>
        <w:tc>
          <w:tcPr>
            <w:tcW w:type="dxa" w:w="1134"/>
            <w:shd w:fill="FFC7CE" w:val="clear"/>
          </w:tcPr>
          <w:p>
            <w:r>
              <w:rPr>
                <w:b/>
                <w:color w:val="B40000"/>
                <w:sz w:val="16"/>
              </w:rPr>
              <w:t>-7.30%</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10,200</w:t>
            </w:r>
          </w:p>
        </w:tc>
        <w:tc>
          <w:tcPr>
            <w:tcW w:type="dxa" w:w="1417"/>
            <w:shd w:fill="FFFFFF" w:val="clear"/>
          </w:tcPr>
          <w:p>
            <w:r>
              <w:rPr>
                <w:sz w:val="16"/>
              </w:rPr>
              <w:t>9,448</w:t>
            </w:r>
          </w:p>
        </w:tc>
        <w:tc>
          <w:tcPr>
            <w:tcW w:type="dxa" w:w="1134"/>
            <w:shd w:fill="FFC7CE" w:val="clear"/>
          </w:tcPr>
          <w:p>
            <w:r>
              <w:rPr>
                <w:b/>
                <w:color w:val="B40000"/>
                <w:sz w:val="16"/>
              </w:rPr>
              <w:t>-7.37%</w:t>
            </w:r>
          </w:p>
        </w:tc>
        <w:tc>
          <w:tcPr>
            <w:tcW w:type="dxa" w:w="1134"/>
            <w:shd w:fill="FFC7CE" w:val="clear"/>
          </w:tcPr>
          <w:p>
            <w:r>
              <w:rPr>
                <w:sz w:val="16"/>
              </w:rPr>
              <w:t>Faible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1,500</w:t>
            </w:r>
          </w:p>
        </w:tc>
        <w:tc>
          <w:tcPr>
            <w:tcW w:type="dxa" w:w="1417"/>
            <w:shd w:fill="FFFFFF" w:val="clear"/>
          </w:tcPr>
          <w:p>
            <w:r>
              <w:rPr>
                <w:sz w:val="16"/>
              </w:rPr>
              <w:t>1,356</w:t>
            </w:r>
          </w:p>
        </w:tc>
        <w:tc>
          <w:tcPr>
            <w:tcW w:type="dxa" w:w="1134"/>
            <w:shd w:fill="FFC7CE" w:val="clear"/>
          </w:tcPr>
          <w:p>
            <w:r>
              <w:rPr>
                <w:b/>
                <w:color w:val="B40000"/>
                <w:sz w:val="16"/>
              </w:rPr>
              <w:t>-9.62%</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3,100</w:t>
            </w:r>
          </w:p>
        </w:tc>
        <w:tc>
          <w:tcPr>
            <w:tcW w:type="dxa" w:w="1417"/>
            <w:shd w:fill="FFFFFF" w:val="clear"/>
          </w:tcPr>
          <w:p>
            <w:r>
              <w:rPr>
                <w:sz w:val="16"/>
              </w:rPr>
              <w:t>2,705</w:t>
            </w:r>
          </w:p>
        </w:tc>
        <w:tc>
          <w:tcPr>
            <w:tcW w:type="dxa" w:w="1134"/>
            <w:shd w:fill="FFC7CE" w:val="clear"/>
          </w:tcPr>
          <w:p>
            <w:r>
              <w:rPr>
                <w:b/>
                <w:color w:val="B40000"/>
                <w:sz w:val="16"/>
              </w:rPr>
              <w:t>-12.74%</w:t>
            </w:r>
          </w:p>
        </w:tc>
        <w:tc>
          <w:tcPr>
            <w:tcW w:type="dxa" w:w="1134"/>
            <w:shd w:fill="FFC7CE" w:val="clear"/>
          </w:tcPr>
          <w:p>
            <w:r>
              <w:rPr>
                <w:sz w:val="16"/>
              </w:rPr>
              <w:t>Faible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3,850</w:t>
            </w:r>
          </w:p>
        </w:tc>
        <w:tc>
          <w:tcPr>
            <w:tcW w:type="dxa" w:w="1417"/>
            <w:shd w:fill="FFFFFF" w:val="clear"/>
          </w:tcPr>
          <w:p>
            <w:r>
              <w:rPr>
                <w:sz w:val="16"/>
              </w:rPr>
              <w:t>3,284</w:t>
            </w:r>
          </w:p>
        </w:tc>
        <w:tc>
          <w:tcPr>
            <w:tcW w:type="dxa" w:w="1134"/>
            <w:shd w:fill="FFC7CE" w:val="clear"/>
          </w:tcPr>
          <w:p>
            <w:r>
              <w:rPr>
                <w:b/>
                <w:color w:val="B40000"/>
                <w:sz w:val="16"/>
              </w:rPr>
              <w:t>-14.70%</w:t>
            </w:r>
          </w:p>
        </w:tc>
        <w:tc>
          <w:tcPr>
            <w:tcW w:type="dxa" w:w="1134"/>
            <w:shd w:fill="FFC7CE" w:val="clear"/>
          </w:tcPr>
          <w:p>
            <w:r>
              <w:rPr>
                <w:sz w:val="16"/>
              </w:rPr>
              <w:t>Faible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1,755</w:t>
            </w:r>
          </w:p>
        </w:tc>
        <w:tc>
          <w:tcPr>
            <w:tcW w:type="dxa" w:w="1417"/>
            <w:shd w:fill="FFFFFF" w:val="clear"/>
          </w:tcPr>
          <w:p>
            <w:r>
              <w:rPr>
                <w:sz w:val="16"/>
              </w:rPr>
              <w:t>1,488</w:t>
            </w:r>
          </w:p>
        </w:tc>
        <w:tc>
          <w:tcPr>
            <w:tcW w:type="dxa" w:w="1134"/>
            <w:shd w:fill="FFC7CE" w:val="clear"/>
          </w:tcPr>
          <w:p>
            <w:r>
              <w:rPr>
                <w:b/>
                <w:color w:val="B40000"/>
                <w:sz w:val="16"/>
              </w:rPr>
              <w:t>-15.21%</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8,300</w:t>
            </w:r>
          </w:p>
        </w:tc>
        <w:tc>
          <w:tcPr>
            <w:tcW w:type="dxa" w:w="1417"/>
            <w:shd w:fill="FFFFFF" w:val="clear"/>
          </w:tcPr>
          <w:p>
            <w:r>
              <w:rPr>
                <w:sz w:val="16"/>
              </w:rPr>
              <w:t>7,024</w:t>
            </w:r>
          </w:p>
        </w:tc>
        <w:tc>
          <w:tcPr>
            <w:tcW w:type="dxa" w:w="1134"/>
            <w:shd w:fill="FFC7CE" w:val="clear"/>
          </w:tcPr>
          <w:p>
            <w:r>
              <w:rPr>
                <w:b/>
                <w:color w:val="B40000"/>
                <w:sz w:val="16"/>
              </w:rPr>
              <w:t>-15.37%</w:t>
            </w:r>
          </w:p>
        </w:tc>
        <w:tc>
          <w:tcPr>
            <w:tcW w:type="dxa" w:w="1134"/>
            <w:shd w:fill="FFEB9C" w:val="clear"/>
          </w:tcPr>
          <w:p>
            <w:r>
              <w:rPr>
                <w:sz w:val="16"/>
              </w:rPr>
              <w:t>Moyenne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32,680</w:t>
            </w:r>
          </w:p>
        </w:tc>
        <w:tc>
          <w:tcPr>
            <w:tcW w:type="dxa" w:w="1417"/>
            <w:shd w:fill="FFFFFF" w:val="clear"/>
          </w:tcPr>
          <w:p>
            <w:r>
              <w:rPr>
                <w:sz w:val="16"/>
              </w:rPr>
              <w:t>27,532</w:t>
            </w:r>
          </w:p>
        </w:tc>
        <w:tc>
          <w:tcPr>
            <w:tcW w:type="dxa" w:w="1134"/>
            <w:shd w:fill="FFC7CE" w:val="clear"/>
          </w:tcPr>
          <w:p>
            <w:r>
              <w:rPr>
                <w:b/>
                <w:color w:val="B40000"/>
                <w:sz w:val="16"/>
              </w:rPr>
              <w:t>-15.75%</w:t>
            </w:r>
          </w:p>
        </w:tc>
        <w:tc>
          <w:tcPr>
            <w:tcW w:type="dxa" w:w="1134"/>
            <w:shd w:fill="FFEB9C" w:val="clear"/>
          </w:tcPr>
          <w:p>
            <w:r>
              <w:rPr>
                <w:sz w:val="16"/>
              </w:rPr>
              <w:t>Moyenne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13,500</w:t>
            </w:r>
          </w:p>
        </w:tc>
        <w:tc>
          <w:tcPr>
            <w:tcW w:type="dxa" w:w="1417"/>
            <w:shd w:fill="FFFFFF" w:val="clear"/>
          </w:tcPr>
          <w:p>
            <w:r>
              <w:rPr>
                <w:sz w:val="16"/>
              </w:rPr>
              <w:t>11,347</w:t>
            </w:r>
          </w:p>
        </w:tc>
        <w:tc>
          <w:tcPr>
            <w:tcW w:type="dxa" w:w="1134"/>
            <w:shd w:fill="FFC7CE" w:val="clear"/>
          </w:tcPr>
          <w:p>
            <w:r>
              <w:rPr>
                <w:b/>
                <w:color w:val="B40000"/>
                <w:sz w:val="16"/>
              </w:rPr>
              <w:t>-15.95%</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6,490</w:t>
            </w:r>
          </w:p>
        </w:tc>
        <w:tc>
          <w:tcPr>
            <w:tcW w:type="dxa" w:w="1417"/>
            <w:shd w:fill="FFFFFF" w:val="clear"/>
          </w:tcPr>
          <w:p>
            <w:r>
              <w:rPr>
                <w:sz w:val="16"/>
              </w:rPr>
              <w:t>5,453</w:t>
            </w:r>
          </w:p>
        </w:tc>
        <w:tc>
          <w:tcPr>
            <w:tcW w:type="dxa" w:w="1134"/>
            <w:shd w:fill="FFC7CE" w:val="clear"/>
          </w:tcPr>
          <w:p>
            <w:r>
              <w:rPr>
                <w:b/>
                <w:color w:val="B40000"/>
                <w:sz w:val="16"/>
              </w:rPr>
              <w:t>-15.98%</w:t>
            </w:r>
          </w:p>
        </w:tc>
        <w:tc>
          <w:tcPr>
            <w:tcW w:type="dxa" w:w="1134"/>
            <w:shd w:fill="FFEB9C" w:val="clear"/>
          </w:tcPr>
          <w:p>
            <w:r>
              <w:rPr>
                <w:sz w:val="16"/>
              </w:rPr>
              <w:t>Moyenne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8,950</w:t>
            </w:r>
          </w:p>
        </w:tc>
        <w:tc>
          <w:tcPr>
            <w:tcW w:type="dxa" w:w="1417"/>
            <w:shd w:fill="FFFFFF" w:val="clear"/>
          </w:tcPr>
          <w:p>
            <w:r>
              <w:rPr>
                <w:sz w:val="16"/>
              </w:rPr>
              <w:t>7,384</w:t>
            </w:r>
          </w:p>
        </w:tc>
        <w:tc>
          <w:tcPr>
            <w:tcW w:type="dxa" w:w="1134"/>
            <w:shd w:fill="FFC7CE" w:val="clear"/>
          </w:tcPr>
          <w:p>
            <w:r>
              <w:rPr>
                <w:b/>
                <w:color w:val="B40000"/>
                <w:sz w:val="16"/>
              </w:rPr>
              <w:t>-17.50%</w:t>
            </w:r>
          </w:p>
        </w:tc>
        <w:tc>
          <w:tcPr>
            <w:tcW w:type="dxa" w:w="1134"/>
            <w:shd w:fill="FFC7CE" w:val="clear"/>
          </w:tcPr>
          <w:p>
            <w:r>
              <w:rPr>
                <w:sz w:val="16"/>
              </w:rPr>
              <w:t>Faible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7,800</w:t>
            </w:r>
          </w:p>
        </w:tc>
        <w:tc>
          <w:tcPr>
            <w:tcW w:type="dxa" w:w="1417"/>
            <w:shd w:fill="FFFFFF" w:val="clear"/>
          </w:tcPr>
          <w:p>
            <w:r>
              <w:rPr>
                <w:sz w:val="16"/>
              </w:rPr>
              <w:t>6,420</w:t>
            </w:r>
          </w:p>
        </w:tc>
        <w:tc>
          <w:tcPr>
            <w:tcW w:type="dxa" w:w="1134"/>
            <w:shd w:fill="FFC7CE" w:val="clear"/>
          </w:tcPr>
          <w:p>
            <w:r>
              <w:rPr>
                <w:b/>
                <w:color w:val="B40000"/>
                <w:sz w:val="16"/>
              </w:rPr>
              <w:t>-17.69%</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10,350</w:t>
            </w:r>
          </w:p>
        </w:tc>
        <w:tc>
          <w:tcPr>
            <w:tcW w:type="dxa" w:w="1417"/>
            <w:shd w:fill="FFFFFF" w:val="clear"/>
          </w:tcPr>
          <w:p>
            <w:r>
              <w:rPr>
                <w:sz w:val="16"/>
              </w:rPr>
              <w:t>8,456</w:t>
            </w:r>
          </w:p>
        </w:tc>
        <w:tc>
          <w:tcPr>
            <w:tcW w:type="dxa" w:w="1134"/>
            <w:shd w:fill="FFC7CE" w:val="clear"/>
          </w:tcPr>
          <w:p>
            <w:r>
              <w:rPr>
                <w:b/>
                <w:color w:val="B40000"/>
                <w:sz w:val="16"/>
              </w:rPr>
              <w:t>-18.30%</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3,950</w:t>
            </w:r>
          </w:p>
        </w:tc>
        <w:tc>
          <w:tcPr>
            <w:tcW w:type="dxa" w:w="1417"/>
            <w:shd w:fill="FFFFFF" w:val="clear"/>
          </w:tcPr>
          <w:p>
            <w:r>
              <w:rPr>
                <w:sz w:val="16"/>
              </w:rPr>
              <w:t>3,204</w:t>
            </w:r>
          </w:p>
        </w:tc>
        <w:tc>
          <w:tcPr>
            <w:tcW w:type="dxa" w:w="1134"/>
            <w:shd w:fill="FFC7CE" w:val="clear"/>
          </w:tcPr>
          <w:p>
            <w:r>
              <w:rPr>
                <w:b/>
                <w:color w:val="B40000"/>
                <w:sz w:val="16"/>
              </w:rPr>
              <w:t>-18.89%</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9,300</w:t>
            </w:r>
          </w:p>
        </w:tc>
        <w:tc>
          <w:tcPr>
            <w:tcW w:type="dxa" w:w="1417"/>
            <w:shd w:fill="FFFFFF" w:val="clear"/>
          </w:tcPr>
          <w:p>
            <w:r>
              <w:rPr>
                <w:sz w:val="16"/>
              </w:rPr>
              <w:t>7,236</w:t>
            </w:r>
          </w:p>
        </w:tc>
        <w:tc>
          <w:tcPr>
            <w:tcW w:type="dxa" w:w="1134"/>
            <w:shd w:fill="FFC7CE" w:val="clear"/>
          </w:tcPr>
          <w:p>
            <w:r>
              <w:rPr>
                <w:b/>
                <w:color w:val="B40000"/>
                <w:sz w:val="16"/>
              </w:rPr>
              <w:t>-22.19%</w:t>
            </w:r>
          </w:p>
        </w:tc>
        <w:tc>
          <w:tcPr>
            <w:tcW w:type="dxa" w:w="1134"/>
            <w:shd w:fill="FFEB9C" w:val="clear"/>
          </w:tcPr>
          <w:p>
            <w:r>
              <w:rPr>
                <w:sz w:val="16"/>
              </w:rPr>
              <w:t>Moyenne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2,400</w:t>
            </w:r>
          </w:p>
        </w:tc>
        <w:tc>
          <w:tcPr>
            <w:tcW w:type="dxa" w:w="1417"/>
            <w:shd w:fill="FFFFFF" w:val="clear"/>
          </w:tcPr>
          <w:p>
            <w:r>
              <w:rPr>
                <w:sz w:val="16"/>
              </w:rPr>
              <w:t>1,844</w:t>
            </w:r>
          </w:p>
        </w:tc>
        <w:tc>
          <w:tcPr>
            <w:tcW w:type="dxa" w:w="1134"/>
            <w:shd w:fill="FFC7CE" w:val="clear"/>
          </w:tcPr>
          <w:p>
            <w:r>
              <w:rPr>
                <w:b/>
                <w:color w:val="B40000"/>
                <w:sz w:val="16"/>
              </w:rPr>
              <w:t>-23.18%</w:t>
            </w:r>
          </w:p>
        </w:tc>
        <w:tc>
          <w:tcPr>
            <w:tcW w:type="dxa" w:w="1134"/>
            <w:shd w:fill="FFC7CE" w:val="clear"/>
          </w:tcPr>
          <w:p>
            <w:r>
              <w:rPr>
                <w:sz w:val="16"/>
              </w:rPr>
              <w:t>Faible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2,400</w:t>
            </w:r>
          </w:p>
        </w:tc>
        <w:tc>
          <w:tcPr>
            <w:tcW w:type="dxa" w:w="1417"/>
            <w:shd w:fill="FFFFFF" w:val="clear"/>
          </w:tcPr>
          <w:p>
            <w:r>
              <w:rPr>
                <w:sz w:val="16"/>
              </w:rPr>
              <w:t>1,693</w:t>
            </w:r>
          </w:p>
        </w:tc>
        <w:tc>
          <w:tcPr>
            <w:tcW w:type="dxa" w:w="1134"/>
            <w:shd w:fill="FFC7CE" w:val="clear"/>
          </w:tcPr>
          <w:p>
            <w:r>
              <w:rPr>
                <w:b/>
                <w:color w:val="B40000"/>
                <w:sz w:val="16"/>
              </w:rPr>
              <w:t>-29.47%</w:t>
            </w:r>
          </w:p>
        </w:tc>
        <w:tc>
          <w:tcPr>
            <w:tcW w:type="dxa" w:w="1134"/>
            <w:shd w:fill="FFC7CE" w:val="clear"/>
          </w:tcPr>
          <w:p>
            <w:r>
              <w:rPr>
                <w:sz w:val="16"/>
              </w:rPr>
              <w:t>Faible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12,500</w:t>
            </w:r>
          </w:p>
        </w:tc>
        <w:tc>
          <w:tcPr>
            <w:tcW w:type="dxa" w:w="1417"/>
            <w:shd w:fill="FFFFFF" w:val="clear"/>
          </w:tcPr>
          <w:p>
            <w:r>
              <w:rPr>
                <w:sz w:val="16"/>
              </w:rPr>
              <w:t>8,770</w:t>
            </w:r>
          </w:p>
        </w:tc>
        <w:tc>
          <w:tcPr>
            <w:tcW w:type="dxa" w:w="1134"/>
            <w:shd w:fill="FFC7CE" w:val="clear"/>
          </w:tcPr>
          <w:p>
            <w:r>
              <w:rPr>
                <w:b/>
                <w:color w:val="B40000"/>
                <w:sz w:val="16"/>
              </w:rPr>
              <w:t>-29.84%</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2,690</w:t>
            </w:r>
          </w:p>
        </w:tc>
        <w:tc>
          <w:tcPr>
            <w:tcW w:type="dxa" w:w="1417"/>
            <w:shd w:fill="FFFFFF" w:val="clear"/>
          </w:tcPr>
          <w:p>
            <w:r>
              <w:rPr>
                <w:sz w:val="16"/>
              </w:rPr>
              <w:t>1,579</w:t>
            </w:r>
          </w:p>
        </w:tc>
        <w:tc>
          <w:tcPr>
            <w:tcW w:type="dxa" w:w="1134"/>
            <w:shd w:fill="FFC7CE" w:val="clear"/>
          </w:tcPr>
          <w:p>
            <w:r>
              <w:rPr>
                <w:b/>
                <w:color w:val="B40000"/>
                <w:sz w:val="16"/>
              </w:rPr>
              <w:t>-41.30%</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10,110</w:t>
            </w:r>
          </w:p>
        </w:tc>
        <w:tc>
          <w:tcPr>
            <w:tcW w:type="dxa" w:w="1417"/>
            <w:shd w:fill="FFFFFF" w:val="clear"/>
          </w:tcPr>
          <w:p>
            <w:r>
              <w:rPr>
                <w:sz w:val="16"/>
              </w:rPr>
              <w:t>5,612</w:t>
            </w:r>
          </w:p>
        </w:tc>
        <w:tc>
          <w:tcPr>
            <w:tcW w:type="dxa" w:w="1134"/>
            <w:shd w:fill="FFC7CE" w:val="clear"/>
          </w:tcPr>
          <w:p>
            <w:r>
              <w:rPr>
                <w:b/>
                <w:color w:val="B40000"/>
                <w:sz w:val="16"/>
              </w:rPr>
              <w:t>-44.49%</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33,100</w:t>
            </w:r>
          </w:p>
        </w:tc>
        <w:tc>
          <w:tcPr>
            <w:tcW w:type="dxa" w:w="1417"/>
            <w:shd w:fill="FFFFFF" w:val="clear"/>
          </w:tcPr>
          <w:p>
            <w:r>
              <w:rPr>
                <w:sz w:val="16"/>
              </w:rPr>
              <w:t>17,700</w:t>
            </w:r>
          </w:p>
        </w:tc>
        <w:tc>
          <w:tcPr>
            <w:tcW w:type="dxa" w:w="1134"/>
            <w:shd w:fill="FFC7CE" w:val="clear"/>
          </w:tcPr>
          <w:p>
            <w:r>
              <w:rPr>
                <w:b/>
                <w:color w:val="B40000"/>
                <w:sz w:val="16"/>
              </w:rPr>
              <w:t>-46.52%</w:t>
            </w:r>
          </w:p>
        </w:tc>
        <w:tc>
          <w:tcPr>
            <w:tcW w:type="dxa" w:w="1134"/>
            <w:shd w:fill="FFEB9C" w:val="clear"/>
          </w:tcPr>
          <w:p>
            <w:r>
              <w:rPr>
                <w:sz w:val="16"/>
              </w:rPr>
              <w:t>Moyenne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3,000</w:t>
            </w:r>
          </w:p>
        </w:tc>
        <w:tc>
          <w:tcPr>
            <w:tcW w:type="dxa" w:w="1417"/>
            <w:shd w:fill="FFFFFF" w:val="clear"/>
          </w:tcPr>
          <w:p>
            <w:r>
              <w:rPr>
                <w:sz w:val="16"/>
              </w:rPr>
              <w:t>1,517</w:t>
            </w:r>
          </w:p>
        </w:tc>
        <w:tc>
          <w:tcPr>
            <w:tcW w:type="dxa" w:w="1134"/>
            <w:shd w:fill="FFC7CE" w:val="clear"/>
          </w:tcPr>
          <w:p>
            <w:r>
              <w:rPr>
                <w:b/>
                <w:color w:val="B40000"/>
                <w:sz w:val="16"/>
              </w:rPr>
              <w:t>-49.43%</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6,700</w:t>
            </w:r>
          </w:p>
        </w:tc>
        <w:tc>
          <w:tcPr>
            <w:tcW w:type="dxa" w:w="1417"/>
            <w:shd w:fill="FFFFFF" w:val="clear"/>
          </w:tcPr>
          <w:p>
            <w:r>
              <w:rPr>
                <w:sz w:val="16"/>
              </w:rPr>
              <w:t>3,237</w:t>
            </w:r>
          </w:p>
        </w:tc>
        <w:tc>
          <w:tcPr>
            <w:tcW w:type="dxa" w:w="1134"/>
            <w:shd w:fill="FFC7CE" w:val="clear"/>
          </w:tcPr>
          <w:p>
            <w:r>
              <w:rPr>
                <w:b/>
                <w:color w:val="B40000"/>
                <w:sz w:val="16"/>
              </w:rPr>
              <w:t>-51.69%</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5,800</w:t>
            </w:r>
          </w:p>
        </w:tc>
        <w:tc>
          <w:tcPr>
            <w:tcW w:type="dxa" w:w="1417"/>
            <w:shd w:fill="FFFFFF" w:val="clear"/>
          </w:tcPr>
          <w:p>
            <w:r>
              <w:rPr>
                <w:sz w:val="16"/>
              </w:rPr>
              <w:t>2,660</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3,570</w:t>
            </w:r>
          </w:p>
        </w:tc>
        <w:tc>
          <w:tcPr>
            <w:tcW w:type="dxa" w:w="1417"/>
            <w:shd w:fill="FFFFFF" w:val="clear"/>
          </w:tcPr>
          <w:p>
            <w:r>
              <w:rPr>
                <w:sz w:val="16"/>
              </w:rPr>
              <w:t>1,637</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69</w:t>
            </w:r>
          </w:p>
        </w:tc>
        <w:tc>
          <w:tcPr>
            <w:tcW w:type="dxa" w:w="1417"/>
            <w:shd w:fill="FFFFFF" w:val="clear"/>
          </w:tcPr>
          <w:p>
            <w:r>
              <w:rPr>
                <w:sz w:val="16"/>
              </w:rPr>
              <w:t>32</w:t>
            </w:r>
          </w:p>
        </w:tc>
        <w:tc>
          <w:tcPr>
            <w:tcW w:type="dxa" w:w="1134"/>
            <w:shd w:fill="FFC7CE" w:val="clear"/>
          </w:tcPr>
          <w:p>
            <w:r>
              <w:rPr>
                <w:b/>
                <w:color w:val="B40000"/>
                <w:sz w:val="16"/>
              </w:rPr>
              <w:t>-54.14%</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43.10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3,337 titres</w:t>
            </w:r>
          </w:p>
        </w:tc>
        <w:tc>
          <w:tcPr>
            <w:tcW w:type="dxa" w:w="2268"/>
            <w:shd w:fill="FFF2CC" w:val="clear"/>
          </w:tcPr>
          <w:p>
            <w:r>
              <w:rPr>
                <w:b/>
                <w:color w:val="503200"/>
                <w:sz w:val="16"/>
              </w:rPr>
              <w:t xml:space="preserve">Cours actuel : </w:t>
            </w:r>
            <w:r>
              <w:rPr>
                <w:color w:val="000000"/>
                <w:sz w:val="17"/>
              </w:rPr>
              <w:t>3,950 FCFA</w:t>
            </w:r>
          </w:p>
          <w:p>
            <w:r>
              <w:rPr>
                <w:b/>
                <w:color w:val="503200"/>
                <w:sz w:val="16"/>
              </w:rPr>
              <w:t xml:space="preserve">Var. 100 jours : </w:t>
            </w:r>
            <w:r>
              <w:rPr>
                <w:b/>
                <w:color w:val="007800"/>
                <w:sz w:val="17"/>
              </w:rPr>
              <w:t>+15.50%</w:t>
            </w:r>
          </w:p>
          <w:p>
            <w:r>
              <w:rPr>
                <w:b/>
                <w:color w:val="503200"/>
                <w:sz w:val="16"/>
              </w:rPr>
              <w:t xml:space="preserve">Plus haut 100j : </w:t>
            </w:r>
            <w:r>
              <w:rPr>
                <w:color w:val="000000"/>
                <w:sz w:val="17"/>
              </w:rPr>
              <w:t>3,950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49.2%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7.95% (Moyenne) — μ=3,222 FCFA, σ=256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β=0.1918 (Défensif) — Cov=0.000007, Var(idx)=0.000036, ρ=0.037,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3,337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σ_j=3.10%/j (Modérée) — Vol. annualisée≈49.2%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2026-09-04</w:t>
            </w:r>
          </w:p>
        </w:tc>
        <w:tc>
          <w:tcPr>
            <w:tcW w:type="dxa" w:w="1440"/>
            <w:shd w:fill="FFDCE0" w:val="clear"/>
          </w:tcPr>
          <w:p>
            <w:r>
              <w:rPr>
                <w:sz w:val="17"/>
              </w:rPr>
              <w:t>3,606</w:t>
            </w:r>
          </w:p>
        </w:tc>
        <w:tc>
          <w:tcPr>
            <w:tcW w:type="dxa" w:w="1440"/>
            <w:shd w:fill="FFDCE0" w:val="clear"/>
          </w:tcPr>
          <w:p>
            <w:r>
              <w:rPr>
                <w:b/>
                <w:sz w:val="17"/>
              </w:rPr>
              <w:t>3,794</w:t>
            </w:r>
          </w:p>
        </w:tc>
        <w:tc>
          <w:tcPr>
            <w:tcW w:type="dxa" w:w="1440"/>
            <w:shd w:fill="FFDCE0" w:val="clear"/>
          </w:tcPr>
          <w:p>
            <w:r>
              <w:rPr>
                <w:sz w:val="17"/>
              </w:rPr>
              <w:t>3,982</w:t>
            </w:r>
          </w:p>
        </w:tc>
        <w:tc>
          <w:tcPr>
            <w:tcW w:type="dxa" w:w="1440"/>
            <w:shd w:fill="FFDCE0" w:val="clear"/>
          </w:tcPr>
          <w:p>
            <w:r>
              <w:rPr>
                <w:b/>
                <w:color w:val="C00000"/>
                <w:sz w:val="17"/>
              </w:rPr>
              <w:t>-4.0%</w:t>
            </w:r>
          </w:p>
        </w:tc>
      </w:tr>
      <w:tr>
        <w:tc>
          <w:tcPr>
            <w:tcW w:type="dxa" w:w="1440"/>
            <w:shd w:fill="FFDCE0" w:val="clear"/>
          </w:tcPr>
          <w:p>
            <w:r>
              <w:rPr>
                <w:sz w:val="17"/>
              </w:rPr>
              <w:t>J+2  Moyenne</w:t>
            </w:r>
          </w:p>
        </w:tc>
        <w:tc>
          <w:tcPr>
            <w:tcW w:type="dxa" w:w="1440"/>
            <w:shd w:fill="FFDCE0" w:val="clear"/>
          </w:tcPr>
          <w:p>
            <w:r>
              <w:rPr>
                <w:sz w:val="17"/>
              </w:rPr>
              <w:t>2026-09-07</w:t>
            </w:r>
          </w:p>
        </w:tc>
        <w:tc>
          <w:tcPr>
            <w:tcW w:type="dxa" w:w="1440"/>
            <w:shd w:fill="FFDCE0" w:val="clear"/>
          </w:tcPr>
          <w:p>
            <w:r>
              <w:rPr>
                <w:sz w:val="17"/>
              </w:rPr>
              <w:t>3,456</w:t>
            </w:r>
          </w:p>
        </w:tc>
        <w:tc>
          <w:tcPr>
            <w:tcW w:type="dxa" w:w="1440"/>
            <w:shd w:fill="FFDCE0" w:val="clear"/>
          </w:tcPr>
          <w:p>
            <w:r>
              <w:rPr>
                <w:b/>
                <w:sz w:val="17"/>
              </w:rPr>
              <w:t>3,716</w:t>
            </w:r>
          </w:p>
        </w:tc>
        <w:tc>
          <w:tcPr>
            <w:tcW w:type="dxa" w:w="1440"/>
            <w:shd w:fill="FFDCE0" w:val="clear"/>
          </w:tcPr>
          <w:p>
            <w:r>
              <w:rPr>
                <w:sz w:val="17"/>
              </w:rPr>
              <w:t>3,977</w:t>
            </w:r>
          </w:p>
        </w:tc>
        <w:tc>
          <w:tcPr>
            <w:tcW w:type="dxa" w:w="1440"/>
            <w:shd w:fill="FFDCE0" w:val="clear"/>
          </w:tcPr>
          <w:p>
            <w:r>
              <w:rPr>
                <w:b/>
                <w:color w:val="C00000"/>
                <w:sz w:val="17"/>
              </w:rPr>
              <w:t>-5.9%</w:t>
            </w:r>
          </w:p>
        </w:tc>
      </w:tr>
      <w:tr>
        <w:tc>
          <w:tcPr>
            <w:tcW w:type="dxa" w:w="1440"/>
            <w:shd w:fill="FFDCE0" w:val="clear"/>
          </w:tcPr>
          <w:p>
            <w:r>
              <w:rPr>
                <w:sz w:val="17"/>
              </w:rPr>
              <w:t>J+3  Moyenne</w:t>
            </w:r>
          </w:p>
        </w:tc>
        <w:tc>
          <w:tcPr>
            <w:tcW w:type="dxa" w:w="1440"/>
            <w:shd w:fill="FFDCE0" w:val="clear"/>
          </w:tcPr>
          <w:p>
            <w:r>
              <w:rPr>
                <w:sz w:val="17"/>
              </w:rPr>
              <w:t>2026-09-08</w:t>
            </w:r>
          </w:p>
        </w:tc>
        <w:tc>
          <w:tcPr>
            <w:tcW w:type="dxa" w:w="1440"/>
            <w:shd w:fill="FFDCE0" w:val="clear"/>
          </w:tcPr>
          <w:p>
            <w:r>
              <w:rPr>
                <w:sz w:val="17"/>
              </w:rPr>
              <w:t>3,312</w:t>
            </w:r>
          </w:p>
        </w:tc>
        <w:tc>
          <w:tcPr>
            <w:tcW w:type="dxa" w:w="1440"/>
            <w:shd w:fill="FFDCE0" w:val="clear"/>
          </w:tcPr>
          <w:p>
            <w:r>
              <w:rPr>
                <w:b/>
                <w:sz w:val="17"/>
              </w:rPr>
              <w:t>3,622</w:t>
            </w:r>
          </w:p>
        </w:tc>
        <w:tc>
          <w:tcPr>
            <w:tcW w:type="dxa" w:w="1440"/>
            <w:shd w:fill="FFDCE0" w:val="clear"/>
          </w:tcPr>
          <w:p>
            <w:r>
              <w:rPr>
                <w:sz w:val="17"/>
              </w:rPr>
              <w:t>3,933</w:t>
            </w:r>
          </w:p>
        </w:tc>
        <w:tc>
          <w:tcPr>
            <w:tcW w:type="dxa" w:w="1440"/>
            <w:shd w:fill="FFDCE0" w:val="clear"/>
          </w:tcPr>
          <w:p>
            <w:r>
              <w:rPr>
                <w:b/>
                <w:color w:val="C00000"/>
                <w:sz w:val="17"/>
              </w:rPr>
              <w:t>-8.3%</w:t>
            </w:r>
          </w:p>
        </w:tc>
      </w:tr>
      <w:tr>
        <w:tc>
          <w:tcPr>
            <w:tcW w:type="dxa" w:w="1440"/>
            <w:shd w:fill="FFDCE0" w:val="clear"/>
          </w:tcPr>
          <w:p>
            <w:r>
              <w:rPr>
                <w:sz w:val="17"/>
              </w:rPr>
              <w:t>J+4  ⭐</w:t>
            </w:r>
          </w:p>
        </w:tc>
        <w:tc>
          <w:tcPr>
            <w:tcW w:type="dxa" w:w="1440"/>
            <w:shd w:fill="FFDCE0" w:val="clear"/>
          </w:tcPr>
          <w:p>
            <w:r>
              <w:rPr>
                <w:sz w:val="17"/>
              </w:rPr>
              <w:t>2026-09-09</w:t>
            </w:r>
          </w:p>
        </w:tc>
        <w:tc>
          <w:tcPr>
            <w:tcW w:type="dxa" w:w="1440"/>
            <w:shd w:fill="FFDCE0" w:val="clear"/>
          </w:tcPr>
          <w:p>
            <w:r>
              <w:rPr>
                <w:sz w:val="17"/>
              </w:rPr>
              <w:t>3,192</w:t>
            </w:r>
          </w:p>
        </w:tc>
        <w:tc>
          <w:tcPr>
            <w:tcW w:type="dxa" w:w="1440"/>
            <w:shd w:fill="FFDCE0" w:val="clear"/>
          </w:tcPr>
          <w:p>
            <w:r>
              <w:rPr>
                <w:b/>
                <w:sz w:val="17"/>
              </w:rPr>
              <w:t>3,543</w:t>
            </w:r>
          </w:p>
        </w:tc>
        <w:tc>
          <w:tcPr>
            <w:tcW w:type="dxa" w:w="1440"/>
            <w:shd w:fill="FFDCE0" w:val="clear"/>
          </w:tcPr>
          <w:p>
            <w:r>
              <w:rPr>
                <w:sz w:val="17"/>
              </w:rPr>
              <w:t>3,894</w:t>
            </w:r>
          </w:p>
        </w:tc>
        <w:tc>
          <w:tcPr>
            <w:tcW w:type="dxa" w:w="1440"/>
            <w:shd w:fill="FFDCE0" w:val="clear"/>
          </w:tcPr>
          <w:p>
            <w:r>
              <w:rPr>
                <w:b/>
                <w:color w:val="C00000"/>
                <w:sz w:val="17"/>
              </w:rPr>
              <w:t>-10.3%</w:t>
            </w:r>
          </w:p>
        </w:tc>
      </w:tr>
      <w:tr>
        <w:tc>
          <w:tcPr>
            <w:tcW w:type="dxa" w:w="1440"/>
            <w:shd w:fill="FFDCE0" w:val="clear"/>
          </w:tcPr>
          <w:p>
            <w:r>
              <w:rPr>
                <w:sz w:val="17"/>
              </w:rPr>
              <w:t>J+5  ⭐</w:t>
            </w:r>
          </w:p>
        </w:tc>
        <w:tc>
          <w:tcPr>
            <w:tcW w:type="dxa" w:w="1440"/>
            <w:shd w:fill="FFDCE0" w:val="clear"/>
          </w:tcPr>
          <w:p>
            <w:r>
              <w:rPr>
                <w:sz w:val="17"/>
              </w:rPr>
              <w:t>2026-09-10</w:t>
            </w:r>
          </w:p>
        </w:tc>
        <w:tc>
          <w:tcPr>
            <w:tcW w:type="dxa" w:w="1440"/>
            <w:shd w:fill="FFDCE0" w:val="clear"/>
          </w:tcPr>
          <w:p>
            <w:r>
              <w:rPr>
                <w:sz w:val="17"/>
              </w:rPr>
              <w:t>3,090</w:t>
            </w:r>
          </w:p>
        </w:tc>
        <w:tc>
          <w:tcPr>
            <w:tcW w:type="dxa" w:w="1440"/>
            <w:shd w:fill="FFDCE0" w:val="clear"/>
          </w:tcPr>
          <w:p>
            <w:r>
              <w:rPr>
                <w:b/>
                <w:sz w:val="17"/>
              </w:rPr>
              <w:t>3,475</w:t>
            </w:r>
          </w:p>
        </w:tc>
        <w:tc>
          <w:tcPr>
            <w:tcW w:type="dxa" w:w="1440"/>
            <w:shd w:fill="FFDCE0" w:val="clear"/>
          </w:tcPr>
          <w:p>
            <w:r>
              <w:rPr>
                <w:sz w:val="17"/>
              </w:rPr>
              <w:t>3,859</w:t>
            </w:r>
          </w:p>
        </w:tc>
        <w:tc>
          <w:tcPr>
            <w:tcW w:type="dxa" w:w="1440"/>
            <w:shd w:fill="FFDCE0" w:val="clear"/>
          </w:tcPr>
          <w:p>
            <w:r>
              <w:rPr>
                <w:b/>
                <w:color w:val="C00000"/>
                <w:sz w:val="17"/>
              </w:rPr>
              <w:t>-12.0%</w:t>
            </w:r>
          </w:p>
        </w:tc>
      </w:tr>
      <w:tr>
        <w:tc>
          <w:tcPr>
            <w:tcW w:type="dxa" w:w="1440"/>
            <w:shd w:fill="FFDCE0" w:val="clear"/>
          </w:tcPr>
          <w:p>
            <w:r>
              <w:rPr>
                <w:sz w:val="17"/>
              </w:rPr>
              <w:t>J+6  ⭐</w:t>
            </w:r>
          </w:p>
        </w:tc>
        <w:tc>
          <w:tcPr>
            <w:tcW w:type="dxa" w:w="1440"/>
            <w:shd w:fill="FFDCE0" w:val="clear"/>
          </w:tcPr>
          <w:p>
            <w:r>
              <w:rPr>
                <w:sz w:val="17"/>
              </w:rPr>
              <w:t>2026-09-11</w:t>
            </w:r>
          </w:p>
        </w:tc>
        <w:tc>
          <w:tcPr>
            <w:tcW w:type="dxa" w:w="1440"/>
            <w:shd w:fill="FFDCE0" w:val="clear"/>
          </w:tcPr>
          <w:p>
            <w:r>
              <w:rPr>
                <w:sz w:val="17"/>
              </w:rPr>
              <w:t>2,999</w:t>
            </w:r>
          </w:p>
        </w:tc>
        <w:tc>
          <w:tcPr>
            <w:tcW w:type="dxa" w:w="1440"/>
            <w:shd w:fill="FFDCE0" w:val="clear"/>
          </w:tcPr>
          <w:p>
            <w:r>
              <w:rPr>
                <w:b/>
                <w:sz w:val="17"/>
              </w:rPr>
              <w:t>3,413</w:t>
            </w:r>
          </w:p>
        </w:tc>
        <w:tc>
          <w:tcPr>
            <w:tcW w:type="dxa" w:w="1440"/>
            <w:shd w:fill="FFDCE0" w:val="clear"/>
          </w:tcPr>
          <w:p>
            <w:r>
              <w:rPr>
                <w:sz w:val="17"/>
              </w:rPr>
              <w:t>3,827</w:t>
            </w:r>
          </w:p>
        </w:tc>
        <w:tc>
          <w:tcPr>
            <w:tcW w:type="dxa" w:w="1440"/>
            <w:shd w:fill="FFDCE0" w:val="clear"/>
          </w:tcPr>
          <w:p>
            <w:r>
              <w:rPr>
                <w:b/>
                <w:color w:val="C00000"/>
                <w:sz w:val="17"/>
              </w:rPr>
              <w:t>-13.6%</w:t>
            </w:r>
          </w:p>
        </w:tc>
      </w:tr>
      <w:tr>
        <w:tc>
          <w:tcPr>
            <w:tcW w:type="dxa" w:w="1440"/>
            <w:shd w:fill="FFDCE0" w:val="clear"/>
          </w:tcPr>
          <w:p>
            <w:r>
              <w:rPr>
                <w:sz w:val="17"/>
              </w:rPr>
              <w:t>J+7  ⭐</w:t>
            </w:r>
          </w:p>
        </w:tc>
        <w:tc>
          <w:tcPr>
            <w:tcW w:type="dxa" w:w="1440"/>
            <w:shd w:fill="FFDCE0" w:val="clear"/>
          </w:tcPr>
          <w:p>
            <w:r>
              <w:rPr>
                <w:sz w:val="17"/>
              </w:rPr>
              <w:t>2026-09-14</w:t>
            </w:r>
          </w:p>
        </w:tc>
        <w:tc>
          <w:tcPr>
            <w:tcW w:type="dxa" w:w="1440"/>
            <w:shd w:fill="FFDCE0" w:val="clear"/>
          </w:tcPr>
          <w:p>
            <w:r>
              <w:rPr>
                <w:sz w:val="17"/>
              </w:rPr>
              <w:t>2,916</w:t>
            </w:r>
          </w:p>
        </w:tc>
        <w:tc>
          <w:tcPr>
            <w:tcW w:type="dxa" w:w="1440"/>
            <w:shd w:fill="FFDCE0" w:val="clear"/>
          </w:tcPr>
          <w:p>
            <w:r>
              <w:rPr>
                <w:b/>
                <w:sz w:val="17"/>
              </w:rPr>
              <w:t>3,355</w:t>
            </w:r>
          </w:p>
        </w:tc>
        <w:tc>
          <w:tcPr>
            <w:tcW w:type="dxa" w:w="1440"/>
            <w:shd w:fill="FFDCE0" w:val="clear"/>
          </w:tcPr>
          <w:p>
            <w:r>
              <w:rPr>
                <w:sz w:val="17"/>
              </w:rPr>
              <w:t>3,795</w:t>
            </w:r>
          </w:p>
        </w:tc>
        <w:tc>
          <w:tcPr>
            <w:tcW w:type="dxa" w:w="1440"/>
            <w:shd w:fill="FFDCE0" w:val="clear"/>
          </w:tcPr>
          <w:p>
            <w:r>
              <w:rPr>
                <w:b/>
                <w:color w:val="C00000"/>
                <w:sz w:val="17"/>
              </w:rPr>
              <w:t>-15.1%</w:t>
            </w:r>
          </w:p>
        </w:tc>
      </w:tr>
      <w:tr>
        <w:tc>
          <w:tcPr>
            <w:tcW w:type="dxa" w:w="1440"/>
            <w:shd w:fill="FFDCE0" w:val="clear"/>
          </w:tcPr>
          <w:p>
            <w:r>
              <w:rPr>
                <w:sz w:val="17"/>
              </w:rPr>
              <w:t>J+8  ⭐</w:t>
            </w:r>
          </w:p>
        </w:tc>
        <w:tc>
          <w:tcPr>
            <w:tcW w:type="dxa" w:w="1440"/>
            <w:shd w:fill="FFDCE0" w:val="clear"/>
          </w:tcPr>
          <w:p>
            <w:r>
              <w:rPr>
                <w:sz w:val="17"/>
              </w:rPr>
              <w:t>2026-09-15</w:t>
            </w:r>
          </w:p>
        </w:tc>
        <w:tc>
          <w:tcPr>
            <w:tcW w:type="dxa" w:w="1440"/>
            <w:shd w:fill="FFDCE0" w:val="clear"/>
          </w:tcPr>
          <w:p>
            <w:r>
              <w:rPr>
                <w:sz w:val="17"/>
              </w:rPr>
              <w:t>2,839</w:t>
            </w:r>
          </w:p>
        </w:tc>
        <w:tc>
          <w:tcPr>
            <w:tcW w:type="dxa" w:w="1440"/>
            <w:shd w:fill="FFDCE0" w:val="clear"/>
          </w:tcPr>
          <w:p>
            <w:r>
              <w:rPr>
                <w:b/>
                <w:sz w:val="17"/>
              </w:rPr>
              <w:t>3,302</w:t>
            </w:r>
          </w:p>
        </w:tc>
        <w:tc>
          <w:tcPr>
            <w:tcW w:type="dxa" w:w="1440"/>
            <w:shd w:fill="FFDCE0" w:val="clear"/>
          </w:tcPr>
          <w:p>
            <w:r>
              <w:rPr>
                <w:sz w:val="17"/>
              </w:rPr>
              <w:t>3,764</w:t>
            </w:r>
          </w:p>
        </w:tc>
        <w:tc>
          <w:tcPr>
            <w:tcW w:type="dxa" w:w="1440"/>
            <w:shd w:fill="FFDCE0" w:val="clear"/>
          </w:tcPr>
          <w:p>
            <w:r>
              <w:rPr>
                <w:b/>
                <w:color w:val="C00000"/>
                <w:sz w:val="17"/>
              </w:rPr>
              <w:t>-16.4%</w:t>
            </w:r>
          </w:p>
        </w:tc>
      </w:tr>
      <w:tr>
        <w:tc>
          <w:tcPr>
            <w:tcW w:type="dxa" w:w="1440"/>
            <w:shd w:fill="FFDCE0" w:val="clear"/>
          </w:tcPr>
          <w:p>
            <w:r>
              <w:rPr>
                <w:sz w:val="17"/>
              </w:rPr>
              <w:t>J+9  ⭐</w:t>
            </w:r>
          </w:p>
        </w:tc>
        <w:tc>
          <w:tcPr>
            <w:tcW w:type="dxa" w:w="1440"/>
            <w:shd w:fill="FFDCE0" w:val="clear"/>
          </w:tcPr>
          <w:p>
            <w:r>
              <w:rPr>
                <w:sz w:val="17"/>
              </w:rPr>
              <w:t>2026-09-16</w:t>
            </w:r>
          </w:p>
        </w:tc>
        <w:tc>
          <w:tcPr>
            <w:tcW w:type="dxa" w:w="1440"/>
            <w:shd w:fill="FFDCE0" w:val="clear"/>
          </w:tcPr>
          <w:p>
            <w:r>
              <w:rPr>
                <w:sz w:val="17"/>
              </w:rPr>
              <w:t>2,768</w:t>
            </w:r>
          </w:p>
        </w:tc>
        <w:tc>
          <w:tcPr>
            <w:tcW w:type="dxa" w:w="1440"/>
            <w:shd w:fill="FFDCE0" w:val="clear"/>
          </w:tcPr>
          <w:p>
            <w:r>
              <w:rPr>
                <w:b/>
                <w:sz w:val="17"/>
              </w:rPr>
              <w:t>3,251</w:t>
            </w:r>
          </w:p>
        </w:tc>
        <w:tc>
          <w:tcPr>
            <w:tcW w:type="dxa" w:w="1440"/>
            <w:shd w:fill="FFDCE0" w:val="clear"/>
          </w:tcPr>
          <w:p>
            <w:r>
              <w:rPr>
                <w:sz w:val="17"/>
              </w:rPr>
              <w:t>3,735</w:t>
            </w:r>
          </w:p>
        </w:tc>
        <w:tc>
          <w:tcPr>
            <w:tcW w:type="dxa" w:w="1440"/>
            <w:shd w:fill="FFDCE0" w:val="clear"/>
          </w:tcPr>
          <w:p>
            <w:r>
              <w:rPr>
                <w:b/>
                <w:color w:val="C00000"/>
                <w:sz w:val="17"/>
              </w:rPr>
              <w:t>-17.7%</w:t>
            </w:r>
          </w:p>
        </w:tc>
      </w:tr>
      <w:tr>
        <w:tc>
          <w:tcPr>
            <w:tcW w:type="dxa" w:w="1440"/>
            <w:shd w:fill="FFDCE0" w:val="clear"/>
          </w:tcPr>
          <w:p>
            <w:r>
              <w:rPr>
                <w:sz w:val="17"/>
              </w:rPr>
              <w:t>J+10  ⭐</w:t>
            </w:r>
          </w:p>
        </w:tc>
        <w:tc>
          <w:tcPr>
            <w:tcW w:type="dxa" w:w="1440"/>
            <w:shd w:fill="FFDCE0" w:val="clear"/>
          </w:tcPr>
          <w:p>
            <w:r>
              <w:rPr>
                <w:sz w:val="17"/>
              </w:rPr>
              <w:t>2026-09-17</w:t>
            </w:r>
          </w:p>
        </w:tc>
        <w:tc>
          <w:tcPr>
            <w:tcW w:type="dxa" w:w="1440"/>
            <w:shd w:fill="FFDCE0" w:val="clear"/>
          </w:tcPr>
          <w:p>
            <w:r>
              <w:rPr>
                <w:sz w:val="17"/>
              </w:rPr>
              <w:t>2,702</w:t>
            </w:r>
          </w:p>
        </w:tc>
        <w:tc>
          <w:tcPr>
            <w:tcW w:type="dxa" w:w="1440"/>
            <w:shd w:fill="FFDCE0" w:val="clear"/>
          </w:tcPr>
          <w:p>
            <w:r>
              <w:rPr>
                <w:b/>
                <w:sz w:val="17"/>
              </w:rPr>
              <w:t>3,204</w:t>
            </w:r>
          </w:p>
        </w:tc>
        <w:tc>
          <w:tcPr>
            <w:tcW w:type="dxa" w:w="1440"/>
            <w:shd w:fill="FFDCE0" w:val="clear"/>
          </w:tcPr>
          <w:p>
            <w:r>
              <w:rPr>
                <w:sz w:val="17"/>
              </w:rPr>
              <w:t>3,706</w:t>
            </w:r>
          </w:p>
        </w:tc>
        <w:tc>
          <w:tcPr>
            <w:tcW w:type="dxa" w:w="1440"/>
            <w:shd w:fill="FFDCE0" w:val="clear"/>
          </w:tcPr>
          <w:p>
            <w:r>
              <w:rPr>
                <w:b/>
                <w:color w:val="C00000"/>
                <w:sz w:val="17"/>
              </w:rPr>
              <w:t>-18.9%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**RAPPORT D'ANALYSE FINANCIÈRE — ABJC (SERVAIR ABIDJAN)**</w:t>
        <w:br/>
        <w:t>**Date de l'analyse : 03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d'ABJC s'établit à 43,10 milliards FCFA, un niveau significatif qui la positionne comme une valeur de taille moyenne sur la BRVM. Le BPA de 124 FCFA indique que chaque action génère un bénéfice net de ce montant. Avec un PER de 31,9x, le titre se négocie à un niveau extrêmement élevé par rapport à la moyenne historique du marché (8-12x), ce qui signifie que les investisseurs paient une prime considérable pour chaque franc de bénéfice, anticipant une forte croissance future ou traduisant une possible surévaluation. Le P/B de 8,35x confirme cette exigeance, le marché valorisant l'actif net de la société plus de huit fois sa valeur comptable. Enfin, l'EV/EBITDA de 16,5x, bien que supérieur au seuil de 15x considéré comme exigeant, reste cohérent avec une entreprise affichant une forte rentabilité opérationnelle et une trésorerie nette substantielle.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ABJC a enregistré une progression totale de +15,50%, avec une accélération marquée lors de la dernière séance (+4,22%), portant le cours à 3 950 FCFA, son plus haut niveau sur la période. Le titre a évolué dans une fourchette de 2 800 à 3 950 FCFA, démontrant une tendance haussière soutenue. La moyenne du cours sur la période (3 222 FCFA) est inférieure à la médiane (3 182 FCFA), et le skewness positif de 0.604 indique une asymétrie de distribution avec des journées plus fréquentes sous la moyenne, mais des mouvements de hausse plus amples. L'écart-type de 257 FCFA (CV=8.0%) révèle une dispersion modérée autour de la moyenne. Le kurtosis proche de zéro (-0.102) suggère une distribution mésokurtique, sans risque de variations extrêmes particulier. La volatilité annualisée de 49,2% classe le titre comme très volatil, un niveau élevé qui implique un risque substantiel pour les investisseurs à court terme.</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Le cours actuel de 3 950 FCFA se situe nettement au-dessus de la MM20 (3 416,75 FCFA) et de la MM50 (3 244,2 FCFA), confirmant une dynamique haussière à court et moyen terme. L'écart positif entre le cours et les moyennes mobiles valide la tendance et justifie la décision d'achat.</w:t>
      </w:r>
    </w:p>
    <w:p>
      <w:pPr>
        <w:spacing w:after="120" w:line="276" w:lineRule="auto"/>
      </w:pPr>
      <w:r>
        <w:t>**Bandes de Bollinger**: Le prix évolue près de la borne supérieure (4 060,4 FCFA), indiquant une pression acheteuse forte. La largeur des bandes (de 2 773 à 4 060 FCFA) reflète une volatilité élevée. La position du prix proche de la borne supérieure suggère une possible extension de la tendance, mais la décision est neutre car le cours n'a pas encore franchi cette résistance.</w:t>
      </w:r>
    </w:p>
    <w:p>
      <w:pPr>
        <w:spacing w:after="120" w:line="276" w:lineRule="auto"/>
      </w:pPr>
      <w:r>
        <w:t>**MACD**: La valeur du MACD (196,43) est nettement supérieure à son signal (141,20), avec un écart positif croissant. Cette configuration indique un momentum haussier puissant et confirme la décision d'achat, suggérant que la tendance haussière pourrait se poursuivre à court terme.</w:t>
      </w:r>
    </w:p>
    <w:p>
      <w:pPr>
        <w:spacing w:after="120" w:line="276" w:lineRule="auto"/>
      </w:pPr>
      <w:r>
        <w:t>**RSI**: Le RSI à 87,62 est extrêmement élevé, bien au-dessus du seuil de surachat de 70. Cette situation signale que le titre est fortement suracheté, ce qui augmente le risque d'un retournement baissier ou d'une consolidation à court terme. La décision de vente est justifiée par ce niveau extrême.</w:t>
      </w:r>
    </w:p>
    <w:p>
      <w:pPr>
        <w:spacing w:after="120" w:line="276" w:lineRule="auto"/>
      </w:pPr>
      <w:r>
        <w:t>**Stochastique**: Les valeurs de %K (100,0) et %D (97,28) sont à des niveaux extrêmes de surachat. Le %K au maximum absolu indique une pression acheteuse exceptionnelle, mais cette configuration précède souvent un retournement. La décision de vente est cohérente avec ces conditions de surachat extrême.</w:t>
      </w:r>
    </w:p>
    <w:p>
      <w:pPr>
        <w:spacing w:after="120" w:line="276" w:lineRule="auto"/>
      </w:pPr>
      <w:r>
        <w:t>**Conclusion technique**: Les indicateurs de tendance (MM, MACD) sont positifs et confirment la dynamique haussière, mais les oscillateurs (RSI, Stochastique) signalent des conditions de surachat extrême. Cette divergence entre indicateurs de tendance et de momentum suggère qu'un repli technique est probable à court terme, bien que la tendance de fond reste haussière. La prudence est recommandée pour les nouveaux achats à ces niveaux.</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selon les données structurées officielles, ABJC a réalisé un chiffre d'affaires de 13,298 milliards FCFA, en croissance de 6,7%, avec un résultat net de 1,351 milliard FCFA. La société affiche une marge nette de 10,2%, un ROE exceptionnel de 26,2% et un ROA de 14,6%, témoignant d'une excellente rentabilité. La structure financière est saine avec une autonomie financière de 55,9%, une trésorerie nette de 4,035 milliards FCFA et une capacité de remboursement quasi nulle (0,04 an). Le BFR de 257 millions FCFA est positif mais faible, avec des délais clients (70 jours) et fournisseurs (92 jours) équilibrés. Les rapports trimestriels 2025 montrent une trajectoire contrastée : le T1 2025 (rapport du 1er trimestre) affichait une croissance de CA de +3,2% mais un résultat net en baisse de -6,8% (346 millions FCFA), pénalisé par un litige avec la BCEAO et des charges exceptionnelles. Le T3 2025 (rapport du 3ème trimestre) a montré un redressement net avec un CA de 10,218 milliards FCFA (+10,3%) et un résultat net de 1,325 milliard FCFA (+17,1%). Cependant, le rapport T1 2026 (publié en 2026) révèle une forte dégradation : CA en hausse modeste de +1,9% à 3,237 milliards FCFA, mais résultat net en chute de -35,6% à 222,6 millions FCFA, impacté par les ajustements de redevances aéroportuaires. Sur la base de ce rapport T1 2026, on estime que l'exercice 2026 pourrait voir une baisse significative de la rentabilité, potentiellement autour de 900 millions à 1 milliard FCFA de résultat net si la tendance se maintient. Les rapports 2025 (états financiers provisoires et rapport annuel) confirment une baisse du résultat net de 12,1% à 1,331 milliard FCFA malgré la croissance du CA, principalement due à une hausse de l'impôt de +46,7%. La solidité financière reste néanmoins un atout majeur avec des capitaux propres renforcés à 5,512 milliards FCFA et une trésorerie de 4,035 milliards FCFA.</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d'ABJC (PER 31,9x, P/B 8,35x) indique une nette surévaluation par rapport aux fondamentaux historiques et aux standards de la BRVM. Le comportement du cours montre une tendance haussière forte (+15,5% sur 100 jours) mais avec une volatilité très élevée (49,2%) et des conditions de surachat extrême. Les signaux techniques sont divergents : les indicateurs de tendance (MM, MACD) restent positifs tandis que les oscillateurs (RSI 87,6, Stochastique 100) signalent un risque imminent de correction. Les fondamentaux sont solides (ROE 26,2%, trésorerie abondante) mais montrent une dégradation récente de la rentabilité, notamment au T1 2026 avec une chute de 35,6% du résultat net. Les prédictions IA (J+1 à J+10) confirment cette analyse en projetant une baisse progressive du cours de 3 794 à 3 475 FCFA, soit une correction potentielle de -12%. Cette convergence entre la surévaluation, les signaux techniques de surachat et les prédictions IA suggère fortement un retournement à court terme. **Recommandation : VENTE** pour les investisseurs à court terme souhaitant sécuriser leurs gains, avec un niveau de confiance **Moyen** et un risque global **Élevé** en raison de la volatilité. Pour les investisseurs à long terme, une stratégie de conservation pourrait se justifier compte tenu de la solidité financière, mais un point d'entrée plus favorable serait probablement autour de 3 200-3 400 FCFA. Horizon d'investissement optimal : **court terme (&lt;3 mois)** pour la prise de profit, avec réévaluation après la correction attendue.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583.95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12,015 titres</w:t>
            </w:r>
          </w:p>
        </w:tc>
        <w:tc>
          <w:tcPr>
            <w:tcW w:type="dxa" w:w="2268"/>
            <w:shd w:fill="FFF2CC" w:val="clear"/>
          </w:tcPr>
          <w:p>
            <w:r>
              <w:rPr>
                <w:b/>
                <w:color w:val="503200"/>
                <w:sz w:val="16"/>
              </w:rPr>
              <w:t xml:space="preserve">Cours actuel : </w:t>
            </w:r>
            <w:r>
              <w:rPr>
                <w:color w:val="000000"/>
                <w:sz w:val="17"/>
              </w:rPr>
              <w:t>10,110 FCFA</w:t>
            </w:r>
          </w:p>
          <w:p>
            <w:r>
              <w:rPr>
                <w:b/>
                <w:color w:val="503200"/>
                <w:sz w:val="16"/>
              </w:rPr>
              <w:t xml:space="preserve">Var. 100 jours : </w:t>
            </w:r>
            <w:r>
              <w:rPr>
                <w:b/>
                <w:color w:val="007800"/>
                <w:sz w:val="17"/>
              </w:rPr>
              <w:t>+95.17%</w:t>
            </w:r>
          </w:p>
          <w:p>
            <w:r>
              <w:rPr>
                <w:b/>
                <w:color w:val="503200"/>
                <w:sz w:val="16"/>
              </w:rPr>
              <w:t xml:space="preserve">Plus haut 100j : </w:t>
            </w:r>
            <w:r>
              <w:rPr>
                <w:color w:val="000000"/>
                <w:sz w:val="17"/>
              </w:rPr>
              <w:t>10,110 FCFA</w:t>
            </w:r>
          </w:p>
          <w:p>
            <w:r>
              <w:rPr>
                <w:b/>
                <w:color w:val="503200"/>
                <w:sz w:val="16"/>
              </w:rPr>
              <w:t xml:space="preserve">Plus bas 100j : </w:t>
            </w:r>
            <w:r>
              <w:rPr>
                <w:color w:val="000000"/>
                <w:sz w:val="17"/>
              </w:rPr>
              <w:t>5,100 FCFA</w:t>
            </w:r>
          </w:p>
          <w:p>
            <w:r>
              <w:rPr>
                <w:b/>
                <w:color w:val="503200"/>
                <w:sz w:val="16"/>
              </w:rPr>
              <w:t xml:space="preserve">Volatilité ann. : </w:t>
            </w:r>
            <w:r>
              <w:rPr>
                <w:color w:val="000000"/>
                <w:sz w:val="17"/>
              </w:rPr>
              <w:t>32.9%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26.1/100 → Moyen</w:t>
      </w:r>
    </w:p>
    <w:p>
      <w:pPr>
        <w:spacing w:before="40" w:after="80"/>
      </w:pPr>
      <w:r>
        <w:rPr>
          <w:rFonts w:ascii="Courier New" w:hAnsi="Courier New"/>
          <w:color w:val="825A00"/>
          <w:sz w:val="18"/>
        </w:rPr>
        <w:t>█████░░░░░░░░░░░░░░░  26.1/100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20.47% (Élevée) — μ=6,349 FCFA, σ=1,300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β=0.3243 (Défensif) — Cov=0.000012, Var(idx)=0.000036, ρ=0.096,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12,015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σ_j=2.07%/j (Stable) — Vol. annualisée≈32.9%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697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2026-09-04</w:t>
            </w:r>
          </w:p>
        </w:tc>
        <w:tc>
          <w:tcPr>
            <w:tcW w:type="dxa" w:w="1440"/>
            <w:shd w:fill="FFDCE0" w:val="clear"/>
          </w:tcPr>
          <w:p>
            <w:r>
              <w:rPr>
                <w:sz w:val="17"/>
              </w:rPr>
              <w:t>8,922</w:t>
            </w:r>
          </w:p>
        </w:tc>
        <w:tc>
          <w:tcPr>
            <w:tcW w:type="dxa" w:w="1440"/>
            <w:shd w:fill="FFDCE0" w:val="clear"/>
          </w:tcPr>
          <w:p>
            <w:r>
              <w:rPr>
                <w:b/>
                <w:sz w:val="17"/>
              </w:rPr>
              <w:t>9,352</w:t>
            </w:r>
          </w:p>
        </w:tc>
        <w:tc>
          <w:tcPr>
            <w:tcW w:type="dxa" w:w="1440"/>
            <w:shd w:fill="FFDCE0" w:val="clear"/>
          </w:tcPr>
          <w:p>
            <w:r>
              <w:rPr>
                <w:sz w:val="17"/>
              </w:rPr>
              <w:t>9,781</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2026-09-07</w:t>
            </w:r>
          </w:p>
        </w:tc>
        <w:tc>
          <w:tcPr>
            <w:tcW w:type="dxa" w:w="1440"/>
            <w:shd w:fill="FFDCE0" w:val="clear"/>
          </w:tcPr>
          <w:p>
            <w:r>
              <w:rPr>
                <w:sz w:val="17"/>
              </w:rPr>
              <w:t>8,089</w:t>
            </w:r>
          </w:p>
        </w:tc>
        <w:tc>
          <w:tcPr>
            <w:tcW w:type="dxa" w:w="1440"/>
            <w:shd w:fill="FFDCE0" w:val="clear"/>
          </w:tcPr>
          <w:p>
            <w:r>
              <w:rPr>
                <w:b/>
                <w:sz w:val="17"/>
              </w:rPr>
              <w:t>8,650</w:t>
            </w:r>
          </w:p>
        </w:tc>
        <w:tc>
          <w:tcPr>
            <w:tcW w:type="dxa" w:w="1440"/>
            <w:shd w:fill="FFDCE0" w:val="clear"/>
          </w:tcPr>
          <w:p>
            <w:r>
              <w:rPr>
                <w:sz w:val="17"/>
              </w:rPr>
              <w:t>9,212</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2026-09-08</w:t>
            </w:r>
          </w:p>
        </w:tc>
        <w:tc>
          <w:tcPr>
            <w:tcW w:type="dxa" w:w="1440"/>
            <w:shd w:fill="FFDCE0" w:val="clear"/>
          </w:tcPr>
          <w:p>
            <w:r>
              <w:rPr>
                <w:sz w:val="17"/>
              </w:rPr>
              <w:t>7,365</w:t>
            </w:r>
          </w:p>
        </w:tc>
        <w:tc>
          <w:tcPr>
            <w:tcW w:type="dxa" w:w="1440"/>
            <w:shd w:fill="FFDCE0" w:val="clear"/>
          </w:tcPr>
          <w:p>
            <w:r>
              <w:rPr>
                <w:b/>
                <w:sz w:val="17"/>
              </w:rPr>
              <w:t>8,002</w:t>
            </w:r>
          </w:p>
        </w:tc>
        <w:tc>
          <w:tcPr>
            <w:tcW w:type="dxa" w:w="1440"/>
            <w:shd w:fill="FFDCE0" w:val="clear"/>
          </w:tcPr>
          <w:p>
            <w:r>
              <w:rPr>
                <w:sz w:val="17"/>
              </w:rPr>
              <w:t>8,638</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2026-09-09</w:t>
            </w:r>
          </w:p>
        </w:tc>
        <w:tc>
          <w:tcPr>
            <w:tcW w:type="dxa" w:w="1440"/>
            <w:shd w:fill="FFDCE0" w:val="clear"/>
          </w:tcPr>
          <w:p>
            <w:r>
              <w:rPr>
                <w:sz w:val="17"/>
              </w:rPr>
              <w:t>6,722</w:t>
            </w:r>
          </w:p>
        </w:tc>
        <w:tc>
          <w:tcPr>
            <w:tcW w:type="dxa" w:w="1440"/>
            <w:shd w:fill="FFDCE0" w:val="clear"/>
          </w:tcPr>
          <w:p>
            <w:r>
              <w:rPr>
                <w:b/>
                <w:sz w:val="17"/>
              </w:rPr>
              <w:t>7,401</w:t>
            </w:r>
          </w:p>
        </w:tc>
        <w:tc>
          <w:tcPr>
            <w:tcW w:type="dxa" w:w="1440"/>
            <w:shd w:fill="FFDCE0" w:val="clear"/>
          </w:tcPr>
          <w:p>
            <w:r>
              <w:rPr>
                <w:sz w:val="17"/>
              </w:rPr>
              <w:t>8,081</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2026-09-10</w:t>
            </w:r>
          </w:p>
        </w:tc>
        <w:tc>
          <w:tcPr>
            <w:tcW w:type="dxa" w:w="1440"/>
            <w:shd w:fill="FFDCE0" w:val="clear"/>
          </w:tcPr>
          <w:p>
            <w:r>
              <w:rPr>
                <w:sz w:val="17"/>
              </w:rPr>
              <w:t>6,143</w:t>
            </w:r>
          </w:p>
        </w:tc>
        <w:tc>
          <w:tcPr>
            <w:tcW w:type="dxa" w:w="1440"/>
            <w:shd w:fill="FFDCE0" w:val="clear"/>
          </w:tcPr>
          <w:p>
            <w:r>
              <w:rPr>
                <w:b/>
                <w:sz w:val="17"/>
              </w:rPr>
              <w:t>6,846</w:t>
            </w:r>
          </w:p>
        </w:tc>
        <w:tc>
          <w:tcPr>
            <w:tcW w:type="dxa" w:w="1440"/>
            <w:shd w:fill="FFDCE0" w:val="clear"/>
          </w:tcPr>
          <w:p>
            <w:r>
              <w:rPr>
                <w:sz w:val="17"/>
              </w:rPr>
              <w:t>7,549</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2026-09-11</w:t>
            </w:r>
          </w:p>
        </w:tc>
        <w:tc>
          <w:tcPr>
            <w:tcW w:type="dxa" w:w="1440"/>
            <w:shd w:fill="FFDCE0" w:val="clear"/>
          </w:tcPr>
          <w:p>
            <w:r>
              <w:rPr>
                <w:sz w:val="17"/>
              </w:rPr>
              <w:t>5,620</w:t>
            </w:r>
          </w:p>
        </w:tc>
        <w:tc>
          <w:tcPr>
            <w:tcW w:type="dxa" w:w="1440"/>
            <w:shd w:fill="FFDCE0" w:val="clear"/>
          </w:tcPr>
          <w:p>
            <w:r>
              <w:rPr>
                <w:b/>
                <w:sz w:val="17"/>
              </w:rPr>
              <w:t>6,333</w:t>
            </w:r>
          </w:p>
        </w:tc>
        <w:tc>
          <w:tcPr>
            <w:tcW w:type="dxa" w:w="1440"/>
            <w:shd w:fill="FFDCE0" w:val="clear"/>
          </w:tcPr>
          <w:p>
            <w:r>
              <w:rPr>
                <w:sz w:val="17"/>
              </w:rPr>
              <w:t>7,045</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2026-09-14</w:t>
            </w:r>
          </w:p>
        </w:tc>
        <w:tc>
          <w:tcPr>
            <w:tcW w:type="dxa" w:w="1440"/>
            <w:shd w:fill="FFDCE0" w:val="clear"/>
          </w:tcPr>
          <w:p>
            <w:r>
              <w:rPr>
                <w:sz w:val="17"/>
              </w:rPr>
              <w:t>5,229</w:t>
            </w:r>
          </w:p>
        </w:tc>
        <w:tc>
          <w:tcPr>
            <w:tcW w:type="dxa" w:w="1440"/>
            <w:shd w:fill="FFDCE0" w:val="clear"/>
          </w:tcPr>
          <w:p>
            <w:r>
              <w:rPr>
                <w:b/>
                <w:sz w:val="17"/>
              </w:rPr>
              <w:t>5,953</w:t>
            </w:r>
          </w:p>
        </w:tc>
        <w:tc>
          <w:tcPr>
            <w:tcW w:type="dxa" w:w="1440"/>
            <w:shd w:fill="FFDCE0" w:val="clear"/>
          </w:tcPr>
          <w:p>
            <w:r>
              <w:rPr>
                <w:sz w:val="17"/>
              </w:rPr>
              <w:t>6,676</w:t>
            </w:r>
          </w:p>
        </w:tc>
        <w:tc>
          <w:tcPr>
            <w:tcW w:type="dxa" w:w="1440"/>
            <w:shd w:fill="FFDCE0" w:val="clear"/>
          </w:tcPr>
          <w:p>
            <w:r>
              <w:rPr>
                <w:b/>
                <w:color w:val="C00000"/>
                <w:sz w:val="17"/>
              </w:rPr>
              <w:t>-41.1%</w:t>
            </w:r>
          </w:p>
        </w:tc>
      </w:tr>
      <w:tr>
        <w:tc>
          <w:tcPr>
            <w:tcW w:type="dxa" w:w="1440"/>
            <w:shd w:fill="FFDCE0" w:val="clear"/>
          </w:tcPr>
          <w:p>
            <w:r>
              <w:rPr>
                <w:sz w:val="17"/>
              </w:rPr>
              <w:t>J+8  ⭐</w:t>
            </w:r>
          </w:p>
        </w:tc>
        <w:tc>
          <w:tcPr>
            <w:tcW w:type="dxa" w:w="1440"/>
            <w:shd w:fill="FFDCE0" w:val="clear"/>
          </w:tcPr>
          <w:p>
            <w:r>
              <w:rPr>
                <w:sz w:val="17"/>
              </w:rPr>
              <w:t>2026-09-15</w:t>
            </w:r>
          </w:p>
        </w:tc>
        <w:tc>
          <w:tcPr>
            <w:tcW w:type="dxa" w:w="1440"/>
            <w:shd w:fill="FFDCE0" w:val="clear"/>
          </w:tcPr>
          <w:p>
            <w:r>
              <w:rPr>
                <w:sz w:val="17"/>
              </w:rPr>
              <w:t>5,065</w:t>
            </w:r>
          </w:p>
        </w:tc>
        <w:tc>
          <w:tcPr>
            <w:tcW w:type="dxa" w:w="1440"/>
            <w:shd w:fill="FFDCE0" w:val="clear"/>
          </w:tcPr>
          <w:p>
            <w:r>
              <w:rPr>
                <w:b/>
                <w:sz w:val="17"/>
              </w:rPr>
              <w:t>5,822</w:t>
            </w:r>
          </w:p>
        </w:tc>
        <w:tc>
          <w:tcPr>
            <w:tcW w:type="dxa" w:w="1440"/>
            <w:shd w:fill="FFDCE0" w:val="clear"/>
          </w:tcPr>
          <w:p>
            <w:r>
              <w:rPr>
                <w:sz w:val="17"/>
              </w:rPr>
              <w:t>6,578</w:t>
            </w:r>
          </w:p>
        </w:tc>
        <w:tc>
          <w:tcPr>
            <w:tcW w:type="dxa" w:w="1440"/>
            <w:shd w:fill="FFDCE0" w:val="clear"/>
          </w:tcPr>
          <w:p>
            <w:r>
              <w:rPr>
                <w:b/>
                <w:color w:val="C00000"/>
                <w:sz w:val="17"/>
              </w:rPr>
              <w:t>-42.4%</w:t>
            </w:r>
          </w:p>
        </w:tc>
      </w:tr>
      <w:tr>
        <w:tc>
          <w:tcPr>
            <w:tcW w:type="dxa" w:w="1440"/>
            <w:shd w:fill="FFDCE0" w:val="clear"/>
          </w:tcPr>
          <w:p>
            <w:r>
              <w:rPr>
                <w:sz w:val="17"/>
              </w:rPr>
              <w:t>J+9  ⭐</w:t>
            </w:r>
          </w:p>
        </w:tc>
        <w:tc>
          <w:tcPr>
            <w:tcW w:type="dxa" w:w="1440"/>
            <w:shd w:fill="FFDCE0" w:val="clear"/>
          </w:tcPr>
          <w:p>
            <w:r>
              <w:rPr>
                <w:sz w:val="17"/>
              </w:rPr>
              <w:t>2026-09-16</w:t>
            </w:r>
          </w:p>
        </w:tc>
        <w:tc>
          <w:tcPr>
            <w:tcW w:type="dxa" w:w="1440"/>
            <w:shd w:fill="FFDCE0" w:val="clear"/>
          </w:tcPr>
          <w:p>
            <w:r>
              <w:rPr>
                <w:sz w:val="17"/>
              </w:rPr>
              <w:t>4,922</w:t>
            </w:r>
          </w:p>
        </w:tc>
        <w:tc>
          <w:tcPr>
            <w:tcW w:type="dxa" w:w="1440"/>
            <w:shd w:fill="FFDCE0" w:val="clear"/>
          </w:tcPr>
          <w:p>
            <w:r>
              <w:rPr>
                <w:b/>
                <w:sz w:val="17"/>
              </w:rPr>
              <w:t>5,709</w:t>
            </w:r>
          </w:p>
        </w:tc>
        <w:tc>
          <w:tcPr>
            <w:tcW w:type="dxa" w:w="1440"/>
            <w:shd w:fill="FFDCE0" w:val="clear"/>
          </w:tcPr>
          <w:p>
            <w:r>
              <w:rPr>
                <w:sz w:val="17"/>
              </w:rPr>
              <w:t>6,496</w:t>
            </w:r>
          </w:p>
        </w:tc>
        <w:tc>
          <w:tcPr>
            <w:tcW w:type="dxa" w:w="1440"/>
            <w:shd w:fill="FFDCE0" w:val="clear"/>
          </w:tcPr>
          <w:p>
            <w:r>
              <w:rPr>
                <w:b/>
                <w:color w:val="C00000"/>
                <w:sz w:val="17"/>
              </w:rPr>
              <w:t>-43.5%</w:t>
            </w:r>
          </w:p>
        </w:tc>
      </w:tr>
      <w:tr>
        <w:tc>
          <w:tcPr>
            <w:tcW w:type="dxa" w:w="1440"/>
            <w:shd w:fill="FFDCE0" w:val="clear"/>
          </w:tcPr>
          <w:p>
            <w:r>
              <w:rPr>
                <w:sz w:val="17"/>
              </w:rPr>
              <w:t>J+10  ⭐</w:t>
            </w:r>
          </w:p>
        </w:tc>
        <w:tc>
          <w:tcPr>
            <w:tcW w:type="dxa" w:w="1440"/>
            <w:shd w:fill="FFDCE0" w:val="clear"/>
          </w:tcPr>
          <w:p>
            <w:r>
              <w:rPr>
                <w:sz w:val="17"/>
              </w:rPr>
              <w:t>2026-09-17</w:t>
            </w:r>
          </w:p>
        </w:tc>
        <w:tc>
          <w:tcPr>
            <w:tcW w:type="dxa" w:w="1440"/>
            <w:shd w:fill="FFDCE0" w:val="clear"/>
          </w:tcPr>
          <w:p>
            <w:r>
              <w:rPr>
                <w:sz w:val="17"/>
              </w:rPr>
              <w:t>4,797</w:t>
            </w:r>
          </w:p>
        </w:tc>
        <w:tc>
          <w:tcPr>
            <w:tcW w:type="dxa" w:w="1440"/>
            <w:shd w:fill="FFDCE0" w:val="clear"/>
          </w:tcPr>
          <w:p>
            <w:r>
              <w:rPr>
                <w:b/>
                <w:sz w:val="17"/>
              </w:rPr>
              <w:t>5,612</w:t>
            </w:r>
          </w:p>
        </w:tc>
        <w:tc>
          <w:tcPr>
            <w:tcW w:type="dxa" w:w="1440"/>
            <w:shd w:fill="FFDCE0" w:val="clear"/>
          </w:tcPr>
          <w:p>
            <w:r>
              <w:rPr>
                <w:sz w:val="17"/>
              </w:rPr>
              <w:t>6,427</w:t>
            </w:r>
          </w:p>
        </w:tc>
        <w:tc>
          <w:tcPr>
            <w:tcW w:type="dxa" w:w="1440"/>
            <w:shd w:fill="FFDCE0" w:val="clear"/>
          </w:tcPr>
          <w:p>
            <w:r>
              <w:rPr>
                <w:b/>
                <w:color w:val="C00000"/>
                <w:sz w:val="17"/>
              </w:rPr>
              <w:t>-44.5%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**RAPPORT D'ANALYSE FINANCIÈRE — BICB (BIIC BÉNIN)**</w:t>
        <w:br/>
        <w:t>**Date de l'analyse : 03 septembre 2026**</w:t>
        <w:br/>
        <w:t>**Cours de référence : 10 110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BICB s'établit à **583,95 milliards FCFA**, un niveau qui la positionne parmi les valeurs les plus significatives de la BRVM, reflétant son statut de leader bancaire au Bénin. Avec un BPA de **627 FCFA**, chaque action génère un bénéfice substantiel, mais le **PER de 16,1x** indique que les investisseurs paient une prime de **34% à 100%** par rapport à la moyenne historique du marché (8-12x). Cette valorisation est jugée modérée en absolu mais exigeante pour la zone UEMOA. Le **P/B de 4,32x** confirme cette lecture : le marché valorise l'actif net comptable plus de quatre fois au-dessus de sa valeur, signe d'anticipations de croissance élevées. Enfin, l'**EV/EBITDA de 26,5x** est particulièrement élevé, suggérant que la valeur totale de l'entreprise (dette incluse) est très chère par rapport à sa capacité opérationnelle, ce qui laisse peu de marge d'erreur sur l'exécution de la stratégie de croissance.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BICB a connu une **appréciation spectaculaire de +95,17%**, avec une dernière séance en hausse de **+5,31%**, portant le cours à son plus haut historique de **10 110 FCFA**, contre un plus bas de 5 100 FCFA. Cette tendance est résolument haussière, mais les statistiques descriptives révèlent des nuances importantes. La **moyenne (6 349 FCFA)** est nettement supérieure à la **médiane (5 830 FCFA)**, et le **skewness positif de 0,925** confirme une distribution asymétrique où la majorité des séances se sont déroulées sous la moyenne, avec une récente accélération vers les sommets. L'**écart-type de 1 306 FCFA** (CV = 20,6%) indique une dispersion modérée, tandis que le **kurtosis de -0,336** (mésokurtique) suggère l'absence de pics de volatilité extrêmes. La **volatilité annualisée de 32,9%** classe le titre dans la catégorie "élevée" (&gt;30%), signalant un risque de retournement tout aussi rapide que la hausse observée.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(10 110 FCFA) évolue très au-dessus de la MM20 (8 477 FCFA) et de la MM50 (7 368 FCFA), avec un écart de +19% et +37% respectivement. Cette configuration haussière est confirmée par la décision "Achat", mais l'ampleur de l'écart suggère une extension excessive qui pourrait précéder une correction.</w:t>
      </w:r>
    </w:p>
    <w:p>
      <w:pPr>
        <w:spacing w:after="120" w:line="276" w:lineRule="auto"/>
      </w:pPr>
      <w:r>
        <w:t>**Bandes de Bollinger** : Le prix se situe au-dessus de la borne supérieure (9 759 FCFA), une sortie de canal qui signale une volatilité extrême et une condition de surachat. La décision "Vente" est justifiée par cette cassure haussière non soutenable à court terme, car statistiquement, le cours tend à revenir dans les bandes.</w:t>
      </w:r>
    </w:p>
    <w:p>
      <w:pPr>
        <w:spacing w:after="120" w:line="276" w:lineRule="auto"/>
      </w:pPr>
      <w:r>
        <w:t>**MACD** : La valeur (598,1) est supérieure à sa ligne de signal (492,8), indiquant un momentum positif persistant. La décision "Achat" reflète cette dynamique, mais l'écart croissant entre les deux lignes pourrait signaler un essoufflement proche du momentum haussier.</w:t>
      </w:r>
    </w:p>
    <w:p>
      <w:pPr>
        <w:spacing w:after="120" w:line="276" w:lineRule="auto"/>
      </w:pPr>
      <w:r>
        <w:t>**RSI** : À **83,03**, l'indicateur est profondément en zone de surachat (&gt;70), ce qui déclenche une décision "Vente". Ce niveau extrême indique que le marché a intégré toutes les bonnes nouvelles à court terme et qu'un repli technique est statistiquement probable.</w:t>
      </w:r>
    </w:p>
    <w:p>
      <w:pPr>
        <w:spacing w:after="120" w:line="276" w:lineRule="auto"/>
      </w:pPr>
      <w:r>
        <w:t>**Stochastique** : Le %K et le %D sont tous deux à **100,0**, un niveau extrême qui ne laisse aucune marge de progression. La décision "Vente" est ici la plus forte, car cet indicateur signale une condition de surachat maximal où tout mouvement haussier supplémentaire est difficile sans consolidation préalable.</w:t>
      </w:r>
    </w:p>
    <w:p>
      <w:pPr>
        <w:spacing w:after="120" w:line="276" w:lineRule="auto"/>
      </w:pPr>
      <w:r>
        <w:t>**Conclusion technique** : La convergence des indicateurs de momentum (RSI, Stochastique, Bandes de Bollinger) vers des zones de surachat extrême contraste avec la tendance de fond (MM, MACD) qui reste haussière. Cette divergence suggère une **consolidation ou correction technique à court terme** avant une éventuelle reprise de la tendance, le marché ayant besoin de "respirer" après une hausse de 95%.</w:t>
      </w:r>
    </w:p>
    <w:p>
      <w:pPr>
        <w:spacing w:after="120" w:line="276" w:lineRule="auto"/>
      </w:pPr>
      <w:r>
        <w:t>---</w:t>
      </w:r>
    </w:p>
    <w:p>
      <w:pPr>
        <w:spacing w:after="120" w:line="276" w:lineRule="auto"/>
      </w:pPr>
      <w:r>
        <w:t>### PARTIE 3 : ANALYSE FONDAMENTALE (SECTION CRITIQUE)</w:t>
      </w:r>
    </w:p>
    <w:p>
      <w:pPr>
        <w:spacing w:after="120" w:line="276" w:lineRule="auto"/>
      </w:pPr>
      <w:r>
        <w:t>**En 2025**, la BICB affiche des fondamentaux solides avec un **PNB de 52,805 milliards FCFA** (+16,5% vs 2024) et un **résultat net de 36,237 milliards FCFA** (+24,7%), selon les états financiers IFRS audités. La **marge nette de 68,6%** et le **ROE de 26,8%** sont excellents, tandis que le **coefficient d'exploitation de 31,1%** démontre une efficacité opérationnelle remarquable (bien en dessous du seuil de 60%). Le **ratio de solvabilité de 19,64%** (vs 11,5% réglementaire) offre une marge de sécurité confortable. Cependant, le **ratio crédits/dépôts de 97,5%** signale une transformation bilantielle très tendue, et le **coût du risque de 9,61%** (provisions/charges financières) est élevé, reflétant une dégradation de la qualité du portefeuille. Les rapports trimestriels 2025 confirment cette dynamique contrastée : le S1 2025 montre un **résultat net en baisse de 26,7%** (7,9 Mds) malgré un PNB en hausse de 28%, en raison d'un **coût du risque multiplié par 5** (7,9 Mds). Le T3 2025 atténue cette tendance (-9% seulement), suggérant une stabilisation. **Le rapport T1 2026 est très encourageant** : PNB en hausse de 35% à 14,6 Mds et **résultat net en progression de 48% à 8,0 Mds**, indiquant que la banque a surmonté la phase de provisionnement. On estime que l'exercice 2026 pourrait voir un résultat net annuel de **28-32 milliards FCFA**, en retrait par rapport à 2025 mais avec une meilleure qualité de croissance. La recommandation fondamentale est **ACHAT** pour les investisseurs de long terme, la banque ayant démontré sa capacité à générer une croissance rentable, mais avec une vigilance accrue sur la gestion du risque de crédit et de liquidité.</w:t>
      </w:r>
    </w:p>
    <w:p>
      <w:pPr>
        <w:spacing w:after="120" w:line="276" w:lineRule="auto"/>
      </w:pPr>
      <w:r>
        <w:t>---</w:t>
      </w:r>
    </w:p>
    <w:p>
      <w:pPr>
        <w:spacing w:after="120" w:line="276" w:lineRule="auto"/>
      </w:pPr>
      <w:r>
        <w:t>### PARTIE 4 : CONCLUSION D'INVESTISSEMENT</w:t>
      </w:r>
    </w:p>
    <w:p>
      <w:pPr>
        <w:spacing w:after="120" w:line="276" w:lineRule="auto"/>
      </w:pPr>
      <w:r>
        <w:t>La synthèse des quatre analyses révèle une **divergence nette entre la valorisation, la technique et les fondamentaux**. La valorisation (PER 16,1x, P/B 4,32x, EV/EBITDA 26,5x) est **exigeante**, le comportement du cours (+95% en 100 jours) est **extrême** avec une volatilité élevée (32,9%), et les signaux techniques sont **massivement surachatés** (RSI 83, RSI Stochastique 100, prix au-dessus des bandes de Bollinger). En revanche, les fondamentaux sont **solides** avec un ROE de 26,8%, une croissance du PNB soutenue (+16,5% en 2025, +35% au T1 2026) et une amélioration nette de la rentabilité au premier trimestre 2026. Les **prédictions IA** (baisse progressive de 9 352 à 6 846 FCFA sur 10 jours) confirment l'analyse technique d'une correction imminente, anticipant un repli de 30% par rapport au cours actuel. Cette trajectoire prédictive, bien que sévère, est cohérente avec les signaux de surachat extrême. **Recommandation finale : VENTE** pour les investisseurs à court terme (prise de profits après la hausse spectaculaire), avec un niveau de confiance **Moyen** et un risque global **Élevé**. Pour les investisseurs de long terme (&gt;1 an), une stratégie d'**accumulation progressive** pourrait être envisagée après une correction vers les 7 000-8 000 FCFA, zone où le PER reviendrait à des niveaux plus conformes au marché BRVM (10-12x). L'horizon optimal est le **court terme (&lt;3 mois)** pour la vente, et le **moyen terme (3-12 mois)** pour un éventuel réinvestissement après correction.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8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(+30% cr\u00e9dits, +25% d\u00e9p\u00f4ts) d\u00e9montre la solidit\u00e9 de la franchise mais le recul du r\u00e9sultat net (-9%) refl\u00e8te une gestion prudente n\u00e9cessaire. L'\u00e9quilibre entre expansion et ma\u00eetrise des risques justifie une position d'attente."}</w:t>
      </w:r>
    </w:p>
    <w:p>
      <w:pPr>
        <w:spacing w:before="40"/>
        <w:ind w:left="400"/>
      </w:pPr>
      <w:r>
        <w:rPr>
          <w:sz w:val="18"/>
        </w:rPr>
        <w:t>BIIC affiche des performances contrastées au T3 2025 avec un résultat net de 13,1 milliards FCFA en baisse de 9% par rapport à septembre 2024. Le PNB progresse fortement de 26% à 35,9 milliards FCFA, porté par la hausse des revenus sur crédits. Les encours de crédits bondissent de 30% et les dépôts clients de 25%, témoignant d'une forte dynamique commerciale. Le recul du résultat net s'explique par le renforcement prudent des provisions face à l'évolution du portefeuille de crédits. Le total bilan atteint 1 806,8 milliards FCFA, en progression de 19%.</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{'titres': '547,3 milliards FCFA', 'depots_clientele': '1 154,029 milliards FCFA', 'resultat_avant_impots': '13,9 milliards FCFA', 'credits_nets_clientele': '1 111,078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1 806,8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PNB de 26% à 35,9 milliards FCFA au T3 2025</w:t>
      </w:r>
    </w:p>
    <w:p>
      <w:pPr>
        <w:pStyle w:val="ListBullet"/>
        <w:spacing w:before="20" w:after="20"/>
        <w:ind w:left="700"/>
      </w:pPr>
      <w:r>
        <w:rPr>
          <w:sz w:val="18"/>
        </w:rPr>
        <w:t>Forte expansion des crédits nets clientèle (+30%) à 1 111,078 milliards FCFA</w:t>
      </w:r>
    </w:p>
    <w:p>
      <w:pPr>
        <w:pStyle w:val="ListBullet"/>
        <w:spacing w:before="20" w:after="20"/>
        <w:ind w:left="700"/>
      </w:pPr>
      <w:r>
        <w:rPr>
          <w:sz w:val="18"/>
        </w:rPr>
        <w:t>Hausse significative des dépôts clientèle (+25%) à 1 154,029 milliards FCFA</w:t>
      </w:r>
    </w:p>
    <w:p>
      <w:pPr>
        <w:pStyle w:val="ListBullet"/>
        <w:spacing w:before="20" w:after="20"/>
        <w:ind w:left="700"/>
      </w:pPr>
      <w:r>
        <w:rPr>
          <w:sz w:val="18"/>
        </w:rPr>
        <w:t>Recul du résultat net de 9% à 13,1 milliards FCFA malgré la croissance d'activité</w:t>
      </w:r>
    </w:p>
    <w:p>
      <w:pPr>
        <w:pStyle w:val="ListBullet"/>
        <w:spacing w:before="20" w:after="20"/>
        <w:ind w:left="700"/>
      </w:pPr>
      <w:r>
        <w:rPr>
          <w:sz w:val="18"/>
        </w:rPr>
        <w:t>Politique prudente de provisionnement face à l'évolution du portefeuille crédit</w:t>
      </w:r>
    </w:p>
    <w:p>
      <w:pPr>
        <w:pStyle w:val="ListBullet"/>
        <w:spacing w:before="20" w:after="20"/>
        <w:ind w:left="700"/>
      </w:pPr>
      <w:r>
        <w:rPr>
          <w:sz w:val="18"/>
        </w:rPr>
        <w:t>Total bilan en progression de 19% à 1 806,8 milliards FCFA</w:t>
      </w:r>
    </w:p>
    <w:p>
      <w:pPr>
        <w:spacing w:before="40"/>
        <w:ind w:left="400"/>
      </w:pPr>
      <w:r>
        <w:rPr>
          <w:b/>
          <w:color w:val="C05000"/>
          <w:sz w:val="18"/>
        </w:rPr>
        <w:t xml:space="preserve">⚠️ Risques : </w:t>
      </w:r>
      <w:r>
        <w:rPr>
          <w:sz w:val="18"/>
        </w:rPr>
        <w:t>["D\u00e9t\u00e9rioration potentielle de la qualit\u00e9 du portefeuille cr\u00e9dit n\u00e9cessitant des provisions accrues", "Pression sur la rentabilit\u00e9 due au renforcement du co\u00fbt du risque dans un contexte prudentiel exigeant", "Concentration des financements sur le court et moyen ter</w:t>
      </w:r>
    </w:p>
    <w:p>
      <w:pPr>
        <w:spacing w:before="40"/>
        <w:ind w:left="400"/>
      </w:pPr>
      <w:r>
        <w:rPr>
          <w:b/>
          <w:color w:val="0064A0"/>
          <w:sz w:val="18"/>
        </w:rPr>
        <w:t xml:space="preserve">🔮 Perspectives : </w:t>
      </w:r>
      <w:r>
        <w:rPr>
          <w:sz w:val="18"/>
        </w:rPr>
        <w:t>La BIIC prévoit de poursuivre le déploiement de ses activités au T4 2025 en consolidant sa stratégie commerciale. L'accent sera mis sur une gestion rigoureuse des risques et des charges de fonctionnement pour atteindre les objectifs stratégiques. La banque maintient sa dynamique de croissance tout e</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544.67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652 titres</w:t>
            </w:r>
          </w:p>
        </w:tc>
        <w:tc>
          <w:tcPr>
            <w:tcW w:type="dxa" w:w="2268"/>
            <w:shd w:fill="FFF2CC" w:val="clear"/>
          </w:tcPr>
          <w:p>
            <w:r>
              <w:rPr>
                <w:b/>
                <w:color w:val="503200"/>
                <w:sz w:val="16"/>
              </w:rPr>
              <w:t xml:space="preserve">Cours actuel : </w:t>
            </w:r>
            <w:r>
              <w:rPr>
                <w:color w:val="000000"/>
                <w:sz w:val="17"/>
              </w:rPr>
              <w:t>32,680 FCFA</w:t>
            </w:r>
          </w:p>
          <w:p>
            <w:r>
              <w:rPr>
                <w:b/>
                <w:color w:val="503200"/>
                <w:sz w:val="16"/>
              </w:rPr>
              <w:t xml:space="preserve">Var. 100 jours : </w:t>
            </w:r>
            <w:r>
              <w:rPr>
                <w:b/>
                <w:color w:val="007800"/>
                <w:sz w:val="17"/>
              </w:rPr>
              <w:t>+39.06%</w:t>
            </w:r>
          </w:p>
          <w:p>
            <w:r>
              <w:rPr>
                <w:b/>
                <w:color w:val="503200"/>
                <w:sz w:val="16"/>
              </w:rPr>
              <w:t xml:space="preserve">Plus haut 100j : </w:t>
            </w:r>
            <w:r>
              <w:rPr>
                <w:color w:val="000000"/>
                <w:sz w:val="17"/>
              </w:rPr>
              <w:t>32,680 FCFA</w:t>
            </w:r>
          </w:p>
          <w:p>
            <w:r>
              <w:rPr>
                <w:b/>
                <w:color w:val="503200"/>
                <w:sz w:val="16"/>
              </w:rPr>
              <w:t xml:space="preserve">Plus bas 100j : </w:t>
            </w:r>
            <w:r>
              <w:rPr>
                <w:color w:val="000000"/>
                <w:sz w:val="17"/>
              </w:rPr>
              <w:t>22,500 FCFA</w:t>
            </w:r>
          </w:p>
          <w:p>
            <w:r>
              <w:rPr>
                <w:b/>
                <w:color w:val="503200"/>
                <w:sz w:val="16"/>
              </w:rPr>
              <w:t xml:space="preserve">Volatilité ann. : </w:t>
            </w:r>
            <w:r>
              <w:rPr>
                <w:color w:val="000000"/>
                <w:sz w:val="17"/>
              </w:rPr>
              <w:t>28.9%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7.23% (Moyenne) — μ=27,607 FCFA, σ=1,996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β=0.2768 (Défensif) — Cov=0.000010, Var(idx)=0.000036, ρ=0.099,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652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σ_j=1.82%/j (Stable) — Vol. annualisée≈28.9%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2026-09-04</w:t>
            </w:r>
          </w:p>
        </w:tc>
        <w:tc>
          <w:tcPr>
            <w:tcW w:type="dxa" w:w="1440"/>
            <w:shd w:fill="FFDCE0" w:val="clear"/>
          </w:tcPr>
          <w:p>
            <w:r>
              <w:rPr>
                <w:sz w:val="17"/>
              </w:rPr>
              <w:t>29,385</w:t>
            </w:r>
          </w:p>
        </w:tc>
        <w:tc>
          <w:tcPr>
            <w:tcW w:type="dxa" w:w="1440"/>
            <w:shd w:fill="FFDCE0" w:val="clear"/>
          </w:tcPr>
          <w:p>
            <w:r>
              <w:rPr>
                <w:b/>
                <w:sz w:val="17"/>
              </w:rPr>
              <w:t>30,255</w:t>
            </w:r>
          </w:p>
        </w:tc>
        <w:tc>
          <w:tcPr>
            <w:tcW w:type="dxa" w:w="1440"/>
            <w:shd w:fill="FFDCE0" w:val="clear"/>
          </w:tcPr>
          <w:p>
            <w:r>
              <w:rPr>
                <w:sz w:val="17"/>
              </w:rPr>
              <w:t>31,125</w:t>
            </w:r>
          </w:p>
        </w:tc>
        <w:tc>
          <w:tcPr>
            <w:tcW w:type="dxa" w:w="1440"/>
            <w:shd w:fill="FFDCE0" w:val="clear"/>
          </w:tcPr>
          <w:p>
            <w:r>
              <w:rPr>
                <w:b/>
                <w:color w:val="C00000"/>
                <w:sz w:val="17"/>
              </w:rPr>
              <w:t>-7.4%</w:t>
            </w:r>
          </w:p>
        </w:tc>
      </w:tr>
      <w:tr>
        <w:tc>
          <w:tcPr>
            <w:tcW w:type="dxa" w:w="1440"/>
            <w:shd w:fill="FFDCE0" w:val="clear"/>
          </w:tcPr>
          <w:p>
            <w:r>
              <w:rPr>
                <w:sz w:val="17"/>
              </w:rPr>
              <w:t>J+2  ⭐⭐⭐</w:t>
            </w:r>
          </w:p>
        </w:tc>
        <w:tc>
          <w:tcPr>
            <w:tcW w:type="dxa" w:w="1440"/>
            <w:shd w:fill="FFDCE0" w:val="clear"/>
          </w:tcPr>
          <w:p>
            <w:r>
              <w:rPr>
                <w:sz w:val="17"/>
              </w:rPr>
              <w:t>2026-09-07</w:t>
            </w:r>
          </w:p>
        </w:tc>
        <w:tc>
          <w:tcPr>
            <w:tcW w:type="dxa" w:w="1440"/>
            <w:shd w:fill="FFDCE0" w:val="clear"/>
          </w:tcPr>
          <w:p>
            <w:r>
              <w:rPr>
                <w:sz w:val="17"/>
              </w:rPr>
              <w:t>28,845</w:t>
            </w:r>
          </w:p>
        </w:tc>
        <w:tc>
          <w:tcPr>
            <w:tcW w:type="dxa" w:w="1440"/>
            <w:shd w:fill="FFDCE0" w:val="clear"/>
          </w:tcPr>
          <w:p>
            <w:r>
              <w:rPr>
                <w:b/>
                <w:sz w:val="17"/>
              </w:rPr>
              <w:t>30,067</w:t>
            </w:r>
          </w:p>
        </w:tc>
        <w:tc>
          <w:tcPr>
            <w:tcW w:type="dxa" w:w="1440"/>
            <w:shd w:fill="FFDCE0" w:val="clear"/>
          </w:tcPr>
          <w:p>
            <w:r>
              <w:rPr>
                <w:sz w:val="17"/>
              </w:rPr>
              <w:t>31,290</w:t>
            </w:r>
          </w:p>
        </w:tc>
        <w:tc>
          <w:tcPr>
            <w:tcW w:type="dxa" w:w="1440"/>
            <w:shd w:fill="FFDCE0" w:val="clear"/>
          </w:tcPr>
          <w:p>
            <w:r>
              <w:rPr>
                <w:b/>
                <w:color w:val="C00000"/>
                <w:sz w:val="17"/>
              </w:rPr>
              <w:t>-8.0%</w:t>
            </w:r>
          </w:p>
        </w:tc>
      </w:tr>
      <w:tr>
        <w:tc>
          <w:tcPr>
            <w:tcW w:type="dxa" w:w="1440"/>
            <w:shd w:fill="FFDCE0" w:val="clear"/>
          </w:tcPr>
          <w:p>
            <w:r>
              <w:rPr>
                <w:sz w:val="17"/>
              </w:rPr>
              <w:t>J+3  ⭐⭐⭐</w:t>
            </w:r>
          </w:p>
        </w:tc>
        <w:tc>
          <w:tcPr>
            <w:tcW w:type="dxa" w:w="1440"/>
            <w:shd w:fill="FFDCE0" w:val="clear"/>
          </w:tcPr>
          <w:p>
            <w:r>
              <w:rPr>
                <w:sz w:val="17"/>
              </w:rPr>
              <w:t>2026-09-08</w:t>
            </w:r>
          </w:p>
        </w:tc>
        <w:tc>
          <w:tcPr>
            <w:tcW w:type="dxa" w:w="1440"/>
            <w:shd w:fill="FFDCE0" w:val="clear"/>
          </w:tcPr>
          <w:p>
            <w:r>
              <w:rPr>
                <w:sz w:val="17"/>
              </w:rPr>
              <w:t>28,155</w:t>
            </w:r>
          </w:p>
        </w:tc>
        <w:tc>
          <w:tcPr>
            <w:tcW w:type="dxa" w:w="1440"/>
            <w:shd w:fill="FFDCE0" w:val="clear"/>
          </w:tcPr>
          <w:p>
            <w:r>
              <w:rPr>
                <w:b/>
                <w:sz w:val="17"/>
              </w:rPr>
              <w:t>29,631</w:t>
            </w:r>
          </w:p>
        </w:tc>
        <w:tc>
          <w:tcPr>
            <w:tcW w:type="dxa" w:w="1440"/>
            <w:shd w:fill="FFDCE0" w:val="clear"/>
          </w:tcPr>
          <w:p>
            <w:r>
              <w:rPr>
                <w:sz w:val="17"/>
              </w:rPr>
              <w:t>31,106</w:t>
            </w:r>
          </w:p>
        </w:tc>
        <w:tc>
          <w:tcPr>
            <w:tcW w:type="dxa" w:w="1440"/>
            <w:shd w:fill="FFDCE0" w:val="clear"/>
          </w:tcPr>
          <w:p>
            <w:r>
              <w:rPr>
                <w:b/>
                <w:color w:val="C00000"/>
                <w:sz w:val="17"/>
              </w:rPr>
              <w:t>-9.3%</w:t>
            </w:r>
          </w:p>
        </w:tc>
      </w:tr>
      <w:tr>
        <w:tc>
          <w:tcPr>
            <w:tcW w:type="dxa" w:w="1440"/>
            <w:shd w:fill="FFDCE0" w:val="clear"/>
          </w:tcPr>
          <w:p>
            <w:r>
              <w:rPr>
                <w:sz w:val="17"/>
              </w:rPr>
              <w:t>J+4  Moyenne</w:t>
            </w:r>
          </w:p>
        </w:tc>
        <w:tc>
          <w:tcPr>
            <w:tcW w:type="dxa" w:w="1440"/>
            <w:shd w:fill="FFDCE0" w:val="clear"/>
          </w:tcPr>
          <w:p>
            <w:r>
              <w:rPr>
                <w:sz w:val="17"/>
              </w:rPr>
              <w:t>2026-09-09</w:t>
            </w:r>
          </w:p>
        </w:tc>
        <w:tc>
          <w:tcPr>
            <w:tcW w:type="dxa" w:w="1440"/>
            <w:shd w:fill="FFDCE0" w:val="clear"/>
          </w:tcPr>
          <w:p>
            <w:r>
              <w:rPr>
                <w:sz w:val="17"/>
              </w:rPr>
              <w:t>27,559</w:t>
            </w:r>
          </w:p>
        </w:tc>
        <w:tc>
          <w:tcPr>
            <w:tcW w:type="dxa" w:w="1440"/>
            <w:shd w:fill="FFDCE0" w:val="clear"/>
          </w:tcPr>
          <w:p>
            <w:r>
              <w:rPr>
                <w:b/>
                <w:sz w:val="17"/>
              </w:rPr>
              <w:t>29,241</w:t>
            </w:r>
          </w:p>
        </w:tc>
        <w:tc>
          <w:tcPr>
            <w:tcW w:type="dxa" w:w="1440"/>
            <w:shd w:fill="FFDCE0" w:val="clear"/>
          </w:tcPr>
          <w:p>
            <w:r>
              <w:rPr>
                <w:sz w:val="17"/>
              </w:rPr>
              <w:t>30,922</w:t>
            </w:r>
          </w:p>
        </w:tc>
        <w:tc>
          <w:tcPr>
            <w:tcW w:type="dxa" w:w="1440"/>
            <w:shd w:fill="FFDCE0" w:val="clear"/>
          </w:tcPr>
          <w:p>
            <w:r>
              <w:rPr>
                <w:b/>
                <w:color w:val="C00000"/>
                <w:sz w:val="17"/>
              </w:rPr>
              <w:t>-10.5%</w:t>
            </w:r>
          </w:p>
        </w:tc>
      </w:tr>
      <w:tr>
        <w:tc>
          <w:tcPr>
            <w:tcW w:type="dxa" w:w="1440"/>
            <w:shd w:fill="FFDCE0" w:val="clear"/>
          </w:tcPr>
          <w:p>
            <w:r>
              <w:rPr>
                <w:sz w:val="17"/>
              </w:rPr>
              <w:t>J+5  Moyenne</w:t>
            </w:r>
          </w:p>
        </w:tc>
        <w:tc>
          <w:tcPr>
            <w:tcW w:type="dxa" w:w="1440"/>
            <w:shd w:fill="FFDCE0" w:val="clear"/>
          </w:tcPr>
          <w:p>
            <w:r>
              <w:rPr>
                <w:sz w:val="17"/>
              </w:rPr>
              <w:t>2026-09-10</w:t>
            </w:r>
          </w:p>
        </w:tc>
        <w:tc>
          <w:tcPr>
            <w:tcW w:type="dxa" w:w="1440"/>
            <w:shd w:fill="FFDCE0" w:val="clear"/>
          </w:tcPr>
          <w:p>
            <w:r>
              <w:rPr>
                <w:sz w:val="17"/>
              </w:rPr>
              <w:t>27,052</w:t>
            </w:r>
          </w:p>
        </w:tc>
        <w:tc>
          <w:tcPr>
            <w:tcW w:type="dxa" w:w="1440"/>
            <w:shd w:fill="FFDCE0" w:val="clear"/>
          </w:tcPr>
          <w:p>
            <w:r>
              <w:rPr>
                <w:b/>
                <w:sz w:val="17"/>
              </w:rPr>
              <w:t>28,911</w:t>
            </w:r>
          </w:p>
        </w:tc>
        <w:tc>
          <w:tcPr>
            <w:tcW w:type="dxa" w:w="1440"/>
            <w:shd w:fill="FFDCE0" w:val="clear"/>
          </w:tcPr>
          <w:p>
            <w:r>
              <w:rPr>
                <w:sz w:val="17"/>
              </w:rPr>
              <w:t>30,770</w:t>
            </w:r>
          </w:p>
        </w:tc>
        <w:tc>
          <w:tcPr>
            <w:tcW w:type="dxa" w:w="1440"/>
            <w:shd w:fill="FFDCE0" w:val="clear"/>
          </w:tcPr>
          <w:p>
            <w:r>
              <w:rPr>
                <w:b/>
                <w:color w:val="C00000"/>
                <w:sz w:val="17"/>
              </w:rPr>
              <w:t>-11.5%</w:t>
            </w:r>
          </w:p>
        </w:tc>
      </w:tr>
      <w:tr>
        <w:tc>
          <w:tcPr>
            <w:tcW w:type="dxa" w:w="1440"/>
            <w:shd w:fill="FFDCE0" w:val="clear"/>
          </w:tcPr>
          <w:p>
            <w:r>
              <w:rPr>
                <w:sz w:val="17"/>
              </w:rPr>
              <w:t>J+6  Moyenne</w:t>
            </w:r>
          </w:p>
        </w:tc>
        <w:tc>
          <w:tcPr>
            <w:tcW w:type="dxa" w:w="1440"/>
            <w:shd w:fill="FFDCE0" w:val="clear"/>
          </w:tcPr>
          <w:p>
            <w:r>
              <w:rPr>
                <w:sz w:val="17"/>
              </w:rPr>
              <w:t>2026-09-11</w:t>
            </w:r>
          </w:p>
        </w:tc>
        <w:tc>
          <w:tcPr>
            <w:tcW w:type="dxa" w:w="1440"/>
            <w:shd w:fill="FFDCE0" w:val="clear"/>
          </w:tcPr>
          <w:p>
            <w:r>
              <w:rPr>
                <w:sz w:val="17"/>
              </w:rPr>
              <w:t>26,595</w:t>
            </w:r>
          </w:p>
        </w:tc>
        <w:tc>
          <w:tcPr>
            <w:tcW w:type="dxa" w:w="1440"/>
            <w:shd w:fill="FFDCE0" w:val="clear"/>
          </w:tcPr>
          <w:p>
            <w:r>
              <w:rPr>
                <w:b/>
                <w:sz w:val="17"/>
              </w:rPr>
              <w:t>28,610</w:t>
            </w:r>
          </w:p>
        </w:tc>
        <w:tc>
          <w:tcPr>
            <w:tcW w:type="dxa" w:w="1440"/>
            <w:shd w:fill="FFDCE0" w:val="clear"/>
          </w:tcPr>
          <w:p>
            <w:r>
              <w:rPr>
                <w:sz w:val="17"/>
              </w:rPr>
              <w:t>30,625</w:t>
            </w:r>
          </w:p>
        </w:tc>
        <w:tc>
          <w:tcPr>
            <w:tcW w:type="dxa" w:w="1440"/>
            <w:shd w:fill="FFDCE0" w:val="clear"/>
          </w:tcPr>
          <w:p>
            <w:r>
              <w:rPr>
                <w:b/>
                <w:color w:val="C00000"/>
                <w:sz w:val="17"/>
              </w:rPr>
              <w:t>-12.5%</w:t>
            </w:r>
          </w:p>
        </w:tc>
      </w:tr>
      <w:tr>
        <w:tc>
          <w:tcPr>
            <w:tcW w:type="dxa" w:w="1440"/>
            <w:shd w:fill="FFDCE0" w:val="clear"/>
          </w:tcPr>
          <w:p>
            <w:r>
              <w:rPr>
                <w:sz w:val="17"/>
              </w:rPr>
              <w:t>J+7  Moyenne</w:t>
            </w:r>
          </w:p>
        </w:tc>
        <w:tc>
          <w:tcPr>
            <w:tcW w:type="dxa" w:w="1440"/>
            <w:shd w:fill="FFDCE0" w:val="clear"/>
          </w:tcPr>
          <w:p>
            <w:r>
              <w:rPr>
                <w:sz w:val="17"/>
              </w:rPr>
              <w:t>2026-09-14</w:t>
            </w:r>
          </w:p>
        </w:tc>
        <w:tc>
          <w:tcPr>
            <w:tcW w:type="dxa" w:w="1440"/>
            <w:shd w:fill="FFDCE0" w:val="clear"/>
          </w:tcPr>
          <w:p>
            <w:r>
              <w:rPr>
                <w:sz w:val="17"/>
              </w:rPr>
              <w:t>26,169</w:t>
            </w:r>
          </w:p>
        </w:tc>
        <w:tc>
          <w:tcPr>
            <w:tcW w:type="dxa" w:w="1440"/>
            <w:shd w:fill="FFDCE0" w:val="clear"/>
          </w:tcPr>
          <w:p>
            <w:r>
              <w:rPr>
                <w:b/>
                <w:sz w:val="17"/>
              </w:rPr>
              <w:t>28,324</w:t>
            </w:r>
          </w:p>
        </w:tc>
        <w:tc>
          <w:tcPr>
            <w:tcW w:type="dxa" w:w="1440"/>
            <w:shd w:fill="FFDCE0" w:val="clear"/>
          </w:tcPr>
          <w:p>
            <w:r>
              <w:rPr>
                <w:sz w:val="17"/>
              </w:rPr>
              <w:t>30,479</w:t>
            </w:r>
          </w:p>
        </w:tc>
        <w:tc>
          <w:tcPr>
            <w:tcW w:type="dxa" w:w="1440"/>
            <w:shd w:fill="FFDCE0" w:val="clear"/>
          </w:tcPr>
          <w:p>
            <w:r>
              <w:rPr>
                <w:b/>
                <w:color w:val="C00000"/>
                <w:sz w:val="17"/>
              </w:rPr>
              <w:t>-13.3%</w:t>
            </w:r>
          </w:p>
        </w:tc>
      </w:tr>
      <w:tr>
        <w:tc>
          <w:tcPr>
            <w:tcW w:type="dxa" w:w="1440"/>
            <w:shd w:fill="FFDCE0" w:val="clear"/>
          </w:tcPr>
          <w:p>
            <w:r>
              <w:rPr>
                <w:sz w:val="17"/>
              </w:rPr>
              <w:t>J+8  Moyenne</w:t>
            </w:r>
          </w:p>
        </w:tc>
        <w:tc>
          <w:tcPr>
            <w:tcW w:type="dxa" w:w="1440"/>
            <w:shd w:fill="FFDCE0" w:val="clear"/>
          </w:tcPr>
          <w:p>
            <w:r>
              <w:rPr>
                <w:sz w:val="17"/>
              </w:rPr>
              <w:t>2026-09-15</w:t>
            </w:r>
          </w:p>
        </w:tc>
        <w:tc>
          <w:tcPr>
            <w:tcW w:type="dxa" w:w="1440"/>
            <w:shd w:fill="FFDCE0" w:val="clear"/>
          </w:tcPr>
          <w:p>
            <w:r>
              <w:rPr>
                <w:sz w:val="17"/>
              </w:rPr>
              <w:t>25,768</w:t>
            </w:r>
          </w:p>
        </w:tc>
        <w:tc>
          <w:tcPr>
            <w:tcW w:type="dxa" w:w="1440"/>
            <w:shd w:fill="FFDCE0" w:val="clear"/>
          </w:tcPr>
          <w:p>
            <w:r>
              <w:rPr>
                <w:b/>
                <w:sz w:val="17"/>
              </w:rPr>
              <w:t>28,049</w:t>
            </w:r>
          </w:p>
        </w:tc>
        <w:tc>
          <w:tcPr>
            <w:tcW w:type="dxa" w:w="1440"/>
            <w:shd w:fill="FFDCE0" w:val="clear"/>
          </w:tcPr>
          <w:p>
            <w:r>
              <w:rPr>
                <w:sz w:val="17"/>
              </w:rPr>
              <w:t>30,330</w:t>
            </w:r>
          </w:p>
        </w:tc>
        <w:tc>
          <w:tcPr>
            <w:tcW w:type="dxa" w:w="1440"/>
            <w:shd w:fill="FFDCE0" w:val="clear"/>
          </w:tcPr>
          <w:p>
            <w:r>
              <w:rPr>
                <w:b/>
                <w:color w:val="C00000"/>
                <w:sz w:val="17"/>
              </w:rPr>
              <w:t>-14.2%</w:t>
            </w:r>
          </w:p>
        </w:tc>
      </w:tr>
      <w:tr>
        <w:tc>
          <w:tcPr>
            <w:tcW w:type="dxa" w:w="1440"/>
            <w:shd w:fill="FFDCE0" w:val="clear"/>
          </w:tcPr>
          <w:p>
            <w:r>
              <w:rPr>
                <w:sz w:val="17"/>
              </w:rPr>
              <w:t>J+9  Moyenne</w:t>
            </w:r>
          </w:p>
        </w:tc>
        <w:tc>
          <w:tcPr>
            <w:tcW w:type="dxa" w:w="1440"/>
            <w:shd w:fill="FFDCE0" w:val="clear"/>
          </w:tcPr>
          <w:p>
            <w:r>
              <w:rPr>
                <w:sz w:val="17"/>
              </w:rPr>
              <w:t>2026-09-16</w:t>
            </w:r>
          </w:p>
        </w:tc>
        <w:tc>
          <w:tcPr>
            <w:tcW w:type="dxa" w:w="1440"/>
            <w:shd w:fill="FFDCE0" w:val="clear"/>
          </w:tcPr>
          <w:p>
            <w:r>
              <w:rPr>
                <w:sz w:val="17"/>
              </w:rPr>
              <w:t>25,389</w:t>
            </w:r>
          </w:p>
        </w:tc>
        <w:tc>
          <w:tcPr>
            <w:tcW w:type="dxa" w:w="1440"/>
            <w:shd w:fill="FFDCE0" w:val="clear"/>
          </w:tcPr>
          <w:p>
            <w:r>
              <w:rPr>
                <w:b/>
                <w:sz w:val="17"/>
              </w:rPr>
              <w:t>27,785</w:t>
            </w:r>
          </w:p>
        </w:tc>
        <w:tc>
          <w:tcPr>
            <w:tcW w:type="dxa" w:w="1440"/>
            <w:shd w:fill="FFDCE0" w:val="clear"/>
          </w:tcPr>
          <w:p>
            <w:r>
              <w:rPr>
                <w:sz w:val="17"/>
              </w:rPr>
              <w:t>30,182</w:t>
            </w:r>
          </w:p>
        </w:tc>
        <w:tc>
          <w:tcPr>
            <w:tcW w:type="dxa" w:w="1440"/>
            <w:shd w:fill="FFDCE0" w:val="clear"/>
          </w:tcPr>
          <w:p>
            <w:r>
              <w:rPr>
                <w:b/>
                <w:color w:val="C00000"/>
                <w:sz w:val="17"/>
              </w:rPr>
              <w:t>-15.0%</w:t>
            </w:r>
          </w:p>
        </w:tc>
      </w:tr>
      <w:tr>
        <w:tc>
          <w:tcPr>
            <w:tcW w:type="dxa" w:w="1440"/>
            <w:shd w:fill="FFDCE0" w:val="clear"/>
          </w:tcPr>
          <w:p>
            <w:r>
              <w:rPr>
                <w:sz w:val="17"/>
              </w:rPr>
              <w:t>J+10  Moyenne</w:t>
            </w:r>
          </w:p>
        </w:tc>
        <w:tc>
          <w:tcPr>
            <w:tcW w:type="dxa" w:w="1440"/>
            <w:shd w:fill="FFDCE0" w:val="clear"/>
          </w:tcPr>
          <w:p>
            <w:r>
              <w:rPr>
                <w:sz w:val="17"/>
              </w:rPr>
              <w:t>2026-09-17</w:t>
            </w:r>
          </w:p>
        </w:tc>
        <w:tc>
          <w:tcPr>
            <w:tcW w:type="dxa" w:w="1440"/>
            <w:shd w:fill="FFDCE0" w:val="clear"/>
          </w:tcPr>
          <w:p>
            <w:r>
              <w:rPr>
                <w:sz w:val="17"/>
              </w:rPr>
              <w:t>25,028</w:t>
            </w:r>
          </w:p>
        </w:tc>
        <w:tc>
          <w:tcPr>
            <w:tcW w:type="dxa" w:w="1440"/>
            <w:shd w:fill="FFDCE0" w:val="clear"/>
          </w:tcPr>
          <w:p>
            <w:r>
              <w:rPr>
                <w:b/>
                <w:sz w:val="17"/>
              </w:rPr>
              <w:t>27,532</w:t>
            </w:r>
          </w:p>
        </w:tc>
        <w:tc>
          <w:tcPr>
            <w:tcW w:type="dxa" w:w="1440"/>
            <w:shd w:fill="FFDCE0" w:val="clear"/>
          </w:tcPr>
          <w:p>
            <w:r>
              <w:rPr>
                <w:sz w:val="17"/>
              </w:rPr>
              <w:t>30,035</w:t>
            </w:r>
          </w:p>
        </w:tc>
        <w:tc>
          <w:tcPr>
            <w:tcW w:type="dxa" w:w="1440"/>
            <w:shd w:fill="FFDCE0" w:val="clear"/>
          </w:tcPr>
          <w:p>
            <w:r>
              <w:rPr>
                <w:b/>
                <w:color w:val="C00000"/>
                <w:sz w:val="17"/>
              </w:rPr>
              <w:t>-15.8%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pPr>
      <w:r>
        <w:t>**RAPPORT D'ANALYSE FINANCIÈRE — BICC (BICICI)**</w:t>
        <w:br/>
        <w:t>**Date de l'analyse : Septembre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BICC s'établit à 544,67 milliards FCFA, ce qui en fait l'une des valeurs les plus significatives du compartiment bancaire de la BRVM, reflétant la confiance des investisseurs dans ce pilier du secteur financier ivoirien. Avec un BPA de 2 191 FCFA, chaque action génère un bénéfice substantiel, justifiant un PER de 14,9x. Ce ratio, bien que supérieur à la moyenne historique de la BRVM (8-12x), reste modéré pour une banque affichant une croissance aussi dynamique, indiquant que les investisseurs acceptent de payer une prime pour la qualité des bénéfices. Cependant, le P/B de 4,52x signale une valorisation exigeante, le marché intégrant une rentabilité future élevée bien au-delà de la valeur comptable. Enfin, l'EV/EBITDA de 10,9x, situé dans la fourchette de 10-15x, confirme une valorisation élevée mais cohérente avec la forte capacité opérationnelle de la banque.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BICC a enregistré une progression spectaculaire de +39,06%, avec une accélération notable lors de la dernière séance (+7,50%), portant le cours à 32 680 FCFA, son plus haut niveau sur la période, contre un plus bas de 22 500 FCFA. Cette tendance haussière marquée s'accompagne d'une moyenne de 27 607 FCFA, inférieure à la médiane de 28 328 FCFA, ce qui, combiné à un skewness négatif de -0,864, indique une distribution asymétrique avec des journées de forte hausse récentes qui tirent le cours vers le haut. L'écart-type de 2 006 FCFA (CV de 7,3%) révèle une dispersion modérée autour de la moyenne, tandis que le kurtosis de 0,055 (mésokurtique) suggère l'absence de risques extrêmes de pics ou de queues épaisses. La volatilité annualisée de 28,9% classe le titre dans la catégorie "élevée" (proche du seuil de 30%), reflétant un intérêt soutenu mais des fluctuations potentiellement fortes.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32 680 FCFA se situe nettement au-dessus de la MM20 (29 420,75 FCFA) et de la MM50 (28 873 FCFA), confirmant une dynamique haussière solide à court et moyen terme. L'écart croissant entre le cours et ces moyennes signale une forte pression acheteuse, justifiant la décision d'**Achat**, bien que cet écart puisse également indiquer une extension excessive.</w:t>
      </w:r>
    </w:p>
    <w:p>
      <w:pPr>
        <w:spacing w:after="120" w:line="276" w:lineRule="auto"/>
      </w:pPr>
      <w:r>
        <w:t>**Bandes de Bollinger** : Le prix évolue au-dessus de la borne supérieure (31 213,52 FCFA), un signal classique de surachat temporaire. Cette sortie de canal suggère une volatilité accrue et un momentum très fort, mais expose le titre à un risque de repli technique vers la moyenne mobile. La décision de **Vente** reflète cette probabilité de correction à court terme.</w:t>
      </w:r>
    </w:p>
    <w:p>
      <w:pPr>
        <w:spacing w:after="120" w:line="276" w:lineRule="auto"/>
      </w:pPr>
      <w:r>
        <w:t>**MACD** : Le MACD (566,56) est nettement supérieur à son signal (294,31), affichant une divergence positive qui confirme la vigueur du momentum haussier. Cette configuration, bien que robuste, commence à montrer des signes de maturité, mais la décision reste à l'**Achat** tant que la divergence persiste.</w:t>
      </w:r>
    </w:p>
    <w:p>
      <w:pPr>
        <w:spacing w:after="120" w:line="276" w:lineRule="auto"/>
      </w:pPr>
      <w:r>
        <w:t>**RSI** : Avec une valeur de 77,96, le RSI entre en zone de surachat (&gt;70), indiquant que le titre est techniquement surévalué à court terme. Ce niveau reflète un optimisme excessif des investisseurs, justifiant la décision de **Vente** en prévision d'une consolidation.</w:t>
      </w:r>
    </w:p>
    <w:p>
      <w:pPr>
        <w:spacing w:after="120" w:line="276" w:lineRule="auto"/>
      </w:pPr>
      <w:r>
        <w:t>**Stochastique** : Le %K (100,0) et le %D (98,3) sont tous deux à des niveaux extrêmes de surachat, avec un %K au maximum absolu. Cette configuration signale une pression d'achat épuisée, augmentant la probabilité d'un croisement baissier imminent. La décision de **Vente** est donc cohérente.</w:t>
      </w:r>
    </w:p>
    <w:p>
      <w:pPr>
        <w:spacing w:after="120" w:line="276" w:lineRule="auto"/>
      </w:pPr>
      <w:r>
        <w:t>**Conclusion technique** : Les indicateurs de momentum (MACD, RSI, Stochastique) sont tous en zone de surachat, tandis que le prix a dépassé les bandes de Bollinger supérieures. Bien que la tendance de fond reste haussière (MM20/MM50), les signaux à court terme convergent vers un risque élevé de correction technique. La prudence est donc de mise pour un nouvel achat à ces niveaux.</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annuels de BICC révèlent une performance exceptionnelle : le Produit Net Bancaire (PNB) s'établit à 79,563 milliards FCFA, en croissance de 16,9% par rapport à 2024 (68,063 milliards FCFA, +22,6% vs 2023), démontrant une dynamique commerciale soutenue. Le résultat net atteint 36,520 milliards FCFA en 2025, contre 26,226 milliards en 2024 (+57,1%), portant la marge nette à 45,9% et le ROE à un niveau remarquable de 30,3%, largement au-dessus du seuil d'excellence de 15%. Le coefficient d'exploitation de 50,8% confirme une gestion rigoureuse des charges, tandis que le ratio de solvabilité générale (112%) et la capacité de remboursement (0,40 an) témoignent d'une structure financière saine. Le coût du risque, bien que négatif (-12,1%), reflète des reprises de provisions, indiquant une amélioration de la qualité du portefeuille de crédits. Les dépôts clientèle (952,872 milliards FCFA) couvrent largement les créances sur la clientèle (524,439 milliards FCFA), assurant une liquidité abondante. Les rapports trimestriels 2025 confirment cette trajectoire : au T1 2025, le PNB progressait de 9,3% et le résultat net de 23,0%, puis au S1 2025, ces croissances atteignaient respectivement 16,6% et 42,5%, et au T3 2025, le PNB cumulé s'élevait à 58,119 milliards FCFA (+16,4%) avec un résultat net de 27,402 milliards FCFA (+50,8%). Sur la base du rapport T1 2026 (PNB de 21,214 milliards FCFA, +17,0% et résultat net de 10,387 milliards FCFA, +29,7%), on estime que l'exercice 2026 devrait poursuivre cette croissance, avec un PNB annuel potentiel dépassant 85 milliards FCFA et un résultat net pouvant excéder 40 milliards FCFA, confirmant la solidité et la pérennité du modèle économique de la banque.</w:t>
      </w:r>
    </w:p>
    <w:p>
      <w:pPr>
        <w:spacing w:after="120" w:line="276" w:lineRule="auto"/>
      </w:pPr>
      <w:r>
        <w:t>---</w:t>
      </w:r>
    </w:p>
    <w:p>
      <w:pPr>
        <w:spacing w:after="120" w:line="276" w:lineRule="auto"/>
      </w:pPr>
      <w:r>
        <w:t>### PARTIE 4 : CONCLUSION D'INVESTISSEMENT</w:t>
      </w:r>
    </w:p>
    <w:p>
      <w:pPr>
        <w:spacing w:after="120" w:line="276" w:lineRule="auto"/>
      </w:pPr>
      <w:r>
        <w:t>La valorisation de BICC (PER de 14,9x, P/B de 4,52x) indique une prime de marché justifiée par une rentabilité exceptionnelle, mais laisse peu de marge de sécurité pour une appréciation supplémentaire. Le comportement du cours, avec une hausse de +39% en 100 jours et une volatilité élevée (28,9%), reflète un enthousiasme marqué, mais les statistiques (skewness négatif, kurtosis mésokurtique) suggèrent un potentiel de consolidation. Les signaux techniques sont fortement divergents : la tendance de fond (MM20/MM50) reste haussière, mais tous les oscillateurs (RSI à 77,9, Stochastique à 100, MACD suracheté) et la sortie des bandes de Bollinger signalent un risque imminent de correction. Les fondamentaux, quant à eux, sont excellents avec un ROE de 30,3%, une croissance soutenue du PNB et du résultat net, et une qualité de bilan irréprochable. Les prédictions IA (J+1 à J+10) prévoient un repli progressif du cours de 30 255 à 28 911 FCFA, confirmant les signaux techniques de surachat. En synthèse, la convergence entre les signaux techniques baissiers à court terme et les prédictions IA contraste avec la solidité fondamentale à long terme. Par conséquent, la recommandation est de **CONSERVER** le titre pour les investisseurs existants, avec un niveau de confiance **Moyen** et un risque global **Moyen**. L'horizon d'investissement optimal serait le **moyen terme (3-12 mois)**, en attendant une correction technique pour renforcer les positions, la tendance fondamentale demeurant résolument positive.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14.57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2,744 titres</w:t>
            </w:r>
          </w:p>
        </w:tc>
        <w:tc>
          <w:tcPr>
            <w:tcW w:type="dxa" w:w="2268"/>
            <w:shd w:fill="FFF2CC" w:val="clear"/>
          </w:tcPr>
          <w:p>
            <w:r>
              <w:rPr>
                <w:b/>
                <w:color w:val="503200"/>
                <w:sz w:val="16"/>
              </w:rPr>
              <w:t xml:space="preserve">Cours actuel : </w:t>
            </w:r>
            <w:r>
              <w:rPr>
                <w:color w:val="000000"/>
                <w:sz w:val="17"/>
              </w:rPr>
              <w:t>2,200 FCFA</w:t>
            </w:r>
          </w:p>
          <w:p>
            <w:r>
              <w:rPr>
                <w:b/>
                <w:color w:val="503200"/>
                <w:sz w:val="16"/>
              </w:rPr>
              <w:t xml:space="preserve">Var. 100 jours : </w:t>
            </w:r>
            <w:r>
              <w:rPr>
                <w:b/>
                <w:color w:val="007800"/>
                <w:sz w:val="17"/>
              </w:rPr>
              <w:t>+39.24%</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51.1%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17.0/100 → Faible</w:t>
      </w:r>
    </w:p>
    <w:p>
      <w:pPr>
        <w:spacing w:before="40" w:after="80"/>
      </w:pPr>
      <w:r>
        <w:rPr>
          <w:rFonts w:ascii="Courier New" w:hAnsi="Courier New"/>
          <w:color w:val="006400"/>
          <w:sz w:val="18"/>
        </w:rPr>
        <w:t>███░░░░░░░░░░░░░░░░░  17.0/100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13.25% (Moyenne) — μ=1,805 FCFA, σ=239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β=0.0699 (Défensif) — Cov=0.000003, Var(idx)=0.000036, ρ=0.013,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2,744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σ_j=3.22%/j (Modérée) — Vol. annualisée≈51.1%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2026-09-04</w:t>
            </w:r>
          </w:p>
        </w:tc>
        <w:tc>
          <w:tcPr>
            <w:tcW w:type="dxa" w:w="1440"/>
            <w:shd w:fill="FAFAFA" w:val="clear"/>
          </w:tcPr>
          <w:p>
            <w:r>
              <w:rPr>
                <w:sz w:val="17"/>
              </w:rPr>
              <w:t>2,093</w:t>
            </w:r>
          </w:p>
        </w:tc>
        <w:tc>
          <w:tcPr>
            <w:tcW w:type="dxa" w:w="1440"/>
            <w:shd w:fill="FAFAFA" w:val="clear"/>
          </w:tcPr>
          <w:p>
            <w:r>
              <w:rPr>
                <w:b/>
                <w:sz w:val="17"/>
              </w:rPr>
              <w:t>2,193</w:t>
            </w:r>
          </w:p>
        </w:tc>
        <w:tc>
          <w:tcPr>
            <w:tcW w:type="dxa" w:w="1440"/>
            <w:shd w:fill="FAFAFA" w:val="clear"/>
          </w:tcPr>
          <w:p>
            <w:r>
              <w:rPr>
                <w:sz w:val="17"/>
              </w:rPr>
              <w:t>2,293</w:t>
            </w:r>
          </w:p>
        </w:tc>
        <w:tc>
          <w:tcPr>
            <w:tcW w:type="dxa" w:w="1440"/>
            <w:shd w:fill="FAFAFA" w:val="clear"/>
          </w:tcPr>
          <w:p>
            <w:r>
              <w:rPr>
                <w:b/>
                <w:color w:val="C00000"/>
                <w:sz w:val="17"/>
              </w:rPr>
              <w:t>-0.3%</w:t>
            </w:r>
          </w:p>
        </w:tc>
      </w:tr>
      <w:tr>
        <w:tc>
          <w:tcPr>
            <w:tcW w:type="dxa" w:w="1440"/>
            <w:shd w:fill="FAFAFA" w:val="clear"/>
          </w:tcPr>
          <w:p>
            <w:r>
              <w:rPr>
                <w:sz w:val="17"/>
              </w:rPr>
              <w:t>J+2  Moyenne</w:t>
            </w:r>
          </w:p>
        </w:tc>
        <w:tc>
          <w:tcPr>
            <w:tcW w:type="dxa" w:w="1440"/>
            <w:shd w:fill="FAFAFA" w:val="clear"/>
          </w:tcPr>
          <w:p>
            <w:r>
              <w:rPr>
                <w:sz w:val="17"/>
              </w:rPr>
              <w:t>2026-09-07</w:t>
            </w:r>
          </w:p>
        </w:tc>
        <w:tc>
          <w:tcPr>
            <w:tcW w:type="dxa" w:w="1440"/>
            <w:shd w:fill="FAFAFA" w:val="clear"/>
          </w:tcPr>
          <w:p>
            <w:r>
              <w:rPr>
                <w:sz w:val="17"/>
              </w:rPr>
              <w:t>2,042</w:t>
            </w:r>
          </w:p>
        </w:tc>
        <w:tc>
          <w:tcPr>
            <w:tcW w:type="dxa" w:w="1440"/>
            <w:shd w:fill="FAFAFA" w:val="clear"/>
          </w:tcPr>
          <w:p>
            <w:r>
              <w:rPr>
                <w:b/>
                <w:sz w:val="17"/>
              </w:rPr>
              <w:t>2,182</w:t>
            </w:r>
          </w:p>
        </w:tc>
        <w:tc>
          <w:tcPr>
            <w:tcW w:type="dxa" w:w="1440"/>
            <w:shd w:fill="FAFAFA" w:val="clear"/>
          </w:tcPr>
          <w:p>
            <w:r>
              <w:rPr>
                <w:sz w:val="17"/>
              </w:rPr>
              <w:t>2,323</w:t>
            </w:r>
          </w:p>
        </w:tc>
        <w:tc>
          <w:tcPr>
            <w:tcW w:type="dxa" w:w="1440"/>
            <w:shd w:fill="FAFAFA" w:val="clear"/>
          </w:tcPr>
          <w:p>
            <w:r>
              <w:rPr>
                <w:b/>
                <w:color w:val="C00000"/>
                <w:sz w:val="17"/>
              </w:rPr>
              <w:t>-0.8%</w:t>
            </w:r>
          </w:p>
        </w:tc>
      </w:tr>
      <w:tr>
        <w:tc>
          <w:tcPr>
            <w:tcW w:type="dxa" w:w="1440"/>
            <w:shd w:fill="FAFAFA" w:val="clear"/>
          </w:tcPr>
          <w:p>
            <w:r>
              <w:rPr>
                <w:sz w:val="17"/>
              </w:rPr>
              <w:t>J+3  Moyenne</w:t>
            </w:r>
          </w:p>
        </w:tc>
        <w:tc>
          <w:tcPr>
            <w:tcW w:type="dxa" w:w="1440"/>
            <w:shd w:fill="FAFAFA" w:val="clear"/>
          </w:tcPr>
          <w:p>
            <w:r>
              <w:rPr>
                <w:sz w:val="17"/>
              </w:rPr>
              <w:t>2026-09-08</w:t>
            </w:r>
          </w:p>
        </w:tc>
        <w:tc>
          <w:tcPr>
            <w:tcW w:type="dxa" w:w="1440"/>
            <w:shd w:fill="FAFAFA" w:val="clear"/>
          </w:tcPr>
          <w:p>
            <w:r>
              <w:rPr>
                <w:sz w:val="17"/>
              </w:rPr>
              <w:t>2,006</w:t>
            </w:r>
          </w:p>
        </w:tc>
        <w:tc>
          <w:tcPr>
            <w:tcW w:type="dxa" w:w="1440"/>
            <w:shd w:fill="FAFAFA" w:val="clear"/>
          </w:tcPr>
          <w:p>
            <w:r>
              <w:rPr>
                <w:b/>
                <w:sz w:val="17"/>
              </w:rPr>
              <w:t>2,178</w:t>
            </w:r>
          </w:p>
        </w:tc>
        <w:tc>
          <w:tcPr>
            <w:tcW w:type="dxa" w:w="1440"/>
            <w:shd w:fill="FAFAFA" w:val="clear"/>
          </w:tcPr>
          <w:p>
            <w:r>
              <w:rPr>
                <w:sz w:val="17"/>
              </w:rPr>
              <w:t>2,350</w:t>
            </w:r>
          </w:p>
        </w:tc>
        <w:tc>
          <w:tcPr>
            <w:tcW w:type="dxa" w:w="1440"/>
            <w:shd w:fill="FAFAFA" w:val="clear"/>
          </w:tcPr>
          <w:p>
            <w:r>
              <w:rPr>
                <w:b/>
                <w:color w:val="C00000"/>
                <w:sz w:val="17"/>
              </w:rPr>
              <w:t>-1.0%</w:t>
            </w:r>
          </w:p>
        </w:tc>
      </w:tr>
      <w:tr>
        <w:tc>
          <w:tcPr>
            <w:tcW w:type="dxa" w:w="1440"/>
            <w:shd w:fill="FAFAFA" w:val="clear"/>
          </w:tcPr>
          <w:p>
            <w:r>
              <w:rPr>
                <w:sz w:val="17"/>
              </w:rPr>
              <w:t>J+4  ⭐</w:t>
            </w:r>
          </w:p>
        </w:tc>
        <w:tc>
          <w:tcPr>
            <w:tcW w:type="dxa" w:w="1440"/>
            <w:shd w:fill="FAFAFA" w:val="clear"/>
          </w:tcPr>
          <w:p>
            <w:r>
              <w:rPr>
                <w:sz w:val="17"/>
              </w:rPr>
              <w:t>2026-09-09</w:t>
            </w:r>
          </w:p>
        </w:tc>
        <w:tc>
          <w:tcPr>
            <w:tcW w:type="dxa" w:w="1440"/>
            <w:shd w:fill="FAFAFA" w:val="clear"/>
          </w:tcPr>
          <w:p>
            <w:r>
              <w:rPr>
                <w:sz w:val="17"/>
              </w:rPr>
              <w:t>1,975</w:t>
            </w:r>
          </w:p>
        </w:tc>
        <w:tc>
          <w:tcPr>
            <w:tcW w:type="dxa" w:w="1440"/>
            <w:shd w:fill="FAFAFA" w:val="clear"/>
          </w:tcPr>
          <w:p>
            <w:r>
              <w:rPr>
                <w:b/>
                <w:sz w:val="17"/>
              </w:rPr>
              <w:t>2,173</w:t>
            </w:r>
          </w:p>
        </w:tc>
        <w:tc>
          <w:tcPr>
            <w:tcW w:type="dxa" w:w="1440"/>
            <w:shd w:fill="FAFAFA" w:val="clear"/>
          </w:tcPr>
          <w:p>
            <w:r>
              <w:rPr>
                <w:sz w:val="17"/>
              </w:rPr>
              <w:t>2,371</w:t>
            </w:r>
          </w:p>
        </w:tc>
        <w:tc>
          <w:tcPr>
            <w:tcW w:type="dxa" w:w="1440"/>
            <w:shd w:fill="FAFAFA" w:val="clear"/>
          </w:tcPr>
          <w:p>
            <w:r>
              <w:rPr>
                <w:b/>
                <w:color w:val="C00000"/>
                <w:sz w:val="17"/>
              </w:rPr>
              <w:t>-1.2%</w:t>
            </w:r>
          </w:p>
        </w:tc>
      </w:tr>
      <w:tr>
        <w:tc>
          <w:tcPr>
            <w:tcW w:type="dxa" w:w="1440"/>
            <w:shd w:fill="FAFAFA" w:val="clear"/>
          </w:tcPr>
          <w:p>
            <w:r>
              <w:rPr>
                <w:sz w:val="17"/>
              </w:rPr>
              <w:t>J+5  ⭐</w:t>
            </w:r>
          </w:p>
        </w:tc>
        <w:tc>
          <w:tcPr>
            <w:tcW w:type="dxa" w:w="1440"/>
            <w:shd w:fill="FAFAFA" w:val="clear"/>
          </w:tcPr>
          <w:p>
            <w:r>
              <w:rPr>
                <w:sz w:val="17"/>
              </w:rPr>
              <w:t>2026-09-10</w:t>
            </w:r>
          </w:p>
        </w:tc>
        <w:tc>
          <w:tcPr>
            <w:tcW w:type="dxa" w:w="1440"/>
            <w:shd w:fill="FAFAFA" w:val="clear"/>
          </w:tcPr>
          <w:p>
            <w:r>
              <w:rPr>
                <w:sz w:val="17"/>
              </w:rPr>
              <w:t>1,946</w:t>
            </w:r>
          </w:p>
        </w:tc>
        <w:tc>
          <w:tcPr>
            <w:tcW w:type="dxa" w:w="1440"/>
            <w:shd w:fill="FAFAFA" w:val="clear"/>
          </w:tcPr>
          <w:p>
            <w:r>
              <w:rPr>
                <w:b/>
                <w:sz w:val="17"/>
              </w:rPr>
              <w:t>2,167</w:t>
            </w:r>
          </w:p>
        </w:tc>
        <w:tc>
          <w:tcPr>
            <w:tcW w:type="dxa" w:w="1440"/>
            <w:shd w:fill="FAFAFA" w:val="clear"/>
          </w:tcPr>
          <w:p>
            <w:r>
              <w:rPr>
                <w:sz w:val="17"/>
              </w:rPr>
              <w:t>2,388</w:t>
            </w:r>
          </w:p>
        </w:tc>
        <w:tc>
          <w:tcPr>
            <w:tcW w:type="dxa" w:w="1440"/>
            <w:shd w:fill="FAFAFA" w:val="clear"/>
          </w:tcPr>
          <w:p>
            <w:r>
              <w:rPr>
                <w:b/>
                <w:color w:val="C00000"/>
                <w:sz w:val="17"/>
              </w:rPr>
              <w:t>-1.5%</w:t>
            </w:r>
          </w:p>
        </w:tc>
      </w:tr>
      <w:tr>
        <w:tc>
          <w:tcPr>
            <w:tcW w:type="dxa" w:w="1440"/>
            <w:shd w:fill="FAFAFA" w:val="clear"/>
          </w:tcPr>
          <w:p>
            <w:r>
              <w:rPr>
                <w:sz w:val="17"/>
              </w:rPr>
              <w:t>J+6  ⭐</w:t>
            </w:r>
          </w:p>
        </w:tc>
        <w:tc>
          <w:tcPr>
            <w:tcW w:type="dxa" w:w="1440"/>
            <w:shd w:fill="FAFAFA" w:val="clear"/>
          </w:tcPr>
          <w:p>
            <w:r>
              <w:rPr>
                <w:sz w:val="17"/>
              </w:rPr>
              <w:t>2026-09-11</w:t>
            </w:r>
          </w:p>
        </w:tc>
        <w:tc>
          <w:tcPr>
            <w:tcW w:type="dxa" w:w="1440"/>
            <w:shd w:fill="FAFAFA" w:val="clear"/>
          </w:tcPr>
          <w:p>
            <w:r>
              <w:rPr>
                <w:sz w:val="17"/>
              </w:rPr>
              <w:t>1,921</w:t>
            </w:r>
          </w:p>
        </w:tc>
        <w:tc>
          <w:tcPr>
            <w:tcW w:type="dxa" w:w="1440"/>
            <w:shd w:fill="FAFAFA" w:val="clear"/>
          </w:tcPr>
          <w:p>
            <w:r>
              <w:rPr>
                <w:b/>
                <w:sz w:val="17"/>
              </w:rPr>
              <w:t>2,162</w:t>
            </w:r>
          </w:p>
        </w:tc>
        <w:tc>
          <w:tcPr>
            <w:tcW w:type="dxa" w:w="1440"/>
            <w:shd w:fill="FAFAFA" w:val="clear"/>
          </w:tcPr>
          <w:p>
            <w:r>
              <w:rPr>
                <w:sz w:val="17"/>
              </w:rPr>
              <w:t>2,403</w:t>
            </w:r>
          </w:p>
        </w:tc>
        <w:tc>
          <w:tcPr>
            <w:tcW w:type="dxa" w:w="1440"/>
            <w:shd w:fill="FAFAFA" w:val="clear"/>
          </w:tcPr>
          <w:p>
            <w:r>
              <w:rPr>
                <w:b/>
                <w:color w:val="C00000"/>
                <w:sz w:val="17"/>
              </w:rPr>
              <w:t>-1.7%</w:t>
            </w:r>
          </w:p>
        </w:tc>
      </w:tr>
      <w:tr>
        <w:tc>
          <w:tcPr>
            <w:tcW w:type="dxa" w:w="1440"/>
            <w:shd w:fill="FAFAFA" w:val="clear"/>
          </w:tcPr>
          <w:p>
            <w:r>
              <w:rPr>
                <w:sz w:val="17"/>
              </w:rPr>
              <w:t>J+7  ⭐</w:t>
            </w:r>
          </w:p>
        </w:tc>
        <w:tc>
          <w:tcPr>
            <w:tcW w:type="dxa" w:w="1440"/>
            <w:shd w:fill="FAFAFA" w:val="clear"/>
          </w:tcPr>
          <w:p>
            <w:r>
              <w:rPr>
                <w:sz w:val="17"/>
              </w:rPr>
              <w:t>2026-09-14</w:t>
            </w:r>
          </w:p>
        </w:tc>
        <w:tc>
          <w:tcPr>
            <w:tcW w:type="dxa" w:w="1440"/>
            <w:shd w:fill="FAFAFA" w:val="clear"/>
          </w:tcPr>
          <w:p>
            <w:r>
              <w:rPr>
                <w:sz w:val="17"/>
              </w:rPr>
              <w:t>1,896</w:t>
            </w:r>
          </w:p>
        </w:tc>
        <w:tc>
          <w:tcPr>
            <w:tcW w:type="dxa" w:w="1440"/>
            <w:shd w:fill="FAFAFA" w:val="clear"/>
          </w:tcPr>
          <w:p>
            <w:r>
              <w:rPr>
                <w:b/>
                <w:sz w:val="17"/>
              </w:rPr>
              <w:t>2,157</w:t>
            </w:r>
          </w:p>
        </w:tc>
        <w:tc>
          <w:tcPr>
            <w:tcW w:type="dxa" w:w="1440"/>
            <w:shd w:fill="FAFAFA" w:val="clear"/>
          </w:tcPr>
          <w:p>
            <w:r>
              <w:rPr>
                <w:sz w:val="17"/>
              </w:rPr>
              <w:t>2,417</w:t>
            </w:r>
          </w:p>
        </w:tc>
        <w:tc>
          <w:tcPr>
            <w:tcW w:type="dxa" w:w="1440"/>
            <w:shd w:fill="FAFAFA" w:val="clear"/>
          </w:tcPr>
          <w:p>
            <w:r>
              <w:rPr>
                <w:b/>
                <w:color w:val="C00000"/>
                <w:sz w:val="17"/>
              </w:rPr>
              <w:t>-2.0%</w:t>
            </w:r>
          </w:p>
        </w:tc>
      </w:tr>
      <w:tr>
        <w:tc>
          <w:tcPr>
            <w:tcW w:type="dxa" w:w="1440"/>
            <w:shd w:fill="FFDCE0" w:val="clear"/>
          </w:tcPr>
          <w:p>
            <w:r>
              <w:rPr>
                <w:sz w:val="17"/>
              </w:rPr>
              <w:t>J+8  ⭐</w:t>
            </w:r>
          </w:p>
        </w:tc>
        <w:tc>
          <w:tcPr>
            <w:tcW w:type="dxa" w:w="1440"/>
            <w:shd w:fill="FFDCE0" w:val="clear"/>
          </w:tcPr>
          <w:p>
            <w:r>
              <w:rPr>
                <w:sz w:val="17"/>
              </w:rPr>
              <w:t>2026-09-15</w:t>
            </w:r>
          </w:p>
        </w:tc>
        <w:tc>
          <w:tcPr>
            <w:tcW w:type="dxa" w:w="1440"/>
            <w:shd w:fill="FFDCE0" w:val="clear"/>
          </w:tcPr>
          <w:p>
            <w:r>
              <w:rPr>
                <w:sz w:val="17"/>
              </w:rPr>
              <w:t>1,874</w:t>
            </w:r>
          </w:p>
        </w:tc>
        <w:tc>
          <w:tcPr>
            <w:tcW w:type="dxa" w:w="1440"/>
            <w:shd w:fill="FFDCE0" w:val="clear"/>
          </w:tcPr>
          <w:p>
            <w:r>
              <w:rPr>
                <w:b/>
                <w:sz w:val="17"/>
              </w:rPr>
              <w:t>2,151</w:t>
            </w:r>
          </w:p>
        </w:tc>
        <w:tc>
          <w:tcPr>
            <w:tcW w:type="dxa" w:w="1440"/>
            <w:shd w:fill="FFDCE0" w:val="clear"/>
          </w:tcPr>
          <w:p>
            <w:r>
              <w:rPr>
                <w:sz w:val="17"/>
              </w:rPr>
              <w:t>2,429</w:t>
            </w:r>
          </w:p>
        </w:tc>
        <w:tc>
          <w:tcPr>
            <w:tcW w:type="dxa" w:w="1440"/>
            <w:shd w:fill="FFDCE0" w:val="clear"/>
          </w:tcPr>
          <w:p>
            <w:r>
              <w:rPr>
                <w:b/>
                <w:color w:val="C00000"/>
                <w:sz w:val="17"/>
              </w:rPr>
              <w:t>-2.2%</w:t>
            </w:r>
          </w:p>
        </w:tc>
      </w:tr>
      <w:tr>
        <w:tc>
          <w:tcPr>
            <w:tcW w:type="dxa" w:w="1440"/>
            <w:shd w:fill="FFDCE0" w:val="clear"/>
          </w:tcPr>
          <w:p>
            <w:r>
              <w:rPr>
                <w:sz w:val="17"/>
              </w:rPr>
              <w:t>J+9  ⭐</w:t>
            </w:r>
          </w:p>
        </w:tc>
        <w:tc>
          <w:tcPr>
            <w:tcW w:type="dxa" w:w="1440"/>
            <w:shd w:fill="FFDCE0" w:val="clear"/>
          </w:tcPr>
          <w:p>
            <w:r>
              <w:rPr>
                <w:sz w:val="17"/>
              </w:rPr>
              <w:t>2026-09-16</w:t>
            </w:r>
          </w:p>
        </w:tc>
        <w:tc>
          <w:tcPr>
            <w:tcW w:type="dxa" w:w="1440"/>
            <w:shd w:fill="FFDCE0" w:val="clear"/>
          </w:tcPr>
          <w:p>
            <w:r>
              <w:rPr>
                <w:sz w:val="17"/>
              </w:rPr>
              <w:t>1,853</w:t>
            </w:r>
          </w:p>
        </w:tc>
        <w:tc>
          <w:tcPr>
            <w:tcW w:type="dxa" w:w="1440"/>
            <w:shd w:fill="FFDCE0" w:val="clear"/>
          </w:tcPr>
          <w:p>
            <w:r>
              <w:rPr>
                <w:b/>
                <w:sz w:val="17"/>
              </w:rPr>
              <w:t>2,147</w:t>
            </w:r>
          </w:p>
        </w:tc>
        <w:tc>
          <w:tcPr>
            <w:tcW w:type="dxa" w:w="1440"/>
            <w:shd w:fill="FFDCE0" w:val="clear"/>
          </w:tcPr>
          <w:p>
            <w:r>
              <w:rPr>
                <w:sz w:val="17"/>
              </w:rPr>
              <w:t>2,440</w:t>
            </w:r>
          </w:p>
        </w:tc>
        <w:tc>
          <w:tcPr>
            <w:tcW w:type="dxa" w:w="1440"/>
            <w:shd w:fill="FFDCE0" w:val="clear"/>
          </w:tcPr>
          <w:p>
            <w:r>
              <w:rPr>
                <w:b/>
                <w:color w:val="C00000"/>
                <w:sz w:val="17"/>
              </w:rPr>
              <w:t>-2.4%</w:t>
            </w:r>
          </w:p>
        </w:tc>
      </w:tr>
      <w:tr>
        <w:tc>
          <w:tcPr>
            <w:tcW w:type="dxa" w:w="1440"/>
            <w:shd w:fill="FFDCE0" w:val="clear"/>
          </w:tcPr>
          <w:p>
            <w:r>
              <w:rPr>
                <w:sz w:val="17"/>
              </w:rPr>
              <w:t>J+10  ⭐</w:t>
            </w:r>
          </w:p>
        </w:tc>
        <w:tc>
          <w:tcPr>
            <w:tcW w:type="dxa" w:w="1440"/>
            <w:shd w:fill="FFDCE0" w:val="clear"/>
          </w:tcPr>
          <w:p>
            <w:r>
              <w:rPr>
                <w:sz w:val="17"/>
              </w:rPr>
              <w:t>2026-09-17</w:t>
            </w:r>
          </w:p>
        </w:tc>
        <w:tc>
          <w:tcPr>
            <w:tcW w:type="dxa" w:w="1440"/>
            <w:shd w:fill="FFDCE0" w:val="clear"/>
          </w:tcPr>
          <w:p>
            <w:r>
              <w:rPr>
                <w:sz w:val="17"/>
              </w:rPr>
              <w:t>1,833</w:t>
            </w:r>
          </w:p>
        </w:tc>
        <w:tc>
          <w:tcPr>
            <w:tcW w:type="dxa" w:w="1440"/>
            <w:shd w:fill="FFDCE0" w:val="clear"/>
          </w:tcPr>
          <w:p>
            <w:r>
              <w:rPr>
                <w:b/>
                <w:sz w:val="17"/>
              </w:rPr>
              <w:t>2,142</w:t>
            </w:r>
          </w:p>
        </w:tc>
        <w:tc>
          <w:tcPr>
            <w:tcW w:type="dxa" w:w="1440"/>
            <w:shd w:fill="FFDCE0" w:val="clear"/>
          </w:tcPr>
          <w:p>
            <w:r>
              <w:rPr>
                <w:sz w:val="17"/>
              </w:rPr>
              <w:t>2,450</w:t>
            </w:r>
          </w:p>
        </w:tc>
        <w:tc>
          <w:tcPr>
            <w:tcW w:type="dxa" w:w="1440"/>
            <w:shd w:fill="FFDCE0" w:val="clear"/>
          </w:tcPr>
          <w:p>
            <w:r>
              <w:rPr>
                <w:b/>
                <w:color w:val="C00000"/>
                <w:sz w:val="17"/>
              </w:rPr>
              <w:t>-2.6%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BNBC s'établit à 14,57 milliards FCFA, un niveau modeste qui la classe parmi les petites capitalisations de la BRVM. Le BPA de 3 FCFA par action est extrêmement faible, traduisant une capacité bénéficiaire très limitée. Le PER de 653x est considérablement supérieur à la moyenne du marché BRVM (8-12x), indiquant que les investisseurs paient un prix très élevé pour des bénéfices quasi inexistants. En revanche, le P/B de 0,82x suggère que le marché valorise le titre en dessous de sa valeur comptable, ce qui pourrait représenter une opportunité si les actifs sont de qualité. L'EV/EBITDA de 24,9x, bien au-dessus du seuil de 15x, confirme une valorisation exigeante par rapport à la capacité opérationnelle de l'entreprise.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BNBC a enregistré une progression spectaculaire de +39,24%, passant d'un plus bas de 1 300 FCFA à un plus haut de 2 400 FCFA, pour clôturer à 2 200 FCFA. La dernière séance montre un léger repli de -0,90%. La moyenne de 1 805 FCFA est inférieure à la médiane de 1 880 FCFA, indiquant une distribution légèrement asymétrique avec une concentration des cours vers le haut de la fourchette. L'écart-type de 240 FCFA (CV=13,3%) révèle une dispersion modérée autour de la moyenne. Le kurtosis de -0,648 (mésokurtique) suggère une distribution proche de la normale, sans risque de pics extrêmes, tandis que le skewness de -0,019 confirme une symétrie quasi parfaite. La volatilité annualisée de 51,1% est élevée, positionnant BNBC comme un titre à fort risque nécessitant une gestion active.</w:t>
      </w:r>
    </w:p>
    <w:p>
      <w:pPr>
        <w:spacing w:after="120" w:line="276" w:lineRule="auto" w:before="240"/>
      </w:pPr>
      <w:r>
        <w:rPr>
          <w:b/>
          <w:color w:val="003366"/>
          <w:sz w:val="24"/>
        </w:rPr>
        <w:t>**PARTIE 2 : ANALYSE TECHNIQUE DÉTAILLÉE**</w:t>
      </w:r>
    </w:p>
    <w:p>
      <w:pPr>
        <w:spacing w:after="120" w:line="276" w:lineRule="auto"/>
      </w:pPr>
      <w:r>
        <w:t>**Moyennes Mobiles** : Le cours actuel de 2 200 FCFA se situe nettement au-dessus de la MM20 (2 074,25 FCFA) et de la MM50 (1 983,2 FCFA), confirmant une tendance haussière solide. L'écart positif entre les deux moyennes mobiles renforce le signal d'achat, indiquant une dynamique positive soutenue par les volumes.</w:t>
      </w:r>
    </w:p>
    <w:p>
      <w:pPr>
        <w:spacing w:after="120" w:line="276" w:lineRule="auto"/>
      </w:pPr>
      <w:r>
        <w:t>**Bandes de Bollinger** : Le cours évolue entre la borne supérieure (2 381,21 FCFA) et la borne inférieure (1 767,29 FCFA), se positionnant à environ 60% de la largeur des bandes. Cette position intermédiaire suggère une volatilité normale sans surachat ni survente, justifiant la décision neutre. Un élargissement des bandes pourrait indiquer une augmentation prochaine de la volatilité.</w:t>
      </w:r>
    </w:p>
    <w:p>
      <w:pPr>
        <w:spacing w:after="120" w:line="276" w:lineRule="auto"/>
      </w:pPr>
      <w:r>
        <w:t>**MACD** : La valeur du MACD (93,008) est supérieure à son signal (72,234), avec un écart positif de 20,77 points. Cette configuration haussière indique un momentum positif persistant. La divergence positive entre le MACD et sa ligne de signal confirme la dynamique acheteuse, justifiant la décision d'achat.</w:t>
      </w:r>
    </w:p>
    <w:p>
      <w:pPr>
        <w:spacing w:after="120" w:line="276" w:lineRule="auto"/>
      </w:pPr>
      <w:r>
        <w:t>**RSI** : À 65,385, le RSI se situe dans la zone neutre-haute (30-70), sans atteindre le seuil de surachat de 70. Cette valeur indique une pression acheteuse modérée sans risque immédiat de retournement. La décision neutre est appropriée, mais une surveillance est nécessaire si le RSI approche 70.</w:t>
      </w:r>
    </w:p>
    <w:p>
      <w:pPr>
        <w:spacing w:after="120" w:line="276" w:lineRule="auto"/>
      </w:pPr>
      <w:r>
        <w:t>**Stochastique** : Le %K (51,807) est inférieur au %D (69,478), suggérant un croisement baissier potentiel à court terme. Cette configuration indique un affaiblissement du momentum haussier, justifiant la décision neutre. Un croisement haussier du %K au-dessus du %D pourrait signaler une reprise.</w:t>
      </w:r>
    </w:p>
    <w:p>
      <w:pPr>
        <w:spacing w:after="120" w:line="276" w:lineRule="auto"/>
      </w:pPr>
      <w:r>
        <w:t>**Conclusion technique** : La convergence des indicateurs (MM, MACD) vers des signaux d'achat contraste avec la prudence des oscillateurs (RSI, Stochastique) en zone neutre. Cette configuration suggère une tendance haussière solide mais potentiellement sujette à une consolidation à court terme. Le titre reste dans une dynamique positive, mais les niveaux actuels appellent à la vigilance.</w:t>
      </w:r>
    </w:p>
    <w:p>
      <w:pPr>
        <w:spacing w:after="120" w:line="276" w:lineRule="auto" w:before="240"/>
      </w:pPr>
      <w:r>
        <w:rPr>
          <w:b/>
          <w:color w:val="003366"/>
          <w:sz w:val="24"/>
        </w:rPr>
        <w:t>**PARTIE 3 : ANALYSE FONDAMENTALE (SECTION CRITIQUE)**</w:t>
      </w:r>
    </w:p>
    <w:p>
      <w:pPr>
        <w:spacing w:after="120" w:line="276" w:lineRule="auto"/>
      </w:pPr>
      <w:r>
        <w:t>En 2025, BNBC (entreprise non bancaire) a réalisé un chiffre d'affaires de 42,454 milliards FCFA, en baisse de 6,31% par rapport à 2024 (45,312 milliards). Le résultat net s'établit à seulement 22,32 millions FCFA, soit une marge nette de 0,05%, avec un ROE de 0,13% et un ROA de 0,05%, des niveaux extrêmement faibles. Le BFR de 29,373 milliards FCFA (positif, donc défavorable) et la trésorerie nette négative de 16,689 milliards FCFA révèlent des tensions de liquidité importantes. Les délais clients (104 jours) et de stockage (339 jours) sont élevés, tandis que le délai fournisseurs (116 jours) offre un léger répit. Le ratio d'endettement de 105,48% et la capacité de remboursement de 19,17 ans sont préoccupants. Les rapports trimestriels 2025 montrent une dégradation progressive : perte de -139,57 millions au S1 2025, aggravée à -157,03 millions sur 9 mois. Le rapport T1 2026 indique un retour à un résultat positif de 65,57 millions FCFA, soutenu par l'intégration de la division Équipement, mais le CA reste stable à 11,194 milliards. Les perspectives de croissance reposent sur la montée en puissance des divisions Équipement et Power, ainsi que le développement du showroom Technibat KM4.</w:t>
      </w:r>
    </w:p>
    <w:p>
      <w:pPr>
        <w:spacing w:after="120" w:line="276" w:lineRule="auto" w:before="240"/>
      </w:pPr>
      <w:r>
        <w:rPr>
          <w:b/>
          <w:color w:val="003366"/>
          <w:sz w:val="24"/>
        </w:rPr>
        <w:t>**PARTIE 4 : CONCLUSION D'INVESTISSEMENT**</w:t>
      </w:r>
    </w:p>
    <w:p>
      <w:pPr>
        <w:spacing w:after="120" w:line="276" w:lineRule="auto"/>
      </w:pPr>
      <w:r>
        <w:t>La valorisation de BNBC apparaît extrêmement exigeante avec un PER de 653x et un EV/EBITDA de 24,9x, bien que le P/B de 0,82x suggère une décote par rapport aux actifs comptables. Le comportement du cours montre une tendance haussière spectaculaire (+39,24% sur 100 jours) avec une volatilité élevée (51,1%), mais les statistiques descriptives indiquent une distribution normale sans risque extrême. Les signaux techniques sont partagés : les moyennes mobiles et le MACD sont positifs, tandis que le RSI et le stochastique restent neutres, suggérant une possible consolidation. Les fondamentaux sont préoccupants : rentabilité quasi nulle, trésorerie négative massive, BFR défavorable et endettement élevé, malgré une légère amélioration au T1 2026. Les prédictions IA (2 193 à 2 167 FCFA sur 10 jours) suggèrent une légère correction. La convergence entre la faiblesse des fondamentaux, la valorisation excessive et les prédictions baissières conduit à une recommandation **VENTE**, avec un niveau de confiance **Moyen** et un risque global **Élevé**. L'horizon d'investissement optimal est le court terme (&lt;3 mois) pour les investisseurs existants cherchant à sécuriser leurs gains.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419.81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6,008 titres</w:t>
            </w:r>
          </w:p>
        </w:tc>
        <w:tc>
          <w:tcPr>
            <w:tcW w:type="dxa" w:w="2268"/>
            <w:shd w:fill="FFF2CC" w:val="clear"/>
          </w:tcPr>
          <w:p>
            <w:r>
              <w:rPr>
                <w:b/>
                <w:color w:val="503200"/>
                <w:sz w:val="16"/>
              </w:rPr>
              <w:t xml:space="preserve">Cours actuel : </w:t>
            </w:r>
            <w:r>
              <w:rPr>
                <w:color w:val="000000"/>
                <w:sz w:val="17"/>
              </w:rPr>
              <w:t>10,350 FCFA</w:t>
            </w:r>
          </w:p>
          <w:p>
            <w:r>
              <w:rPr>
                <w:b/>
                <w:color w:val="503200"/>
                <w:sz w:val="16"/>
              </w:rPr>
              <w:t xml:space="preserve">Var. 100 jours : </w:t>
            </w:r>
            <w:r>
              <w:rPr>
                <w:b/>
                <w:color w:val="007800"/>
                <w:sz w:val="17"/>
              </w:rPr>
              <w:t>+37.27%</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7,400 FCFA</w:t>
            </w:r>
          </w:p>
          <w:p>
            <w:r>
              <w:rPr>
                <w:b/>
                <w:color w:val="503200"/>
                <w:sz w:val="16"/>
              </w:rPr>
              <w:t xml:space="preserve">Volatilité ann. : </w:t>
            </w:r>
            <w:r>
              <w:rPr>
                <w:color w:val="000000"/>
                <w:sz w:val="17"/>
              </w:rPr>
              <w:t>27.2%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6.65% (Moyenne) — μ=8,888 FCFA, σ=591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β=-0.3321 (Contre-cyclique) — Cov=-0.000012, Var(idx)=0.000036, ρ=-0.116,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6,008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σ_j=1.71%/j (Stable) — Vol. annualisée≈27.2%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2026-09-04</w:t>
            </w:r>
          </w:p>
        </w:tc>
        <w:tc>
          <w:tcPr>
            <w:tcW w:type="dxa" w:w="1440"/>
            <w:shd w:fill="FFDCE0" w:val="clear"/>
          </w:tcPr>
          <w:p>
            <w:r>
              <w:rPr>
                <w:sz w:val="17"/>
              </w:rPr>
              <w:t>9,504</w:t>
            </w:r>
          </w:p>
        </w:tc>
        <w:tc>
          <w:tcPr>
            <w:tcW w:type="dxa" w:w="1440"/>
            <w:shd w:fill="FFDCE0" w:val="clear"/>
          </w:tcPr>
          <w:p>
            <w:r>
              <w:rPr>
                <w:b/>
                <w:sz w:val="17"/>
              </w:rPr>
              <w:t>9,843</w:t>
            </w:r>
          </w:p>
        </w:tc>
        <w:tc>
          <w:tcPr>
            <w:tcW w:type="dxa" w:w="1440"/>
            <w:shd w:fill="FFDCE0" w:val="clear"/>
          </w:tcPr>
          <w:p>
            <w:r>
              <w:rPr>
                <w:sz w:val="17"/>
              </w:rPr>
              <w:t>10,182</w:t>
            </w:r>
          </w:p>
        </w:tc>
        <w:tc>
          <w:tcPr>
            <w:tcW w:type="dxa" w:w="1440"/>
            <w:shd w:fill="FFDCE0" w:val="clear"/>
          </w:tcPr>
          <w:p>
            <w:r>
              <w:rPr>
                <w:b/>
                <w:color w:val="C00000"/>
                <w:sz w:val="17"/>
              </w:rPr>
              <w:t>-4.9%</w:t>
            </w:r>
          </w:p>
        </w:tc>
      </w:tr>
      <w:tr>
        <w:tc>
          <w:tcPr>
            <w:tcW w:type="dxa" w:w="1440"/>
            <w:shd w:fill="FFDCE0" w:val="clear"/>
          </w:tcPr>
          <w:p>
            <w:r>
              <w:rPr>
                <w:sz w:val="17"/>
              </w:rPr>
              <w:t>J+2  Moyenne</w:t>
            </w:r>
          </w:p>
        </w:tc>
        <w:tc>
          <w:tcPr>
            <w:tcW w:type="dxa" w:w="1440"/>
            <w:shd w:fill="FFDCE0" w:val="clear"/>
          </w:tcPr>
          <w:p>
            <w:r>
              <w:rPr>
                <w:sz w:val="17"/>
              </w:rPr>
              <w:t>2026-09-07</w:t>
            </w:r>
          </w:p>
        </w:tc>
        <w:tc>
          <w:tcPr>
            <w:tcW w:type="dxa" w:w="1440"/>
            <w:shd w:fill="FFDCE0" w:val="clear"/>
          </w:tcPr>
          <w:p>
            <w:r>
              <w:rPr>
                <w:sz w:val="17"/>
              </w:rPr>
              <w:t>9,121</w:t>
            </w:r>
          </w:p>
        </w:tc>
        <w:tc>
          <w:tcPr>
            <w:tcW w:type="dxa" w:w="1440"/>
            <w:shd w:fill="FFDCE0" w:val="clear"/>
          </w:tcPr>
          <w:p>
            <w:r>
              <w:rPr>
                <w:b/>
                <w:sz w:val="17"/>
              </w:rPr>
              <w:t>9,587</w:t>
            </w:r>
          </w:p>
        </w:tc>
        <w:tc>
          <w:tcPr>
            <w:tcW w:type="dxa" w:w="1440"/>
            <w:shd w:fill="FFDCE0" w:val="clear"/>
          </w:tcPr>
          <w:p>
            <w:r>
              <w:rPr>
                <w:sz w:val="17"/>
              </w:rPr>
              <w:t>10,054</w:t>
            </w:r>
          </w:p>
        </w:tc>
        <w:tc>
          <w:tcPr>
            <w:tcW w:type="dxa" w:w="1440"/>
            <w:shd w:fill="FFDCE0" w:val="clear"/>
          </w:tcPr>
          <w:p>
            <w:r>
              <w:rPr>
                <w:b/>
                <w:color w:val="C00000"/>
                <w:sz w:val="17"/>
              </w:rPr>
              <w:t>-7.4%</w:t>
            </w:r>
          </w:p>
        </w:tc>
      </w:tr>
      <w:tr>
        <w:tc>
          <w:tcPr>
            <w:tcW w:type="dxa" w:w="1440"/>
            <w:shd w:fill="FFDCE0" w:val="clear"/>
          </w:tcPr>
          <w:p>
            <w:r>
              <w:rPr>
                <w:sz w:val="17"/>
              </w:rPr>
              <w:t>J+3  Moyenne</w:t>
            </w:r>
          </w:p>
        </w:tc>
        <w:tc>
          <w:tcPr>
            <w:tcW w:type="dxa" w:w="1440"/>
            <w:shd w:fill="FFDCE0" w:val="clear"/>
          </w:tcPr>
          <w:p>
            <w:r>
              <w:rPr>
                <w:sz w:val="17"/>
              </w:rPr>
              <w:t>2026-09-08</w:t>
            </w:r>
          </w:p>
        </w:tc>
        <w:tc>
          <w:tcPr>
            <w:tcW w:type="dxa" w:w="1440"/>
            <w:shd w:fill="FFDCE0" w:val="clear"/>
          </w:tcPr>
          <w:p>
            <w:r>
              <w:rPr>
                <w:sz w:val="17"/>
              </w:rPr>
              <w:t>8,811</w:t>
            </w:r>
          </w:p>
        </w:tc>
        <w:tc>
          <w:tcPr>
            <w:tcW w:type="dxa" w:w="1440"/>
            <w:shd w:fill="FFDCE0" w:val="clear"/>
          </w:tcPr>
          <w:p>
            <w:r>
              <w:rPr>
                <w:b/>
                <w:sz w:val="17"/>
              </w:rPr>
              <w:t>9,370</w:t>
            </w:r>
          </w:p>
        </w:tc>
        <w:tc>
          <w:tcPr>
            <w:tcW w:type="dxa" w:w="1440"/>
            <w:shd w:fill="FFDCE0" w:val="clear"/>
          </w:tcPr>
          <w:p>
            <w:r>
              <w:rPr>
                <w:sz w:val="17"/>
              </w:rPr>
              <w:t>9,928</w:t>
            </w:r>
          </w:p>
        </w:tc>
        <w:tc>
          <w:tcPr>
            <w:tcW w:type="dxa" w:w="1440"/>
            <w:shd w:fill="FFDCE0" w:val="clear"/>
          </w:tcPr>
          <w:p>
            <w:r>
              <w:rPr>
                <w:b/>
                <w:color w:val="C00000"/>
                <w:sz w:val="17"/>
              </w:rPr>
              <w:t>-9.5%</w:t>
            </w:r>
          </w:p>
        </w:tc>
      </w:tr>
      <w:tr>
        <w:tc>
          <w:tcPr>
            <w:tcW w:type="dxa" w:w="1440"/>
            <w:shd w:fill="FFDCE0" w:val="clear"/>
          </w:tcPr>
          <w:p>
            <w:r>
              <w:rPr>
                <w:sz w:val="17"/>
              </w:rPr>
              <w:t>J+4  ⭐</w:t>
            </w:r>
          </w:p>
        </w:tc>
        <w:tc>
          <w:tcPr>
            <w:tcW w:type="dxa" w:w="1440"/>
            <w:shd w:fill="FFDCE0" w:val="clear"/>
          </w:tcPr>
          <w:p>
            <w:r>
              <w:rPr>
                <w:sz w:val="17"/>
              </w:rPr>
              <w:t>2026-09-09</w:t>
            </w:r>
          </w:p>
        </w:tc>
        <w:tc>
          <w:tcPr>
            <w:tcW w:type="dxa" w:w="1440"/>
            <w:shd w:fill="FFDCE0" w:val="clear"/>
          </w:tcPr>
          <w:p>
            <w:r>
              <w:rPr>
                <w:sz w:val="17"/>
              </w:rPr>
              <w:t>8,568</w:t>
            </w:r>
          </w:p>
        </w:tc>
        <w:tc>
          <w:tcPr>
            <w:tcW w:type="dxa" w:w="1440"/>
            <w:shd w:fill="FFDCE0" w:val="clear"/>
          </w:tcPr>
          <w:p>
            <w:r>
              <w:rPr>
                <w:b/>
                <w:sz w:val="17"/>
              </w:rPr>
              <w:t>9,201</w:t>
            </w:r>
          </w:p>
        </w:tc>
        <w:tc>
          <w:tcPr>
            <w:tcW w:type="dxa" w:w="1440"/>
            <w:shd w:fill="FFDCE0" w:val="clear"/>
          </w:tcPr>
          <w:p>
            <w:r>
              <w:rPr>
                <w:sz w:val="17"/>
              </w:rPr>
              <w:t>9,834</w:t>
            </w:r>
          </w:p>
        </w:tc>
        <w:tc>
          <w:tcPr>
            <w:tcW w:type="dxa" w:w="1440"/>
            <w:shd w:fill="FFDCE0" w:val="clear"/>
          </w:tcPr>
          <w:p>
            <w:r>
              <w:rPr>
                <w:b/>
                <w:color w:val="C00000"/>
                <w:sz w:val="17"/>
              </w:rPr>
              <w:t>-11.1%</w:t>
            </w:r>
          </w:p>
        </w:tc>
      </w:tr>
      <w:tr>
        <w:tc>
          <w:tcPr>
            <w:tcW w:type="dxa" w:w="1440"/>
            <w:shd w:fill="FFDCE0" w:val="clear"/>
          </w:tcPr>
          <w:p>
            <w:r>
              <w:rPr>
                <w:sz w:val="17"/>
              </w:rPr>
              <w:t>J+5  ⭐</w:t>
            </w:r>
          </w:p>
        </w:tc>
        <w:tc>
          <w:tcPr>
            <w:tcW w:type="dxa" w:w="1440"/>
            <w:shd w:fill="FFDCE0" w:val="clear"/>
          </w:tcPr>
          <w:p>
            <w:r>
              <w:rPr>
                <w:sz w:val="17"/>
              </w:rPr>
              <w:t>2026-09-10</w:t>
            </w:r>
          </w:p>
        </w:tc>
        <w:tc>
          <w:tcPr>
            <w:tcW w:type="dxa" w:w="1440"/>
            <w:shd w:fill="FFDCE0" w:val="clear"/>
          </w:tcPr>
          <w:p>
            <w:r>
              <w:rPr>
                <w:sz w:val="17"/>
              </w:rPr>
              <w:t>8,357</w:t>
            </w:r>
          </w:p>
        </w:tc>
        <w:tc>
          <w:tcPr>
            <w:tcW w:type="dxa" w:w="1440"/>
            <w:shd w:fill="FFDCE0" w:val="clear"/>
          </w:tcPr>
          <w:p>
            <w:r>
              <w:rPr>
                <w:b/>
                <w:sz w:val="17"/>
              </w:rPr>
              <w:t>9,053</w:t>
            </w:r>
          </w:p>
        </w:tc>
        <w:tc>
          <w:tcPr>
            <w:tcW w:type="dxa" w:w="1440"/>
            <w:shd w:fill="FFDCE0" w:val="clear"/>
          </w:tcPr>
          <w:p>
            <w:r>
              <w:rPr>
                <w:sz w:val="17"/>
              </w:rPr>
              <w:t>9,750</w:t>
            </w:r>
          </w:p>
        </w:tc>
        <w:tc>
          <w:tcPr>
            <w:tcW w:type="dxa" w:w="1440"/>
            <w:shd w:fill="FFDCE0" w:val="clear"/>
          </w:tcPr>
          <w:p>
            <w:r>
              <w:rPr>
                <w:b/>
                <w:color w:val="C00000"/>
                <w:sz w:val="17"/>
              </w:rPr>
              <w:t>-12.5%</w:t>
            </w:r>
          </w:p>
        </w:tc>
      </w:tr>
      <w:tr>
        <w:tc>
          <w:tcPr>
            <w:tcW w:type="dxa" w:w="1440"/>
            <w:shd w:fill="FFDCE0" w:val="clear"/>
          </w:tcPr>
          <w:p>
            <w:r>
              <w:rPr>
                <w:sz w:val="17"/>
              </w:rPr>
              <w:t>J+6  ⭐</w:t>
            </w:r>
          </w:p>
        </w:tc>
        <w:tc>
          <w:tcPr>
            <w:tcW w:type="dxa" w:w="1440"/>
            <w:shd w:fill="FFDCE0" w:val="clear"/>
          </w:tcPr>
          <w:p>
            <w:r>
              <w:rPr>
                <w:sz w:val="17"/>
              </w:rPr>
              <w:t>2026-09-11</w:t>
            </w:r>
          </w:p>
        </w:tc>
        <w:tc>
          <w:tcPr>
            <w:tcW w:type="dxa" w:w="1440"/>
            <w:shd w:fill="FFDCE0" w:val="clear"/>
          </w:tcPr>
          <w:p>
            <w:r>
              <w:rPr>
                <w:sz w:val="17"/>
              </w:rPr>
              <w:t>8,166</w:t>
            </w:r>
          </w:p>
        </w:tc>
        <w:tc>
          <w:tcPr>
            <w:tcW w:type="dxa" w:w="1440"/>
            <w:shd w:fill="FFDCE0" w:val="clear"/>
          </w:tcPr>
          <w:p>
            <w:r>
              <w:rPr>
                <w:b/>
                <w:sz w:val="17"/>
              </w:rPr>
              <w:t>8,918</w:t>
            </w:r>
          </w:p>
        </w:tc>
        <w:tc>
          <w:tcPr>
            <w:tcW w:type="dxa" w:w="1440"/>
            <w:shd w:fill="FFDCE0" w:val="clear"/>
          </w:tcPr>
          <w:p>
            <w:r>
              <w:rPr>
                <w:sz w:val="17"/>
              </w:rPr>
              <w:t>9,669</w:t>
            </w:r>
          </w:p>
        </w:tc>
        <w:tc>
          <w:tcPr>
            <w:tcW w:type="dxa" w:w="1440"/>
            <w:shd w:fill="FFDCE0" w:val="clear"/>
          </w:tcPr>
          <w:p>
            <w:r>
              <w:rPr>
                <w:b/>
                <w:color w:val="C00000"/>
                <w:sz w:val="17"/>
              </w:rPr>
              <w:t>-13.8%</w:t>
            </w:r>
          </w:p>
        </w:tc>
      </w:tr>
      <w:tr>
        <w:tc>
          <w:tcPr>
            <w:tcW w:type="dxa" w:w="1440"/>
            <w:shd w:fill="FFDCE0" w:val="clear"/>
          </w:tcPr>
          <w:p>
            <w:r>
              <w:rPr>
                <w:sz w:val="17"/>
              </w:rPr>
              <w:t>J+7  ⭐</w:t>
            </w:r>
          </w:p>
        </w:tc>
        <w:tc>
          <w:tcPr>
            <w:tcW w:type="dxa" w:w="1440"/>
            <w:shd w:fill="FFDCE0" w:val="clear"/>
          </w:tcPr>
          <w:p>
            <w:r>
              <w:rPr>
                <w:sz w:val="17"/>
              </w:rPr>
              <w:t>2026-09-14</w:t>
            </w:r>
          </w:p>
        </w:tc>
        <w:tc>
          <w:tcPr>
            <w:tcW w:type="dxa" w:w="1440"/>
            <w:shd w:fill="FFDCE0" w:val="clear"/>
          </w:tcPr>
          <w:p>
            <w:r>
              <w:rPr>
                <w:sz w:val="17"/>
              </w:rPr>
              <w:t>7,991</w:t>
            </w:r>
          </w:p>
        </w:tc>
        <w:tc>
          <w:tcPr>
            <w:tcW w:type="dxa" w:w="1440"/>
            <w:shd w:fill="FFDCE0" w:val="clear"/>
          </w:tcPr>
          <w:p>
            <w:r>
              <w:rPr>
                <w:b/>
                <w:sz w:val="17"/>
              </w:rPr>
              <w:t>8,791</w:t>
            </w:r>
          </w:p>
        </w:tc>
        <w:tc>
          <w:tcPr>
            <w:tcW w:type="dxa" w:w="1440"/>
            <w:shd w:fill="FFDCE0" w:val="clear"/>
          </w:tcPr>
          <w:p>
            <w:r>
              <w:rPr>
                <w:sz w:val="17"/>
              </w:rPr>
              <w:t>9,591</w:t>
            </w:r>
          </w:p>
        </w:tc>
        <w:tc>
          <w:tcPr>
            <w:tcW w:type="dxa" w:w="1440"/>
            <w:shd w:fill="FFDCE0" w:val="clear"/>
          </w:tcPr>
          <w:p>
            <w:r>
              <w:rPr>
                <w:b/>
                <w:color w:val="C00000"/>
                <w:sz w:val="17"/>
              </w:rPr>
              <w:t>-15.1%</w:t>
            </w:r>
          </w:p>
        </w:tc>
      </w:tr>
      <w:tr>
        <w:tc>
          <w:tcPr>
            <w:tcW w:type="dxa" w:w="1440"/>
            <w:shd w:fill="FFDCE0" w:val="clear"/>
          </w:tcPr>
          <w:p>
            <w:r>
              <w:rPr>
                <w:sz w:val="17"/>
              </w:rPr>
              <w:t>J+8  ⭐</w:t>
            </w:r>
          </w:p>
        </w:tc>
        <w:tc>
          <w:tcPr>
            <w:tcW w:type="dxa" w:w="1440"/>
            <w:shd w:fill="FFDCE0" w:val="clear"/>
          </w:tcPr>
          <w:p>
            <w:r>
              <w:rPr>
                <w:sz w:val="17"/>
              </w:rPr>
              <w:t>2026-09-15</w:t>
            </w:r>
          </w:p>
        </w:tc>
        <w:tc>
          <w:tcPr>
            <w:tcW w:type="dxa" w:w="1440"/>
            <w:shd w:fill="FFDCE0" w:val="clear"/>
          </w:tcPr>
          <w:p>
            <w:r>
              <w:rPr>
                <w:sz w:val="17"/>
              </w:rPr>
              <w:t>7,829</w:t>
            </w:r>
          </w:p>
        </w:tc>
        <w:tc>
          <w:tcPr>
            <w:tcW w:type="dxa" w:w="1440"/>
            <w:shd w:fill="FFDCE0" w:val="clear"/>
          </w:tcPr>
          <w:p>
            <w:r>
              <w:rPr>
                <w:b/>
                <w:sz w:val="17"/>
              </w:rPr>
              <w:t>8,673</w:t>
            </w:r>
          </w:p>
        </w:tc>
        <w:tc>
          <w:tcPr>
            <w:tcW w:type="dxa" w:w="1440"/>
            <w:shd w:fill="FFDCE0" w:val="clear"/>
          </w:tcPr>
          <w:p>
            <w:r>
              <w:rPr>
                <w:sz w:val="17"/>
              </w:rPr>
              <w:t>9,517</w:t>
            </w:r>
          </w:p>
        </w:tc>
        <w:tc>
          <w:tcPr>
            <w:tcW w:type="dxa" w:w="1440"/>
            <w:shd w:fill="FFDCE0" w:val="clear"/>
          </w:tcPr>
          <w:p>
            <w:r>
              <w:rPr>
                <w:b/>
                <w:color w:val="C00000"/>
                <w:sz w:val="17"/>
              </w:rPr>
              <w:t>-16.2%</w:t>
            </w:r>
          </w:p>
        </w:tc>
      </w:tr>
      <w:tr>
        <w:tc>
          <w:tcPr>
            <w:tcW w:type="dxa" w:w="1440"/>
            <w:shd w:fill="FFDCE0" w:val="clear"/>
          </w:tcPr>
          <w:p>
            <w:r>
              <w:rPr>
                <w:sz w:val="17"/>
              </w:rPr>
              <w:t>J+9  ⭐</w:t>
            </w:r>
          </w:p>
        </w:tc>
        <w:tc>
          <w:tcPr>
            <w:tcW w:type="dxa" w:w="1440"/>
            <w:shd w:fill="FFDCE0" w:val="clear"/>
          </w:tcPr>
          <w:p>
            <w:r>
              <w:rPr>
                <w:sz w:val="17"/>
              </w:rPr>
              <w:t>2026-09-16</w:t>
            </w:r>
          </w:p>
        </w:tc>
        <w:tc>
          <w:tcPr>
            <w:tcW w:type="dxa" w:w="1440"/>
            <w:shd w:fill="FFDCE0" w:val="clear"/>
          </w:tcPr>
          <w:p>
            <w:r>
              <w:rPr>
                <w:sz w:val="17"/>
              </w:rPr>
              <w:t>7,678</w:t>
            </w:r>
          </w:p>
        </w:tc>
        <w:tc>
          <w:tcPr>
            <w:tcW w:type="dxa" w:w="1440"/>
            <w:shd w:fill="FFDCE0" w:val="clear"/>
          </w:tcPr>
          <w:p>
            <w:r>
              <w:rPr>
                <w:b/>
                <w:sz w:val="17"/>
              </w:rPr>
              <w:t>8,561</w:t>
            </w:r>
          </w:p>
        </w:tc>
        <w:tc>
          <w:tcPr>
            <w:tcW w:type="dxa" w:w="1440"/>
            <w:shd w:fill="FFDCE0" w:val="clear"/>
          </w:tcPr>
          <w:p>
            <w:r>
              <w:rPr>
                <w:sz w:val="17"/>
              </w:rPr>
              <w:t>9,445</w:t>
            </w:r>
          </w:p>
        </w:tc>
        <w:tc>
          <w:tcPr>
            <w:tcW w:type="dxa" w:w="1440"/>
            <w:shd w:fill="FFDCE0" w:val="clear"/>
          </w:tcPr>
          <w:p>
            <w:r>
              <w:rPr>
                <w:b/>
                <w:color w:val="C00000"/>
                <w:sz w:val="17"/>
              </w:rPr>
              <w:t>-17.3%</w:t>
            </w:r>
          </w:p>
        </w:tc>
      </w:tr>
      <w:tr>
        <w:tc>
          <w:tcPr>
            <w:tcW w:type="dxa" w:w="1440"/>
            <w:shd w:fill="FFDCE0" w:val="clear"/>
          </w:tcPr>
          <w:p>
            <w:r>
              <w:rPr>
                <w:sz w:val="17"/>
              </w:rPr>
              <w:t>J+10  ⭐</w:t>
            </w:r>
          </w:p>
        </w:tc>
        <w:tc>
          <w:tcPr>
            <w:tcW w:type="dxa" w:w="1440"/>
            <w:shd w:fill="FFDCE0" w:val="clear"/>
          </w:tcPr>
          <w:p>
            <w:r>
              <w:rPr>
                <w:sz w:val="17"/>
              </w:rPr>
              <w:t>2026-09-17</w:t>
            </w:r>
          </w:p>
        </w:tc>
        <w:tc>
          <w:tcPr>
            <w:tcW w:type="dxa" w:w="1440"/>
            <w:shd w:fill="FFDCE0" w:val="clear"/>
          </w:tcPr>
          <w:p>
            <w:r>
              <w:rPr>
                <w:sz w:val="17"/>
              </w:rPr>
              <w:t>7,536</w:t>
            </w:r>
          </w:p>
        </w:tc>
        <w:tc>
          <w:tcPr>
            <w:tcW w:type="dxa" w:w="1440"/>
            <w:shd w:fill="FFDCE0" w:val="clear"/>
          </w:tcPr>
          <w:p>
            <w:r>
              <w:rPr>
                <w:b/>
                <w:sz w:val="17"/>
              </w:rPr>
              <w:t>8,456</w:t>
            </w:r>
          </w:p>
        </w:tc>
        <w:tc>
          <w:tcPr>
            <w:tcW w:type="dxa" w:w="1440"/>
            <w:shd w:fill="FFDCE0" w:val="clear"/>
          </w:tcPr>
          <w:p>
            <w:r>
              <w:rPr>
                <w:sz w:val="17"/>
              </w:rPr>
              <w:t>9,376</w:t>
            </w:r>
          </w:p>
        </w:tc>
        <w:tc>
          <w:tcPr>
            <w:tcW w:type="dxa" w:w="1440"/>
            <w:shd w:fill="FFDCE0" w:val="clear"/>
          </w:tcPr>
          <w:p>
            <w:r>
              <w:rPr>
                <w:b/>
                <w:color w:val="C00000"/>
                <w:sz w:val="17"/>
              </w:rPr>
              <w:t>-18.3%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BOAB s'établit à 419,81 milliards FCFA, positionnant l'établissement comme une valeur de premier plan sur la BRVM. Le BPA de 496 FCFA indique que chaque action génère un bénéfice substantiel, mais le PER de 20,9x révèle que les investisseurs paient une prime significative par rapport à la moyenne du marché régional (8-12x), traduisant des anticipations de croissance soutenue. Le P/B de 3,57x confirme cette prime, le marché valorisant l'actif net comptable près de 3,6 fois sa valeur, ce qui reflète une confiance dans la création de valeur future. Enfin, l'EV/EBITDA de 21,0x, nettement supérieur au seuil exigeant de 15x, indique une valorisation très généreuse qui intègre des hypothèses de performance opérationnelle ambitieuses. Ces ratios suggèrent une décote de sécurité quasi inexistante, le marché ayant déjà largement intégré les perspectives favorables de la banque.</w:t>
      </w:r>
    </w:p>
    <w:p>
      <w:pPr>
        <w:spacing w:after="120" w:line="276" w:lineRule="auto" w:before="240"/>
      </w:pPr>
      <w:r>
        <w:rPr>
          <w:b/>
          <w:color w:val="003366"/>
          <w:sz w:val="24"/>
        </w:rPr>
        <w:t>**PARTIE 1 : ANALYSE DU COURS — STATISTIQUES ET ÉVOLUTION (100 derniers jours)**</w:t>
      </w:r>
    </w:p>
    <w:p>
      <w:pPr>
        <w:spacing w:after="120" w:line="276" w:lineRule="auto"/>
      </w:pPr>
      <w:r>
        <w:t>Sur la période de 100 jours, l'action BOAB a enregistré une progression spectaculaire de +37,27%, avec une dernière séance en hausse de +1,02%, portant le cours à 10 350 FCFA, son plus haut niveau historique sur la période. Le titre a évolué dans une fourchette de 7 400 à 10 350 FCFA, démontrant une dynamique haussière puissante. La moyenne de 8 888 FCFA, proche de la médiane de 8 800 FCFA, indique une distribution relativement symétrique des cours, confirmée par un skewness de 0,209. L'écart-type de 594 FCFA, avec un coefficient de variation de 6,7%, révèle une dispersion modérée autour de la moyenne. Le kurtosis excédentaire de 1,096 signale des queues de distribution épaisses, suggérant un risque de mouvements extrêmes. La volatilité annualisée de 27,2% classe le titre dans la catégorie modérée à élevée, reflétant une certaine nervosité du marché malgré la tendance haussière dominante.</w:t>
      </w:r>
    </w:p>
    <w:p>
      <w:pPr>
        <w:spacing w:after="120" w:line="276" w:lineRule="auto" w:before="240"/>
      </w:pPr>
      <w:r>
        <w:rPr>
          <w:b/>
          <w:color w:val="003366"/>
          <w:sz w:val="24"/>
        </w:rPr>
        <w:t>**PARTIE 2 : ANALYSE TECHNIQUE DÉTAILLÉE**</w:t>
      </w:r>
    </w:p>
    <w:p>
      <w:pPr>
        <w:spacing w:after="120" w:line="276" w:lineRule="auto"/>
      </w:pPr>
      <w:r>
        <w:t>**Moyennes Mobiles** : Le cours actuel de 10 350 FCFA se positionne nettement au-dessus de la MM20 (9 459,75 FCFA) et de la MM50 (9 075,5 FCFA), confirmant une tendance haussière solide à court et moyen terme. L'écart croissant entre les deux moyennes mobiles témoigne d'une accélération du mouvement, justifiant la décision d'achat.</w:t>
      </w:r>
    </w:p>
    <w:p>
      <w:pPr>
        <w:spacing w:after="120" w:line="276" w:lineRule="auto"/>
      </w:pPr>
      <w:r>
        <w:t>**Bandes de Bollinger** : Le cours évolue à proximité de la borne supérieure (10 888,712 FCFA), indiquant une pression acheteuse soutenue. La position du prix dans la partie haute des bandes suggère une volatilité accrue, mais la décision neutre reflète l'absence de signal de retournement clair, le titre n'ayant pas encore touché la borne extrême.</w:t>
      </w:r>
    </w:p>
    <w:p>
      <w:pPr>
        <w:spacing w:after="120" w:line="276" w:lineRule="auto"/>
      </w:pPr>
      <w:r>
        <w:t>**MACD** : La valeur du MACD (414,255) est supérieure à son signal (323,208), confirmant un momentum haussier positif. L'écart positif entre les deux lignes indique une dynamique de tendance toujours en faveur des acheteurs, justifiant la décision d'achat.</w:t>
      </w:r>
    </w:p>
    <w:p>
      <w:pPr>
        <w:spacing w:after="120" w:line="276" w:lineRule="auto"/>
      </w:pPr>
      <w:r>
        <w:t>**RSI** : À 78,041, le RSI se situe en zone de surachat, signalant une possible exhaustion des acheteurs à court terme. Cette valeur élevée suggère que le titre est temporairement surévalué d'un point de vue technique, justifiant la décision de vente pour les traders à horizon court.</w:t>
      </w:r>
    </w:p>
    <w:p>
      <w:pPr>
        <w:spacing w:after="120" w:line="276" w:lineRule="auto"/>
      </w:pPr>
      <w:r>
        <w:t>**Stochastique** : Le %K à 100,0 et le %D à 95,827 sont tous deux en zone de surachat extrême, indiquant une condition de marché survendue qui pourrait précéder un repli technique. La décision de vente est donc cohérente avec ces niveaux extrêmes.</w:t>
      </w:r>
    </w:p>
    <w:p>
      <w:pPr>
        <w:spacing w:after="120" w:line="276" w:lineRule="auto"/>
      </w:pPr>
      <w:r>
        <w:t>**Conclusion technique** : La convergence des indicateurs de tendance (MM, MACD) vers l'achat contraste avec les oscillateurs de momentum (RSI, Stochastique) en zone de surachat. Cette divergence suggère qu'un repli technique est probable à court terme, mais la tendance de fond demeure haussière. Les investisseurs devraient surveiller un éventuel retour vers la MM20 en cas de correction.</w:t>
      </w:r>
    </w:p>
    <w:p>
      <w:pPr>
        <w:spacing w:after="120" w:line="276" w:lineRule="auto" w:before="240"/>
      </w:pPr>
      <w:r>
        <w:rPr>
          <w:b/>
          <w:color w:val="003366"/>
          <w:sz w:val="24"/>
        </w:rPr>
        <w:t>**PARTIE 3 : ANALYSE FONDAMENTALE (SECTION CRITIQUE)**</w:t>
      </w:r>
    </w:p>
    <w:p>
      <w:pPr>
        <w:spacing w:after="120" w:line="276" w:lineRule="auto"/>
      </w:pPr>
      <w:r>
        <w:t>En 2025, les états financiers structurés de BOAB révèlent un Produit Net Bancaire de 51,274 milliards FCFA, en croissance de 10,2%, avec un résultat net de 20,107 milliards FCFA. La rentabilité est excellente avec un ROE de 17,11% et un ROA de 2,08%. Le coefficient d'exploitation de 49,53% témoigne d'une efficacité opérationnelle remarquable. Le ratio de transformation est sain avec 391,724 milliards FCFA de crédits clientèle couverts par 711,642 milliards FCFA de dépôts. Le coût du risque de 22,50% reste élevé mais gérable. Les rapports trimestriels 2025 montrent une progression continue : le T1 affiche un PNB de 11,081 milliards (+1,7%), le S1 atteint 24,556 milliards (+5,91%), et le T3 cumulé de 37,065 milliards (+9%) avec un résultat net de 15,880 milliards (+13%). Le rapport T1 2026 confirme cette dynamique avec un PNB de 12,329 milliards (+11%) et un résultat net de 4,502 milliards (+1%), soutenu par une hausse des commissions de +18,9%. La banque privilégie la qualité à la croissance volumique, avec une contraction des crédits de 10% mais une amélioration significative des marges.</w:t>
      </w:r>
    </w:p>
    <w:p>
      <w:pPr>
        <w:spacing w:after="120" w:line="276" w:lineRule="auto" w:before="240"/>
      </w:pPr>
      <w:r>
        <w:rPr>
          <w:b/>
          <w:color w:val="003366"/>
          <w:sz w:val="24"/>
        </w:rPr>
        <w:t>**PARTIE 4 : CONCLUSION D'INVESTISSEMENT**</w:t>
      </w:r>
    </w:p>
    <w:p>
      <w:pPr>
        <w:spacing w:after="120" w:line="276" w:lineRule="auto"/>
      </w:pPr>
      <w:r>
        <w:t>La valorisation de BOAB apparaît exigeante avec un PER de 20,9x et un P/B de 3,57x, intégrant des anticipations de croissance déjà largement réalisées. Le comportement du cours sur 100 jours (+37,27%) avec une volatilité de 27,2% et un kurtosis élevé suggère un potentiel de consolidation. Les signaux techniques sont mitigés : la tendance reste haussière (MM, MACD) mais les oscillateurs en surachat extrême (RSI 78, Stochastique 100) appellent à la prudence à court terme. Les fondamentaux demeurent solides avec un ROE de 17,11%, un coefficient d'exploitation de 49,53% et une croissance soutenue du PNB. Les prédictions IA anticipent une correction vers 9 053 FCFA à J+10, contredisant la tendance actuelle. La convergence entre la surévaluation relative, les signaux techniques de surachat et la trajectoire prédictive baissière suggère une recommandation **CONSERVER** avec un niveau de confiance **Moyen**, un risque global **Élevé** et un horizon d'investissement optimal à **moyen terme (3-12 mois)** pour laisser la volatilité se résorber avant un éventuel renforcement.</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393.80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6,834 titres</w:t>
            </w:r>
          </w:p>
        </w:tc>
        <w:tc>
          <w:tcPr>
            <w:tcW w:type="dxa" w:w="2268"/>
            <w:shd w:fill="FFF2CC" w:val="clear"/>
          </w:tcPr>
          <w:p>
            <w:r>
              <w:rPr>
                <w:b/>
                <w:color w:val="503200"/>
                <w:sz w:val="16"/>
              </w:rPr>
              <w:t xml:space="preserve">Cours actuel : </w:t>
            </w:r>
            <w:r>
              <w:rPr>
                <w:color w:val="000000"/>
                <w:sz w:val="17"/>
              </w:rPr>
              <w:t>8,950 FCFA</w:t>
            </w:r>
          </w:p>
          <w:p>
            <w:r>
              <w:rPr>
                <w:b/>
                <w:color w:val="503200"/>
                <w:sz w:val="16"/>
              </w:rPr>
              <w:t xml:space="preserve">Var. 100 jours : </w:t>
            </w:r>
            <w:r>
              <w:rPr>
                <w:b/>
                <w:color w:val="007800"/>
                <w:sz w:val="17"/>
              </w:rPr>
              <w:t>+57.43%</w:t>
            </w:r>
          </w:p>
          <w:p>
            <w:r>
              <w:rPr>
                <w:b/>
                <w:color w:val="503200"/>
                <w:sz w:val="16"/>
              </w:rPr>
              <w:t xml:space="preserve">Plus haut 100j : </w:t>
            </w:r>
            <w:r>
              <w:rPr>
                <w:color w:val="000000"/>
                <w:sz w:val="17"/>
              </w:rPr>
              <w:t>9,090 FCFA</w:t>
            </w:r>
          </w:p>
          <w:p>
            <w:r>
              <w:rPr>
                <w:b/>
                <w:color w:val="503200"/>
                <w:sz w:val="16"/>
              </w:rPr>
              <w:t xml:space="preserve">Plus bas 100j : </w:t>
            </w:r>
            <w:r>
              <w:rPr>
                <w:color w:val="000000"/>
                <w:sz w:val="17"/>
              </w:rPr>
              <w:t>5,235 FCFA</w:t>
            </w:r>
          </w:p>
          <w:p>
            <w:r>
              <w:rPr>
                <w:b/>
                <w:color w:val="503200"/>
                <w:sz w:val="16"/>
              </w:rPr>
              <w:t xml:space="preserve">Volatilité ann. : </w:t>
            </w:r>
            <w:r>
              <w:rPr>
                <w:color w:val="000000"/>
                <w:sz w:val="17"/>
              </w:rPr>
              <w:t>33.6%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28.1/100 → Moyen</w:t>
      </w:r>
    </w:p>
    <w:p>
      <w:pPr>
        <w:spacing w:before="40" w:after="80"/>
      </w:pPr>
      <w:r>
        <w:rPr>
          <w:rFonts w:ascii="Courier New" w:hAnsi="Courier New"/>
          <w:color w:val="825A00"/>
          <w:sz w:val="18"/>
        </w:rPr>
        <w:t>█████░░░░░░░░░░░░░░░  28.1/100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16.53% (Élevée) — μ=6,282 FCFA, σ=1,038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β=0.2128 (Défensif) — Cov=0.000008, Var(idx)=0.000036, ρ=0.060,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6,834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σ_j=2.12%/j (Stable) — Vol. annualisée≈33.6%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2026-09-04</w:t>
            </w:r>
          </w:p>
        </w:tc>
        <w:tc>
          <w:tcPr>
            <w:tcW w:type="dxa" w:w="1440"/>
            <w:shd w:fill="FFDCE0" w:val="clear"/>
          </w:tcPr>
          <w:p>
            <w:r>
              <w:rPr>
                <w:sz w:val="17"/>
              </w:rPr>
              <w:t>8,218</w:t>
            </w:r>
          </w:p>
        </w:tc>
        <w:tc>
          <w:tcPr>
            <w:tcW w:type="dxa" w:w="1440"/>
            <w:shd w:fill="FFDCE0" w:val="clear"/>
          </w:tcPr>
          <w:p>
            <w:r>
              <w:rPr>
                <w:b/>
                <w:sz w:val="17"/>
              </w:rPr>
              <w:t>8,554</w:t>
            </w:r>
          </w:p>
        </w:tc>
        <w:tc>
          <w:tcPr>
            <w:tcW w:type="dxa" w:w="1440"/>
            <w:shd w:fill="FFDCE0" w:val="clear"/>
          </w:tcPr>
          <w:p>
            <w:r>
              <w:rPr>
                <w:sz w:val="17"/>
              </w:rPr>
              <w:t>8,889</w:t>
            </w:r>
          </w:p>
        </w:tc>
        <w:tc>
          <w:tcPr>
            <w:tcW w:type="dxa" w:w="1440"/>
            <w:shd w:fill="FFDCE0" w:val="clear"/>
          </w:tcPr>
          <w:p>
            <w:r>
              <w:rPr>
                <w:b/>
                <w:color w:val="C00000"/>
                <w:sz w:val="17"/>
              </w:rPr>
              <w:t>-4.4%</w:t>
            </w:r>
          </w:p>
        </w:tc>
      </w:tr>
      <w:tr>
        <w:tc>
          <w:tcPr>
            <w:tcW w:type="dxa" w:w="1440"/>
            <w:shd w:fill="FFDCE0" w:val="clear"/>
          </w:tcPr>
          <w:p>
            <w:r>
              <w:rPr>
                <w:sz w:val="17"/>
              </w:rPr>
              <w:t>J+2  Moyenne</w:t>
            </w:r>
          </w:p>
        </w:tc>
        <w:tc>
          <w:tcPr>
            <w:tcW w:type="dxa" w:w="1440"/>
            <w:shd w:fill="FFDCE0" w:val="clear"/>
          </w:tcPr>
          <w:p>
            <w:r>
              <w:rPr>
                <w:sz w:val="17"/>
              </w:rPr>
              <w:t>2026-09-07</w:t>
            </w:r>
          </w:p>
        </w:tc>
        <w:tc>
          <w:tcPr>
            <w:tcW w:type="dxa" w:w="1440"/>
            <w:shd w:fill="FFDCE0" w:val="clear"/>
          </w:tcPr>
          <w:p>
            <w:r>
              <w:rPr>
                <w:sz w:val="17"/>
              </w:rPr>
              <w:t>7,814</w:t>
            </w:r>
          </w:p>
        </w:tc>
        <w:tc>
          <w:tcPr>
            <w:tcW w:type="dxa" w:w="1440"/>
            <w:shd w:fill="FFDCE0" w:val="clear"/>
          </w:tcPr>
          <w:p>
            <w:r>
              <w:rPr>
                <w:b/>
                <w:sz w:val="17"/>
              </w:rPr>
              <w:t>8,273</w:t>
            </w:r>
          </w:p>
        </w:tc>
        <w:tc>
          <w:tcPr>
            <w:tcW w:type="dxa" w:w="1440"/>
            <w:shd w:fill="FFDCE0" w:val="clear"/>
          </w:tcPr>
          <w:p>
            <w:r>
              <w:rPr>
                <w:sz w:val="17"/>
              </w:rPr>
              <w:t>8,733</w:t>
            </w:r>
          </w:p>
        </w:tc>
        <w:tc>
          <w:tcPr>
            <w:tcW w:type="dxa" w:w="1440"/>
            <w:shd w:fill="FFDCE0" w:val="clear"/>
          </w:tcPr>
          <w:p>
            <w:r>
              <w:rPr>
                <w:b/>
                <w:color w:val="C00000"/>
                <w:sz w:val="17"/>
              </w:rPr>
              <w:t>-7.6%</w:t>
            </w:r>
          </w:p>
        </w:tc>
      </w:tr>
      <w:tr>
        <w:tc>
          <w:tcPr>
            <w:tcW w:type="dxa" w:w="1440"/>
            <w:shd w:fill="FFDCE0" w:val="clear"/>
          </w:tcPr>
          <w:p>
            <w:r>
              <w:rPr>
                <w:sz w:val="17"/>
              </w:rPr>
              <w:t>J+3  Moyenne</w:t>
            </w:r>
          </w:p>
        </w:tc>
        <w:tc>
          <w:tcPr>
            <w:tcW w:type="dxa" w:w="1440"/>
            <w:shd w:fill="FFDCE0" w:val="clear"/>
          </w:tcPr>
          <w:p>
            <w:r>
              <w:rPr>
                <w:sz w:val="17"/>
              </w:rPr>
              <w:t>2026-09-08</w:t>
            </w:r>
          </w:p>
        </w:tc>
        <w:tc>
          <w:tcPr>
            <w:tcW w:type="dxa" w:w="1440"/>
            <w:shd w:fill="FFDCE0" w:val="clear"/>
          </w:tcPr>
          <w:p>
            <w:r>
              <w:rPr>
                <w:sz w:val="17"/>
              </w:rPr>
              <w:t>7,526</w:t>
            </w:r>
          </w:p>
        </w:tc>
        <w:tc>
          <w:tcPr>
            <w:tcW w:type="dxa" w:w="1440"/>
            <w:shd w:fill="FFDCE0" w:val="clear"/>
          </w:tcPr>
          <w:p>
            <w:r>
              <w:rPr>
                <w:b/>
                <w:sz w:val="17"/>
              </w:rPr>
              <w:t>8,075</w:t>
            </w:r>
          </w:p>
        </w:tc>
        <w:tc>
          <w:tcPr>
            <w:tcW w:type="dxa" w:w="1440"/>
            <w:shd w:fill="FFDCE0" w:val="clear"/>
          </w:tcPr>
          <w:p>
            <w:r>
              <w:rPr>
                <w:sz w:val="17"/>
              </w:rPr>
              <w:t>8,624</w:t>
            </w:r>
          </w:p>
        </w:tc>
        <w:tc>
          <w:tcPr>
            <w:tcW w:type="dxa" w:w="1440"/>
            <w:shd w:fill="FFDCE0" w:val="clear"/>
          </w:tcPr>
          <w:p>
            <w:r>
              <w:rPr>
                <w:b/>
                <w:color w:val="C00000"/>
                <w:sz w:val="17"/>
              </w:rPr>
              <w:t>-9.8%</w:t>
            </w:r>
          </w:p>
        </w:tc>
      </w:tr>
      <w:tr>
        <w:tc>
          <w:tcPr>
            <w:tcW w:type="dxa" w:w="1440"/>
            <w:shd w:fill="FFDCE0" w:val="clear"/>
          </w:tcPr>
          <w:p>
            <w:r>
              <w:rPr>
                <w:sz w:val="17"/>
              </w:rPr>
              <w:t>J+4  ⭐</w:t>
            </w:r>
          </w:p>
        </w:tc>
        <w:tc>
          <w:tcPr>
            <w:tcW w:type="dxa" w:w="1440"/>
            <w:shd w:fill="FFDCE0" w:val="clear"/>
          </w:tcPr>
          <w:p>
            <w:r>
              <w:rPr>
                <w:sz w:val="17"/>
              </w:rPr>
              <w:t>2026-09-09</w:t>
            </w:r>
          </w:p>
        </w:tc>
        <w:tc>
          <w:tcPr>
            <w:tcW w:type="dxa" w:w="1440"/>
            <w:shd w:fill="FFDCE0" w:val="clear"/>
          </w:tcPr>
          <w:p>
            <w:r>
              <w:rPr>
                <w:sz w:val="17"/>
              </w:rPr>
              <w:t>7,314</w:t>
            </w:r>
          </w:p>
        </w:tc>
        <w:tc>
          <w:tcPr>
            <w:tcW w:type="dxa" w:w="1440"/>
            <w:shd w:fill="FFDCE0" w:val="clear"/>
          </w:tcPr>
          <w:p>
            <w:r>
              <w:rPr>
                <w:b/>
                <w:sz w:val="17"/>
              </w:rPr>
              <w:t>7,937</w:t>
            </w:r>
          </w:p>
        </w:tc>
        <w:tc>
          <w:tcPr>
            <w:tcW w:type="dxa" w:w="1440"/>
            <w:shd w:fill="FFDCE0" w:val="clear"/>
          </w:tcPr>
          <w:p>
            <w:r>
              <w:rPr>
                <w:sz w:val="17"/>
              </w:rPr>
              <w:t>8,560</w:t>
            </w:r>
          </w:p>
        </w:tc>
        <w:tc>
          <w:tcPr>
            <w:tcW w:type="dxa" w:w="1440"/>
            <w:shd w:fill="FFDCE0" w:val="clear"/>
          </w:tcPr>
          <w:p>
            <w:r>
              <w:rPr>
                <w:b/>
                <w:color w:val="C00000"/>
                <w:sz w:val="17"/>
              </w:rPr>
              <w:t>-11.3%</w:t>
            </w:r>
          </w:p>
        </w:tc>
      </w:tr>
      <w:tr>
        <w:tc>
          <w:tcPr>
            <w:tcW w:type="dxa" w:w="1440"/>
            <w:shd w:fill="FFDCE0" w:val="clear"/>
          </w:tcPr>
          <w:p>
            <w:r>
              <w:rPr>
                <w:sz w:val="17"/>
              </w:rPr>
              <w:t>J+5  ⭐</w:t>
            </w:r>
          </w:p>
        </w:tc>
        <w:tc>
          <w:tcPr>
            <w:tcW w:type="dxa" w:w="1440"/>
            <w:shd w:fill="FFDCE0" w:val="clear"/>
          </w:tcPr>
          <w:p>
            <w:r>
              <w:rPr>
                <w:sz w:val="17"/>
              </w:rPr>
              <w:t>2026-09-10</w:t>
            </w:r>
          </w:p>
        </w:tc>
        <w:tc>
          <w:tcPr>
            <w:tcW w:type="dxa" w:w="1440"/>
            <w:shd w:fill="FFDCE0" w:val="clear"/>
          </w:tcPr>
          <w:p>
            <w:r>
              <w:rPr>
                <w:sz w:val="17"/>
              </w:rPr>
              <w:t>7,140</w:t>
            </w:r>
          </w:p>
        </w:tc>
        <w:tc>
          <w:tcPr>
            <w:tcW w:type="dxa" w:w="1440"/>
            <w:shd w:fill="FFDCE0" w:val="clear"/>
          </w:tcPr>
          <w:p>
            <w:r>
              <w:rPr>
                <w:b/>
                <w:sz w:val="17"/>
              </w:rPr>
              <w:t>7,827</w:t>
            </w:r>
          </w:p>
        </w:tc>
        <w:tc>
          <w:tcPr>
            <w:tcW w:type="dxa" w:w="1440"/>
            <w:shd w:fill="FFDCE0" w:val="clear"/>
          </w:tcPr>
          <w:p>
            <w:r>
              <w:rPr>
                <w:sz w:val="17"/>
              </w:rPr>
              <w:t>8,514</w:t>
            </w:r>
          </w:p>
        </w:tc>
        <w:tc>
          <w:tcPr>
            <w:tcW w:type="dxa" w:w="1440"/>
            <w:shd w:fill="FFDCE0" w:val="clear"/>
          </w:tcPr>
          <w:p>
            <w:r>
              <w:rPr>
                <w:b/>
                <w:color w:val="C00000"/>
                <w:sz w:val="17"/>
              </w:rPr>
              <w:t>-12.5%</w:t>
            </w:r>
          </w:p>
        </w:tc>
      </w:tr>
      <w:tr>
        <w:tc>
          <w:tcPr>
            <w:tcW w:type="dxa" w:w="1440"/>
            <w:shd w:fill="FFDCE0" w:val="clear"/>
          </w:tcPr>
          <w:p>
            <w:r>
              <w:rPr>
                <w:sz w:val="17"/>
              </w:rPr>
              <w:t>J+6  ⭐</w:t>
            </w:r>
          </w:p>
        </w:tc>
        <w:tc>
          <w:tcPr>
            <w:tcW w:type="dxa" w:w="1440"/>
            <w:shd w:fill="FFDCE0" w:val="clear"/>
          </w:tcPr>
          <w:p>
            <w:r>
              <w:rPr>
                <w:sz w:val="17"/>
              </w:rPr>
              <w:t>2026-09-11</w:t>
            </w:r>
          </w:p>
        </w:tc>
        <w:tc>
          <w:tcPr>
            <w:tcW w:type="dxa" w:w="1440"/>
            <w:shd w:fill="FFDCE0" w:val="clear"/>
          </w:tcPr>
          <w:p>
            <w:r>
              <w:rPr>
                <w:sz w:val="17"/>
              </w:rPr>
              <w:t>6,986</w:t>
            </w:r>
          </w:p>
        </w:tc>
        <w:tc>
          <w:tcPr>
            <w:tcW w:type="dxa" w:w="1440"/>
            <w:shd w:fill="FFDCE0" w:val="clear"/>
          </w:tcPr>
          <w:p>
            <w:r>
              <w:rPr>
                <w:b/>
                <w:sz w:val="17"/>
              </w:rPr>
              <w:t>7,730</w:t>
            </w:r>
          </w:p>
        </w:tc>
        <w:tc>
          <w:tcPr>
            <w:tcW w:type="dxa" w:w="1440"/>
            <w:shd w:fill="FFDCE0" w:val="clear"/>
          </w:tcPr>
          <w:p>
            <w:r>
              <w:rPr>
                <w:sz w:val="17"/>
              </w:rPr>
              <w:t>8,473</w:t>
            </w:r>
          </w:p>
        </w:tc>
        <w:tc>
          <w:tcPr>
            <w:tcW w:type="dxa" w:w="1440"/>
            <w:shd w:fill="FFDCE0" w:val="clear"/>
          </w:tcPr>
          <w:p>
            <w:r>
              <w:rPr>
                <w:b/>
                <w:color w:val="C00000"/>
                <w:sz w:val="17"/>
              </w:rPr>
              <w:t>-13.6%</w:t>
            </w:r>
          </w:p>
        </w:tc>
      </w:tr>
      <w:tr>
        <w:tc>
          <w:tcPr>
            <w:tcW w:type="dxa" w:w="1440"/>
            <w:shd w:fill="FFDCE0" w:val="clear"/>
          </w:tcPr>
          <w:p>
            <w:r>
              <w:rPr>
                <w:sz w:val="17"/>
              </w:rPr>
              <w:t>J+7  ⭐</w:t>
            </w:r>
          </w:p>
        </w:tc>
        <w:tc>
          <w:tcPr>
            <w:tcW w:type="dxa" w:w="1440"/>
            <w:shd w:fill="FFDCE0" w:val="clear"/>
          </w:tcPr>
          <w:p>
            <w:r>
              <w:rPr>
                <w:sz w:val="17"/>
              </w:rPr>
              <w:t>2026-09-14</w:t>
            </w:r>
          </w:p>
        </w:tc>
        <w:tc>
          <w:tcPr>
            <w:tcW w:type="dxa" w:w="1440"/>
            <w:shd w:fill="FFDCE0" w:val="clear"/>
          </w:tcPr>
          <w:p>
            <w:r>
              <w:rPr>
                <w:sz w:val="17"/>
              </w:rPr>
              <w:t>6,845</w:t>
            </w:r>
          </w:p>
        </w:tc>
        <w:tc>
          <w:tcPr>
            <w:tcW w:type="dxa" w:w="1440"/>
            <w:shd w:fill="FFDCE0" w:val="clear"/>
          </w:tcPr>
          <w:p>
            <w:r>
              <w:rPr>
                <w:b/>
                <w:sz w:val="17"/>
              </w:rPr>
              <w:t>7,638</w:t>
            </w:r>
          </w:p>
        </w:tc>
        <w:tc>
          <w:tcPr>
            <w:tcW w:type="dxa" w:w="1440"/>
            <w:shd w:fill="FFDCE0" w:val="clear"/>
          </w:tcPr>
          <w:p>
            <w:r>
              <w:rPr>
                <w:sz w:val="17"/>
              </w:rPr>
              <w:t>8,431</w:t>
            </w:r>
          </w:p>
        </w:tc>
        <w:tc>
          <w:tcPr>
            <w:tcW w:type="dxa" w:w="1440"/>
            <w:shd w:fill="FFDCE0" w:val="clear"/>
          </w:tcPr>
          <w:p>
            <w:r>
              <w:rPr>
                <w:b/>
                <w:color w:val="C00000"/>
                <w:sz w:val="17"/>
              </w:rPr>
              <w:t>-14.7%</w:t>
            </w:r>
          </w:p>
        </w:tc>
      </w:tr>
      <w:tr>
        <w:tc>
          <w:tcPr>
            <w:tcW w:type="dxa" w:w="1440"/>
            <w:shd w:fill="FFDCE0" w:val="clear"/>
          </w:tcPr>
          <w:p>
            <w:r>
              <w:rPr>
                <w:sz w:val="17"/>
              </w:rPr>
              <w:t>J+8  ⭐</w:t>
            </w:r>
          </w:p>
        </w:tc>
        <w:tc>
          <w:tcPr>
            <w:tcW w:type="dxa" w:w="1440"/>
            <w:shd w:fill="FFDCE0" w:val="clear"/>
          </w:tcPr>
          <w:p>
            <w:r>
              <w:rPr>
                <w:sz w:val="17"/>
              </w:rPr>
              <w:t>2026-09-15</w:t>
            </w:r>
          </w:p>
        </w:tc>
        <w:tc>
          <w:tcPr>
            <w:tcW w:type="dxa" w:w="1440"/>
            <w:shd w:fill="FFDCE0" w:val="clear"/>
          </w:tcPr>
          <w:p>
            <w:r>
              <w:rPr>
                <w:sz w:val="17"/>
              </w:rPr>
              <w:t>6,712</w:t>
            </w:r>
          </w:p>
        </w:tc>
        <w:tc>
          <w:tcPr>
            <w:tcW w:type="dxa" w:w="1440"/>
            <w:shd w:fill="FFDCE0" w:val="clear"/>
          </w:tcPr>
          <w:p>
            <w:r>
              <w:rPr>
                <w:b/>
                <w:sz w:val="17"/>
              </w:rPr>
              <w:t>7,550</w:t>
            </w:r>
          </w:p>
        </w:tc>
        <w:tc>
          <w:tcPr>
            <w:tcW w:type="dxa" w:w="1440"/>
            <w:shd w:fill="FFDCE0" w:val="clear"/>
          </w:tcPr>
          <w:p>
            <w:r>
              <w:rPr>
                <w:sz w:val="17"/>
              </w:rPr>
              <w:t>8,388</w:t>
            </w:r>
          </w:p>
        </w:tc>
        <w:tc>
          <w:tcPr>
            <w:tcW w:type="dxa" w:w="1440"/>
            <w:shd w:fill="FFDCE0" w:val="clear"/>
          </w:tcPr>
          <w:p>
            <w:r>
              <w:rPr>
                <w:b/>
                <w:color w:val="C00000"/>
                <w:sz w:val="17"/>
              </w:rPr>
              <w:t>-15.6%</w:t>
            </w:r>
          </w:p>
        </w:tc>
      </w:tr>
      <w:tr>
        <w:tc>
          <w:tcPr>
            <w:tcW w:type="dxa" w:w="1440"/>
            <w:shd w:fill="FFDCE0" w:val="clear"/>
          </w:tcPr>
          <w:p>
            <w:r>
              <w:rPr>
                <w:sz w:val="17"/>
              </w:rPr>
              <w:t>J+9  ⭐</w:t>
            </w:r>
          </w:p>
        </w:tc>
        <w:tc>
          <w:tcPr>
            <w:tcW w:type="dxa" w:w="1440"/>
            <w:shd w:fill="FFDCE0" w:val="clear"/>
          </w:tcPr>
          <w:p>
            <w:r>
              <w:rPr>
                <w:sz w:val="17"/>
              </w:rPr>
              <w:t>2026-09-16</w:t>
            </w:r>
          </w:p>
        </w:tc>
        <w:tc>
          <w:tcPr>
            <w:tcW w:type="dxa" w:w="1440"/>
            <w:shd w:fill="FFDCE0" w:val="clear"/>
          </w:tcPr>
          <w:p>
            <w:r>
              <w:rPr>
                <w:sz w:val="17"/>
              </w:rPr>
              <w:t>6,586</w:t>
            </w:r>
          </w:p>
        </w:tc>
        <w:tc>
          <w:tcPr>
            <w:tcW w:type="dxa" w:w="1440"/>
            <w:shd w:fill="FFDCE0" w:val="clear"/>
          </w:tcPr>
          <w:p>
            <w:r>
              <w:rPr>
                <w:b/>
                <w:sz w:val="17"/>
              </w:rPr>
              <w:t>7,465</w:t>
            </w:r>
          </w:p>
        </w:tc>
        <w:tc>
          <w:tcPr>
            <w:tcW w:type="dxa" w:w="1440"/>
            <w:shd w:fill="FFDCE0" w:val="clear"/>
          </w:tcPr>
          <w:p>
            <w:r>
              <w:rPr>
                <w:sz w:val="17"/>
              </w:rPr>
              <w:t>8,344</w:t>
            </w:r>
          </w:p>
        </w:tc>
        <w:tc>
          <w:tcPr>
            <w:tcW w:type="dxa" w:w="1440"/>
            <w:shd w:fill="FFDCE0" w:val="clear"/>
          </w:tcPr>
          <w:p>
            <w:r>
              <w:rPr>
                <w:b/>
                <w:color w:val="C00000"/>
                <w:sz w:val="17"/>
              </w:rPr>
              <w:t>-16.6%</w:t>
            </w:r>
          </w:p>
        </w:tc>
      </w:tr>
      <w:tr>
        <w:tc>
          <w:tcPr>
            <w:tcW w:type="dxa" w:w="1440"/>
            <w:shd w:fill="FFDCE0" w:val="clear"/>
          </w:tcPr>
          <w:p>
            <w:r>
              <w:rPr>
                <w:sz w:val="17"/>
              </w:rPr>
              <w:t>J+10  ⭐</w:t>
            </w:r>
          </w:p>
        </w:tc>
        <w:tc>
          <w:tcPr>
            <w:tcW w:type="dxa" w:w="1440"/>
            <w:shd w:fill="FFDCE0" w:val="clear"/>
          </w:tcPr>
          <w:p>
            <w:r>
              <w:rPr>
                <w:sz w:val="17"/>
              </w:rPr>
              <w:t>2026-09-17</w:t>
            </w:r>
          </w:p>
        </w:tc>
        <w:tc>
          <w:tcPr>
            <w:tcW w:type="dxa" w:w="1440"/>
            <w:shd w:fill="FFDCE0" w:val="clear"/>
          </w:tcPr>
          <w:p>
            <w:r>
              <w:rPr>
                <w:sz w:val="17"/>
              </w:rPr>
              <w:t>6,467</w:t>
            </w:r>
          </w:p>
        </w:tc>
        <w:tc>
          <w:tcPr>
            <w:tcW w:type="dxa" w:w="1440"/>
            <w:shd w:fill="FFDCE0" w:val="clear"/>
          </w:tcPr>
          <w:p>
            <w:r>
              <w:rPr>
                <w:b/>
                <w:sz w:val="17"/>
              </w:rPr>
              <w:t>7,384</w:t>
            </w:r>
          </w:p>
        </w:tc>
        <w:tc>
          <w:tcPr>
            <w:tcW w:type="dxa" w:w="1440"/>
            <w:shd w:fill="FFDCE0" w:val="clear"/>
          </w:tcPr>
          <w:p>
            <w:r>
              <w:rPr>
                <w:sz w:val="17"/>
              </w:rPr>
              <w:t>8,300</w:t>
            </w:r>
          </w:p>
        </w:tc>
        <w:tc>
          <w:tcPr>
            <w:tcW w:type="dxa" w:w="1440"/>
            <w:shd w:fill="FFDCE0" w:val="clear"/>
          </w:tcPr>
          <w:p>
            <w:r>
              <w:rPr>
                <w:b/>
                <w:color w:val="C00000"/>
                <w:sz w:val="17"/>
              </w:rPr>
              <w:t>-17.5%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**RAPPORT D'ANALYSE FINANCIÈRE — BOA BURKINA FASO (BOABF)**</w:t>
        <w:br/>
        <w:t>**Date de l'analyse : 03 septembre 2026**</w:t>
        <w:br/>
        <w:t>**Cours de référence : 8,950 FCFA**</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393,80 milliards FCFA, BOABF se positionne comme une valeur de premier plan sur la BRVM, reflétant l'importance systémique de la banque dans son économie nationale. Le BPA de 438 FCFA indique que chaque action a généré ce montant de bénéfice sur l'exercice 2025. Le PER de 20,5x est nettement supérieur à la moyenne historique de la BRVM (8-12x), ce qui traduit une prime de croissance significative, mais aussi un risque de surévaluation si les bénéfices futurs ne suivent pas. Le P/B de 3,11x confirme cette prime, le marché valorisant la banque à plus de trois fois sa valeur comptable, signe d'une forte confiance dans la création de valeur future. Enfin, l'EV/EBITDA de 9,5x se situe dans la fourchette haute des valeurs "raisonnables" (5-10x), indiquant que la valorisation intègre déjà une solide performance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BOABF a connu une progression spectaculaire de +57,43%, passant d'un plus bas de 5,235 FCFA à un plus haut de 9,090 FCFA, avant de clôturer à 8,950 FCFA. La légère baisse de -0,44% enregistrée lors de la dernière séance suggère un possible essoufflement après une telle ascension. La moyenne du cours sur la période (6,282 FCFA) est nettement inférieure à la médiane (5,680 FCFA) et au cours actuel, ce qui, combiné à un skewness positif de 1.145, confirme une distribution asymétrique avec une concentration de journées de trading sous la moyenne, mais ponctuée de fortes hausses récentes. L'écart-type de 1,043 FCFA (CV de 16,6%) indique une dispersion modérée, tandis que le kurtosis de 0.349 (mésokurtique) suggère un profil de risque proche de la normale. La volatilité annualisée de 33,6% classe le titre comme très volatil, un niveau élevé qui appelle à la prudence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(8,950 FCFA) évolue nettement au-dessus de la MM20 (7,889 FCFA) et de la MM50 (7,061 FCFA), dans une configuration de tendance haussière à court et moyen terme. La pente positive de ces moyennes confirme la dynamique haussière, justifiant la décision d'achat.</w:t>
      </w:r>
    </w:p>
    <w:p>
      <w:pPr>
        <w:spacing w:after="120" w:line="276" w:lineRule="auto"/>
      </w:pPr>
      <w:r>
        <w:t>**Bandes de Bollinger** : Le cours se situe à 8,950 FCFA, en dessous de la borne supérieure (9,478 FCFA) mais bien au-dessus de la borne inférieure (6,300 FCFA). La largeur des bandes reflète la volatilité élevée du titre. La position du prix dans la partie supérieure des bandes indique une pression acheteuse persistante, mais la décision est neutre, signalant que le cours n'est pas encore en zone de surachat extrême.</w:t>
      </w:r>
    </w:p>
    <w:p>
      <w:pPr>
        <w:spacing w:after="120" w:line="276" w:lineRule="auto"/>
      </w:pPr>
      <w:r>
        <w:t>**MACD** : La valeur du MACD (573.6) est supérieure à sa ligne de signal (467.8), avec un écart positif important. Cette configuration haussière indique un momentum positif fort, confirmant la tendance haussière en cours et justifiant la décision d'achat.</w:t>
      </w:r>
    </w:p>
    <w:p>
      <w:pPr>
        <w:spacing w:after="120" w:line="276" w:lineRule="auto"/>
      </w:pPr>
      <w:r>
        <w:t>**RSI** : Le RSI à 85.17 est profondément en zone de surachat (au-delà de 70). Ce niveau extrême signale que le titre est techniquement survendu et qu'un repli technique est probable à court terme. La décision de vente est donc justifiée pour les traders à court terme.</w:t>
      </w:r>
    </w:p>
    <w:p>
      <w:pPr>
        <w:spacing w:after="120" w:line="276" w:lineRule="auto"/>
      </w:pPr>
      <w:r>
        <w:t>**Stochastique** : Les valeurs de %K (92.97) et %D (94.47) sont toutes deux en zone de surachat extrême. Cette configuration indique que la dynamique haussière s'essouffle et qu'un croisement baissier est imminent, justifiant la décision de vente.</w:t>
      </w:r>
    </w:p>
    <w:p>
      <w:pPr>
        <w:spacing w:after="120" w:line="276" w:lineRule="auto"/>
      </w:pPr>
      <w:r>
        <w:t>**Conclusion technique** : Les indicateurs de tendance (MM, MACD) sont résolument haussiers, mais les oscillateurs de momentum (RSI, Stochastique) sont en zone de surachat extrême, signalant un risque élevé de correction technique. La décision neutre des bandes de Bollinger renforce cette lecture. Le scénario le plus probable est une consolidation ou un repli à court terme avant une éventuelle reprise de la tendance haussière de fond.</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de BOABF font état d'un Produit Net Bancaire (PNB) de 57,82 milliards FCFA, en légère croissance de 0,57%, et d'un résultat net de 19,25 milliards FCFA. La banque affiche un coefficient d'exploitation de 47,19%, démontrant une excellente maîtrise de ses charges, et un ROE de 15,22%, signe d'une bonne rentabilité des fonds propres. Le ROA de 1,68% reste correct pour le secteur. Cependant, le coût du risque de 33,92% est élevé, indiquant une dégradation de la qualité du portefeuille de crédits. Les rapports trimestriels de 2025 confirment cette tendance : le rapport du 1er trimestre (T1 2025) montre un PNB de 14,22 milliards (+2,3%) mais un résultat net en baisse de 16,6% à 5,20 milliards. Le rapport semestriel (S1 2025) révèle une chute plus sévère du résultat net (-46,5% à 8,22 milliards), due à une explosion du coût du risque à -6,88 milliards. Le rapport du 3ème trimestre (9 mois 2025) confirme la stagnation du PNB (+0,85% à 43,28 milliards) et une baisse du résultat net de 27,69% à 13,45 milliards. Enfin, le rapport du T1 2026 (publié en 2026) montre une contraction du PNB de 10,75% à 12,69 milliards et un résultat net en recul de 12,99% à 4,52 milliards. On estime que l'exercice 2026 sera difficile, avec une pression continue sur la rentabilité si le coût du risque ne se normalise pas. La banque maintient néanmoins une collecte de dépôts dynamique (877,8 milliards en 2025, +6,3% au T1 2026), mais la contraction des crédits (-11% sur 9 mois 2025) limite les opportunités de croissance future.</w:t>
      </w:r>
    </w:p>
    <w:p>
      <w:pPr>
        <w:spacing w:after="120" w:line="276" w:lineRule="auto"/>
      </w:pPr>
      <w:r>
        <w:t>---</w:t>
      </w:r>
    </w:p>
    <w:p>
      <w:pPr>
        <w:spacing w:after="120" w:line="276" w:lineRule="auto"/>
      </w:pPr>
      <w:r>
        <w:t>### PARTIE 4 : CONCLUSION D'INVESTISSEMENT</w:t>
      </w:r>
    </w:p>
    <w:p>
      <w:pPr>
        <w:spacing w:after="120" w:line="276" w:lineRule="auto"/>
      </w:pPr>
      <w:r>
        <w:t>La valorisation de BOABF (PER de 20,5x, P/B de 3,11x) est exigeante et intègre des attentes de croissance qui ne se matérialisent pas dans les résultats récents, créant un risque de correction. Le comportement du cours sur 100 jours est extrêmement haussier (+57,43%) mais s'accompagne d'une volatilité très élevée (33,6%) et d'une distribution statistique (skewness positif) qui suggère un mouvement potentiellement spéculatif. Les signaux techniques sont contradictoires : la tendance de fond (MM, MACD) reste positive, mais les oscillateurs (RSI à 85, Stochastique à 93) hurlent au surachat, annonçant un repli technique probable. Fondamentalement, la banque est solide (ROE &gt;15%, coefficient d'exploitation excellent) mais traverse une phase de dégradation de la qualité de ses actifs, avec un coût du risque élevé qui érode sa rentabilité nette. Les prédictions IA pour les 10 prochains jours (baisse de 8,950 à 7,827 FCFA) confirment le scénario d'une correction technique à court terme. En synthèse, la convergence des signaux techniques de surachat et des prédictions IA suggère une pause dans la tendance haussière. La recommandation est de **CONSERVER** le titre, avec un niveau de confiance **Moyen** et un risque global **Élevé**. L'horizon d'investissement optimal serait à **moyen terme (3-12 mois)**, en attendant une normalisation du coût du risque et un point d'entrée plus favorable après la correction attendue.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[3]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500.00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11,650 titres</w:t>
            </w:r>
          </w:p>
        </w:tc>
        <w:tc>
          <w:tcPr>
            <w:tcW w:type="dxa" w:w="2268"/>
            <w:shd w:fill="FFF2CC" w:val="clear"/>
          </w:tcPr>
          <w:p>
            <w:r>
              <w:rPr>
                <w:b/>
                <w:color w:val="503200"/>
                <w:sz w:val="16"/>
              </w:rPr>
              <w:t xml:space="preserve">Cours actuel : </w:t>
            </w:r>
            <w:r>
              <w:rPr>
                <w:color w:val="000000"/>
                <w:sz w:val="17"/>
              </w:rPr>
              <w:t>12,500 FCFA</w:t>
            </w:r>
          </w:p>
          <w:p>
            <w:r>
              <w:rPr>
                <w:b/>
                <w:color w:val="503200"/>
                <w:sz w:val="16"/>
              </w:rPr>
              <w:t xml:space="preserve">Var. 100 jours : </w:t>
            </w:r>
            <w:r>
              <w:rPr>
                <w:b/>
                <w:color w:val="007800"/>
                <w:sz w:val="17"/>
              </w:rPr>
              <w:t>+47.41%</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8,400 FCFA</w:t>
            </w:r>
          </w:p>
          <w:p>
            <w:r>
              <w:rPr>
                <w:b/>
                <w:color w:val="503200"/>
                <w:sz w:val="16"/>
              </w:rPr>
              <w:t xml:space="preserve">Volatilité ann. : </w:t>
            </w:r>
            <w:r>
              <w:rPr>
                <w:color w:val="000000"/>
                <w:sz w:val="17"/>
              </w:rPr>
              <w:t>25.8%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15.35% (Élevée) — μ=9,881 FCFA, σ=1,516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β=0.0294 (Défensif) — Cov=0.000001, Var(idx)=0.000036, ρ=0.011,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11,650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σ_j=1.62%/j (Stable) — Vol. annualisée≈25.8%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1697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2026-09-04</w:t>
            </w:r>
          </w:p>
        </w:tc>
        <w:tc>
          <w:tcPr>
            <w:tcW w:type="dxa" w:w="1440"/>
            <w:shd w:fill="FFDCE0" w:val="clear"/>
          </w:tcPr>
          <w:p>
            <w:r>
              <w:rPr>
                <w:sz w:val="17"/>
              </w:rPr>
              <w:t>11,405</w:t>
            </w:r>
          </w:p>
        </w:tc>
        <w:tc>
          <w:tcPr>
            <w:tcW w:type="dxa" w:w="1440"/>
            <w:shd w:fill="FFDCE0" w:val="clear"/>
          </w:tcPr>
          <w:p>
            <w:r>
              <w:rPr>
                <w:b/>
                <w:sz w:val="17"/>
              </w:rPr>
              <w:t>11,833</w:t>
            </w:r>
          </w:p>
        </w:tc>
        <w:tc>
          <w:tcPr>
            <w:tcW w:type="dxa" w:w="1440"/>
            <w:shd w:fill="FFDCE0" w:val="clear"/>
          </w:tcPr>
          <w:p>
            <w:r>
              <w:rPr>
                <w:sz w:val="17"/>
              </w:rPr>
              <w:t>12,261</w:t>
            </w:r>
          </w:p>
        </w:tc>
        <w:tc>
          <w:tcPr>
            <w:tcW w:type="dxa" w:w="1440"/>
            <w:shd w:fill="FFDCE0" w:val="clear"/>
          </w:tcPr>
          <w:p>
            <w:r>
              <w:rPr>
                <w:b/>
                <w:color w:val="C00000"/>
                <w:sz w:val="17"/>
              </w:rPr>
              <w:t>-5.3%</w:t>
            </w:r>
          </w:p>
        </w:tc>
      </w:tr>
      <w:tr>
        <w:tc>
          <w:tcPr>
            <w:tcW w:type="dxa" w:w="1440"/>
            <w:shd w:fill="FFDCE0" w:val="clear"/>
          </w:tcPr>
          <w:p>
            <w:r>
              <w:rPr>
                <w:sz w:val="17"/>
              </w:rPr>
              <w:t>J+2  Moyenne</w:t>
            </w:r>
          </w:p>
        </w:tc>
        <w:tc>
          <w:tcPr>
            <w:tcW w:type="dxa" w:w="1440"/>
            <w:shd w:fill="FFDCE0" w:val="clear"/>
          </w:tcPr>
          <w:p>
            <w:r>
              <w:rPr>
                <w:sz w:val="17"/>
              </w:rPr>
              <w:t>2026-09-07</w:t>
            </w:r>
          </w:p>
        </w:tc>
        <w:tc>
          <w:tcPr>
            <w:tcW w:type="dxa" w:w="1440"/>
            <w:shd w:fill="FFDCE0" w:val="clear"/>
          </w:tcPr>
          <w:p>
            <w:r>
              <w:rPr>
                <w:sz w:val="17"/>
              </w:rPr>
              <w:t>10,762</w:t>
            </w:r>
          </w:p>
        </w:tc>
        <w:tc>
          <w:tcPr>
            <w:tcW w:type="dxa" w:w="1440"/>
            <w:shd w:fill="FFDCE0" w:val="clear"/>
          </w:tcPr>
          <w:p>
            <w:r>
              <w:rPr>
                <w:b/>
                <w:sz w:val="17"/>
              </w:rPr>
              <w:t>11,343</w:t>
            </w:r>
          </w:p>
        </w:tc>
        <w:tc>
          <w:tcPr>
            <w:tcW w:type="dxa" w:w="1440"/>
            <w:shd w:fill="FFDCE0" w:val="clear"/>
          </w:tcPr>
          <w:p>
            <w:r>
              <w:rPr>
                <w:sz w:val="17"/>
              </w:rPr>
              <w:t>11,923</w:t>
            </w:r>
          </w:p>
        </w:tc>
        <w:tc>
          <w:tcPr>
            <w:tcW w:type="dxa" w:w="1440"/>
            <w:shd w:fill="FFDCE0" w:val="clear"/>
          </w:tcPr>
          <w:p>
            <w:r>
              <w:rPr>
                <w:b/>
                <w:color w:val="C00000"/>
                <w:sz w:val="17"/>
              </w:rPr>
              <w:t>-9.3%</w:t>
            </w:r>
          </w:p>
        </w:tc>
      </w:tr>
      <w:tr>
        <w:tc>
          <w:tcPr>
            <w:tcW w:type="dxa" w:w="1440"/>
            <w:shd w:fill="FFDCE0" w:val="clear"/>
          </w:tcPr>
          <w:p>
            <w:r>
              <w:rPr>
                <w:sz w:val="17"/>
              </w:rPr>
              <w:t>J+3  Moyenne</w:t>
            </w:r>
          </w:p>
        </w:tc>
        <w:tc>
          <w:tcPr>
            <w:tcW w:type="dxa" w:w="1440"/>
            <w:shd w:fill="FFDCE0" w:val="clear"/>
          </w:tcPr>
          <w:p>
            <w:r>
              <w:rPr>
                <w:sz w:val="17"/>
              </w:rPr>
              <w:t>2026-09-08</w:t>
            </w:r>
          </w:p>
        </w:tc>
        <w:tc>
          <w:tcPr>
            <w:tcW w:type="dxa" w:w="1440"/>
            <w:shd w:fill="FFDCE0" w:val="clear"/>
          </w:tcPr>
          <w:p>
            <w:r>
              <w:rPr>
                <w:sz w:val="17"/>
              </w:rPr>
              <w:t>10,169</w:t>
            </w:r>
          </w:p>
        </w:tc>
        <w:tc>
          <w:tcPr>
            <w:tcW w:type="dxa" w:w="1440"/>
            <w:shd w:fill="FFDCE0" w:val="clear"/>
          </w:tcPr>
          <w:p>
            <w:r>
              <w:rPr>
                <w:b/>
                <w:sz w:val="17"/>
              </w:rPr>
              <w:t>10,849</w:t>
            </w:r>
          </w:p>
        </w:tc>
        <w:tc>
          <w:tcPr>
            <w:tcW w:type="dxa" w:w="1440"/>
            <w:shd w:fill="FFDCE0" w:val="clear"/>
          </w:tcPr>
          <w:p>
            <w:r>
              <w:rPr>
                <w:sz w:val="17"/>
              </w:rPr>
              <w:t>11,529</w:t>
            </w:r>
          </w:p>
        </w:tc>
        <w:tc>
          <w:tcPr>
            <w:tcW w:type="dxa" w:w="1440"/>
            <w:shd w:fill="FFDCE0" w:val="clear"/>
          </w:tcPr>
          <w:p>
            <w:r>
              <w:rPr>
                <w:b/>
                <w:color w:val="C00000"/>
                <w:sz w:val="17"/>
              </w:rPr>
              <w:t>-13.2%</w:t>
            </w:r>
          </w:p>
        </w:tc>
      </w:tr>
      <w:tr>
        <w:tc>
          <w:tcPr>
            <w:tcW w:type="dxa" w:w="1440"/>
            <w:shd w:fill="FFDCE0" w:val="clear"/>
          </w:tcPr>
          <w:p>
            <w:r>
              <w:rPr>
                <w:sz w:val="17"/>
              </w:rPr>
              <w:t>J+4  ⭐</w:t>
            </w:r>
          </w:p>
        </w:tc>
        <w:tc>
          <w:tcPr>
            <w:tcW w:type="dxa" w:w="1440"/>
            <w:shd w:fill="FFDCE0" w:val="clear"/>
          </w:tcPr>
          <w:p>
            <w:r>
              <w:rPr>
                <w:sz w:val="17"/>
              </w:rPr>
              <w:t>2026-09-09</w:t>
            </w:r>
          </w:p>
        </w:tc>
        <w:tc>
          <w:tcPr>
            <w:tcW w:type="dxa" w:w="1440"/>
            <w:shd w:fill="FFDCE0" w:val="clear"/>
          </w:tcPr>
          <w:p>
            <w:r>
              <w:rPr>
                <w:sz w:val="17"/>
              </w:rPr>
              <w:t>9,661</w:t>
            </w:r>
          </w:p>
        </w:tc>
        <w:tc>
          <w:tcPr>
            <w:tcW w:type="dxa" w:w="1440"/>
            <w:shd w:fill="FFDCE0" w:val="clear"/>
          </w:tcPr>
          <w:p>
            <w:r>
              <w:rPr>
                <w:b/>
                <w:sz w:val="17"/>
              </w:rPr>
              <w:t>10,414</w:t>
            </w:r>
          </w:p>
        </w:tc>
        <w:tc>
          <w:tcPr>
            <w:tcW w:type="dxa" w:w="1440"/>
            <w:shd w:fill="FFDCE0" w:val="clear"/>
          </w:tcPr>
          <w:p>
            <w:r>
              <w:rPr>
                <w:sz w:val="17"/>
              </w:rPr>
              <w:t>11,168</w:t>
            </w:r>
          </w:p>
        </w:tc>
        <w:tc>
          <w:tcPr>
            <w:tcW w:type="dxa" w:w="1440"/>
            <w:shd w:fill="FFDCE0" w:val="clear"/>
          </w:tcPr>
          <w:p>
            <w:r>
              <w:rPr>
                <w:b/>
                <w:color w:val="C00000"/>
                <w:sz w:val="17"/>
              </w:rPr>
              <w:t>-16.7%</w:t>
            </w:r>
          </w:p>
        </w:tc>
      </w:tr>
      <w:tr>
        <w:tc>
          <w:tcPr>
            <w:tcW w:type="dxa" w:w="1440"/>
            <w:shd w:fill="FFDCE0" w:val="clear"/>
          </w:tcPr>
          <w:p>
            <w:r>
              <w:rPr>
                <w:sz w:val="17"/>
              </w:rPr>
              <w:t>J+5  ⭐</w:t>
            </w:r>
          </w:p>
        </w:tc>
        <w:tc>
          <w:tcPr>
            <w:tcW w:type="dxa" w:w="1440"/>
            <w:shd w:fill="FFDCE0" w:val="clear"/>
          </w:tcPr>
          <w:p>
            <w:r>
              <w:rPr>
                <w:sz w:val="17"/>
              </w:rPr>
              <w:t>2026-09-10</w:t>
            </w:r>
          </w:p>
        </w:tc>
        <w:tc>
          <w:tcPr>
            <w:tcW w:type="dxa" w:w="1440"/>
            <w:shd w:fill="FFDCE0" w:val="clear"/>
          </w:tcPr>
          <w:p>
            <w:r>
              <w:rPr>
                <w:sz w:val="17"/>
              </w:rPr>
              <w:t>9,226</w:t>
            </w:r>
          </w:p>
        </w:tc>
        <w:tc>
          <w:tcPr>
            <w:tcW w:type="dxa" w:w="1440"/>
            <w:shd w:fill="FFDCE0" w:val="clear"/>
          </w:tcPr>
          <w:p>
            <w:r>
              <w:rPr>
                <w:b/>
                <w:sz w:val="17"/>
              </w:rPr>
              <w:t>10,038</w:t>
            </w:r>
          </w:p>
        </w:tc>
        <w:tc>
          <w:tcPr>
            <w:tcW w:type="dxa" w:w="1440"/>
            <w:shd w:fill="FFDCE0" w:val="clear"/>
          </w:tcPr>
          <w:p>
            <w:r>
              <w:rPr>
                <w:sz w:val="17"/>
              </w:rPr>
              <w:t>10,850</w:t>
            </w:r>
          </w:p>
        </w:tc>
        <w:tc>
          <w:tcPr>
            <w:tcW w:type="dxa" w:w="1440"/>
            <w:shd w:fill="FFDCE0" w:val="clear"/>
          </w:tcPr>
          <w:p>
            <w:r>
              <w:rPr>
                <w:b/>
                <w:color w:val="C00000"/>
                <w:sz w:val="17"/>
              </w:rPr>
              <w:t>-19.7%</w:t>
            </w:r>
          </w:p>
        </w:tc>
      </w:tr>
      <w:tr>
        <w:tc>
          <w:tcPr>
            <w:tcW w:type="dxa" w:w="1440"/>
            <w:shd w:fill="FFDCE0" w:val="clear"/>
          </w:tcPr>
          <w:p>
            <w:r>
              <w:rPr>
                <w:sz w:val="17"/>
              </w:rPr>
              <w:t>J+6  ⭐</w:t>
            </w:r>
          </w:p>
        </w:tc>
        <w:tc>
          <w:tcPr>
            <w:tcW w:type="dxa" w:w="1440"/>
            <w:shd w:fill="FFDCE0" w:val="clear"/>
          </w:tcPr>
          <w:p>
            <w:r>
              <w:rPr>
                <w:sz w:val="17"/>
              </w:rPr>
              <w:t>2026-09-11</w:t>
            </w:r>
          </w:p>
        </w:tc>
        <w:tc>
          <w:tcPr>
            <w:tcW w:type="dxa" w:w="1440"/>
            <w:shd w:fill="FFDCE0" w:val="clear"/>
          </w:tcPr>
          <w:p>
            <w:r>
              <w:rPr>
                <w:sz w:val="17"/>
              </w:rPr>
              <w:t>8,852</w:t>
            </w:r>
          </w:p>
        </w:tc>
        <w:tc>
          <w:tcPr>
            <w:tcW w:type="dxa" w:w="1440"/>
            <w:shd w:fill="FFDCE0" w:val="clear"/>
          </w:tcPr>
          <w:p>
            <w:r>
              <w:rPr>
                <w:b/>
                <w:sz w:val="17"/>
              </w:rPr>
              <w:t>9,712</w:t>
            </w:r>
          </w:p>
        </w:tc>
        <w:tc>
          <w:tcPr>
            <w:tcW w:type="dxa" w:w="1440"/>
            <w:shd w:fill="FFDCE0" w:val="clear"/>
          </w:tcPr>
          <w:p>
            <w:r>
              <w:rPr>
                <w:sz w:val="17"/>
              </w:rPr>
              <w:t>10,573</w:t>
            </w:r>
          </w:p>
        </w:tc>
        <w:tc>
          <w:tcPr>
            <w:tcW w:type="dxa" w:w="1440"/>
            <w:shd w:fill="FFDCE0" w:val="clear"/>
          </w:tcPr>
          <w:p>
            <w:r>
              <w:rPr>
                <w:b/>
                <w:color w:val="C00000"/>
                <w:sz w:val="17"/>
              </w:rPr>
              <w:t>-22.3%</w:t>
            </w:r>
          </w:p>
        </w:tc>
      </w:tr>
      <w:tr>
        <w:tc>
          <w:tcPr>
            <w:tcW w:type="dxa" w:w="1440"/>
            <w:shd w:fill="FFDCE0" w:val="clear"/>
          </w:tcPr>
          <w:p>
            <w:r>
              <w:rPr>
                <w:sz w:val="17"/>
              </w:rPr>
              <w:t>J+7  ⭐</w:t>
            </w:r>
          </w:p>
        </w:tc>
        <w:tc>
          <w:tcPr>
            <w:tcW w:type="dxa" w:w="1440"/>
            <w:shd w:fill="FFDCE0" w:val="clear"/>
          </w:tcPr>
          <w:p>
            <w:r>
              <w:rPr>
                <w:sz w:val="17"/>
              </w:rPr>
              <w:t>2026-09-14</w:t>
            </w:r>
          </w:p>
        </w:tc>
        <w:tc>
          <w:tcPr>
            <w:tcW w:type="dxa" w:w="1440"/>
            <w:shd w:fill="FFDCE0" w:val="clear"/>
          </w:tcPr>
          <w:p>
            <w:r>
              <w:rPr>
                <w:sz w:val="17"/>
              </w:rPr>
              <w:t>8,527</w:t>
            </w:r>
          </w:p>
        </w:tc>
        <w:tc>
          <w:tcPr>
            <w:tcW w:type="dxa" w:w="1440"/>
            <w:shd w:fill="FFDCE0" w:val="clear"/>
          </w:tcPr>
          <w:p>
            <w:r>
              <w:rPr>
                <w:b/>
                <w:sz w:val="17"/>
              </w:rPr>
              <w:t>9,429</w:t>
            </w:r>
          </w:p>
        </w:tc>
        <w:tc>
          <w:tcPr>
            <w:tcW w:type="dxa" w:w="1440"/>
            <w:shd w:fill="FFDCE0" w:val="clear"/>
          </w:tcPr>
          <w:p>
            <w:r>
              <w:rPr>
                <w:sz w:val="17"/>
              </w:rPr>
              <w:t>10,332</w:t>
            </w:r>
          </w:p>
        </w:tc>
        <w:tc>
          <w:tcPr>
            <w:tcW w:type="dxa" w:w="1440"/>
            <w:shd w:fill="FFDCE0" w:val="clear"/>
          </w:tcPr>
          <w:p>
            <w:r>
              <w:rPr>
                <w:b/>
                <w:color w:val="C00000"/>
                <w:sz w:val="17"/>
              </w:rPr>
              <w:t>-24.6%</w:t>
            </w:r>
          </w:p>
        </w:tc>
      </w:tr>
      <w:tr>
        <w:tc>
          <w:tcPr>
            <w:tcW w:type="dxa" w:w="1440"/>
            <w:shd w:fill="FFDCE0" w:val="clear"/>
          </w:tcPr>
          <w:p>
            <w:r>
              <w:rPr>
                <w:sz w:val="17"/>
              </w:rPr>
              <w:t>J+8  ⭐</w:t>
            </w:r>
          </w:p>
        </w:tc>
        <w:tc>
          <w:tcPr>
            <w:tcW w:type="dxa" w:w="1440"/>
            <w:shd w:fill="FFDCE0" w:val="clear"/>
          </w:tcPr>
          <w:p>
            <w:r>
              <w:rPr>
                <w:sz w:val="17"/>
              </w:rPr>
              <w:t>2026-09-15</w:t>
            </w:r>
          </w:p>
        </w:tc>
        <w:tc>
          <w:tcPr>
            <w:tcW w:type="dxa" w:w="1440"/>
            <w:shd w:fill="FFDCE0" w:val="clear"/>
          </w:tcPr>
          <w:p>
            <w:r>
              <w:rPr>
                <w:sz w:val="17"/>
              </w:rPr>
              <w:t>8,242</w:t>
            </w:r>
          </w:p>
        </w:tc>
        <w:tc>
          <w:tcPr>
            <w:tcW w:type="dxa" w:w="1440"/>
            <w:shd w:fill="FFDCE0" w:val="clear"/>
          </w:tcPr>
          <w:p>
            <w:r>
              <w:rPr>
                <w:b/>
                <w:sz w:val="17"/>
              </w:rPr>
              <w:t>9,182</w:t>
            </w:r>
          </w:p>
        </w:tc>
        <w:tc>
          <w:tcPr>
            <w:tcW w:type="dxa" w:w="1440"/>
            <w:shd w:fill="FFDCE0" w:val="clear"/>
          </w:tcPr>
          <w:p>
            <w:r>
              <w:rPr>
                <w:sz w:val="17"/>
              </w:rPr>
              <w:t>10,121</w:t>
            </w:r>
          </w:p>
        </w:tc>
        <w:tc>
          <w:tcPr>
            <w:tcW w:type="dxa" w:w="1440"/>
            <w:shd w:fill="FFDCE0" w:val="clear"/>
          </w:tcPr>
          <w:p>
            <w:r>
              <w:rPr>
                <w:b/>
                <w:color w:val="C00000"/>
                <w:sz w:val="17"/>
              </w:rPr>
              <w:t>-26.5%</w:t>
            </w:r>
          </w:p>
        </w:tc>
      </w:tr>
      <w:tr>
        <w:tc>
          <w:tcPr>
            <w:tcW w:type="dxa" w:w="1440"/>
            <w:shd w:fill="FFDCE0" w:val="clear"/>
          </w:tcPr>
          <w:p>
            <w:r>
              <w:rPr>
                <w:sz w:val="17"/>
              </w:rPr>
              <w:t>J+9  ⭐</w:t>
            </w:r>
          </w:p>
        </w:tc>
        <w:tc>
          <w:tcPr>
            <w:tcW w:type="dxa" w:w="1440"/>
            <w:shd w:fill="FFDCE0" w:val="clear"/>
          </w:tcPr>
          <w:p>
            <w:r>
              <w:rPr>
                <w:sz w:val="17"/>
              </w:rPr>
              <w:t>2026-09-16</w:t>
            </w:r>
          </w:p>
        </w:tc>
        <w:tc>
          <w:tcPr>
            <w:tcW w:type="dxa" w:w="1440"/>
            <w:shd w:fill="FFDCE0" w:val="clear"/>
          </w:tcPr>
          <w:p>
            <w:r>
              <w:rPr>
                <w:sz w:val="17"/>
              </w:rPr>
              <w:t>7,991</w:t>
            </w:r>
          </w:p>
        </w:tc>
        <w:tc>
          <w:tcPr>
            <w:tcW w:type="dxa" w:w="1440"/>
            <w:shd w:fill="FFDCE0" w:val="clear"/>
          </w:tcPr>
          <w:p>
            <w:r>
              <w:rPr>
                <w:b/>
                <w:sz w:val="17"/>
              </w:rPr>
              <w:t>8,963</w:t>
            </w:r>
          </w:p>
        </w:tc>
        <w:tc>
          <w:tcPr>
            <w:tcW w:type="dxa" w:w="1440"/>
            <w:shd w:fill="FFDCE0" w:val="clear"/>
          </w:tcPr>
          <w:p>
            <w:r>
              <w:rPr>
                <w:sz w:val="17"/>
              </w:rPr>
              <w:t>9,936</w:t>
            </w:r>
          </w:p>
        </w:tc>
        <w:tc>
          <w:tcPr>
            <w:tcW w:type="dxa" w:w="1440"/>
            <w:shd w:fill="FFDCE0" w:val="clear"/>
          </w:tcPr>
          <w:p>
            <w:r>
              <w:rPr>
                <w:b/>
                <w:color w:val="C00000"/>
                <w:sz w:val="17"/>
              </w:rPr>
              <w:t>-28.3%</w:t>
            </w:r>
          </w:p>
        </w:tc>
      </w:tr>
      <w:tr>
        <w:tc>
          <w:tcPr>
            <w:tcW w:type="dxa" w:w="1440"/>
            <w:shd w:fill="FFDCE0" w:val="clear"/>
          </w:tcPr>
          <w:p>
            <w:r>
              <w:rPr>
                <w:sz w:val="17"/>
              </w:rPr>
              <w:t>J+10  ⭐</w:t>
            </w:r>
          </w:p>
        </w:tc>
        <w:tc>
          <w:tcPr>
            <w:tcW w:type="dxa" w:w="1440"/>
            <w:shd w:fill="FFDCE0" w:val="clear"/>
          </w:tcPr>
          <w:p>
            <w:r>
              <w:rPr>
                <w:sz w:val="17"/>
              </w:rPr>
              <w:t>2026-09-17</w:t>
            </w:r>
          </w:p>
        </w:tc>
        <w:tc>
          <w:tcPr>
            <w:tcW w:type="dxa" w:w="1440"/>
            <w:shd w:fill="FFDCE0" w:val="clear"/>
          </w:tcPr>
          <w:p>
            <w:r>
              <w:rPr>
                <w:sz w:val="17"/>
              </w:rPr>
              <w:t>7,766</w:t>
            </w:r>
          </w:p>
        </w:tc>
        <w:tc>
          <w:tcPr>
            <w:tcW w:type="dxa" w:w="1440"/>
            <w:shd w:fill="FFDCE0" w:val="clear"/>
          </w:tcPr>
          <w:p>
            <w:r>
              <w:rPr>
                <w:b/>
                <w:sz w:val="17"/>
              </w:rPr>
              <w:t>8,770</w:t>
            </w:r>
          </w:p>
        </w:tc>
        <w:tc>
          <w:tcPr>
            <w:tcW w:type="dxa" w:w="1440"/>
            <w:shd w:fill="FFDCE0" w:val="clear"/>
          </w:tcPr>
          <w:p>
            <w:r>
              <w:rPr>
                <w:sz w:val="17"/>
              </w:rPr>
              <w:t>9,773</w:t>
            </w:r>
          </w:p>
        </w:tc>
        <w:tc>
          <w:tcPr>
            <w:tcW w:type="dxa" w:w="1440"/>
            <w:shd w:fill="FFDCE0" w:val="clear"/>
          </w:tcPr>
          <w:p>
            <w:r>
              <w:rPr>
                <w:b/>
                <w:color w:val="C00000"/>
                <w:sz w:val="17"/>
              </w:rPr>
              <w:t>-29.8%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500 milliards FCFA positionne BOAC parmi les valeurs les plus significatives de la BRVM, reflétant la confiance des investisseurs dans le secteur bancaire ivoirien. Avec un BPA de 888 FCFA, chaque action génère un bénéfice substantiel, justifiant un PER de 14,1x, supérieur à la moyenne historique de la BRVM (8-12x). Ce niveau indique que le marché valorise déjà une prime de croissance, les investisseurs acceptant de payer plus cher pour les bénéfices futurs anticipés. Le P/B de 3,93x confirme cette prime, le cours se négociant près de quatre fois la valeur comptable, signe d'une forte création de valeur attendue. Enfin, l'EV/EBITDA de 27,4x apparaît particulièrement exigeant, suggérant que la valorisation intègre des hypothèses de performance opérationnelle soutenue sur le long terme.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BOAC a enregistré une progression spectaculaire de +47,41%, avec une dernière séance quasi stable (+0,04%). Le cours a évolué dans une fourchette large de 8,400 à 13,450 FCFA, démontrant une dynamique haussière soutenue. La moyenne de 9,881 FCFA est nettement inférieure à la médiane de 9,198 FCFA, et le mode de 8,500 FCFA indique que le titre a passé une grande partie de la période à des niveaux bas avant de s'envoler récemment. L'écart-type de 1,524 FCFA (CV de 15,4%) révèle une dispersion modérée. Le kurtosis de -0,240 (mésokurtique) suggère une distribution proche de la normale, sans risque de pics extrêmes, tandis que le skewness positif de 1,109 indique une asymétrie avec des journées majoritairement sous la moyenne, mais des mouvements haussiers ponctuels importants. La volatilité annualisée de 25,8% classe le titre dans une zone modérée, offrant un équilibre entre risque et rendement potentiel.</w:t>
      </w:r>
    </w:p>
    <w:p>
      <w:pPr>
        <w:spacing w:after="120" w:line="276" w:lineRule="auto" w:before="240"/>
      </w:pPr>
      <w:r>
        <w:rPr>
          <w:b/>
          <w:color w:val="003366"/>
          <w:sz w:val="24"/>
        </w:rPr>
        <w:t>**PARTIE 2 : ANALYSE TECHNIQUE DÉTAILLÉE**</w:t>
      </w:r>
    </w:p>
    <w:p>
      <w:pPr>
        <w:spacing w:after="120" w:line="276" w:lineRule="auto"/>
      </w:pPr>
      <w:r>
        <w:t>**Moyennes Mobiles**: La MM20 à 12,587 FCFA et la MM50 à 10,967 FCFA sont toutes deux inférieures au cours actuel de 12,500 FCFA, confirmant une tendance haussière solide. La configuration haussière des MM (MM20 &gt; MM50) et leur position sous le prix indiquent un momentum positif, justifiant la décision d'Achat.</w:t>
      </w:r>
    </w:p>
    <w:p>
      <w:pPr>
        <w:spacing w:after="120" w:line="276" w:lineRule="auto"/>
      </w:pPr>
      <w:r>
        <w:t>**Bandes de Bollinger**: Le cours à 12,500 FCFA se situe entre la borne supérieure de 13,755 FCFA et la borne inférieure de 11,420 FCFA, proche de la moyenne. Cette position neutre suggère une volatilité normale, sans condition de surachat ni de survente, laissant place à une évolution directionnelle future.</w:t>
      </w:r>
    </w:p>
    <w:p>
      <w:pPr>
        <w:spacing w:after="120" w:line="276" w:lineRule="auto"/>
      </w:pPr>
      <w:r>
        <w:t>**MACD**: Le MACD à 441,445 est inférieur à son signal à 604,393, indiquant un momentum baissier à court terme. Cette divergence négative, bien que récente, signale une possible correction après la forte hausse, justifiant la décision de Vente.</w:t>
      </w:r>
    </w:p>
    <w:p>
      <w:pPr>
        <w:spacing w:after="120" w:line="276" w:lineRule="auto"/>
      </w:pPr>
      <w:r>
        <w:t>**RSI**: Le RSI à 50,0 se situe exactement à la neutralité, indiquant un équilibre entre pressions acheteuses et vendeuses. Cette valeur ne montre ni surachat ni survente, laissant le marché indécis sur la direction future.</w:t>
      </w:r>
    </w:p>
    <w:p>
      <w:pPr>
        <w:spacing w:after="120" w:line="276" w:lineRule="auto"/>
      </w:pPr>
      <w:r>
        <w:t>**Stochastique**: Le %K à 17,749 et %D à 17,46 sont en zone de survente profonde (&lt;20), avec un croisement haussier potentiel. Cette configuration suggère un rebond technique imminent, justifiant la décision d'Achat.</w:t>
      </w:r>
    </w:p>
    <w:p>
      <w:pPr>
        <w:spacing w:after="120" w:line="276" w:lineRule="auto"/>
      </w:pPr>
      <w:r>
        <w:t>**Conclusion technique**: Les signaux sont mitigés avec une opposition entre les indicateurs de tendance (MM, Stochastique) qui restent positifs et les indicateurs de momentum (MACD, RSI) qui montrent une faiblesse relative. Cette divergence suggère une consolidation à court terme avant une possible reprise de la tendance haussière, le titre restant structurellement bien orienté.</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révèlent une banque performante avec un PNB de 73,545 milliards FCFA et un résultat net de 35,540 milliards FCFA. Le ROE de 27,91% et le ROA de 3,22% témoignent d'une excellente rentabilité, bien au-dessus des seuils d'excellence. Le coefficient d'exploitation de 36,70% confirme une gestion rigoureuse, tandis que le coût du risque de 6,67% reste élevé, signalant une qualité de crédit à surveiller. Le ratio dépôts/crédits (850,548/430,433) montre une transformation bancaire prudente avec une forte liquidité. Les rapports trimestriels 2025 montrent une trajectoire contrastée : le T1 affichait une croissance du PNB de +4,93% et un résultat net en hausse de +14,59%, mais le S1 a révélé une stagnation du PNB (-0,35%) avec un résultat net en progression modeste (+4,29%). Le T3 2025 confirme cette atonie avec un PNB stable (+0,23%) et un résultat net quasi inchangé (+1,29%). Les objectifs triennaux 2027 prévoient une croissance du PNB de +11,6% et une progression de la marge nette de +13,8%, soutenus par les activités non bancaires. On estime que l'exercice 2025 devrait clôturer avec un résultat net autour de 35-36 milliards FCFA, confirmant la solidité financière mais avec des perspectives de croissance modérées à court terme.</w:t>
      </w:r>
    </w:p>
    <w:p>
      <w:pPr>
        <w:spacing w:after="120" w:line="276" w:lineRule="auto" w:before="240"/>
      </w:pPr>
      <w:r>
        <w:rPr>
          <w:b/>
          <w:color w:val="003366"/>
          <w:sz w:val="24"/>
        </w:rPr>
        <w:t>**PARTIE 4 : CONCLUSION D'INVESTISSEMENT**</w:t>
      </w:r>
    </w:p>
    <w:p>
      <w:pPr>
        <w:spacing w:after="120" w:line="276" w:lineRule="auto"/>
      </w:pPr>
      <w:r>
        <w:t>La valorisation actuelle de BOAC (PER 14,1x, P/B 3,93x, EV/EBITDA 27,4x) apparaît exigeante, intégrant des attentes de croissance soutenue. Le comportement du cours sur 100 jours (+47,41%) avec une volatilité modérée et une distribution asymétrique positive reflète un optimisme marqué des investisseurs. Les signaux techniques sont contrastés : les moyennes mobiles et le stochastique restent positifs, tandis que le MACD et le RSI neutre suggèrent une consolidation nécessaire. Les fondamentaux demeurent solides avec un ROE exceptionnel de 27,91%, mais la stagnation du PNB sur 9 mois et la contraction des crédits (-11,97%) tempèrent les perspectives. Les prédictions IA indiquent une correction significative vers 10,038 FCFA à J+10, contredisant la tendance haussière récente et suggérant un retour à des niveaux plus proches de la moyenne. Cette convergence entre la valorisation exigeante, les signaux techniques mitigés et les prédictions baissières conduit à une recommandation de **CONSERVER** avec un niveau de confiance **Moyen**. Le risque global est **Élevé** en raison de la forte correction anticipée. L'horizon d'investissement optimal serait le **moyen terme (3-12 mois)**, permettant d'absorber la volatilité à court terme et de bénéficier du potentiel de croissance fondamental de la banque.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178.15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6,183 titres</w:t>
            </w:r>
          </w:p>
        </w:tc>
        <w:tc>
          <w:tcPr>
            <w:tcW w:type="dxa" w:w="2268"/>
            <w:shd w:fill="FFF2CC" w:val="clear"/>
          </w:tcPr>
          <w:p>
            <w:r>
              <w:rPr>
                <w:b/>
                <w:color w:val="503200"/>
                <w:sz w:val="16"/>
              </w:rPr>
              <w:t xml:space="preserve">Cours actuel : </w:t>
            </w:r>
            <w:r>
              <w:rPr>
                <w:color w:val="000000"/>
                <w:sz w:val="17"/>
              </w:rPr>
              <w:t>6,490 FCFA</w:t>
            </w:r>
          </w:p>
          <w:p>
            <w:r>
              <w:rPr>
                <w:b/>
                <w:color w:val="503200"/>
                <w:sz w:val="16"/>
              </w:rPr>
              <w:t xml:space="preserve">Var. 100 jours : </w:t>
            </w:r>
            <w:r>
              <w:rPr>
                <w:b/>
                <w:color w:val="007800"/>
                <w:sz w:val="17"/>
              </w:rPr>
              <w:t>+39.72%</w:t>
            </w:r>
          </w:p>
          <w:p>
            <w:r>
              <w:rPr>
                <w:b/>
                <w:color w:val="503200"/>
                <w:sz w:val="16"/>
              </w:rPr>
              <w:t xml:space="preserve">Plus haut 100j : </w:t>
            </w:r>
            <w:r>
              <w:rPr>
                <w:color w:val="000000"/>
                <w:sz w:val="17"/>
              </w:rPr>
              <w:t>6,700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32.0%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12.39% (Moyenne) — μ=5,217 FCFA, σ=646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β=0.3136 (Défensif) — Cov=0.000011, Var(idx)=0.000036, ρ=0.093,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6,183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σ_j=2.01%/j (Stable) — Vol. annualisée≈32.0%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2026-09-04</w:t>
            </w:r>
          </w:p>
        </w:tc>
        <w:tc>
          <w:tcPr>
            <w:tcW w:type="dxa" w:w="1440"/>
            <w:shd w:fill="FAFAFA" w:val="clear"/>
          </w:tcPr>
          <w:p>
            <w:r>
              <w:rPr>
                <w:sz w:val="17"/>
              </w:rPr>
              <w:t>6,188</w:t>
            </w:r>
          </w:p>
        </w:tc>
        <w:tc>
          <w:tcPr>
            <w:tcW w:type="dxa" w:w="1440"/>
            <w:shd w:fill="FAFAFA" w:val="clear"/>
          </w:tcPr>
          <w:p>
            <w:r>
              <w:rPr>
                <w:b/>
                <w:sz w:val="17"/>
              </w:rPr>
              <w:t>6,379</w:t>
            </w:r>
          </w:p>
        </w:tc>
        <w:tc>
          <w:tcPr>
            <w:tcW w:type="dxa" w:w="1440"/>
            <w:shd w:fill="FAFAFA" w:val="clear"/>
          </w:tcPr>
          <w:p>
            <w:r>
              <w:rPr>
                <w:sz w:val="17"/>
              </w:rPr>
              <w:t>6,570</w:t>
            </w:r>
          </w:p>
        </w:tc>
        <w:tc>
          <w:tcPr>
            <w:tcW w:type="dxa" w:w="1440"/>
            <w:shd w:fill="FAFAFA" w:val="clear"/>
          </w:tcPr>
          <w:p>
            <w:r>
              <w:rPr>
                <w:b/>
                <w:color w:val="C00000"/>
                <w:sz w:val="17"/>
              </w:rPr>
              <w:t>-1.7%</w:t>
            </w:r>
          </w:p>
        </w:tc>
      </w:tr>
      <w:tr>
        <w:tc>
          <w:tcPr>
            <w:tcW w:type="dxa" w:w="1440"/>
            <w:shd w:fill="FFDCE0" w:val="clear"/>
          </w:tcPr>
          <w:p>
            <w:r>
              <w:rPr>
                <w:sz w:val="17"/>
              </w:rPr>
              <w:t>J+2  ⭐⭐⭐</w:t>
            </w:r>
          </w:p>
        </w:tc>
        <w:tc>
          <w:tcPr>
            <w:tcW w:type="dxa" w:w="1440"/>
            <w:shd w:fill="FFDCE0" w:val="clear"/>
          </w:tcPr>
          <w:p>
            <w:r>
              <w:rPr>
                <w:sz w:val="17"/>
              </w:rPr>
              <w:t>2026-09-07</w:t>
            </w:r>
          </w:p>
        </w:tc>
        <w:tc>
          <w:tcPr>
            <w:tcW w:type="dxa" w:w="1440"/>
            <w:shd w:fill="FFDCE0" w:val="clear"/>
          </w:tcPr>
          <w:p>
            <w:r>
              <w:rPr>
                <w:sz w:val="17"/>
              </w:rPr>
              <w:t>5,964</w:t>
            </w:r>
          </w:p>
        </w:tc>
        <w:tc>
          <w:tcPr>
            <w:tcW w:type="dxa" w:w="1440"/>
            <w:shd w:fill="FFDCE0" w:val="clear"/>
          </w:tcPr>
          <w:p>
            <w:r>
              <w:rPr>
                <w:b/>
                <w:sz w:val="17"/>
              </w:rPr>
              <w:t>6,228</w:t>
            </w:r>
          </w:p>
        </w:tc>
        <w:tc>
          <w:tcPr>
            <w:tcW w:type="dxa" w:w="1440"/>
            <w:shd w:fill="FFDCE0" w:val="clear"/>
          </w:tcPr>
          <w:p>
            <w:r>
              <w:rPr>
                <w:sz w:val="17"/>
              </w:rPr>
              <w:t>6,492</w:t>
            </w:r>
          </w:p>
        </w:tc>
        <w:tc>
          <w:tcPr>
            <w:tcW w:type="dxa" w:w="1440"/>
            <w:shd w:fill="FFDCE0" w:val="clear"/>
          </w:tcPr>
          <w:p>
            <w:r>
              <w:rPr>
                <w:b/>
                <w:color w:val="C00000"/>
                <w:sz w:val="17"/>
              </w:rPr>
              <w:t>-4.0%</w:t>
            </w:r>
          </w:p>
        </w:tc>
      </w:tr>
      <w:tr>
        <w:tc>
          <w:tcPr>
            <w:tcW w:type="dxa" w:w="1440"/>
            <w:shd w:fill="FFDCE0" w:val="clear"/>
          </w:tcPr>
          <w:p>
            <w:r>
              <w:rPr>
                <w:sz w:val="17"/>
              </w:rPr>
              <w:t>J+3  ⭐⭐⭐</w:t>
            </w:r>
          </w:p>
        </w:tc>
        <w:tc>
          <w:tcPr>
            <w:tcW w:type="dxa" w:w="1440"/>
            <w:shd w:fill="FFDCE0" w:val="clear"/>
          </w:tcPr>
          <w:p>
            <w:r>
              <w:rPr>
                <w:sz w:val="17"/>
              </w:rPr>
              <w:t>2026-09-08</w:t>
            </w:r>
          </w:p>
        </w:tc>
        <w:tc>
          <w:tcPr>
            <w:tcW w:type="dxa" w:w="1440"/>
            <w:shd w:fill="FFDCE0" w:val="clear"/>
          </w:tcPr>
          <w:p>
            <w:r>
              <w:rPr>
                <w:sz w:val="17"/>
              </w:rPr>
              <w:t>5,770</w:t>
            </w:r>
          </w:p>
        </w:tc>
        <w:tc>
          <w:tcPr>
            <w:tcW w:type="dxa" w:w="1440"/>
            <w:shd w:fill="FFDCE0" w:val="clear"/>
          </w:tcPr>
          <w:p>
            <w:r>
              <w:rPr>
                <w:b/>
                <w:sz w:val="17"/>
              </w:rPr>
              <w:t>6,085</w:t>
            </w:r>
          </w:p>
        </w:tc>
        <w:tc>
          <w:tcPr>
            <w:tcW w:type="dxa" w:w="1440"/>
            <w:shd w:fill="FFDCE0" w:val="clear"/>
          </w:tcPr>
          <w:p>
            <w:r>
              <w:rPr>
                <w:sz w:val="17"/>
              </w:rPr>
              <w:t>6,400</w:t>
            </w:r>
          </w:p>
        </w:tc>
        <w:tc>
          <w:tcPr>
            <w:tcW w:type="dxa" w:w="1440"/>
            <w:shd w:fill="FFDCE0" w:val="clear"/>
          </w:tcPr>
          <w:p>
            <w:r>
              <w:rPr>
                <w:b/>
                <w:color w:val="C00000"/>
                <w:sz w:val="17"/>
              </w:rPr>
              <w:t>-6.2%</w:t>
            </w:r>
          </w:p>
        </w:tc>
      </w:tr>
      <w:tr>
        <w:tc>
          <w:tcPr>
            <w:tcW w:type="dxa" w:w="1440"/>
            <w:shd w:fill="FFDCE0" w:val="clear"/>
          </w:tcPr>
          <w:p>
            <w:r>
              <w:rPr>
                <w:sz w:val="17"/>
              </w:rPr>
              <w:t>J+4  Moyenne</w:t>
            </w:r>
          </w:p>
        </w:tc>
        <w:tc>
          <w:tcPr>
            <w:tcW w:type="dxa" w:w="1440"/>
            <w:shd w:fill="FFDCE0" w:val="clear"/>
          </w:tcPr>
          <w:p>
            <w:r>
              <w:rPr>
                <w:sz w:val="17"/>
              </w:rPr>
              <w:t>2026-09-09</w:t>
            </w:r>
          </w:p>
        </w:tc>
        <w:tc>
          <w:tcPr>
            <w:tcW w:type="dxa" w:w="1440"/>
            <w:shd w:fill="FFDCE0" w:val="clear"/>
          </w:tcPr>
          <w:p>
            <w:r>
              <w:rPr>
                <w:sz w:val="17"/>
              </w:rPr>
              <w:t>5,606</w:t>
            </w:r>
          </w:p>
        </w:tc>
        <w:tc>
          <w:tcPr>
            <w:tcW w:type="dxa" w:w="1440"/>
            <w:shd w:fill="FFDCE0" w:val="clear"/>
          </w:tcPr>
          <w:p>
            <w:r>
              <w:rPr>
                <w:b/>
                <w:sz w:val="17"/>
              </w:rPr>
              <w:t>5,963</w:t>
            </w:r>
          </w:p>
        </w:tc>
        <w:tc>
          <w:tcPr>
            <w:tcW w:type="dxa" w:w="1440"/>
            <w:shd w:fill="FFDCE0" w:val="clear"/>
          </w:tcPr>
          <w:p>
            <w:r>
              <w:rPr>
                <w:sz w:val="17"/>
              </w:rPr>
              <w:t>6,320</w:t>
            </w:r>
          </w:p>
        </w:tc>
        <w:tc>
          <w:tcPr>
            <w:tcW w:type="dxa" w:w="1440"/>
            <w:shd w:fill="FFDCE0" w:val="clear"/>
          </w:tcPr>
          <w:p>
            <w:r>
              <w:rPr>
                <w:b/>
                <w:color w:val="C00000"/>
                <w:sz w:val="17"/>
              </w:rPr>
              <w:t>-8.1%</w:t>
            </w:r>
          </w:p>
        </w:tc>
      </w:tr>
      <w:tr>
        <w:tc>
          <w:tcPr>
            <w:tcW w:type="dxa" w:w="1440"/>
            <w:shd w:fill="FFDCE0" w:val="clear"/>
          </w:tcPr>
          <w:p>
            <w:r>
              <w:rPr>
                <w:sz w:val="17"/>
              </w:rPr>
              <w:t>J+5  Moyenne</w:t>
            </w:r>
          </w:p>
        </w:tc>
        <w:tc>
          <w:tcPr>
            <w:tcW w:type="dxa" w:w="1440"/>
            <w:shd w:fill="FFDCE0" w:val="clear"/>
          </w:tcPr>
          <w:p>
            <w:r>
              <w:rPr>
                <w:sz w:val="17"/>
              </w:rPr>
              <w:t>2026-09-10</w:t>
            </w:r>
          </w:p>
        </w:tc>
        <w:tc>
          <w:tcPr>
            <w:tcW w:type="dxa" w:w="1440"/>
            <w:shd w:fill="FFDCE0" w:val="clear"/>
          </w:tcPr>
          <w:p>
            <w:r>
              <w:rPr>
                <w:sz w:val="17"/>
              </w:rPr>
              <w:t>5,466</w:t>
            </w:r>
          </w:p>
        </w:tc>
        <w:tc>
          <w:tcPr>
            <w:tcW w:type="dxa" w:w="1440"/>
            <w:shd w:fill="FFDCE0" w:val="clear"/>
          </w:tcPr>
          <w:p>
            <w:r>
              <w:rPr>
                <w:b/>
                <w:sz w:val="17"/>
              </w:rPr>
              <w:t>5,858</w:t>
            </w:r>
          </w:p>
        </w:tc>
        <w:tc>
          <w:tcPr>
            <w:tcW w:type="dxa" w:w="1440"/>
            <w:shd w:fill="FFDCE0" w:val="clear"/>
          </w:tcPr>
          <w:p>
            <w:r>
              <w:rPr>
                <w:sz w:val="17"/>
              </w:rPr>
              <w:t>6,250</w:t>
            </w:r>
          </w:p>
        </w:tc>
        <w:tc>
          <w:tcPr>
            <w:tcW w:type="dxa" w:w="1440"/>
            <w:shd w:fill="FFDCE0" w:val="clear"/>
          </w:tcPr>
          <w:p>
            <w:r>
              <w:rPr>
                <w:b/>
                <w:color w:val="C00000"/>
                <w:sz w:val="17"/>
              </w:rPr>
              <w:t>-9.7%</w:t>
            </w:r>
          </w:p>
        </w:tc>
      </w:tr>
      <w:tr>
        <w:tc>
          <w:tcPr>
            <w:tcW w:type="dxa" w:w="1440"/>
            <w:shd w:fill="FFDCE0" w:val="clear"/>
          </w:tcPr>
          <w:p>
            <w:r>
              <w:rPr>
                <w:sz w:val="17"/>
              </w:rPr>
              <w:t>J+6  Moyenne</w:t>
            </w:r>
          </w:p>
        </w:tc>
        <w:tc>
          <w:tcPr>
            <w:tcW w:type="dxa" w:w="1440"/>
            <w:shd w:fill="FFDCE0" w:val="clear"/>
          </w:tcPr>
          <w:p>
            <w:r>
              <w:rPr>
                <w:sz w:val="17"/>
              </w:rPr>
              <w:t>2026-09-11</w:t>
            </w:r>
          </w:p>
        </w:tc>
        <w:tc>
          <w:tcPr>
            <w:tcW w:type="dxa" w:w="1440"/>
            <w:shd w:fill="FFDCE0" w:val="clear"/>
          </w:tcPr>
          <w:p>
            <w:r>
              <w:rPr>
                <w:sz w:val="17"/>
              </w:rPr>
              <w:t>5,341</w:t>
            </w:r>
          </w:p>
        </w:tc>
        <w:tc>
          <w:tcPr>
            <w:tcW w:type="dxa" w:w="1440"/>
            <w:shd w:fill="FFDCE0" w:val="clear"/>
          </w:tcPr>
          <w:p>
            <w:r>
              <w:rPr>
                <w:b/>
                <w:sz w:val="17"/>
              </w:rPr>
              <w:t>5,764</w:t>
            </w:r>
          </w:p>
        </w:tc>
        <w:tc>
          <w:tcPr>
            <w:tcW w:type="dxa" w:w="1440"/>
            <w:shd w:fill="FFDCE0" w:val="clear"/>
          </w:tcPr>
          <w:p>
            <w:r>
              <w:rPr>
                <w:sz w:val="17"/>
              </w:rPr>
              <w:t>6,186</w:t>
            </w:r>
          </w:p>
        </w:tc>
        <w:tc>
          <w:tcPr>
            <w:tcW w:type="dxa" w:w="1440"/>
            <w:shd w:fill="FFDCE0" w:val="clear"/>
          </w:tcPr>
          <w:p>
            <w:r>
              <w:rPr>
                <w:b/>
                <w:color w:val="C00000"/>
                <w:sz w:val="17"/>
              </w:rPr>
              <w:t>-11.2%</w:t>
            </w:r>
          </w:p>
        </w:tc>
      </w:tr>
      <w:tr>
        <w:tc>
          <w:tcPr>
            <w:tcW w:type="dxa" w:w="1440"/>
            <w:shd w:fill="FFDCE0" w:val="clear"/>
          </w:tcPr>
          <w:p>
            <w:r>
              <w:rPr>
                <w:sz w:val="17"/>
              </w:rPr>
              <w:t>J+7  Moyenne</w:t>
            </w:r>
          </w:p>
        </w:tc>
        <w:tc>
          <w:tcPr>
            <w:tcW w:type="dxa" w:w="1440"/>
            <w:shd w:fill="FFDCE0" w:val="clear"/>
          </w:tcPr>
          <w:p>
            <w:r>
              <w:rPr>
                <w:sz w:val="17"/>
              </w:rPr>
              <w:t>2026-09-14</w:t>
            </w:r>
          </w:p>
        </w:tc>
        <w:tc>
          <w:tcPr>
            <w:tcW w:type="dxa" w:w="1440"/>
            <w:shd w:fill="FFDCE0" w:val="clear"/>
          </w:tcPr>
          <w:p>
            <w:r>
              <w:rPr>
                <w:sz w:val="17"/>
              </w:rPr>
              <w:t>5,228</w:t>
            </w:r>
          </w:p>
        </w:tc>
        <w:tc>
          <w:tcPr>
            <w:tcW w:type="dxa" w:w="1440"/>
            <w:shd w:fill="FFDCE0" w:val="clear"/>
          </w:tcPr>
          <w:p>
            <w:r>
              <w:rPr>
                <w:b/>
                <w:sz w:val="17"/>
              </w:rPr>
              <w:t>5,678</w:t>
            </w:r>
          </w:p>
        </w:tc>
        <w:tc>
          <w:tcPr>
            <w:tcW w:type="dxa" w:w="1440"/>
            <w:shd w:fill="FFDCE0" w:val="clear"/>
          </w:tcPr>
          <w:p>
            <w:r>
              <w:rPr>
                <w:sz w:val="17"/>
              </w:rPr>
              <w:t>6,127</w:t>
            </w:r>
          </w:p>
        </w:tc>
        <w:tc>
          <w:tcPr>
            <w:tcW w:type="dxa" w:w="1440"/>
            <w:shd w:fill="FFDCE0" w:val="clear"/>
          </w:tcPr>
          <w:p>
            <w:r>
              <w:rPr>
                <w:b/>
                <w:color w:val="C00000"/>
                <w:sz w:val="17"/>
              </w:rPr>
              <w:t>-12.5%</w:t>
            </w:r>
          </w:p>
        </w:tc>
      </w:tr>
      <w:tr>
        <w:tc>
          <w:tcPr>
            <w:tcW w:type="dxa" w:w="1440"/>
            <w:shd w:fill="FFDCE0" w:val="clear"/>
          </w:tcPr>
          <w:p>
            <w:r>
              <w:rPr>
                <w:sz w:val="17"/>
              </w:rPr>
              <w:t>J+8  Moyenne</w:t>
            </w:r>
          </w:p>
        </w:tc>
        <w:tc>
          <w:tcPr>
            <w:tcW w:type="dxa" w:w="1440"/>
            <w:shd w:fill="FFDCE0" w:val="clear"/>
          </w:tcPr>
          <w:p>
            <w:r>
              <w:rPr>
                <w:sz w:val="17"/>
              </w:rPr>
              <w:t>2026-09-15</w:t>
            </w:r>
          </w:p>
        </w:tc>
        <w:tc>
          <w:tcPr>
            <w:tcW w:type="dxa" w:w="1440"/>
            <w:shd w:fill="FFDCE0" w:val="clear"/>
          </w:tcPr>
          <w:p>
            <w:r>
              <w:rPr>
                <w:sz w:val="17"/>
              </w:rPr>
              <w:t>5,124</w:t>
            </w:r>
          </w:p>
        </w:tc>
        <w:tc>
          <w:tcPr>
            <w:tcW w:type="dxa" w:w="1440"/>
            <w:shd w:fill="FFDCE0" w:val="clear"/>
          </w:tcPr>
          <w:p>
            <w:r>
              <w:rPr>
                <w:b/>
                <w:sz w:val="17"/>
              </w:rPr>
              <w:t>5,598</w:t>
            </w:r>
          </w:p>
        </w:tc>
        <w:tc>
          <w:tcPr>
            <w:tcW w:type="dxa" w:w="1440"/>
            <w:shd w:fill="FFDCE0" w:val="clear"/>
          </w:tcPr>
          <w:p>
            <w:r>
              <w:rPr>
                <w:sz w:val="17"/>
              </w:rPr>
              <w:t>6,071</w:t>
            </w:r>
          </w:p>
        </w:tc>
        <w:tc>
          <w:tcPr>
            <w:tcW w:type="dxa" w:w="1440"/>
            <w:shd w:fill="FFDCE0" w:val="clear"/>
          </w:tcPr>
          <w:p>
            <w:r>
              <w:rPr>
                <w:b/>
                <w:color w:val="C00000"/>
                <w:sz w:val="17"/>
              </w:rPr>
              <w:t>-13.8%</w:t>
            </w:r>
          </w:p>
        </w:tc>
      </w:tr>
      <w:tr>
        <w:tc>
          <w:tcPr>
            <w:tcW w:type="dxa" w:w="1440"/>
            <w:shd w:fill="FFDCE0" w:val="clear"/>
          </w:tcPr>
          <w:p>
            <w:r>
              <w:rPr>
                <w:sz w:val="17"/>
              </w:rPr>
              <w:t>J+9  Moyenne</w:t>
            </w:r>
          </w:p>
        </w:tc>
        <w:tc>
          <w:tcPr>
            <w:tcW w:type="dxa" w:w="1440"/>
            <w:shd w:fill="FFDCE0" w:val="clear"/>
          </w:tcPr>
          <w:p>
            <w:r>
              <w:rPr>
                <w:sz w:val="17"/>
              </w:rPr>
              <w:t>2026-09-16</w:t>
            </w:r>
          </w:p>
        </w:tc>
        <w:tc>
          <w:tcPr>
            <w:tcW w:type="dxa" w:w="1440"/>
            <w:shd w:fill="FFDCE0" w:val="clear"/>
          </w:tcPr>
          <w:p>
            <w:r>
              <w:rPr>
                <w:sz w:val="17"/>
              </w:rPr>
              <w:t>5,027</w:t>
            </w:r>
          </w:p>
        </w:tc>
        <w:tc>
          <w:tcPr>
            <w:tcW w:type="dxa" w:w="1440"/>
            <w:shd w:fill="FFDCE0" w:val="clear"/>
          </w:tcPr>
          <w:p>
            <w:r>
              <w:rPr>
                <w:b/>
                <w:sz w:val="17"/>
              </w:rPr>
              <w:t>5,523</w:t>
            </w:r>
          </w:p>
        </w:tc>
        <w:tc>
          <w:tcPr>
            <w:tcW w:type="dxa" w:w="1440"/>
            <w:shd w:fill="FFDCE0" w:val="clear"/>
          </w:tcPr>
          <w:p>
            <w:r>
              <w:rPr>
                <w:sz w:val="17"/>
              </w:rPr>
              <w:t>6,019</w:t>
            </w:r>
          </w:p>
        </w:tc>
        <w:tc>
          <w:tcPr>
            <w:tcW w:type="dxa" w:w="1440"/>
            <w:shd w:fill="FFDCE0" w:val="clear"/>
          </w:tcPr>
          <w:p>
            <w:r>
              <w:rPr>
                <w:b/>
                <w:color w:val="C00000"/>
                <w:sz w:val="17"/>
              </w:rPr>
              <w:t>-14.9%</w:t>
            </w:r>
          </w:p>
        </w:tc>
      </w:tr>
      <w:tr>
        <w:tc>
          <w:tcPr>
            <w:tcW w:type="dxa" w:w="1440"/>
            <w:shd w:fill="FFDCE0" w:val="clear"/>
          </w:tcPr>
          <w:p>
            <w:r>
              <w:rPr>
                <w:sz w:val="17"/>
              </w:rPr>
              <w:t>J+10  Moyenne</w:t>
            </w:r>
          </w:p>
        </w:tc>
        <w:tc>
          <w:tcPr>
            <w:tcW w:type="dxa" w:w="1440"/>
            <w:shd w:fill="FFDCE0" w:val="clear"/>
          </w:tcPr>
          <w:p>
            <w:r>
              <w:rPr>
                <w:sz w:val="17"/>
              </w:rPr>
              <w:t>2026-09-17</w:t>
            </w:r>
          </w:p>
        </w:tc>
        <w:tc>
          <w:tcPr>
            <w:tcW w:type="dxa" w:w="1440"/>
            <w:shd w:fill="FFDCE0" w:val="clear"/>
          </w:tcPr>
          <w:p>
            <w:r>
              <w:rPr>
                <w:sz w:val="17"/>
              </w:rPr>
              <w:t>4,937</w:t>
            </w:r>
          </w:p>
        </w:tc>
        <w:tc>
          <w:tcPr>
            <w:tcW w:type="dxa" w:w="1440"/>
            <w:shd w:fill="FFDCE0" w:val="clear"/>
          </w:tcPr>
          <w:p>
            <w:r>
              <w:rPr>
                <w:b/>
                <w:sz w:val="17"/>
              </w:rPr>
              <w:t>5,453</w:t>
            </w:r>
          </w:p>
        </w:tc>
        <w:tc>
          <w:tcPr>
            <w:tcW w:type="dxa" w:w="1440"/>
            <w:shd w:fill="FFDCE0" w:val="clear"/>
          </w:tcPr>
          <w:p>
            <w:r>
              <w:rPr>
                <w:sz w:val="17"/>
              </w:rPr>
              <w:t>5,969</w:t>
            </w:r>
          </w:p>
        </w:tc>
        <w:tc>
          <w:tcPr>
            <w:tcW w:type="dxa" w:w="1440"/>
            <w:shd w:fill="FFDCE0" w:val="clear"/>
          </w:tcPr>
          <w:p>
            <w:r>
              <w:rPr>
                <w:b/>
                <w:color w:val="C00000"/>
                <w:sz w:val="17"/>
              </w:rPr>
              <w:t>-16.0%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BOAM s'établit à 178,15 milliards FCFA, ce qui positionne la banque parmi les valeurs moyennes du compartiment financier de la BRVM. Avec un BPA de 404 FCFA, chaque action génère un bénéfice substantiel, justifiant un PER de 16,1x, nettement supérieur à la moyenne historique du marché (8-12x). Les investisseurs paient donc une prime significative, traduisant une confiance dans la croissance future de la banque. Le P/B de 3,58x confirme cette prime, le marché valorisant la société à plus de 3,5 fois ses capitaux propres comptables, ce qui est élevé pour le secteur bancaire régional. Enfin, l'EV/EBITDA de 8,5x reste dans une zone raisonnable (5-10x), indiquant que la valeur d'entreprise n'est pas excessive par rapport à la capacité opérationnelle de la banque, tempérant ainsi les signaux de cherté relative du PER et du P/B.</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BOAM a enregistré une performance spectaculaire de +39,72%, passant d'un plus bas de 4 425 FCFA à un plus haut de 6 700 FCFA, pour clôturer à 6 490 FCFA, avec une stabilité lors de la dernière séance (0,00%). Cette tendance est résolument haussière, marquée par un fort momentum acheteur. La moyenne (5 217 FCFA) étant supérieure à la médiane (4 970 FCFA) et au mode (4 670 FCFA), la distribution des prix est asymétrique à droite (skewness positif de 0,749), indiquant que le titre a passé plus de temps sous sa moyenne, avec des poussées haussières récentes qui ont tiré la moyenne vers le haut. L'écart-type de 650 FCFA (CV de 12,5%) montre une dispersion modérée, tandis que le kurtosis de -0,685 (mésokurtique) suggère une distribution proche de la normale, sans risque de variations extrêmes imprévisibles. La volatilité annualisée de 32,0% classe le titre comme très volatil, un niveau élevé qui implique des fluctuations de prix importantes et un risque accru pour les investisseurs à court terme.</w:t>
      </w:r>
    </w:p>
    <w:p>
      <w:pPr>
        <w:spacing w:after="120" w:line="276" w:lineRule="auto" w:before="240"/>
      </w:pPr>
      <w:r>
        <w:rPr>
          <w:b/>
          <w:color w:val="003366"/>
          <w:sz w:val="24"/>
        </w:rPr>
        <w:t>**PARTIE 2 : ANALYSE TECHNIQUE DÉTAILLÉE**</w:t>
      </w:r>
    </w:p>
    <w:p>
      <w:pPr>
        <w:spacing w:after="120" w:line="276" w:lineRule="auto"/>
      </w:pPr>
      <w:r>
        <w:t>**Moyennes Mobiles**: Le cours actuel de 6 490 FCFA est nettement au-dessus de la MM20 (6 239,5 FCFA) et de la MM50 (5 731,7 FCFA), confirmant une dynamique haussière solide à court et moyen terme. La configuration des MM (cours &gt; MM20 &gt; MM50) est un signal technique classique d'achat, indiquant que la tendance de fond reste positive.</w:t>
      </w:r>
    </w:p>
    <w:p>
      <w:pPr>
        <w:spacing w:after="120" w:line="276" w:lineRule="auto"/>
      </w:pPr>
      <w:r>
        <w:t>**Bandes de Bollinger**: Le prix se situe à 6 490 FCFA, en dessous de la borne supérieure (6 920,5 FCFA) mais bien au-dessus de la borne inférieure (5 558,5 FCFA). La position dans la partie haute des bandes suggère une pression acheteuse persistante, mais sans atteindre la zone de surachat extrême, d'où une décision neutre. La largeur des bandes reflète la volatilité élevée du titre.</w:t>
      </w:r>
    </w:p>
    <w:p>
      <w:pPr>
        <w:spacing w:after="120" w:line="276" w:lineRule="auto"/>
      </w:pPr>
      <w:r>
        <w:t>**MACD**: La valeur du MACD (248,7) est légèrement inférieure à son signal (260,4), indiquant un affaiblissement du momentum haussier à très court terme. Cette divergence négative, bien que mineure, génère un signal de vente prudent, suggérant une possible consolidation ou correction après la forte hausse récente.</w:t>
      </w:r>
    </w:p>
    <w:p>
      <w:pPr>
        <w:spacing w:after="120" w:line="276" w:lineRule="auto"/>
      </w:pPr>
      <w:r>
        <w:t>**RSI**: À 69,66, le RSI est en zone neutre mais proche du seuil de surachat (70). Cela indique que la pression acheteuse est forte mais pas encore excessive, laissant une marge de progression avant une potentielle correction technique. La décision est neutre, mais une vigilance est requise.</w:t>
      </w:r>
    </w:p>
    <w:p>
      <w:pPr>
        <w:spacing w:after="120" w:line="276" w:lineRule="auto"/>
      </w:pPr>
      <w:r>
        <w:t>**Stochastique**: Le %K (61,8) est inférieur au %D (63,5), montrant un croisement baissier naissant. Cependant, les deux lignes restent en territoire neutre, indiquant que le momentum haussier s'essouffle sans pour autant basculer en zone de vente. La décision est neutre, avec un biais légèrement négatif à très court terme.</w:t>
      </w:r>
    </w:p>
    <w:p>
      <w:pPr>
        <w:spacing w:after="120" w:line="276" w:lineRule="auto"/>
      </w:pPr>
      <w:r>
        <w:t>**Conclusion technique**: La tendance de fond reste résolument haussière, portée par des moyennes mobiles orientées à la hausse. Cependant, les indicateurs de momentum (MACD, RSI proche du surachat, Stochastique en croisement baissier) montrent des signes de fatigue après une progression de près de 40%. Un repli technique ou une phase de consolidation est probable à court terme avant la reprise de la tendance haussière de fond.</w:t>
      </w:r>
    </w:p>
    <w:p>
      <w:pPr>
        <w:spacing w:after="120" w:line="276" w:lineRule="auto" w:before="240"/>
      </w:pPr>
      <w:r>
        <w:rPr>
          <w:b/>
          <w:color w:val="003366"/>
          <w:sz w:val="24"/>
        </w:rPr>
        <w:t>**PARTIE 3 : ANALYSE FONDAMENTALE (SECTION CRITIQUE)**</w:t>
      </w:r>
    </w:p>
    <w:p>
      <w:pPr>
        <w:spacing w:after="120" w:line="276" w:lineRule="auto"/>
      </w:pPr>
      <w:r>
        <w:t>En 2025, les états financiers annuels de BOAM font état d'un Produit Net Bancaire (PNB) de 37,996 milliards FCFA, en croissance de 5,08%, et d'un résultat net de 11,081 milliards FCFA. La banque affiche une rentabilité exceptionnelle avec un ROE de 22,24% et un ROA de 1,87%, bien au-dessus des moyennes sectorielles. Le coefficient d'exploitation de 63,14% reste légèrement au-dessus du seuil d'efficacité de 60%, indiquant une marge de progression dans la maîtrise des charges. Le coût du risque, à 43,39% des charges financières, demeure élevé, signalant un portefeuille de crédits encore risqué. Les dépôts clientèle (502,89 Mds) couvrent largement les créances sur la clientèle (253,65 Mds), assurant une liquidité abondante. Les rapports trimestriels de 2025 confirment cette dynamique : le T1 montre un résultat net en hausse de 91,2% (3,021 Mds), le S1 une progression de 28,8% (6,21 Mds), et le T3 une hausse de 26,2% (9,16 Mds) sur un PNB de 28,52 Mds (+5,8%). Sur la base de ces performances, on estime que l'exercice 2025 devrait dépasser les 11 milliards de résultat net, confirmant la solidité et la résilience de la banque dans un environnement sahélien difficile.</w:t>
      </w:r>
    </w:p>
    <w:p>
      <w:pPr>
        <w:spacing w:after="120" w:line="276" w:lineRule="auto" w:before="240"/>
      </w:pPr>
      <w:r>
        <w:rPr>
          <w:b/>
          <w:color w:val="003366"/>
          <w:sz w:val="24"/>
        </w:rPr>
        <w:t>**PARTIE 4 : CONCLUSION D'INVESTISSEMENT**</w:t>
      </w:r>
    </w:p>
    <w:p>
      <w:pPr>
        <w:spacing w:after="120" w:line="276" w:lineRule="auto"/>
      </w:pPr>
      <w:r>
        <w:t>La valorisation de BOAM (PER 16,1x, P/B 3,58x) est exigeante, intégrant déjà une forte croissance future, mais l'EV/EBITDA de 8,5x reste raisonnable. Le comportement du cours est très positif (+39,7% sur 100 jours), avec une volatilité élevée (32%) et une distribution asymétrique qui suggère un potentiel haussier persistant malgré des statistiques de dispersion modérées. Les signaux techniques sont mitigés : la tendance de fond (MM) est haussière, mais les indicateurs de momentum (MACD, RSI, Stochastique) signalent un essoufflement à court terme, annonçant probablement une consolidation. Les fondamentaux sont excellents, avec une croissance soutenue du PNB, une rentabilité (ROE 22,2%) et une maîtrise du coût du risque qui s'améliorent trimestre après trimestre. Les prédictions IA (baisse de 6 379 à 5 858 FCFA sur 10 jours) confirment l'hypothèse d'une correction technique à court terme. En synthèse, la convergence entre la cherté relative de la valorisation, les signaux techniques de surachat et les prédictions IA baissières suggèrent une pause dans la hausse. **Recommandation : CONSERVER**, avec un niveau de confiance **Moyen**, un risque global **Élevé** (volatilité et contexte pays), et un horizon d'investissement optimal à **moyen terme (3-12 mois)** pour capitaliser sur la solidité fondamentale après une éventuelle correction.</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113.05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10,173 titres</w:t>
            </w:r>
          </w:p>
        </w:tc>
        <w:tc>
          <w:tcPr>
            <w:tcW w:type="dxa" w:w="2268"/>
            <w:shd w:fill="FFF2CC" w:val="clear"/>
          </w:tcPr>
          <w:p>
            <w:r>
              <w:rPr>
                <w:b/>
                <w:color w:val="503200"/>
                <w:sz w:val="16"/>
              </w:rPr>
              <w:t xml:space="preserve">Cours actuel : </w:t>
            </w:r>
            <w:r>
              <w:rPr>
                <w:color w:val="000000"/>
                <w:sz w:val="17"/>
              </w:rPr>
              <w:t>5,435 FCFA</w:t>
            </w:r>
          </w:p>
          <w:p>
            <w:r>
              <w:rPr>
                <w:b/>
                <w:color w:val="503200"/>
                <w:sz w:val="16"/>
              </w:rPr>
              <w:t xml:space="preserve">Var. 100 jours : </w:t>
            </w:r>
            <w:r>
              <w:rPr>
                <w:b/>
                <w:color w:val="007800"/>
                <w:sz w:val="17"/>
              </w:rPr>
              <w:t>+94.11%</w:t>
            </w:r>
          </w:p>
          <w:p>
            <w:r>
              <w:rPr>
                <w:b/>
                <w:color w:val="503200"/>
                <w:sz w:val="16"/>
              </w:rPr>
              <w:t xml:space="preserve">Plus haut 100j : </w:t>
            </w:r>
            <w:r>
              <w:rPr>
                <w:color w:val="000000"/>
                <w:sz w:val="17"/>
              </w:rPr>
              <w:t>5,645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39.5%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19.46% (Élevée) — μ=4,257 FCFA, σ=828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β=0.2564 (Défensif) — Cov=0.000009, Var(idx)=0.000036, ρ=0.062,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10,173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σ_j=2.49%/j (Stable) — Vol. annualisée≈39.5%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2026-09-04</w:t>
            </w:r>
          </w:p>
        </w:tc>
        <w:tc>
          <w:tcPr>
            <w:tcW w:type="dxa" w:w="1440"/>
            <w:shd w:fill="FAFAFA" w:val="clear"/>
          </w:tcPr>
          <w:p>
            <w:r>
              <w:rPr>
                <w:sz w:val="17"/>
              </w:rPr>
              <w:t>5,254</w:t>
            </w:r>
          </w:p>
        </w:tc>
        <w:tc>
          <w:tcPr>
            <w:tcW w:type="dxa" w:w="1440"/>
            <w:shd w:fill="FAFAFA" w:val="clear"/>
          </w:tcPr>
          <w:p>
            <w:r>
              <w:rPr>
                <w:b/>
                <w:sz w:val="17"/>
              </w:rPr>
              <w:t>5,401</w:t>
            </w:r>
          </w:p>
        </w:tc>
        <w:tc>
          <w:tcPr>
            <w:tcW w:type="dxa" w:w="1440"/>
            <w:shd w:fill="FAFAFA" w:val="clear"/>
          </w:tcPr>
          <w:p>
            <w:r>
              <w:rPr>
                <w:sz w:val="17"/>
              </w:rPr>
              <w:t>5,548</w:t>
            </w:r>
          </w:p>
        </w:tc>
        <w:tc>
          <w:tcPr>
            <w:tcW w:type="dxa" w:w="1440"/>
            <w:shd w:fill="FAFAFA" w:val="clear"/>
          </w:tcPr>
          <w:p>
            <w:r>
              <w:rPr>
                <w:b/>
                <w:color w:val="C00000"/>
                <w:sz w:val="17"/>
              </w:rPr>
              <w:t>-0.6%</w:t>
            </w:r>
          </w:p>
        </w:tc>
      </w:tr>
      <w:tr>
        <w:tc>
          <w:tcPr>
            <w:tcW w:type="dxa" w:w="1440"/>
            <w:shd w:fill="FAFAFA" w:val="clear"/>
          </w:tcPr>
          <w:p>
            <w:r>
              <w:rPr>
                <w:sz w:val="17"/>
              </w:rPr>
              <w:t>J+2  Moyenne</w:t>
            </w:r>
          </w:p>
        </w:tc>
        <w:tc>
          <w:tcPr>
            <w:tcW w:type="dxa" w:w="1440"/>
            <w:shd w:fill="FAFAFA" w:val="clear"/>
          </w:tcPr>
          <w:p>
            <w:r>
              <w:rPr>
                <w:sz w:val="17"/>
              </w:rPr>
              <w:t>2026-09-07</w:t>
            </w:r>
          </w:p>
        </w:tc>
        <w:tc>
          <w:tcPr>
            <w:tcW w:type="dxa" w:w="1440"/>
            <w:shd w:fill="FAFAFA" w:val="clear"/>
          </w:tcPr>
          <w:p>
            <w:r>
              <w:rPr>
                <w:sz w:val="17"/>
              </w:rPr>
              <w:t>5,182</w:t>
            </w:r>
          </w:p>
        </w:tc>
        <w:tc>
          <w:tcPr>
            <w:tcW w:type="dxa" w:w="1440"/>
            <w:shd w:fill="FAFAFA" w:val="clear"/>
          </w:tcPr>
          <w:p>
            <w:r>
              <w:rPr>
                <w:b/>
                <w:sz w:val="17"/>
              </w:rPr>
              <w:t>5,389</w:t>
            </w:r>
          </w:p>
        </w:tc>
        <w:tc>
          <w:tcPr>
            <w:tcW w:type="dxa" w:w="1440"/>
            <w:shd w:fill="FAFAFA" w:val="clear"/>
          </w:tcPr>
          <w:p>
            <w:r>
              <w:rPr>
                <w:sz w:val="17"/>
              </w:rPr>
              <w:t>5,597</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2026-09-08</w:t>
            </w:r>
          </w:p>
        </w:tc>
        <w:tc>
          <w:tcPr>
            <w:tcW w:type="dxa" w:w="1440"/>
            <w:shd w:fill="FAFAFA" w:val="clear"/>
          </w:tcPr>
          <w:p>
            <w:r>
              <w:rPr>
                <w:sz w:val="17"/>
              </w:rPr>
              <w:t>5,123</w:t>
            </w:r>
          </w:p>
        </w:tc>
        <w:tc>
          <w:tcPr>
            <w:tcW w:type="dxa" w:w="1440"/>
            <w:shd w:fill="FAFAFA" w:val="clear"/>
          </w:tcPr>
          <w:p>
            <w:r>
              <w:rPr>
                <w:b/>
                <w:sz w:val="17"/>
              </w:rPr>
              <w:t>5,376</w:t>
            </w:r>
          </w:p>
        </w:tc>
        <w:tc>
          <w:tcPr>
            <w:tcW w:type="dxa" w:w="1440"/>
            <w:shd w:fill="FAFAFA" w:val="clear"/>
          </w:tcPr>
          <w:p>
            <w:r>
              <w:rPr>
                <w:sz w:val="17"/>
              </w:rPr>
              <w:t>5,630</w:t>
            </w:r>
          </w:p>
        </w:tc>
        <w:tc>
          <w:tcPr>
            <w:tcW w:type="dxa" w:w="1440"/>
            <w:shd w:fill="FAFAFA" w:val="clear"/>
          </w:tcPr>
          <w:p>
            <w:r>
              <w:rPr>
                <w:b/>
                <w:color w:val="C00000"/>
                <w:sz w:val="17"/>
              </w:rPr>
              <w:t>-1.1%</w:t>
            </w:r>
          </w:p>
        </w:tc>
      </w:tr>
      <w:tr>
        <w:tc>
          <w:tcPr>
            <w:tcW w:type="dxa" w:w="1440"/>
            <w:shd w:fill="FAFAFA" w:val="clear"/>
          </w:tcPr>
          <w:p>
            <w:r>
              <w:rPr>
                <w:sz w:val="17"/>
              </w:rPr>
              <w:t>J+4  ⭐</w:t>
            </w:r>
          </w:p>
        </w:tc>
        <w:tc>
          <w:tcPr>
            <w:tcW w:type="dxa" w:w="1440"/>
            <w:shd w:fill="FAFAFA" w:val="clear"/>
          </w:tcPr>
          <w:p>
            <w:r>
              <w:rPr>
                <w:sz w:val="17"/>
              </w:rPr>
              <w:t>2026-09-09</w:t>
            </w:r>
          </w:p>
        </w:tc>
        <w:tc>
          <w:tcPr>
            <w:tcW w:type="dxa" w:w="1440"/>
            <w:shd w:fill="FAFAFA" w:val="clear"/>
          </w:tcPr>
          <w:p>
            <w:r>
              <w:rPr>
                <w:sz w:val="17"/>
              </w:rPr>
              <w:t>5,071</w:t>
            </w:r>
          </w:p>
        </w:tc>
        <w:tc>
          <w:tcPr>
            <w:tcW w:type="dxa" w:w="1440"/>
            <w:shd w:fill="FAFAFA" w:val="clear"/>
          </w:tcPr>
          <w:p>
            <w:r>
              <w:rPr>
                <w:b/>
                <w:sz w:val="17"/>
              </w:rPr>
              <w:t>5,363</w:t>
            </w:r>
          </w:p>
        </w:tc>
        <w:tc>
          <w:tcPr>
            <w:tcW w:type="dxa" w:w="1440"/>
            <w:shd w:fill="FAFAFA" w:val="clear"/>
          </w:tcPr>
          <w:p>
            <w:r>
              <w:rPr>
                <w:sz w:val="17"/>
              </w:rPr>
              <w:t>5,655</w:t>
            </w:r>
          </w:p>
        </w:tc>
        <w:tc>
          <w:tcPr>
            <w:tcW w:type="dxa" w:w="1440"/>
            <w:shd w:fill="FAFAFA" w:val="clear"/>
          </w:tcPr>
          <w:p>
            <w:r>
              <w:rPr>
                <w:b/>
                <w:color w:val="C00000"/>
                <w:sz w:val="17"/>
              </w:rPr>
              <w:t>-1.3%</w:t>
            </w:r>
          </w:p>
        </w:tc>
      </w:tr>
      <w:tr>
        <w:tc>
          <w:tcPr>
            <w:tcW w:type="dxa" w:w="1440"/>
            <w:shd w:fill="FAFAFA" w:val="clear"/>
          </w:tcPr>
          <w:p>
            <w:r>
              <w:rPr>
                <w:sz w:val="17"/>
              </w:rPr>
              <w:t>J+5  ⭐</w:t>
            </w:r>
          </w:p>
        </w:tc>
        <w:tc>
          <w:tcPr>
            <w:tcW w:type="dxa" w:w="1440"/>
            <w:shd w:fill="FAFAFA" w:val="clear"/>
          </w:tcPr>
          <w:p>
            <w:r>
              <w:rPr>
                <w:sz w:val="17"/>
              </w:rPr>
              <w:t>2026-09-10</w:t>
            </w:r>
          </w:p>
        </w:tc>
        <w:tc>
          <w:tcPr>
            <w:tcW w:type="dxa" w:w="1440"/>
            <w:shd w:fill="FAFAFA" w:val="clear"/>
          </w:tcPr>
          <w:p>
            <w:r>
              <w:rPr>
                <w:sz w:val="17"/>
              </w:rPr>
              <w:t>5,024</w:t>
            </w:r>
          </w:p>
        </w:tc>
        <w:tc>
          <w:tcPr>
            <w:tcW w:type="dxa" w:w="1440"/>
            <w:shd w:fill="FAFAFA" w:val="clear"/>
          </w:tcPr>
          <w:p>
            <w:r>
              <w:rPr>
                <w:b/>
                <w:sz w:val="17"/>
              </w:rPr>
              <w:t>5,349</w:t>
            </w:r>
          </w:p>
        </w:tc>
        <w:tc>
          <w:tcPr>
            <w:tcW w:type="dxa" w:w="1440"/>
            <w:shd w:fill="FAFAFA" w:val="clear"/>
          </w:tcPr>
          <w:p>
            <w:r>
              <w:rPr>
                <w:sz w:val="17"/>
              </w:rPr>
              <w:t>5,675</w:t>
            </w:r>
          </w:p>
        </w:tc>
        <w:tc>
          <w:tcPr>
            <w:tcW w:type="dxa" w:w="1440"/>
            <w:shd w:fill="FAFAFA" w:val="clear"/>
          </w:tcPr>
          <w:p>
            <w:r>
              <w:rPr>
                <w:b/>
                <w:color w:val="C00000"/>
                <w:sz w:val="17"/>
              </w:rPr>
              <w:t>-1.6%</w:t>
            </w:r>
          </w:p>
        </w:tc>
      </w:tr>
      <w:tr>
        <w:tc>
          <w:tcPr>
            <w:tcW w:type="dxa" w:w="1440"/>
            <w:shd w:fill="FAFAFA" w:val="clear"/>
          </w:tcPr>
          <w:p>
            <w:r>
              <w:rPr>
                <w:sz w:val="17"/>
              </w:rPr>
              <w:t>J+6  ⭐</w:t>
            </w:r>
          </w:p>
        </w:tc>
        <w:tc>
          <w:tcPr>
            <w:tcW w:type="dxa" w:w="1440"/>
            <w:shd w:fill="FAFAFA" w:val="clear"/>
          </w:tcPr>
          <w:p>
            <w:r>
              <w:rPr>
                <w:sz w:val="17"/>
              </w:rPr>
              <w:t>2026-09-11</w:t>
            </w:r>
          </w:p>
        </w:tc>
        <w:tc>
          <w:tcPr>
            <w:tcW w:type="dxa" w:w="1440"/>
            <w:shd w:fill="FAFAFA" w:val="clear"/>
          </w:tcPr>
          <w:p>
            <w:r>
              <w:rPr>
                <w:sz w:val="17"/>
              </w:rPr>
              <w:t>4,980</w:t>
            </w:r>
          </w:p>
        </w:tc>
        <w:tc>
          <w:tcPr>
            <w:tcW w:type="dxa" w:w="1440"/>
            <w:shd w:fill="FAFAFA" w:val="clear"/>
          </w:tcPr>
          <w:p>
            <w:r>
              <w:rPr>
                <w:b/>
                <w:sz w:val="17"/>
              </w:rPr>
              <w:t>5,336</w:t>
            </w:r>
          </w:p>
        </w:tc>
        <w:tc>
          <w:tcPr>
            <w:tcW w:type="dxa" w:w="1440"/>
            <w:shd w:fill="FAFAFA" w:val="clear"/>
          </w:tcPr>
          <w:p>
            <w:r>
              <w:rPr>
                <w:sz w:val="17"/>
              </w:rPr>
              <w:t>5,692</w:t>
            </w:r>
          </w:p>
        </w:tc>
        <w:tc>
          <w:tcPr>
            <w:tcW w:type="dxa" w:w="1440"/>
            <w:shd w:fill="FAFAFA" w:val="clear"/>
          </w:tcPr>
          <w:p>
            <w:r>
              <w:rPr>
                <w:b/>
                <w:color w:val="C00000"/>
                <w:sz w:val="17"/>
              </w:rPr>
              <w:t>-1.8%</w:t>
            </w:r>
          </w:p>
        </w:tc>
      </w:tr>
      <w:tr>
        <w:tc>
          <w:tcPr>
            <w:tcW w:type="dxa" w:w="1440"/>
            <w:shd w:fill="FFDCE0" w:val="clear"/>
          </w:tcPr>
          <w:p>
            <w:r>
              <w:rPr>
                <w:sz w:val="17"/>
              </w:rPr>
              <w:t>J+7  ⭐</w:t>
            </w:r>
          </w:p>
        </w:tc>
        <w:tc>
          <w:tcPr>
            <w:tcW w:type="dxa" w:w="1440"/>
            <w:shd w:fill="FFDCE0" w:val="clear"/>
          </w:tcPr>
          <w:p>
            <w:r>
              <w:rPr>
                <w:sz w:val="17"/>
              </w:rPr>
              <w:t>2026-09-14</w:t>
            </w:r>
          </w:p>
        </w:tc>
        <w:tc>
          <w:tcPr>
            <w:tcW w:type="dxa" w:w="1440"/>
            <w:shd w:fill="FFDCE0" w:val="clear"/>
          </w:tcPr>
          <w:p>
            <w:r>
              <w:rPr>
                <w:sz w:val="17"/>
              </w:rPr>
              <w:t>4,940</w:t>
            </w:r>
          </w:p>
        </w:tc>
        <w:tc>
          <w:tcPr>
            <w:tcW w:type="dxa" w:w="1440"/>
            <w:shd w:fill="FFDCE0" w:val="clear"/>
          </w:tcPr>
          <w:p>
            <w:r>
              <w:rPr>
                <w:b/>
                <w:sz w:val="17"/>
              </w:rPr>
              <w:t>5,323</w:t>
            </w:r>
          </w:p>
        </w:tc>
        <w:tc>
          <w:tcPr>
            <w:tcW w:type="dxa" w:w="1440"/>
            <w:shd w:fill="FFDCE0" w:val="clear"/>
          </w:tcPr>
          <w:p>
            <w:r>
              <w:rPr>
                <w:sz w:val="17"/>
              </w:rPr>
              <w:t>5,707</w:t>
            </w:r>
          </w:p>
        </w:tc>
        <w:tc>
          <w:tcPr>
            <w:tcW w:type="dxa" w:w="1440"/>
            <w:shd w:fill="FFDCE0" w:val="clear"/>
          </w:tcPr>
          <w:p>
            <w:r>
              <w:rPr>
                <w:b/>
                <w:color w:val="C00000"/>
                <w:sz w:val="17"/>
              </w:rPr>
              <w:t>-2.1%</w:t>
            </w:r>
          </w:p>
        </w:tc>
      </w:tr>
      <w:tr>
        <w:tc>
          <w:tcPr>
            <w:tcW w:type="dxa" w:w="1440"/>
            <w:shd w:fill="FFDCE0" w:val="clear"/>
          </w:tcPr>
          <w:p>
            <w:r>
              <w:rPr>
                <w:sz w:val="17"/>
              </w:rPr>
              <w:t>J+8  ⭐</w:t>
            </w:r>
          </w:p>
        </w:tc>
        <w:tc>
          <w:tcPr>
            <w:tcW w:type="dxa" w:w="1440"/>
            <w:shd w:fill="FFDCE0" w:val="clear"/>
          </w:tcPr>
          <w:p>
            <w:r>
              <w:rPr>
                <w:sz w:val="17"/>
              </w:rPr>
              <w:t>2026-09-15</w:t>
            </w:r>
          </w:p>
        </w:tc>
        <w:tc>
          <w:tcPr>
            <w:tcW w:type="dxa" w:w="1440"/>
            <w:shd w:fill="FFDCE0" w:val="clear"/>
          </w:tcPr>
          <w:p>
            <w:r>
              <w:rPr>
                <w:sz w:val="17"/>
              </w:rPr>
              <w:t>4,902</w:t>
            </w:r>
          </w:p>
        </w:tc>
        <w:tc>
          <w:tcPr>
            <w:tcW w:type="dxa" w:w="1440"/>
            <w:shd w:fill="FFDCE0" w:val="clear"/>
          </w:tcPr>
          <w:p>
            <w:r>
              <w:rPr>
                <w:b/>
                <w:sz w:val="17"/>
              </w:rPr>
              <w:t>5,310</w:t>
            </w:r>
          </w:p>
        </w:tc>
        <w:tc>
          <w:tcPr>
            <w:tcW w:type="dxa" w:w="1440"/>
            <w:shd w:fill="FFDCE0" w:val="clear"/>
          </w:tcPr>
          <w:p>
            <w:r>
              <w:rPr>
                <w:sz w:val="17"/>
              </w:rPr>
              <w:t>5,719</w:t>
            </w:r>
          </w:p>
        </w:tc>
        <w:tc>
          <w:tcPr>
            <w:tcW w:type="dxa" w:w="1440"/>
            <w:shd w:fill="FFDCE0" w:val="clear"/>
          </w:tcPr>
          <w:p>
            <w:r>
              <w:rPr>
                <w:b/>
                <w:color w:val="C00000"/>
                <w:sz w:val="17"/>
              </w:rPr>
              <w:t>-2.3%</w:t>
            </w:r>
          </w:p>
        </w:tc>
      </w:tr>
      <w:tr>
        <w:tc>
          <w:tcPr>
            <w:tcW w:type="dxa" w:w="1440"/>
            <w:shd w:fill="FFDCE0" w:val="clear"/>
          </w:tcPr>
          <w:p>
            <w:r>
              <w:rPr>
                <w:sz w:val="17"/>
              </w:rPr>
              <w:t>J+9  ⭐</w:t>
            </w:r>
          </w:p>
        </w:tc>
        <w:tc>
          <w:tcPr>
            <w:tcW w:type="dxa" w:w="1440"/>
            <w:shd w:fill="FFDCE0" w:val="clear"/>
          </w:tcPr>
          <w:p>
            <w:r>
              <w:rPr>
                <w:sz w:val="17"/>
              </w:rPr>
              <w:t>2026-09-16</w:t>
            </w:r>
          </w:p>
        </w:tc>
        <w:tc>
          <w:tcPr>
            <w:tcW w:type="dxa" w:w="1440"/>
            <w:shd w:fill="FFDCE0" w:val="clear"/>
          </w:tcPr>
          <w:p>
            <w:r>
              <w:rPr>
                <w:sz w:val="17"/>
              </w:rPr>
              <w:t>4,865</w:t>
            </w:r>
          </w:p>
        </w:tc>
        <w:tc>
          <w:tcPr>
            <w:tcW w:type="dxa" w:w="1440"/>
            <w:shd w:fill="FFDCE0" w:val="clear"/>
          </w:tcPr>
          <w:p>
            <w:r>
              <w:rPr>
                <w:b/>
                <w:sz w:val="17"/>
              </w:rPr>
              <w:t>5,298</w:t>
            </w:r>
          </w:p>
        </w:tc>
        <w:tc>
          <w:tcPr>
            <w:tcW w:type="dxa" w:w="1440"/>
            <w:shd w:fill="FFDCE0" w:val="clear"/>
          </w:tcPr>
          <w:p>
            <w:r>
              <w:rPr>
                <w:sz w:val="17"/>
              </w:rPr>
              <w:t>5,731</w:t>
            </w:r>
          </w:p>
        </w:tc>
        <w:tc>
          <w:tcPr>
            <w:tcW w:type="dxa" w:w="1440"/>
            <w:shd w:fill="FFDCE0" w:val="clear"/>
          </w:tcPr>
          <w:p>
            <w:r>
              <w:rPr>
                <w:b/>
                <w:color w:val="C00000"/>
                <w:sz w:val="17"/>
              </w:rPr>
              <w:t>-2.5%</w:t>
            </w:r>
          </w:p>
        </w:tc>
      </w:tr>
      <w:tr>
        <w:tc>
          <w:tcPr>
            <w:tcW w:type="dxa" w:w="1440"/>
            <w:shd w:fill="FFDCE0" w:val="clear"/>
          </w:tcPr>
          <w:p>
            <w:r>
              <w:rPr>
                <w:sz w:val="17"/>
              </w:rPr>
              <w:t>J+10  ⭐</w:t>
            </w:r>
          </w:p>
        </w:tc>
        <w:tc>
          <w:tcPr>
            <w:tcW w:type="dxa" w:w="1440"/>
            <w:shd w:fill="FFDCE0" w:val="clear"/>
          </w:tcPr>
          <w:p>
            <w:r>
              <w:rPr>
                <w:sz w:val="17"/>
              </w:rPr>
              <w:t>2026-09-17</w:t>
            </w:r>
          </w:p>
        </w:tc>
        <w:tc>
          <w:tcPr>
            <w:tcW w:type="dxa" w:w="1440"/>
            <w:shd w:fill="FFDCE0" w:val="clear"/>
          </w:tcPr>
          <w:p>
            <w:r>
              <w:rPr>
                <w:sz w:val="17"/>
              </w:rPr>
              <w:t>4,831</w:t>
            </w:r>
          </w:p>
        </w:tc>
        <w:tc>
          <w:tcPr>
            <w:tcW w:type="dxa" w:w="1440"/>
            <w:shd w:fill="FFDCE0" w:val="clear"/>
          </w:tcPr>
          <w:p>
            <w:r>
              <w:rPr>
                <w:b/>
                <w:sz w:val="17"/>
              </w:rPr>
              <w:t>5,286</w:t>
            </w:r>
          </w:p>
        </w:tc>
        <w:tc>
          <w:tcPr>
            <w:tcW w:type="dxa" w:w="1440"/>
            <w:shd w:fill="FFDCE0" w:val="clear"/>
          </w:tcPr>
          <w:p>
            <w:r>
              <w:rPr>
                <w:sz w:val="17"/>
              </w:rPr>
              <w:t>5,740</w:t>
            </w:r>
          </w:p>
        </w:tc>
        <w:tc>
          <w:tcPr>
            <w:tcW w:type="dxa" w:w="1440"/>
            <w:shd w:fill="FFDCE0" w:val="clear"/>
          </w:tcPr>
          <w:p>
            <w:r>
              <w:rPr>
                <w:b/>
                <w:color w:val="C00000"/>
                <w:sz w:val="17"/>
              </w:rPr>
              <w:t>-2.8%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BOAN s'établit à 113,05 milliards FCFA, un niveau significatif sur la place BRVM qui témoigne de l'importance relative de la banque dans l'économie nigérienne. Le BPA de 20 FCFA par action est particulièrement faible, traduisant une capacité bénéficiaire très réduite pour l'exercice 2025. Le PER de 276,4x est extrêmement élevé, très largement au-dessus de la moyenne BRVM (8-12x), ce qui indique que les investisseurs paient un prix considérable pour des bénéfices actuels très faibles, anticipant probablement un fort rebond futur. Le P/B de 3,13x se situe dans une fourchette de 2-4x, signifiant que le marché valorise la banque au-dessus de sa valeur comptable, accordant une prime de croissance. Enfin, l'EV/EBITDA de 40,8x, très supérieur au seuil de 15x, confirme une valorisation exigeante qui repose essentiellement sur des perspectives de redressement plutôt que sur les performances actuelles.</w:t>
      </w:r>
    </w:p>
    <w:p>
      <w:pPr>
        <w:spacing w:after="120" w:line="276" w:lineRule="auto" w:before="240"/>
      </w:pPr>
      <w:r>
        <w:rPr>
          <w:b/>
          <w:color w:val="003366"/>
          <w:sz w:val="24"/>
        </w:rPr>
        <w:t>**PARTIE 1 : ANALYSE DU COURS — STATISTIQUES ET ÉVOLUTION (100 derniers jours)**</w:t>
      </w:r>
    </w:p>
    <w:p>
      <w:pPr>
        <w:spacing w:after="120" w:line="276" w:lineRule="auto"/>
      </w:pPr>
      <w:r>
        <w:t>Le titre BOAN a connu une progression spectaculaire de +94,11% sur les 100 derniers jours, avec une dernière séance en hausse modérée de +0,74% à 5 435 FCFA. Le cours a évolué dans une fourchette très large, entre un plus bas de 2 800 FCFA et un plus haut de 5 645 FCFA, illustrant un mouvement haussier puissant et continu. La moyenne du cours sur la période (4 257 FCFA) est supérieure à la médiane (4 015 FCFA), indiquant une asymétrie positive avec une concentration des valeurs vers le haut de la fourchette. L'écart-type de 832 FCFA (CV=19,6%) révèle une dispersion modérée des prix autour de la moyenne. Le kurtosis de -1,401 indique une distribution platykurtique, c'est-à-dire aplatie avec peu de pics extrêmes, tandis que le skewness de 0,161 confirme une distribution quasi symétrique. La volatilité annualisée de 39,5% classe le titre dans la catégorie des valeurs à volatilité élevée, ce qui implique un risque substantiel pour les investisseurs.</w:t>
      </w:r>
    </w:p>
    <w:p>
      <w:pPr>
        <w:spacing w:after="120" w:line="276" w:lineRule="auto" w:before="240"/>
      </w:pPr>
      <w:r>
        <w:rPr>
          <w:b/>
          <w:color w:val="003366"/>
          <w:sz w:val="24"/>
        </w:rPr>
        <w:t>**PARTIE 2 : ANALYSE TECHNIQUE DÉTAILLÉE**</w:t>
      </w:r>
    </w:p>
    <w:p>
      <w:pPr>
        <w:spacing w:after="120" w:line="276" w:lineRule="auto"/>
      </w:pPr>
      <w:r>
        <w:t>**Moyennes Mobiles** : Le cours actuel de 5 435 FCFA se positionne nettement au-dessus de la MM20 (5 274,25 FCFA) et de la MM50 (4 988 FCFA), confirmant une tendance haussière solide à court et moyen terme. La configuration des moyennes mobiles, avec la MM20 au-dessus de la MM50, valide la dynamique positive et justifie la décision d'achat.</w:t>
      </w:r>
    </w:p>
    <w:p>
      <w:pPr>
        <w:spacing w:after="120" w:line="276" w:lineRule="auto"/>
      </w:pPr>
      <w:r>
        <w:t>**Bandes de Bollinger** : Le prix évolue à 5 435 FCFA, proche de la borne supérieure (5 607,63 FCFA) et nettement au-dessus de la borne inférieure (4 940,87 FCFA). Cette position suggère une pression acheteuse soutenue, mais également une proximité de zones de surachat potentiel. La décision neutre reflète l'équilibre entre la force de la tendance et le risque de correction.</w:t>
      </w:r>
    </w:p>
    <w:p>
      <w:pPr>
        <w:spacing w:after="120" w:line="276" w:lineRule="auto"/>
      </w:pPr>
      <w:r>
        <w:t>**MACD** : La valeur du MACD (133,58) est inférieure à son signal (138,72), indiquant un momentum baissier à court terme malgré la tendance haussière de fond. Cette divergence négative suggère un essoufflement possible de la dynamique haussière, justifiant la décision de vente.</w:t>
      </w:r>
    </w:p>
    <w:p>
      <w:pPr>
        <w:spacing w:after="120" w:line="276" w:lineRule="auto"/>
      </w:pPr>
      <w:r>
        <w:t>**RSI** : Avec une valeur de 70,06, le RSI se trouve en zone de surachat, signalant que le titre est potentiellement surévalué à court terme. Ce niveau élevé indique que la pression acheteuse a été intense et qu'un repli technique est envisageable, d'où la décision de vente.</w:t>
      </w:r>
    </w:p>
    <w:p>
      <w:pPr>
        <w:spacing w:after="120" w:line="276" w:lineRule="auto"/>
      </w:pPr>
      <w:r>
        <w:t>**Stochastique** : Le %K (60,0) et le %D (59,76) sont proches et évoluent en zone neutre, sans croisement significatif. Cette configuration indique une absence de signal directionnel clair, justifiant la décision neutre.</w:t>
      </w:r>
    </w:p>
    <w:p>
      <w:pPr>
        <w:spacing w:after="120" w:line="276" w:lineRule="auto"/>
      </w:pPr>
      <w:r>
        <w:t>**Conclusion technique** : Les indicateurs techniques sont mitigés, avec une tendance haussière confirmée par les moyennes mobiles mais des signaux de surachat (RSI) et de momentum négatif (MACD). Cette divergence suggère qu'une consolidation ou un repli technique est probable à court terme avant la poursuite éventuelle de la tendance haussière.</w:t>
      </w:r>
    </w:p>
    <w:p>
      <w:pPr>
        <w:spacing w:after="120" w:line="276" w:lineRule="auto" w:before="240"/>
      </w:pPr>
      <w:r>
        <w:rPr>
          <w:b/>
          <w:color w:val="003366"/>
          <w:sz w:val="24"/>
        </w:rPr>
        <w:t>**PARTIE 3 : ANALYSE FONDAMENTALE (SECTION CRITIQUE)**</w:t>
      </w:r>
    </w:p>
    <w:p>
      <w:pPr>
        <w:spacing w:after="120" w:line="276" w:lineRule="auto"/>
      </w:pPr>
      <w:r>
        <w:t>En 2025, les données structurées révèlent une situation financière très dégradée pour BOAN. Le Produit Net Bancaire s'établit à 21,125 milliards FCFA, en baisse de 1,2% par rapport à 2024 (21,38 milliards), tandis que le résultat net s'effondre de 91,8% à seulement 409 millions FCFA (contre 5 002 millions en 2024). Les ratios de rentabilité sont particulièrement faibles : ROE de 1,13% et ROA de 0,14%, contre respectivement 11,39% et 1,49% en 2024. Le coefficient d'exploitation de 74,37% est élevé, indiquant une efficacité opérationnelle insuffisante (seuil de référence &lt;60%). Le coût du risque de 67,30% témoigne d'un portefeuille de crédits très dégradé, avec un taux de créances en souffrance sectoriel de 24%. Les capitaux propres ont diminué de 14,4% à 36,064 milliards FCFA. Selon les rapports trimestriels 2025, la dégradation s'est accentuée au fil de l'année : le T1 2025 montrait déjà une chute du PNB de 16,3% et du résultat net de 50,2%, tandis que le S1 2025 confirmait la tendance avec un résultat net en baisse de 25,2%. Le rapport du T1 2026 (daté 2026) indique toutefois un net redressement avec un résultat net de 1 467,3 millions FCFA (+28,9%), un PNB de 5 170 millions (+7,9%) et un coefficient d'exploitation amélioré à 56,2%. Sur la base de ces résultats encourageants, on estime que l'exercice 2026 pourrait voir un PNB annuel d'environ 22,3 milliards FCFA et un résultat net potentiel de 6-7 milliards FCFA, conformément aux objectifs budgétaires de la banque.</w:t>
      </w:r>
    </w:p>
    <w:p>
      <w:pPr>
        <w:spacing w:after="120" w:line="276" w:lineRule="auto" w:before="240"/>
      </w:pPr>
      <w:r>
        <w:rPr>
          <w:b/>
          <w:color w:val="003366"/>
          <w:sz w:val="24"/>
        </w:rPr>
        <w:t>**PARTIE 4 : CONCLUSION D'INVESTISSEMENT**</w:t>
      </w:r>
    </w:p>
    <w:p>
      <w:pPr>
        <w:spacing w:after="120" w:line="276" w:lineRule="auto"/>
      </w:pPr>
      <w:r>
        <w:t>La valorisation de BOAN est extrêmement exigeante (PER de 276x, EV/EBITDA de 40,8x), reflétant des anticipations très optimistes de redressement plutôt que les fondamentaux actuels. Le comportement du cours (+94,11% en 100 jours) démontre un enthousiasme marqué des investisseurs, mais la volatilité élevée (39,5%) et les statistiques descriptives suggèrent un risque substantiel. Les signaux techniques sont mitigés : la tendance haussière est confirmée par les moyennes mobiles, mais le RSI en surachat et le MACD négatif indiquent un essoufflement possible à court terme. Les fondamentaux montrent une banque en difficulté en 2025 (ROE de 1,13%, résultat net en chute de 91,8%), mais les perspectives 2026 sont encourageantes avec un T1 2026 en forte amélioration (+28,9% du résultat net). Les prédictions IA pour les 10 prochains jours (5 401 à 5 349 FCFA) suggèrent une légère correction, cohérente avec les signaux techniques de surachat. En synthèse, la recommandation est **CONSERVER** avec un niveau de confiance **Moyen** et un risque global **Élevé**. L'horizon d'investissement optimal serait le **moyen terme (3-12 mois)**, en attendant la confirmation du redressement fondamental à travers les prochains rapports trimestriels et une amélioration durable des indicateurs de rentabilité.</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298.80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9,906 titres</w:t>
            </w:r>
          </w:p>
        </w:tc>
        <w:tc>
          <w:tcPr>
            <w:tcW w:type="dxa" w:w="2268"/>
            <w:shd w:fill="FFF2CC" w:val="clear"/>
          </w:tcPr>
          <w:p>
            <w:r>
              <w:rPr>
                <w:b/>
                <w:color w:val="503200"/>
                <w:sz w:val="16"/>
              </w:rPr>
              <w:t xml:space="preserve">Cours actuel : </w:t>
            </w:r>
            <w:r>
              <w:rPr>
                <w:color w:val="000000"/>
                <w:sz w:val="17"/>
              </w:rPr>
              <w:t>8,300 FCFA</w:t>
            </w:r>
          </w:p>
          <w:p>
            <w:r>
              <w:rPr>
                <w:b/>
                <w:color w:val="503200"/>
                <w:sz w:val="16"/>
              </w:rPr>
              <w:t xml:space="preserve">Var. 100 jours : </w:t>
            </w:r>
            <w:r>
              <w:rPr>
                <w:b/>
                <w:color w:val="007800"/>
                <w:sz w:val="17"/>
              </w:rPr>
              <w:t>+23.88%</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6,690 FCFA</w:t>
            </w:r>
          </w:p>
          <w:p>
            <w:r>
              <w:rPr>
                <w:b/>
                <w:color w:val="503200"/>
                <w:sz w:val="16"/>
              </w:rPr>
              <w:t xml:space="preserve">Volatilité ann. : </w:t>
            </w:r>
            <w:r>
              <w:rPr>
                <w:color w:val="000000"/>
                <w:sz w:val="17"/>
              </w:rPr>
              <w:t>24.4%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5.65% (Moyenne) — μ=7,481 FCFA, σ=423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β=0.2661 (Défensif) — Cov=0.000010, Var(idx)=0.000036, ρ=0.103,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9,906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σ_j=1.54%/j (Stable) — Vol. annualisée≈24.4%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2026-09-04</w:t>
            </w:r>
          </w:p>
        </w:tc>
        <w:tc>
          <w:tcPr>
            <w:tcW w:type="dxa" w:w="1440"/>
            <w:shd w:fill="FFDCE0" w:val="clear"/>
          </w:tcPr>
          <w:p>
            <w:r>
              <w:rPr>
                <w:sz w:val="17"/>
              </w:rPr>
              <w:t>7,847</w:t>
            </w:r>
          </w:p>
        </w:tc>
        <w:tc>
          <w:tcPr>
            <w:tcW w:type="dxa" w:w="1440"/>
            <w:shd w:fill="FFDCE0" w:val="clear"/>
          </w:tcPr>
          <w:p>
            <w:r>
              <w:rPr>
                <w:b/>
                <w:sz w:val="17"/>
              </w:rPr>
              <w:t>8,065</w:t>
            </w:r>
          </w:p>
        </w:tc>
        <w:tc>
          <w:tcPr>
            <w:tcW w:type="dxa" w:w="1440"/>
            <w:shd w:fill="FFDCE0" w:val="clear"/>
          </w:tcPr>
          <w:p>
            <w:r>
              <w:rPr>
                <w:sz w:val="17"/>
              </w:rPr>
              <w:t>8,284</w:t>
            </w:r>
          </w:p>
        </w:tc>
        <w:tc>
          <w:tcPr>
            <w:tcW w:type="dxa" w:w="1440"/>
            <w:shd w:fill="FFDCE0" w:val="clear"/>
          </w:tcPr>
          <w:p>
            <w:r>
              <w:rPr>
                <w:b/>
                <w:color w:val="C00000"/>
                <w:sz w:val="17"/>
              </w:rPr>
              <w:t>-2.8%</w:t>
            </w:r>
          </w:p>
        </w:tc>
      </w:tr>
      <w:tr>
        <w:tc>
          <w:tcPr>
            <w:tcW w:type="dxa" w:w="1440"/>
            <w:shd w:fill="FFDCE0" w:val="clear"/>
          </w:tcPr>
          <w:p>
            <w:r>
              <w:rPr>
                <w:sz w:val="17"/>
              </w:rPr>
              <w:t>J+2  ⭐⭐⭐</w:t>
            </w:r>
          </w:p>
        </w:tc>
        <w:tc>
          <w:tcPr>
            <w:tcW w:type="dxa" w:w="1440"/>
            <w:shd w:fill="FFDCE0" w:val="clear"/>
          </w:tcPr>
          <w:p>
            <w:r>
              <w:rPr>
                <w:sz w:val="17"/>
              </w:rPr>
              <w:t>2026-09-07</w:t>
            </w:r>
          </w:p>
        </w:tc>
        <w:tc>
          <w:tcPr>
            <w:tcW w:type="dxa" w:w="1440"/>
            <w:shd w:fill="FFDCE0" w:val="clear"/>
          </w:tcPr>
          <w:p>
            <w:r>
              <w:rPr>
                <w:sz w:val="17"/>
              </w:rPr>
              <w:t>7,615</w:t>
            </w:r>
          </w:p>
        </w:tc>
        <w:tc>
          <w:tcPr>
            <w:tcW w:type="dxa" w:w="1440"/>
            <w:shd w:fill="FFDCE0" w:val="clear"/>
          </w:tcPr>
          <w:p>
            <w:r>
              <w:rPr>
                <w:b/>
                <w:sz w:val="17"/>
              </w:rPr>
              <w:t>7,918</w:t>
            </w:r>
          </w:p>
        </w:tc>
        <w:tc>
          <w:tcPr>
            <w:tcW w:type="dxa" w:w="1440"/>
            <w:shd w:fill="FFDCE0" w:val="clear"/>
          </w:tcPr>
          <w:p>
            <w:r>
              <w:rPr>
                <w:sz w:val="17"/>
              </w:rPr>
              <w:t>8,222</w:t>
            </w:r>
          </w:p>
        </w:tc>
        <w:tc>
          <w:tcPr>
            <w:tcW w:type="dxa" w:w="1440"/>
            <w:shd w:fill="FFDCE0" w:val="clear"/>
          </w:tcPr>
          <w:p>
            <w:r>
              <w:rPr>
                <w:b/>
                <w:color w:val="C00000"/>
                <w:sz w:val="17"/>
              </w:rPr>
              <w:t>-4.6%</w:t>
            </w:r>
          </w:p>
        </w:tc>
      </w:tr>
      <w:tr>
        <w:tc>
          <w:tcPr>
            <w:tcW w:type="dxa" w:w="1440"/>
            <w:shd w:fill="FFDCE0" w:val="clear"/>
          </w:tcPr>
          <w:p>
            <w:r>
              <w:rPr>
                <w:sz w:val="17"/>
              </w:rPr>
              <w:t>J+3  ⭐⭐⭐</w:t>
            </w:r>
          </w:p>
        </w:tc>
        <w:tc>
          <w:tcPr>
            <w:tcW w:type="dxa" w:w="1440"/>
            <w:shd w:fill="FFDCE0" w:val="clear"/>
          </w:tcPr>
          <w:p>
            <w:r>
              <w:rPr>
                <w:sz w:val="17"/>
              </w:rPr>
              <w:t>2026-09-08</w:t>
            </w:r>
          </w:p>
        </w:tc>
        <w:tc>
          <w:tcPr>
            <w:tcW w:type="dxa" w:w="1440"/>
            <w:shd w:fill="FFDCE0" w:val="clear"/>
          </w:tcPr>
          <w:p>
            <w:r>
              <w:rPr>
                <w:sz w:val="17"/>
              </w:rPr>
              <w:t>7,410</w:t>
            </w:r>
          </w:p>
        </w:tc>
        <w:tc>
          <w:tcPr>
            <w:tcW w:type="dxa" w:w="1440"/>
            <w:shd w:fill="FFDCE0" w:val="clear"/>
          </w:tcPr>
          <w:p>
            <w:r>
              <w:rPr>
                <w:b/>
                <w:sz w:val="17"/>
              </w:rPr>
              <w:t>7,775</w:t>
            </w:r>
          </w:p>
        </w:tc>
        <w:tc>
          <w:tcPr>
            <w:tcW w:type="dxa" w:w="1440"/>
            <w:shd w:fill="FFDCE0" w:val="clear"/>
          </w:tcPr>
          <w:p>
            <w:r>
              <w:rPr>
                <w:sz w:val="17"/>
              </w:rPr>
              <w:t>8,140</w:t>
            </w:r>
          </w:p>
        </w:tc>
        <w:tc>
          <w:tcPr>
            <w:tcW w:type="dxa" w:w="1440"/>
            <w:shd w:fill="FFDCE0" w:val="clear"/>
          </w:tcPr>
          <w:p>
            <w:r>
              <w:rPr>
                <w:b/>
                <w:color w:val="C00000"/>
                <w:sz w:val="17"/>
              </w:rPr>
              <w:t>-6.3%</w:t>
            </w:r>
          </w:p>
        </w:tc>
      </w:tr>
      <w:tr>
        <w:tc>
          <w:tcPr>
            <w:tcW w:type="dxa" w:w="1440"/>
            <w:shd w:fill="FFDCE0" w:val="clear"/>
          </w:tcPr>
          <w:p>
            <w:r>
              <w:rPr>
                <w:sz w:val="17"/>
              </w:rPr>
              <w:t>J+4  Moyenne</w:t>
            </w:r>
          </w:p>
        </w:tc>
        <w:tc>
          <w:tcPr>
            <w:tcW w:type="dxa" w:w="1440"/>
            <w:shd w:fill="FFDCE0" w:val="clear"/>
          </w:tcPr>
          <w:p>
            <w:r>
              <w:rPr>
                <w:sz w:val="17"/>
              </w:rPr>
              <w:t>2026-09-09</w:t>
            </w:r>
          </w:p>
        </w:tc>
        <w:tc>
          <w:tcPr>
            <w:tcW w:type="dxa" w:w="1440"/>
            <w:shd w:fill="FFDCE0" w:val="clear"/>
          </w:tcPr>
          <w:p>
            <w:r>
              <w:rPr>
                <w:sz w:val="17"/>
              </w:rPr>
              <w:t>7,232</w:t>
            </w:r>
          </w:p>
        </w:tc>
        <w:tc>
          <w:tcPr>
            <w:tcW w:type="dxa" w:w="1440"/>
            <w:shd w:fill="FFDCE0" w:val="clear"/>
          </w:tcPr>
          <w:p>
            <w:r>
              <w:rPr>
                <w:b/>
                <w:sz w:val="17"/>
              </w:rPr>
              <w:t>7,646</w:t>
            </w:r>
          </w:p>
        </w:tc>
        <w:tc>
          <w:tcPr>
            <w:tcW w:type="dxa" w:w="1440"/>
            <w:shd w:fill="FFDCE0" w:val="clear"/>
          </w:tcPr>
          <w:p>
            <w:r>
              <w:rPr>
                <w:sz w:val="17"/>
              </w:rPr>
              <w:t>8,060</w:t>
            </w:r>
          </w:p>
        </w:tc>
        <w:tc>
          <w:tcPr>
            <w:tcW w:type="dxa" w:w="1440"/>
            <w:shd w:fill="FFDCE0" w:val="clear"/>
          </w:tcPr>
          <w:p>
            <w:r>
              <w:rPr>
                <w:b/>
                <w:color w:val="C00000"/>
                <w:sz w:val="17"/>
              </w:rPr>
              <w:t>-7.9%</w:t>
            </w:r>
          </w:p>
        </w:tc>
      </w:tr>
      <w:tr>
        <w:tc>
          <w:tcPr>
            <w:tcW w:type="dxa" w:w="1440"/>
            <w:shd w:fill="FFDCE0" w:val="clear"/>
          </w:tcPr>
          <w:p>
            <w:r>
              <w:rPr>
                <w:sz w:val="17"/>
              </w:rPr>
              <w:t>J+5  Moyenne</w:t>
            </w:r>
          </w:p>
        </w:tc>
        <w:tc>
          <w:tcPr>
            <w:tcW w:type="dxa" w:w="1440"/>
            <w:shd w:fill="FFDCE0" w:val="clear"/>
          </w:tcPr>
          <w:p>
            <w:r>
              <w:rPr>
                <w:sz w:val="17"/>
              </w:rPr>
              <w:t>2026-09-10</w:t>
            </w:r>
          </w:p>
        </w:tc>
        <w:tc>
          <w:tcPr>
            <w:tcW w:type="dxa" w:w="1440"/>
            <w:shd w:fill="FFDCE0" w:val="clear"/>
          </w:tcPr>
          <w:p>
            <w:r>
              <w:rPr>
                <w:sz w:val="17"/>
              </w:rPr>
              <w:t>7,070</w:t>
            </w:r>
          </w:p>
        </w:tc>
        <w:tc>
          <w:tcPr>
            <w:tcW w:type="dxa" w:w="1440"/>
            <w:shd w:fill="FFDCE0" w:val="clear"/>
          </w:tcPr>
          <w:p>
            <w:r>
              <w:rPr>
                <w:b/>
                <w:sz w:val="17"/>
              </w:rPr>
              <w:t>7,526</w:t>
            </w:r>
          </w:p>
        </w:tc>
        <w:tc>
          <w:tcPr>
            <w:tcW w:type="dxa" w:w="1440"/>
            <w:shd w:fill="FFDCE0" w:val="clear"/>
          </w:tcPr>
          <w:p>
            <w:r>
              <w:rPr>
                <w:sz w:val="17"/>
              </w:rPr>
              <w:t>7,982</w:t>
            </w:r>
          </w:p>
        </w:tc>
        <w:tc>
          <w:tcPr>
            <w:tcW w:type="dxa" w:w="1440"/>
            <w:shd w:fill="FFDCE0" w:val="clear"/>
          </w:tcPr>
          <w:p>
            <w:r>
              <w:rPr>
                <w:b/>
                <w:color w:val="C00000"/>
                <w:sz w:val="17"/>
              </w:rPr>
              <w:t>-9.3%</w:t>
            </w:r>
          </w:p>
        </w:tc>
      </w:tr>
      <w:tr>
        <w:tc>
          <w:tcPr>
            <w:tcW w:type="dxa" w:w="1440"/>
            <w:shd w:fill="FFDCE0" w:val="clear"/>
          </w:tcPr>
          <w:p>
            <w:r>
              <w:rPr>
                <w:sz w:val="17"/>
              </w:rPr>
              <w:t>J+6  Moyenne</w:t>
            </w:r>
          </w:p>
        </w:tc>
        <w:tc>
          <w:tcPr>
            <w:tcW w:type="dxa" w:w="1440"/>
            <w:shd w:fill="FFDCE0" w:val="clear"/>
          </w:tcPr>
          <w:p>
            <w:r>
              <w:rPr>
                <w:sz w:val="17"/>
              </w:rPr>
              <w:t>2026-09-11</w:t>
            </w:r>
          </w:p>
        </w:tc>
        <w:tc>
          <w:tcPr>
            <w:tcW w:type="dxa" w:w="1440"/>
            <w:shd w:fill="FFDCE0" w:val="clear"/>
          </w:tcPr>
          <w:p>
            <w:r>
              <w:rPr>
                <w:sz w:val="17"/>
              </w:rPr>
              <w:t>6,922</w:t>
            </w:r>
          </w:p>
        </w:tc>
        <w:tc>
          <w:tcPr>
            <w:tcW w:type="dxa" w:w="1440"/>
            <w:shd w:fill="FFDCE0" w:val="clear"/>
          </w:tcPr>
          <w:p>
            <w:r>
              <w:rPr>
                <w:b/>
                <w:sz w:val="17"/>
              </w:rPr>
              <w:t>7,414</w:t>
            </w:r>
          </w:p>
        </w:tc>
        <w:tc>
          <w:tcPr>
            <w:tcW w:type="dxa" w:w="1440"/>
            <w:shd w:fill="FFDCE0" w:val="clear"/>
          </w:tcPr>
          <w:p>
            <w:r>
              <w:rPr>
                <w:sz w:val="17"/>
              </w:rPr>
              <w:t>7,906</w:t>
            </w:r>
          </w:p>
        </w:tc>
        <w:tc>
          <w:tcPr>
            <w:tcW w:type="dxa" w:w="1440"/>
            <w:shd w:fill="FFDCE0" w:val="clear"/>
          </w:tcPr>
          <w:p>
            <w:r>
              <w:rPr>
                <w:b/>
                <w:color w:val="C00000"/>
                <w:sz w:val="17"/>
              </w:rPr>
              <w:t>-10.7%</w:t>
            </w:r>
          </w:p>
        </w:tc>
      </w:tr>
      <w:tr>
        <w:tc>
          <w:tcPr>
            <w:tcW w:type="dxa" w:w="1440"/>
            <w:shd w:fill="FFDCE0" w:val="clear"/>
          </w:tcPr>
          <w:p>
            <w:r>
              <w:rPr>
                <w:sz w:val="17"/>
              </w:rPr>
              <w:t>J+7  Moyenne</w:t>
            </w:r>
          </w:p>
        </w:tc>
        <w:tc>
          <w:tcPr>
            <w:tcW w:type="dxa" w:w="1440"/>
            <w:shd w:fill="FFDCE0" w:val="clear"/>
          </w:tcPr>
          <w:p>
            <w:r>
              <w:rPr>
                <w:sz w:val="17"/>
              </w:rPr>
              <w:t>2026-09-14</w:t>
            </w:r>
          </w:p>
        </w:tc>
        <w:tc>
          <w:tcPr>
            <w:tcW w:type="dxa" w:w="1440"/>
            <w:shd w:fill="FFDCE0" w:val="clear"/>
          </w:tcPr>
          <w:p>
            <w:r>
              <w:rPr>
                <w:sz w:val="17"/>
              </w:rPr>
              <w:t>6,784</w:t>
            </w:r>
          </w:p>
        </w:tc>
        <w:tc>
          <w:tcPr>
            <w:tcW w:type="dxa" w:w="1440"/>
            <w:shd w:fill="FFDCE0" w:val="clear"/>
          </w:tcPr>
          <w:p>
            <w:r>
              <w:rPr>
                <w:b/>
                <w:sz w:val="17"/>
              </w:rPr>
              <w:t>7,308</w:t>
            </w:r>
          </w:p>
        </w:tc>
        <w:tc>
          <w:tcPr>
            <w:tcW w:type="dxa" w:w="1440"/>
            <w:shd w:fill="FFDCE0" w:val="clear"/>
          </w:tcPr>
          <w:p>
            <w:r>
              <w:rPr>
                <w:sz w:val="17"/>
              </w:rPr>
              <w:t>7,831</w:t>
            </w:r>
          </w:p>
        </w:tc>
        <w:tc>
          <w:tcPr>
            <w:tcW w:type="dxa" w:w="1440"/>
            <w:shd w:fill="FFDCE0" w:val="clear"/>
          </w:tcPr>
          <w:p>
            <w:r>
              <w:rPr>
                <w:b/>
                <w:color w:val="C00000"/>
                <w:sz w:val="17"/>
              </w:rPr>
              <w:t>-12.0%</w:t>
            </w:r>
          </w:p>
        </w:tc>
      </w:tr>
      <w:tr>
        <w:tc>
          <w:tcPr>
            <w:tcW w:type="dxa" w:w="1440"/>
            <w:shd w:fill="FFDCE0" w:val="clear"/>
          </w:tcPr>
          <w:p>
            <w:r>
              <w:rPr>
                <w:sz w:val="17"/>
              </w:rPr>
              <w:t>J+8  Moyenne</w:t>
            </w:r>
          </w:p>
        </w:tc>
        <w:tc>
          <w:tcPr>
            <w:tcW w:type="dxa" w:w="1440"/>
            <w:shd w:fill="FFDCE0" w:val="clear"/>
          </w:tcPr>
          <w:p>
            <w:r>
              <w:rPr>
                <w:sz w:val="17"/>
              </w:rPr>
              <w:t>2026-09-15</w:t>
            </w:r>
          </w:p>
        </w:tc>
        <w:tc>
          <w:tcPr>
            <w:tcW w:type="dxa" w:w="1440"/>
            <w:shd w:fill="FFDCE0" w:val="clear"/>
          </w:tcPr>
          <w:p>
            <w:r>
              <w:rPr>
                <w:sz w:val="17"/>
              </w:rPr>
              <w:t>6,655</w:t>
            </w:r>
          </w:p>
        </w:tc>
        <w:tc>
          <w:tcPr>
            <w:tcW w:type="dxa" w:w="1440"/>
            <w:shd w:fill="FFDCE0" w:val="clear"/>
          </w:tcPr>
          <w:p>
            <w:r>
              <w:rPr>
                <w:b/>
                <w:sz w:val="17"/>
              </w:rPr>
              <w:t>7,208</w:t>
            </w:r>
          </w:p>
        </w:tc>
        <w:tc>
          <w:tcPr>
            <w:tcW w:type="dxa" w:w="1440"/>
            <w:shd w:fill="FFDCE0" w:val="clear"/>
          </w:tcPr>
          <w:p>
            <w:r>
              <w:rPr>
                <w:sz w:val="17"/>
              </w:rPr>
              <w:t>7,760</w:t>
            </w:r>
          </w:p>
        </w:tc>
        <w:tc>
          <w:tcPr>
            <w:tcW w:type="dxa" w:w="1440"/>
            <w:shd w:fill="FFDCE0" w:val="clear"/>
          </w:tcPr>
          <w:p>
            <w:r>
              <w:rPr>
                <w:b/>
                <w:color w:val="C00000"/>
                <w:sz w:val="17"/>
              </w:rPr>
              <w:t>-13.2%</w:t>
            </w:r>
          </w:p>
        </w:tc>
      </w:tr>
      <w:tr>
        <w:tc>
          <w:tcPr>
            <w:tcW w:type="dxa" w:w="1440"/>
            <w:shd w:fill="FFDCE0" w:val="clear"/>
          </w:tcPr>
          <w:p>
            <w:r>
              <w:rPr>
                <w:sz w:val="17"/>
              </w:rPr>
              <w:t>J+9  Moyenne</w:t>
            </w:r>
          </w:p>
        </w:tc>
        <w:tc>
          <w:tcPr>
            <w:tcW w:type="dxa" w:w="1440"/>
            <w:shd w:fill="FFDCE0" w:val="clear"/>
          </w:tcPr>
          <w:p>
            <w:r>
              <w:rPr>
                <w:sz w:val="17"/>
              </w:rPr>
              <w:t>2026-09-16</w:t>
            </w:r>
          </w:p>
        </w:tc>
        <w:tc>
          <w:tcPr>
            <w:tcW w:type="dxa" w:w="1440"/>
            <w:shd w:fill="FFDCE0" w:val="clear"/>
          </w:tcPr>
          <w:p>
            <w:r>
              <w:rPr>
                <w:sz w:val="17"/>
              </w:rPr>
              <w:t>6,535</w:t>
            </w:r>
          </w:p>
        </w:tc>
        <w:tc>
          <w:tcPr>
            <w:tcW w:type="dxa" w:w="1440"/>
            <w:shd w:fill="FFDCE0" w:val="clear"/>
          </w:tcPr>
          <w:p>
            <w:r>
              <w:rPr>
                <w:b/>
                <w:sz w:val="17"/>
              </w:rPr>
              <w:t>7,113</w:t>
            </w:r>
          </w:p>
        </w:tc>
        <w:tc>
          <w:tcPr>
            <w:tcW w:type="dxa" w:w="1440"/>
            <w:shd w:fill="FFDCE0" w:val="clear"/>
          </w:tcPr>
          <w:p>
            <w:r>
              <w:rPr>
                <w:sz w:val="17"/>
              </w:rPr>
              <w:t>7,691</w:t>
            </w:r>
          </w:p>
        </w:tc>
        <w:tc>
          <w:tcPr>
            <w:tcW w:type="dxa" w:w="1440"/>
            <w:shd w:fill="FFDCE0" w:val="clear"/>
          </w:tcPr>
          <w:p>
            <w:r>
              <w:rPr>
                <w:b/>
                <w:color w:val="C00000"/>
                <w:sz w:val="17"/>
              </w:rPr>
              <w:t>-14.3%</w:t>
            </w:r>
          </w:p>
        </w:tc>
      </w:tr>
      <w:tr>
        <w:tc>
          <w:tcPr>
            <w:tcW w:type="dxa" w:w="1440"/>
            <w:shd w:fill="FFDCE0" w:val="clear"/>
          </w:tcPr>
          <w:p>
            <w:r>
              <w:rPr>
                <w:sz w:val="17"/>
              </w:rPr>
              <w:t>J+10  Moyenne</w:t>
            </w:r>
          </w:p>
        </w:tc>
        <w:tc>
          <w:tcPr>
            <w:tcW w:type="dxa" w:w="1440"/>
            <w:shd w:fill="FFDCE0" w:val="clear"/>
          </w:tcPr>
          <w:p>
            <w:r>
              <w:rPr>
                <w:sz w:val="17"/>
              </w:rPr>
              <w:t>2026-09-17</w:t>
            </w:r>
          </w:p>
        </w:tc>
        <w:tc>
          <w:tcPr>
            <w:tcW w:type="dxa" w:w="1440"/>
            <w:shd w:fill="FFDCE0" w:val="clear"/>
          </w:tcPr>
          <w:p>
            <w:r>
              <w:rPr>
                <w:sz w:val="17"/>
              </w:rPr>
              <w:t>6,422</w:t>
            </w:r>
          </w:p>
        </w:tc>
        <w:tc>
          <w:tcPr>
            <w:tcW w:type="dxa" w:w="1440"/>
            <w:shd w:fill="FFDCE0" w:val="clear"/>
          </w:tcPr>
          <w:p>
            <w:r>
              <w:rPr>
                <w:b/>
                <w:sz w:val="17"/>
              </w:rPr>
              <w:t>7,024</w:t>
            </w:r>
          </w:p>
        </w:tc>
        <w:tc>
          <w:tcPr>
            <w:tcW w:type="dxa" w:w="1440"/>
            <w:shd w:fill="FFDCE0" w:val="clear"/>
          </w:tcPr>
          <w:p>
            <w:r>
              <w:rPr>
                <w:sz w:val="17"/>
              </w:rPr>
              <w:t>7,626</w:t>
            </w:r>
          </w:p>
        </w:tc>
        <w:tc>
          <w:tcPr>
            <w:tcW w:type="dxa" w:w="1440"/>
            <w:shd w:fill="FFDCE0" w:val="clear"/>
          </w:tcPr>
          <w:p>
            <w:r>
              <w:rPr>
                <w:b/>
                <w:color w:val="C00000"/>
                <w:sz w:val="17"/>
              </w:rPr>
              <w:t>-15.4%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Absolument. Voici un rapport d'analyse structuré et professionnel pour l'action BOAS, conforme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BOAS s'établit à 298,80 Mds FCFA, ce qui en fait une valeur de première importance sur la BRVM. Avec un BPA de 608 FCFA, le titre se négocie à un PER de 13,6x, ce qui est légèrement supérieur à la moyenne historique de la place (~8-12x), indiquant que le marché accorde une prime de croissance à la banque. Cette prime est confirmée par un P/B de 3,10x, signifiant que les investisseurs paient plus de trois fois la valeur comptable des actifs, une valorisation qui reflète une forte confiance dans la rentabilité future. Enfin, un EV/EBITDA de 8,9x, dans la fourchette haute mais raisonnable (5-10x), suggère que la valeur totale de l'entreprise reste en phase avec sa capacité opérationnelle à générer des bénéfices. L'ensemble de ces ratios dépeint une société de qualité, valorisée à un niveau exigeant mais justifiable par ses performances.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BOAS a enregistré une performance remarquable de +23,88%, avec une dernière séance positive à +0,73%, clôturant à 8 300 FCFA. Le titre a évolué dans un range de 6 690 à 8 500 FCFA, démontrant une dynamique haussière soutenue. La moyenne (7 481 FCFA) est très proche de la médiane (7 440 FCFA), et le skewness positif mais faible (0.221) indique une distribution quasi symétrique des prix, sans asymétrie marquée. L'écart-type de 425 FCFA (CV de 5,7%) révèle une dispersion modérée autour de la moyenne, tandis que le kurtosis négatif (-0.090) suggère une distribution mésokurtique, c'est-à-dire sans risque de variations extrêmes ou de "pics" inhabituels. La volatilité annualisée de 24,4% classe le titre dans une catégorie à risque modéré, cohérente avec une tendance haussière franche mais non erratique.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(8 300 FCFA) est nettement au-dessus de sa MM20 (8 003,5 FCFA) et de sa MM50 (7 700,4 FCFA). Cette configuration haussière, où les moyennes sont orientées à la hausse, confirme la solidité de la tendance et justifie la décision d'**Achat**.</w:t>
      </w:r>
    </w:p>
    <w:p>
      <w:pPr>
        <w:spacing w:after="120" w:line="276" w:lineRule="auto"/>
      </w:pPr>
      <w:r>
        <w:t>**Bandes de Bollinger** : Le prix se situe dans la partie supérieure de l'enveloppe, entre la borne supérieure (8 633 FCFA) et la moyenne mobile, sans toutefois la toucher. Cela indique une pression acheteuse toujours présente mais sans excès de volatilité. La décision est **Neutre**, le marché n'étant pas encore dans une zone de surachat extrême.</w:t>
      </w:r>
    </w:p>
    <w:p>
      <w:pPr>
        <w:spacing w:after="120" w:line="276" w:lineRule="auto"/>
      </w:pPr>
      <w:r>
        <w:t>**MACD** : La ligne MACD (187,39) est passée au-dessus de sa ligne de signal (174,09), générant un croisement haussier. Ce signal positif indique un renforcement du momentum acheteur à moyen terme, justifiant la décision d'**Achat**.</w:t>
      </w:r>
    </w:p>
    <w:p>
      <w:pPr>
        <w:spacing w:after="120" w:line="276" w:lineRule="auto"/>
      </w:pPr>
      <w:r>
        <w:t>**RSI** : Avec une valeur de 76,99, le RSI est entré en zone de surachat (au-delà de 70). Cela signale que le titre a fortement monté et qu'un repli technique ou une consolidation est probable à court terme. La décision est donc **Vente** pour des raisons de gestion du risque.</w:t>
      </w:r>
    </w:p>
    <w:p>
      <w:pPr>
        <w:spacing w:after="120" w:line="276" w:lineRule="auto"/>
      </w:pPr>
      <w:r>
        <w:t>**Stochastique** : Le %K (75,0) est au-dessus de son %D (70,679), indiquant une dynamique positive. Cependant, les deux valeurs étant élevées, le titre est proche de conditions de surachat. La décision est **Neutre**, le croisement haussier étant encore valide mais avec un potentiel de hausse limité à très court terme.</w:t>
      </w:r>
    </w:p>
    <w:p>
      <w:pPr>
        <w:spacing w:after="120" w:line="276" w:lineRule="auto"/>
      </w:pPr>
      <w:r>
        <w:t>**Conclusion technique** : Les indicateurs de tendance (MM, MACD) sont résolument haussiers, mais les oscillateurs de momentum (RSI, Stochastique) signalent une vigilance accrue en raison de conditions de surachat. La configuration suggère que la tendance de fond reste positive, mais un essoufflement à court terme est probable, pouvant mener à une phase de consolidation avant la poursuite de la hausse.</w:t>
      </w:r>
    </w:p>
    <w:p>
      <w:pPr>
        <w:spacing w:after="120" w:line="276" w:lineRule="auto"/>
      </w:pPr>
      <w:r>
        <w:t>---</w:t>
      </w:r>
    </w:p>
    <w:p>
      <w:pPr>
        <w:spacing w:after="120" w:line="276" w:lineRule="auto"/>
      </w:pPr>
      <w:r>
        <w:t>### **PARTIE 3 : ANALYSE FONDAMENTALE (SECTION CRITIQUE)**</w:t>
      </w:r>
    </w:p>
    <w:p>
      <w:pPr>
        <w:spacing w:after="120" w:line="276" w:lineRule="auto"/>
      </w:pPr>
      <w:r>
        <w:t>En 2025, les données financières structurées de BOAS confirment la solidité de son modèle. Le Produit Net Bancaire (PNB) s'établit à 51,926 Mds FCFA, générant un résultat net de 21,905 Mds FCFA. Cette performance se traduit par un ROE exceptionnel de 22,69% et un ROA de 2,62%, démontrant une excellente rentabilité des fonds propres et des actifs. La banque affiche une efficacité opérationnelle remarquable avec un coefficient d'exploitation de 44,02%, bien en dessous du seuil de 60% considéré comme sain. Le coût du risque, à 23,3% des charges financières, reste un point de vigilance, mais les rapports trimestriels de 2025 montrent une nette amélioration de la qualité du portefeuille. Le rapport du 3ème trimestre 2025 fait état d'un PNB cumulé de 37,44 Mds FCFA (+6,71%) et d'un résultat net de 16,37 Mds FCFA (+10,01%), avec une nouvelle baisse du coefficient d'exploitation à 44,4%. Sur la base de cette tendance, on estime que l'exercice 2025 devrait confirmer une croissance soutenue du résultat net, portée par la hausse des dépôts (+9,8%) et une gestion prudente des risques. Les rapports de 2026 (T1) indiquent une poursuite de cette dynamique, avec un PNB en hausse de 6,82% et un résultat net en progression de 9,78%, suggérant une continuité dans la création de valeur.</w:t>
      </w:r>
    </w:p>
    <w:p>
      <w:pPr>
        <w:spacing w:after="120" w:line="276" w:lineRule="auto"/>
      </w:pPr>
      <w:r>
        <w:t>---</w:t>
      </w:r>
    </w:p>
    <w:p>
      <w:pPr>
        <w:spacing w:after="120" w:line="276" w:lineRule="auto"/>
      </w:pPr>
      <w:r>
        <w:t>### **PARTIE 4 : CONCLUSION D'INVESTISSEMENT**</w:t>
      </w:r>
    </w:p>
    <w:p>
      <w:pPr>
        <w:spacing w:after="120" w:line="276" w:lineRule="auto"/>
      </w:pPr>
      <w:r>
        <w:t>La valorisation de BOAS (PER 13,6x, P/B 3,1x) est exigeante mais cohérente avec une qualité de bilan et une rentabilité supérieures à la moyenne du marché. Le comportement du cours sur 100 jours (+23,88%) est fortement haussier, avec une volatilité modérée et une distribution statistique saine, sans signe de spéculation excessive. Les signaux techniques sont partagés : la tendance de fond (MM, MACD) est positive, mais les indicateurs de momentum (RSI à 77) suggèrent un risque de consolidation à court terme. Les fondamentaux sont excellents, avec une banque très efficace (coût du risque en baisse, coefficient d'exploitation maîtrisé) et une croissance rentable. Cependant, les prédictions IA pour les 10 prochains jours indiquent une correction potentielle, avec un cours projeté à 7 526 FCFA, soit une baisse d'environ 9% par rapport au cours actuel. Cette prédiction contredit le signal d'achat technique à long terme mais corrobore le signal de vente du RSI à court terme. Par conséquent, la recommandation finale est de **CONSERVER** le titre pour les investisseurs actuels, avec un niveau de confiance **Moyen** et un risque global **Moyen**. L'horizon d'investissement optimal est le **moyen terme (3-12 mois)**, en attendant une éventuelle correction pour renforcer les positions, la tendance de fond demeurant haussière.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21.02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2,187 titres</w:t>
            </w:r>
          </w:p>
        </w:tc>
        <w:tc>
          <w:tcPr>
            <w:tcW w:type="dxa" w:w="2268"/>
            <w:shd w:fill="FFF2CC" w:val="clear"/>
          </w:tcPr>
          <w:p>
            <w:r>
              <w:rPr>
                <w:b/>
                <w:color w:val="503200"/>
                <w:sz w:val="16"/>
              </w:rPr>
              <w:t xml:space="preserve">Cours actuel : </w:t>
            </w:r>
            <w:r>
              <w:rPr>
                <w:color w:val="000000"/>
                <w:sz w:val="17"/>
              </w:rPr>
              <w:t>3,550 FCFA</w:t>
            </w:r>
          </w:p>
          <w:p>
            <w:r>
              <w:rPr>
                <w:b/>
                <w:color w:val="503200"/>
                <w:sz w:val="16"/>
              </w:rPr>
              <w:t xml:space="preserve">Var. 100 jours : </w:t>
            </w:r>
            <w:r>
              <w:rPr>
                <w:b/>
                <w:color w:val="B40000"/>
                <w:sz w:val="17"/>
              </w:rPr>
              <w:t>-13.31%</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3,350 FCFA</w:t>
            </w:r>
          </w:p>
          <w:p>
            <w:r>
              <w:rPr>
                <w:b/>
                <w:color w:val="503200"/>
                <w:sz w:val="16"/>
              </w:rPr>
              <w:t xml:space="preserve">Volatilité ann. : </w:t>
            </w:r>
            <w:r>
              <w:rPr>
                <w:color w:val="000000"/>
                <w:sz w:val="17"/>
              </w:rPr>
              <w:t>50.0%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7.39% (Moyenne) — μ=3,748 FCFA, σ=277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β=0.2325 (Défensif) — Cov=0.000008, Var(idx)=0.000036, ρ=0.044,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2,187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σ_j=3.15%/j (Modérée) — Vol. annualisée≈50.0%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2026-09-04</w:t>
            </w:r>
          </w:p>
        </w:tc>
        <w:tc>
          <w:tcPr>
            <w:tcW w:type="dxa" w:w="1440"/>
            <w:shd w:fill="C6EFCE" w:val="clear"/>
          </w:tcPr>
          <w:p>
            <w:r>
              <w:rPr>
                <w:sz w:val="17"/>
              </w:rPr>
              <w:t>3,578</w:t>
            </w:r>
          </w:p>
        </w:tc>
        <w:tc>
          <w:tcPr>
            <w:tcW w:type="dxa" w:w="1440"/>
            <w:shd w:fill="C6EFCE" w:val="clear"/>
          </w:tcPr>
          <w:p>
            <w:r>
              <w:rPr>
                <w:b/>
                <w:sz w:val="17"/>
              </w:rPr>
              <w:t>3,704</w:t>
            </w:r>
          </w:p>
        </w:tc>
        <w:tc>
          <w:tcPr>
            <w:tcW w:type="dxa" w:w="1440"/>
            <w:shd w:fill="C6EFCE" w:val="clear"/>
          </w:tcPr>
          <w:p>
            <w:r>
              <w:rPr>
                <w:sz w:val="17"/>
              </w:rPr>
              <w:t>3,831</w:t>
            </w:r>
          </w:p>
        </w:tc>
        <w:tc>
          <w:tcPr>
            <w:tcW w:type="dxa" w:w="1440"/>
            <w:shd w:fill="C6EFCE" w:val="clear"/>
          </w:tcPr>
          <w:p>
            <w:r>
              <w:rPr>
                <w:b/>
                <w:color w:val="008000"/>
                <w:sz w:val="17"/>
              </w:rPr>
              <w:t>+4.3%</w:t>
            </w:r>
          </w:p>
        </w:tc>
      </w:tr>
      <w:tr>
        <w:tc>
          <w:tcPr>
            <w:tcW w:type="dxa" w:w="1440"/>
            <w:shd w:fill="C6EFCE" w:val="clear"/>
          </w:tcPr>
          <w:p>
            <w:r>
              <w:rPr>
                <w:sz w:val="17"/>
              </w:rPr>
              <w:t>J+2  Moyenne</w:t>
            </w:r>
          </w:p>
        </w:tc>
        <w:tc>
          <w:tcPr>
            <w:tcW w:type="dxa" w:w="1440"/>
            <w:shd w:fill="C6EFCE" w:val="clear"/>
          </w:tcPr>
          <w:p>
            <w:r>
              <w:rPr>
                <w:sz w:val="17"/>
              </w:rPr>
              <w:t>2026-09-07</w:t>
            </w:r>
          </w:p>
        </w:tc>
        <w:tc>
          <w:tcPr>
            <w:tcW w:type="dxa" w:w="1440"/>
            <w:shd w:fill="C6EFCE" w:val="clear"/>
          </w:tcPr>
          <w:p>
            <w:r>
              <w:rPr>
                <w:sz w:val="17"/>
              </w:rPr>
              <w:t>3,678</w:t>
            </w:r>
          </w:p>
        </w:tc>
        <w:tc>
          <w:tcPr>
            <w:tcW w:type="dxa" w:w="1440"/>
            <w:shd w:fill="C6EFCE" w:val="clear"/>
          </w:tcPr>
          <w:p>
            <w:r>
              <w:rPr>
                <w:b/>
                <w:sz w:val="17"/>
              </w:rPr>
              <w:t>3,864</w:t>
            </w:r>
          </w:p>
        </w:tc>
        <w:tc>
          <w:tcPr>
            <w:tcW w:type="dxa" w:w="1440"/>
            <w:shd w:fill="C6EFCE" w:val="clear"/>
          </w:tcPr>
          <w:p>
            <w:r>
              <w:rPr>
                <w:sz w:val="17"/>
              </w:rPr>
              <w:t>4,051</w:t>
            </w:r>
          </w:p>
        </w:tc>
        <w:tc>
          <w:tcPr>
            <w:tcW w:type="dxa" w:w="1440"/>
            <w:shd w:fill="C6EFCE" w:val="clear"/>
          </w:tcPr>
          <w:p>
            <w:r>
              <w:rPr>
                <w:b/>
                <w:color w:val="008000"/>
                <w:sz w:val="17"/>
              </w:rPr>
              <w:t>+8.9%</w:t>
            </w:r>
          </w:p>
        </w:tc>
      </w:tr>
      <w:tr>
        <w:tc>
          <w:tcPr>
            <w:tcW w:type="dxa" w:w="1440"/>
            <w:shd w:fill="C6EFCE" w:val="clear"/>
          </w:tcPr>
          <w:p>
            <w:r>
              <w:rPr>
                <w:sz w:val="17"/>
              </w:rPr>
              <w:t>J+3  Moyenne</w:t>
            </w:r>
          </w:p>
        </w:tc>
        <w:tc>
          <w:tcPr>
            <w:tcW w:type="dxa" w:w="1440"/>
            <w:shd w:fill="C6EFCE" w:val="clear"/>
          </w:tcPr>
          <w:p>
            <w:r>
              <w:rPr>
                <w:sz w:val="17"/>
              </w:rPr>
              <w:t>2026-09-08</w:t>
            </w:r>
          </w:p>
        </w:tc>
        <w:tc>
          <w:tcPr>
            <w:tcW w:type="dxa" w:w="1440"/>
            <w:shd w:fill="C6EFCE" w:val="clear"/>
          </w:tcPr>
          <w:p>
            <w:r>
              <w:rPr>
                <w:sz w:val="17"/>
              </w:rPr>
              <w:t>3,812</w:t>
            </w:r>
          </w:p>
        </w:tc>
        <w:tc>
          <w:tcPr>
            <w:tcW w:type="dxa" w:w="1440"/>
            <w:shd w:fill="C6EFCE" w:val="clear"/>
          </w:tcPr>
          <w:p>
            <w:r>
              <w:rPr>
                <w:b/>
                <w:sz w:val="17"/>
              </w:rPr>
              <w:t>4,052</w:t>
            </w:r>
          </w:p>
        </w:tc>
        <w:tc>
          <w:tcPr>
            <w:tcW w:type="dxa" w:w="1440"/>
            <w:shd w:fill="C6EFCE" w:val="clear"/>
          </w:tcPr>
          <w:p>
            <w:r>
              <w:rPr>
                <w:sz w:val="17"/>
              </w:rPr>
              <w:t>4,291</w:t>
            </w:r>
          </w:p>
        </w:tc>
        <w:tc>
          <w:tcPr>
            <w:tcW w:type="dxa" w:w="1440"/>
            <w:shd w:fill="C6EFCE" w:val="clear"/>
          </w:tcPr>
          <w:p>
            <w:r>
              <w:rPr>
                <w:b/>
                <w:color w:val="008000"/>
                <w:sz w:val="17"/>
              </w:rPr>
              <w:t>+14.1%</w:t>
            </w:r>
          </w:p>
        </w:tc>
      </w:tr>
      <w:tr>
        <w:tc>
          <w:tcPr>
            <w:tcW w:type="dxa" w:w="1440"/>
            <w:shd w:fill="C6EFCE" w:val="clear"/>
          </w:tcPr>
          <w:p>
            <w:r>
              <w:rPr>
                <w:sz w:val="17"/>
              </w:rPr>
              <w:t>J+4  ⭐</w:t>
            </w:r>
          </w:p>
        </w:tc>
        <w:tc>
          <w:tcPr>
            <w:tcW w:type="dxa" w:w="1440"/>
            <w:shd w:fill="C6EFCE" w:val="clear"/>
          </w:tcPr>
          <w:p>
            <w:r>
              <w:rPr>
                <w:sz w:val="17"/>
              </w:rPr>
              <w:t>2026-09-09</w:t>
            </w:r>
          </w:p>
        </w:tc>
        <w:tc>
          <w:tcPr>
            <w:tcW w:type="dxa" w:w="1440"/>
            <w:shd w:fill="C6EFCE" w:val="clear"/>
          </w:tcPr>
          <w:p>
            <w:r>
              <w:rPr>
                <w:sz w:val="17"/>
              </w:rPr>
              <w:t>3,972</w:t>
            </w:r>
          </w:p>
        </w:tc>
        <w:tc>
          <w:tcPr>
            <w:tcW w:type="dxa" w:w="1440"/>
            <w:shd w:fill="C6EFCE" w:val="clear"/>
          </w:tcPr>
          <w:p>
            <w:r>
              <w:rPr>
                <w:b/>
                <w:sz w:val="17"/>
              </w:rPr>
              <w:t>4,263</w:t>
            </w:r>
          </w:p>
        </w:tc>
        <w:tc>
          <w:tcPr>
            <w:tcW w:type="dxa" w:w="1440"/>
            <w:shd w:fill="C6EFCE" w:val="clear"/>
          </w:tcPr>
          <w:p>
            <w:r>
              <w:rPr>
                <w:sz w:val="17"/>
              </w:rPr>
              <w:t>4,554</w:t>
            </w:r>
          </w:p>
        </w:tc>
        <w:tc>
          <w:tcPr>
            <w:tcW w:type="dxa" w:w="1440"/>
            <w:shd w:fill="C6EFCE" w:val="clear"/>
          </w:tcPr>
          <w:p>
            <w:r>
              <w:rPr>
                <w:b/>
                <w:color w:val="008000"/>
                <w:sz w:val="17"/>
              </w:rPr>
              <w:t>+20.1%</w:t>
            </w:r>
          </w:p>
        </w:tc>
      </w:tr>
      <w:tr>
        <w:tc>
          <w:tcPr>
            <w:tcW w:type="dxa" w:w="1440"/>
            <w:shd w:fill="C6EFCE" w:val="clear"/>
          </w:tcPr>
          <w:p>
            <w:r>
              <w:rPr>
                <w:sz w:val="17"/>
              </w:rPr>
              <w:t>J+5  ⭐</w:t>
            </w:r>
          </w:p>
        </w:tc>
        <w:tc>
          <w:tcPr>
            <w:tcW w:type="dxa" w:w="1440"/>
            <w:shd w:fill="C6EFCE" w:val="clear"/>
          </w:tcPr>
          <w:p>
            <w:r>
              <w:rPr>
                <w:sz w:val="17"/>
              </w:rPr>
              <w:t>2026-09-10</w:t>
            </w:r>
          </w:p>
        </w:tc>
        <w:tc>
          <w:tcPr>
            <w:tcW w:type="dxa" w:w="1440"/>
            <w:shd w:fill="C6EFCE" w:val="clear"/>
          </w:tcPr>
          <w:p>
            <w:r>
              <w:rPr>
                <w:sz w:val="17"/>
              </w:rPr>
              <w:t>4,157</w:t>
            </w:r>
          </w:p>
        </w:tc>
        <w:tc>
          <w:tcPr>
            <w:tcW w:type="dxa" w:w="1440"/>
            <w:shd w:fill="C6EFCE" w:val="clear"/>
          </w:tcPr>
          <w:p>
            <w:r>
              <w:rPr>
                <w:b/>
                <w:sz w:val="17"/>
              </w:rPr>
              <w:t>4,501</w:t>
            </w:r>
          </w:p>
        </w:tc>
        <w:tc>
          <w:tcPr>
            <w:tcW w:type="dxa" w:w="1440"/>
            <w:shd w:fill="C6EFCE" w:val="clear"/>
          </w:tcPr>
          <w:p>
            <w:r>
              <w:rPr>
                <w:sz w:val="17"/>
              </w:rPr>
              <w:t>4,844</w:t>
            </w:r>
          </w:p>
        </w:tc>
        <w:tc>
          <w:tcPr>
            <w:tcW w:type="dxa" w:w="1440"/>
            <w:shd w:fill="C6EFCE" w:val="clear"/>
          </w:tcPr>
          <w:p>
            <w:r>
              <w:rPr>
                <w:b/>
                <w:color w:val="008000"/>
                <w:sz w:val="17"/>
              </w:rPr>
              <w:t>+26.8%</w:t>
            </w:r>
          </w:p>
        </w:tc>
      </w:tr>
      <w:tr>
        <w:tc>
          <w:tcPr>
            <w:tcW w:type="dxa" w:w="1440"/>
            <w:shd w:fill="C6EFCE" w:val="clear"/>
          </w:tcPr>
          <w:p>
            <w:r>
              <w:rPr>
                <w:sz w:val="17"/>
              </w:rPr>
              <w:t>J+6  ⭐</w:t>
            </w:r>
          </w:p>
        </w:tc>
        <w:tc>
          <w:tcPr>
            <w:tcW w:type="dxa" w:w="1440"/>
            <w:shd w:fill="C6EFCE" w:val="clear"/>
          </w:tcPr>
          <w:p>
            <w:r>
              <w:rPr>
                <w:sz w:val="17"/>
              </w:rPr>
              <w:t>2026-09-11</w:t>
            </w:r>
          </w:p>
        </w:tc>
        <w:tc>
          <w:tcPr>
            <w:tcW w:type="dxa" w:w="1440"/>
            <w:shd w:fill="C6EFCE" w:val="clear"/>
          </w:tcPr>
          <w:p>
            <w:r>
              <w:rPr>
                <w:sz w:val="17"/>
              </w:rPr>
              <w:t>4,373</w:t>
            </w:r>
          </w:p>
        </w:tc>
        <w:tc>
          <w:tcPr>
            <w:tcW w:type="dxa" w:w="1440"/>
            <w:shd w:fill="C6EFCE" w:val="clear"/>
          </w:tcPr>
          <w:p>
            <w:r>
              <w:rPr>
                <w:b/>
                <w:sz w:val="17"/>
              </w:rPr>
              <w:t>4,772</w:t>
            </w:r>
          </w:p>
        </w:tc>
        <w:tc>
          <w:tcPr>
            <w:tcW w:type="dxa" w:w="1440"/>
            <w:shd w:fill="C6EFCE" w:val="clear"/>
          </w:tcPr>
          <w:p>
            <w:r>
              <w:rPr>
                <w:sz w:val="17"/>
              </w:rPr>
              <w:t>5,170</w:t>
            </w:r>
          </w:p>
        </w:tc>
        <w:tc>
          <w:tcPr>
            <w:tcW w:type="dxa" w:w="1440"/>
            <w:shd w:fill="C6EFCE" w:val="clear"/>
          </w:tcPr>
          <w:p>
            <w:r>
              <w:rPr>
                <w:b/>
                <w:color w:val="008000"/>
                <w:sz w:val="17"/>
              </w:rPr>
              <w:t>+34.4%</w:t>
            </w:r>
          </w:p>
        </w:tc>
      </w:tr>
      <w:tr>
        <w:tc>
          <w:tcPr>
            <w:tcW w:type="dxa" w:w="1440"/>
            <w:shd w:fill="C6EFCE" w:val="clear"/>
          </w:tcPr>
          <w:p>
            <w:r>
              <w:rPr>
                <w:sz w:val="17"/>
              </w:rPr>
              <w:t>J+7  ⭐</w:t>
            </w:r>
          </w:p>
        </w:tc>
        <w:tc>
          <w:tcPr>
            <w:tcW w:type="dxa" w:w="1440"/>
            <w:shd w:fill="C6EFCE" w:val="clear"/>
          </w:tcPr>
          <w:p>
            <w:r>
              <w:rPr>
                <w:sz w:val="17"/>
              </w:rPr>
              <w:t>2026-09-14</w:t>
            </w:r>
          </w:p>
        </w:tc>
        <w:tc>
          <w:tcPr>
            <w:tcW w:type="dxa" w:w="1440"/>
            <w:shd w:fill="C6EFCE" w:val="clear"/>
          </w:tcPr>
          <w:p>
            <w:r>
              <w:rPr>
                <w:sz w:val="17"/>
              </w:rPr>
              <w:t>4,628</w:t>
            </w:r>
          </w:p>
        </w:tc>
        <w:tc>
          <w:tcPr>
            <w:tcW w:type="dxa" w:w="1440"/>
            <w:shd w:fill="C6EFCE" w:val="clear"/>
          </w:tcPr>
          <w:p>
            <w:r>
              <w:rPr>
                <w:b/>
                <w:sz w:val="17"/>
              </w:rPr>
              <w:t>5,087</w:t>
            </w:r>
          </w:p>
        </w:tc>
        <w:tc>
          <w:tcPr>
            <w:tcW w:type="dxa" w:w="1440"/>
            <w:shd w:fill="C6EFCE" w:val="clear"/>
          </w:tcPr>
          <w:p>
            <w:r>
              <w:rPr>
                <w:sz w:val="17"/>
              </w:rPr>
              <w:t>5,546</w:t>
            </w:r>
          </w:p>
        </w:tc>
        <w:tc>
          <w:tcPr>
            <w:tcW w:type="dxa" w:w="1440"/>
            <w:shd w:fill="C6EFCE" w:val="clear"/>
          </w:tcPr>
          <w:p>
            <w:r>
              <w:rPr>
                <w:b/>
                <w:color w:val="008000"/>
                <w:sz w:val="17"/>
              </w:rPr>
              <w:t>+43.3%</w:t>
            </w:r>
          </w:p>
        </w:tc>
      </w:tr>
      <w:tr>
        <w:tc>
          <w:tcPr>
            <w:tcW w:type="dxa" w:w="1440"/>
            <w:shd w:fill="C6EFCE" w:val="clear"/>
          </w:tcPr>
          <w:p>
            <w:r>
              <w:rPr>
                <w:sz w:val="17"/>
              </w:rPr>
              <w:t>J+8  ⭐</w:t>
            </w:r>
          </w:p>
        </w:tc>
        <w:tc>
          <w:tcPr>
            <w:tcW w:type="dxa" w:w="1440"/>
            <w:shd w:fill="C6EFCE" w:val="clear"/>
          </w:tcPr>
          <w:p>
            <w:r>
              <w:rPr>
                <w:sz w:val="17"/>
              </w:rPr>
              <w:t>2026-09-15</w:t>
            </w:r>
          </w:p>
        </w:tc>
        <w:tc>
          <w:tcPr>
            <w:tcW w:type="dxa" w:w="1440"/>
            <w:shd w:fill="C6EFCE" w:val="clear"/>
          </w:tcPr>
          <w:p>
            <w:r>
              <w:rPr>
                <w:sz w:val="17"/>
              </w:rPr>
              <w:t>4,934</w:t>
            </w:r>
          </w:p>
        </w:tc>
        <w:tc>
          <w:tcPr>
            <w:tcW w:type="dxa" w:w="1440"/>
            <w:shd w:fill="C6EFCE" w:val="clear"/>
          </w:tcPr>
          <w:p>
            <w:r>
              <w:rPr>
                <w:b/>
                <w:sz w:val="17"/>
              </w:rPr>
              <w:t>5,460</w:t>
            </w:r>
          </w:p>
        </w:tc>
        <w:tc>
          <w:tcPr>
            <w:tcW w:type="dxa" w:w="1440"/>
            <w:shd w:fill="C6EFCE" w:val="clear"/>
          </w:tcPr>
          <w:p>
            <w:r>
              <w:rPr>
                <w:sz w:val="17"/>
              </w:rPr>
              <w:t>5,987</w:t>
            </w:r>
          </w:p>
        </w:tc>
        <w:tc>
          <w:tcPr>
            <w:tcW w:type="dxa" w:w="1440"/>
            <w:shd w:fill="C6EFCE" w:val="clear"/>
          </w:tcPr>
          <w:p>
            <w:r>
              <w:rPr>
                <w:b/>
                <w:color w:val="008000"/>
                <w:sz w:val="17"/>
              </w:rPr>
              <w:t>+53.8%</w:t>
            </w:r>
          </w:p>
        </w:tc>
      </w:tr>
      <w:tr>
        <w:tc>
          <w:tcPr>
            <w:tcW w:type="dxa" w:w="1440"/>
            <w:shd w:fill="C6EFCE" w:val="clear"/>
          </w:tcPr>
          <w:p>
            <w:r>
              <w:rPr>
                <w:sz w:val="17"/>
              </w:rPr>
              <w:t>J+9  ⭐</w:t>
            </w:r>
          </w:p>
        </w:tc>
        <w:tc>
          <w:tcPr>
            <w:tcW w:type="dxa" w:w="1440"/>
            <w:shd w:fill="C6EFCE" w:val="clear"/>
          </w:tcPr>
          <w:p>
            <w:r>
              <w:rPr>
                <w:sz w:val="17"/>
              </w:rPr>
              <w:t>2026-09-16</w:t>
            </w:r>
          </w:p>
        </w:tc>
        <w:tc>
          <w:tcPr>
            <w:tcW w:type="dxa" w:w="1440"/>
            <w:shd w:fill="C6EFCE" w:val="clear"/>
          </w:tcPr>
          <w:p>
            <w:r>
              <w:rPr>
                <w:sz w:val="17"/>
              </w:rPr>
              <w:t>5,269</w:t>
            </w:r>
          </w:p>
        </w:tc>
        <w:tc>
          <w:tcPr>
            <w:tcW w:type="dxa" w:w="1440"/>
            <w:shd w:fill="C6EFCE" w:val="clear"/>
          </w:tcPr>
          <w:p>
            <w:r>
              <w:rPr>
                <w:b/>
                <w:sz w:val="17"/>
              </w:rPr>
              <w:t>5,870</w:t>
            </w:r>
          </w:p>
        </w:tc>
        <w:tc>
          <w:tcPr>
            <w:tcW w:type="dxa" w:w="1440"/>
            <w:shd w:fill="C6EFCE" w:val="clear"/>
          </w:tcPr>
          <w:p>
            <w:r>
              <w:rPr>
                <w:sz w:val="17"/>
              </w:rPr>
              <w:t>6,471</w:t>
            </w:r>
          </w:p>
        </w:tc>
        <w:tc>
          <w:tcPr>
            <w:tcW w:type="dxa" w:w="1440"/>
            <w:shd w:fill="C6EFCE" w:val="clear"/>
          </w:tcPr>
          <w:p>
            <w:r>
              <w:rPr>
                <w:b/>
                <w:color w:val="008000"/>
                <w:sz w:val="17"/>
              </w:rPr>
              <w:t>+65.4%</w:t>
            </w:r>
          </w:p>
        </w:tc>
      </w:tr>
      <w:tr>
        <w:tc>
          <w:tcPr>
            <w:tcW w:type="dxa" w:w="1440"/>
            <w:shd w:fill="C6EFCE" w:val="clear"/>
          </w:tcPr>
          <w:p>
            <w:r>
              <w:rPr>
                <w:sz w:val="17"/>
              </w:rPr>
              <w:t>J+10  ⭐</w:t>
            </w:r>
          </w:p>
        </w:tc>
        <w:tc>
          <w:tcPr>
            <w:tcW w:type="dxa" w:w="1440"/>
            <w:shd w:fill="C6EFCE" w:val="clear"/>
          </w:tcPr>
          <w:p>
            <w:r>
              <w:rPr>
                <w:sz w:val="17"/>
              </w:rPr>
              <w:t>2026-09-17</w:t>
            </w:r>
          </w:p>
        </w:tc>
        <w:tc>
          <w:tcPr>
            <w:tcW w:type="dxa" w:w="1440"/>
            <w:shd w:fill="C6EFCE" w:val="clear"/>
          </w:tcPr>
          <w:p>
            <w:r>
              <w:rPr>
                <w:sz w:val="17"/>
              </w:rPr>
              <w:t>5,630</w:t>
            </w:r>
          </w:p>
        </w:tc>
        <w:tc>
          <w:tcPr>
            <w:tcW w:type="dxa" w:w="1440"/>
            <w:shd w:fill="C6EFCE" w:val="clear"/>
          </w:tcPr>
          <w:p>
            <w:r>
              <w:rPr>
                <w:b/>
                <w:sz w:val="17"/>
              </w:rPr>
              <w:t>6,310</w:t>
            </w:r>
          </w:p>
        </w:tc>
        <w:tc>
          <w:tcPr>
            <w:tcW w:type="dxa" w:w="1440"/>
            <w:shd w:fill="C6EFCE" w:val="clear"/>
          </w:tcPr>
          <w:p>
            <w:r>
              <w:rPr>
                <w:sz w:val="17"/>
              </w:rPr>
              <w:t>6,991</w:t>
            </w:r>
          </w:p>
        </w:tc>
        <w:tc>
          <w:tcPr>
            <w:tcW w:type="dxa" w:w="1440"/>
            <w:shd w:fill="C6EFCE" w:val="clear"/>
          </w:tcPr>
          <w:p>
            <w:r>
              <w:rPr>
                <w:b/>
                <w:color w:val="008000"/>
                <w:sz w:val="17"/>
              </w:rPr>
              <w:t>+77.8%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**Date de l'analyse : 3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CABC s'établit à 21,02 milliards FCFA, un niveau modeste dans l'écosystème de la BRVM, reflétant un profil de valeur moyenne. Avec un BPA de 243 FCFA, le titre se négocie à un PER de 14,6x, ce qui représente une prime significative par rapport à la moyenne historique du marché régional (8-12x). Cette valorisation suggère que les investisseurs intègrent déjà des perspectives de croissance future, malgré un historique récent contrasté. Le P/B de 2,25x indique que le marché valorise la société à plus du double de sa valeur comptable, traduisant une prime de croissance accordée par les investisseurs. Enfin, un EV/EBITDA de 7,4x, situé dans la fourchette raisonnable de 5-10x, témoigne d'une évaluation cohérente de la capacité opérationnelle de l'entreprise, sans excès majeur.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l'action CABC a subi une dépréciation significative de -13,31%, passant de ses plus hauts à un cours actuel de 3 550 FCFA, bien que la dernière séance affiche un rebond de +1,43%. Le titre a évolué dans une fourchette de 1 150 FCFA, entre un plancher de 3 350 FCFA et un plafond de 4 500 FCFA, illustrant une volatilité marquée. La moyenne du cours sur la période (3 748 FCFA) est supérieure à la médiane (3 672 FCFA), et le skewness positif de 0,860 confirme une asymétrie avec des épisodes de forte hausse moins fréquents mais plus amples, tandis que la majorité des séances se situent sous la moyenne. L'écart-type de 278 FCFA (CV de 7,4%) indique une dispersion modérée autour de la moyenne. Le kurtosis proche de zéro (0,133) suggère une distribution mésokurtique, sans risque de variations extrêmes particulier. La volatilité annualisée de 50% classe le titre comme très spéculatif, un niveau élevé qui exige une grande prudence.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(3 550 FCFA) se positionne sous la MM20 (3 546,5 FCFA) et nettement sous la MM50 (3 764 FCFA), configuration baissière classique. La MM50 agissant comme une résistance dynamique, la tendance de fond reste négative, justifiant la décision de Vente.</w:t>
      </w:r>
    </w:p>
    <w:p>
      <w:pPr>
        <w:spacing w:after="120" w:line="276" w:lineRule="auto"/>
      </w:pPr>
      <w:r>
        <w:t>**Bandes de Bollinger** : Le prix évolue entre la borne inférieure (3 405,8 FCFA) et la borne supérieure (3 687,2 FCFA), proche de la moyenne. Cette position centrale indique une volatilité en contraction après les mouvements récents, d'où une décision Neutre, le marché cherchant une direction.</w:t>
      </w:r>
    </w:p>
    <w:p>
      <w:pPr>
        <w:spacing w:after="120" w:line="276" w:lineRule="auto"/>
      </w:pPr>
      <w:r>
        <w:t>**MACD** : La valeur du MACD (-52,7) est supérieure à sa ligne de signal (-59,4), ce qui constitue un croisement haussier récent. Bien que les deux lignes soient en territoire négatif, ce croisement suggère un momentum positif en train de se former, justifiant la décision d'Achat.</w:t>
      </w:r>
    </w:p>
    <w:p>
      <w:pPr>
        <w:spacing w:after="120" w:line="276" w:lineRule="auto"/>
      </w:pPr>
      <w:r>
        <w:t>**RSI** : À 56,25, l'indice de force relative se situe en zone neutre (30-70), indiquant un équilibre entre pressions acheteuses et vendeuses. Il n'y a pas de condition de surachat ou de survente, laissant place à une évolution directionnelle, d'où la décision Neutre.</w:t>
      </w:r>
    </w:p>
    <w:p>
      <w:pPr>
        <w:spacing w:after="120" w:line="276" w:lineRule="auto"/>
      </w:pPr>
      <w:r>
        <w:t>**Stochastique** : Le %K (26,19) est nettement supérieur au %D (11,06), signalant un croisement haussier depuis des conditions de survente. Cette configuration indique un potentiel de rebond technique à court terme, mais la faiblesse des valeurs suggère une prudence, justifiant la décision Neutre.</w:t>
      </w:r>
    </w:p>
    <w:p>
      <w:pPr>
        <w:spacing w:after="120" w:line="276" w:lineRule="auto"/>
      </w:pPr>
      <w:r>
        <w:t>**Conclusion technique** : Les signaux sont mitigés. La tendance de fond (MM) reste baissière, mais les oscillateurs (MACD, Stochastique) montrent des signes de retournement haussier. Le RSI neutre et les bandes de Bollinger resserrées indiquent une phase d'accumulation. La prudence reste de mise, mais un rebond technique semble se dessiner à court terme.</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officielles, CABC a réalisé un chiffre d'affaires de 21,263 milliards FCFA, en croissance de +11,2% par rapport à 2024 (19,125 Mds FCFA), confirmant la dynamique commerciale. Le résultat net s'établit à 1,439 milliard FCFA, en légère progression par rapport à 2024 (1,375 Md FCFA), avec une marge nette de 6,77%. La rentabilité des capitaux propres (ROE) est excellente à 15,4%, et le ROA de 6,1% est satisfaisant. Cependant, l'analyse sectorielle (ENTREPRISE) révèle des points de vigilance : le délai de paiement des clients est très élevé (144,7 jours) et la durée de stockage atteint 152 jours, immobilisant un capital important. Le BFR s'élève à 7,186 milliards FCFA, ce qui a généré un flux de trésorerie opérationnel négatif de -819,7 millions FCFA en 2025, malgré une CAF positive de 1,593 milliard FCFA. Les rapports trimestriels 2025 (S1 et 9 mois) confirment la tendance positive avec des résultats nets en hausse de +55,3% et +26% respectivement. Toutefois, le rapport du T1 2026 (daté de 2026) fait état d'une chute du CA de -26,5% et d'une perte nette de -221,7 millions FCFA, attribuée à une maintenance planifiée et à la hausse des cours des métaux. Sur la base de ce rapport T1 2026, on estime que l'exercice 2026 pourrait être difficile, avec un résultat net potentiellement en baisse significative par rapport à 2025, à moins d'un rattrapage massif au T2 comme anticipé par la direction. La solidité financière reste néanmoins assurée par une trésorerie nette de 5,139 milliards FCFA et un endettement très faible.</w:t>
      </w:r>
    </w:p>
    <w:p>
      <w:pPr>
        <w:spacing w:after="120" w:line="276" w:lineRule="auto"/>
      </w:pPr>
      <w:r>
        <w:t>---</w:t>
      </w:r>
    </w:p>
    <w:p>
      <w:pPr>
        <w:spacing w:after="120" w:line="276" w:lineRule="auto"/>
      </w:pPr>
      <w:r>
        <w:t>### PARTIE 4 : CONCLUSION D'INVESTISSEMENT</w:t>
      </w:r>
    </w:p>
    <w:p>
      <w:pPr>
        <w:spacing w:after="120" w:line="276" w:lineRule="auto"/>
      </w:pPr>
      <w:r>
        <w:t>La valorisation actuelle de CABC (PER de 14,6x, P/B de 2,25x) apparaît exigeante au regard des fondamentaux historiques, mais elle est cohérente avec la croissance du chiffre d'affaires et l'excellente rentabilité des capitaux propres de 2025. Le comportement du cours sur 100 jours est préoccupant avec une baisse de -13,31% et une volatilité annualisée de 50%, indiquant un risque élevé. Les signaux techniques sont divergents : la tendance de fond reste baissière (MM), mais les indicateurs de momentum (MACD, Stochastique) suggèrent un potentiel de rebond. Les fondamentaux de 2025 étaient solides, mais les données du T1 2026 montrent une dégradation brutale, créant une incertitude majeure. Les prédictions IA pour les 10 prochains jours (3 704 à 4 501 FCFA) anticipent un rebond très marqué de +27%, ce qui contredit la tendance baissière récente mais s'aligne avec les signaux techniques de retournement. Cette convergence entre les prédictions IA et les oscillateurs techniques, malgré des fondamentaux à court terme incertains, suggère une recommandation **CONSERVER**. Le niveau de confiance est **Moyen** et le risque global est **Élevé**. L'horizon d'investissement optimal serait le **moyen terme (3-12 mois)**, afin de laisser le temps à la société de confirmer son redressement opérationnel après la maintenance du T1 2026.</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1059.20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1,473 titres</w:t>
            </w:r>
          </w:p>
        </w:tc>
        <w:tc>
          <w:tcPr>
            <w:tcW w:type="dxa" w:w="2268"/>
            <w:shd w:fill="FFF2CC" w:val="clear"/>
          </w:tcPr>
          <w:p>
            <w:r>
              <w:rPr>
                <w:b/>
                <w:color w:val="503200"/>
                <w:sz w:val="16"/>
              </w:rPr>
              <w:t xml:space="preserve">Cours actuel : </w:t>
            </w:r>
            <w:r>
              <w:rPr>
                <w:color w:val="000000"/>
                <w:sz w:val="17"/>
              </w:rPr>
              <w:t>33,100 FCFA</w:t>
            </w:r>
          </w:p>
          <w:p>
            <w:r>
              <w:rPr>
                <w:b/>
                <w:color w:val="503200"/>
                <w:sz w:val="16"/>
              </w:rPr>
              <w:t xml:space="preserve">Var. 100 jours : </w:t>
            </w:r>
            <w:r>
              <w:rPr>
                <w:b/>
                <w:color w:val="007800"/>
                <w:sz w:val="17"/>
              </w:rPr>
              <w:t>+119.79%</w:t>
            </w:r>
          </w:p>
          <w:p>
            <w:r>
              <w:rPr>
                <w:b/>
                <w:color w:val="503200"/>
                <w:sz w:val="16"/>
              </w:rPr>
              <w:t xml:space="preserve">Plus haut 100j : </w:t>
            </w:r>
            <w:r>
              <w:rPr>
                <w:color w:val="000000"/>
                <w:sz w:val="17"/>
              </w:rPr>
              <w:t>33,100 FCFA</w:t>
            </w:r>
          </w:p>
          <w:p>
            <w:r>
              <w:rPr>
                <w:b/>
                <w:color w:val="503200"/>
                <w:sz w:val="16"/>
              </w:rPr>
              <w:t xml:space="preserve">Plus bas 100j : </w:t>
            </w:r>
            <w:r>
              <w:rPr>
                <w:color w:val="000000"/>
                <w:sz w:val="17"/>
              </w:rPr>
              <w:t>15,060 FCFA</w:t>
            </w:r>
          </w:p>
          <w:p>
            <w:r>
              <w:rPr>
                <w:b/>
                <w:color w:val="503200"/>
                <w:sz w:val="16"/>
              </w:rPr>
              <w:t xml:space="preserve">Volatilité ann. : </w:t>
            </w:r>
            <w:r>
              <w:rPr>
                <w:color w:val="000000"/>
                <w:sz w:val="17"/>
              </w:rPr>
              <w:t>42.5%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30.1/100 → Moyen</w:t>
      </w:r>
    </w:p>
    <w:p>
      <w:pPr>
        <w:spacing w:before="40" w:after="80"/>
      </w:pPr>
      <w:r>
        <w:rPr>
          <w:rFonts w:ascii="Courier New" w:hAnsi="Courier New"/>
          <w:color w:val="825A00"/>
          <w:sz w:val="18"/>
        </w:rPr>
        <w:t>██████░░░░░░░░░░░░░░  30.1/100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21.69% (Élevée) — μ=23,330 FCFA, σ=5,060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β=0.8113 (Neutre (suit le marché)) — Cov=0.000029, Var(idx)=0.000036, ρ=0.185,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1,473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σ_j=2.68%/j (Stable) — Vol. annualisée≈42.5%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319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2026-09-04</w:t>
            </w:r>
          </w:p>
        </w:tc>
        <w:tc>
          <w:tcPr>
            <w:tcW w:type="dxa" w:w="1440"/>
            <w:shd w:fill="FFDCE0" w:val="clear"/>
          </w:tcPr>
          <w:p>
            <w:r>
              <w:rPr>
                <w:sz w:val="17"/>
              </w:rPr>
              <w:t>29,751</w:t>
            </w:r>
          </w:p>
        </w:tc>
        <w:tc>
          <w:tcPr>
            <w:tcW w:type="dxa" w:w="1440"/>
            <w:shd w:fill="FFDCE0" w:val="clear"/>
          </w:tcPr>
          <w:p>
            <w:r>
              <w:rPr>
                <w:b/>
                <w:sz w:val="17"/>
              </w:rPr>
              <w:t>30,618</w:t>
            </w:r>
          </w:p>
        </w:tc>
        <w:tc>
          <w:tcPr>
            <w:tcW w:type="dxa" w:w="1440"/>
            <w:shd w:fill="FFDCE0" w:val="clear"/>
          </w:tcPr>
          <w:p>
            <w:r>
              <w:rPr>
                <w:sz w:val="17"/>
              </w:rPr>
              <w:t>31,484</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2026-09-07</w:t>
            </w:r>
          </w:p>
        </w:tc>
        <w:tc>
          <w:tcPr>
            <w:tcW w:type="dxa" w:w="1440"/>
            <w:shd w:fill="FFDCE0" w:val="clear"/>
          </w:tcPr>
          <w:p>
            <w:r>
              <w:rPr>
                <w:sz w:val="17"/>
              </w:rPr>
              <w:t>27,187</w:t>
            </w:r>
          </w:p>
        </w:tc>
        <w:tc>
          <w:tcPr>
            <w:tcW w:type="dxa" w:w="1440"/>
            <w:shd w:fill="FFDCE0" w:val="clear"/>
          </w:tcPr>
          <w:p>
            <w:r>
              <w:rPr>
                <w:b/>
                <w:sz w:val="17"/>
              </w:rPr>
              <w:t>28,321</w:t>
            </w:r>
          </w:p>
        </w:tc>
        <w:tc>
          <w:tcPr>
            <w:tcW w:type="dxa" w:w="1440"/>
            <w:shd w:fill="FFDCE0" w:val="clear"/>
          </w:tcPr>
          <w:p>
            <w:r>
              <w:rPr>
                <w:sz w:val="17"/>
              </w:rPr>
              <w:t>29,455</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2026-09-08</w:t>
            </w:r>
          </w:p>
        </w:tc>
        <w:tc>
          <w:tcPr>
            <w:tcW w:type="dxa" w:w="1440"/>
            <w:shd w:fill="FFDCE0" w:val="clear"/>
          </w:tcPr>
          <w:p>
            <w:r>
              <w:rPr>
                <w:sz w:val="17"/>
              </w:rPr>
              <w:t>24,912</w:t>
            </w:r>
          </w:p>
        </w:tc>
        <w:tc>
          <w:tcPr>
            <w:tcW w:type="dxa" w:w="1440"/>
            <w:shd w:fill="FFDCE0" w:val="clear"/>
          </w:tcPr>
          <w:p>
            <w:r>
              <w:rPr>
                <w:b/>
                <w:sz w:val="17"/>
              </w:rPr>
              <w:t>26,197</w:t>
            </w:r>
          </w:p>
        </w:tc>
        <w:tc>
          <w:tcPr>
            <w:tcW w:type="dxa" w:w="1440"/>
            <w:shd w:fill="FFDCE0" w:val="clear"/>
          </w:tcPr>
          <w:p>
            <w:r>
              <w:rPr>
                <w:sz w:val="17"/>
              </w:rPr>
              <w:t>27,482</w:t>
            </w:r>
          </w:p>
        </w:tc>
        <w:tc>
          <w:tcPr>
            <w:tcW w:type="dxa" w:w="1440"/>
            <w:shd w:fill="FFDCE0" w:val="clear"/>
          </w:tcPr>
          <w:p>
            <w:r>
              <w:rPr>
                <w:b/>
                <w:color w:val="C00000"/>
                <w:sz w:val="17"/>
              </w:rPr>
              <w:t>-20.9%</w:t>
            </w:r>
          </w:p>
        </w:tc>
      </w:tr>
      <w:tr>
        <w:tc>
          <w:tcPr>
            <w:tcW w:type="dxa" w:w="1440"/>
            <w:shd w:fill="FFDCE0" w:val="clear"/>
          </w:tcPr>
          <w:p>
            <w:r>
              <w:rPr>
                <w:sz w:val="17"/>
              </w:rPr>
              <w:t>J+4  Moyenne</w:t>
            </w:r>
          </w:p>
        </w:tc>
        <w:tc>
          <w:tcPr>
            <w:tcW w:type="dxa" w:w="1440"/>
            <w:shd w:fill="FFDCE0" w:val="clear"/>
          </w:tcPr>
          <w:p>
            <w:r>
              <w:rPr>
                <w:sz w:val="17"/>
              </w:rPr>
              <w:t>2026-09-09</w:t>
            </w:r>
          </w:p>
        </w:tc>
        <w:tc>
          <w:tcPr>
            <w:tcW w:type="dxa" w:w="1440"/>
            <w:shd w:fill="FFDCE0" w:val="clear"/>
          </w:tcPr>
          <w:p>
            <w:r>
              <w:rPr>
                <w:sz w:val="17"/>
              </w:rPr>
              <w:t>22,860</w:t>
            </w:r>
          </w:p>
        </w:tc>
        <w:tc>
          <w:tcPr>
            <w:tcW w:type="dxa" w:w="1440"/>
            <w:shd w:fill="FFDCE0" w:val="clear"/>
          </w:tcPr>
          <w:p>
            <w:r>
              <w:rPr>
                <w:b/>
                <w:sz w:val="17"/>
              </w:rPr>
              <w:t>24,232</w:t>
            </w:r>
          </w:p>
        </w:tc>
        <w:tc>
          <w:tcPr>
            <w:tcW w:type="dxa" w:w="1440"/>
            <w:shd w:fill="FFDCE0" w:val="clear"/>
          </w:tcPr>
          <w:p>
            <w:r>
              <w:rPr>
                <w:sz w:val="17"/>
              </w:rPr>
              <w:t>25,605</w:t>
            </w:r>
          </w:p>
        </w:tc>
        <w:tc>
          <w:tcPr>
            <w:tcW w:type="dxa" w:w="1440"/>
            <w:shd w:fill="FFDCE0" w:val="clear"/>
          </w:tcPr>
          <w:p>
            <w:r>
              <w:rPr>
                <w:b/>
                <w:color w:val="C00000"/>
                <w:sz w:val="17"/>
              </w:rPr>
              <w:t>-26.8%</w:t>
            </w:r>
          </w:p>
        </w:tc>
      </w:tr>
      <w:tr>
        <w:tc>
          <w:tcPr>
            <w:tcW w:type="dxa" w:w="1440"/>
            <w:shd w:fill="FFDCE0" w:val="clear"/>
          </w:tcPr>
          <w:p>
            <w:r>
              <w:rPr>
                <w:sz w:val="17"/>
              </w:rPr>
              <w:t>J+5  Moyenne</w:t>
            </w:r>
          </w:p>
        </w:tc>
        <w:tc>
          <w:tcPr>
            <w:tcW w:type="dxa" w:w="1440"/>
            <w:shd w:fill="FFDCE0" w:val="clear"/>
          </w:tcPr>
          <w:p>
            <w:r>
              <w:rPr>
                <w:sz w:val="17"/>
              </w:rPr>
              <w:t>2026-09-10</w:t>
            </w:r>
          </w:p>
        </w:tc>
        <w:tc>
          <w:tcPr>
            <w:tcW w:type="dxa" w:w="1440"/>
            <w:shd w:fill="FFDCE0" w:val="clear"/>
          </w:tcPr>
          <w:p>
            <w:r>
              <w:rPr>
                <w:sz w:val="17"/>
              </w:rPr>
              <w:t>20,996</w:t>
            </w:r>
          </w:p>
        </w:tc>
        <w:tc>
          <w:tcPr>
            <w:tcW w:type="dxa" w:w="1440"/>
            <w:shd w:fill="FFDCE0" w:val="clear"/>
          </w:tcPr>
          <w:p>
            <w:r>
              <w:rPr>
                <w:b/>
                <w:sz w:val="17"/>
              </w:rPr>
              <w:t>22,415</w:t>
            </w:r>
          </w:p>
        </w:tc>
        <w:tc>
          <w:tcPr>
            <w:tcW w:type="dxa" w:w="1440"/>
            <w:shd w:fill="FFDCE0" w:val="clear"/>
          </w:tcPr>
          <w:p>
            <w:r>
              <w:rPr>
                <w:sz w:val="17"/>
              </w:rPr>
              <w:t>23,834</w:t>
            </w:r>
          </w:p>
        </w:tc>
        <w:tc>
          <w:tcPr>
            <w:tcW w:type="dxa" w:w="1440"/>
            <w:shd w:fill="FFDCE0" w:val="clear"/>
          </w:tcPr>
          <w:p>
            <w:r>
              <w:rPr>
                <w:b/>
                <w:color w:val="C00000"/>
                <w:sz w:val="17"/>
              </w:rPr>
              <w:t>-32.3%</w:t>
            </w:r>
          </w:p>
        </w:tc>
      </w:tr>
      <w:tr>
        <w:tc>
          <w:tcPr>
            <w:tcW w:type="dxa" w:w="1440"/>
            <w:shd w:fill="FFDCE0" w:val="clear"/>
          </w:tcPr>
          <w:p>
            <w:r>
              <w:rPr>
                <w:sz w:val="17"/>
              </w:rPr>
              <w:t>J+6  Moyenne</w:t>
            </w:r>
          </w:p>
        </w:tc>
        <w:tc>
          <w:tcPr>
            <w:tcW w:type="dxa" w:w="1440"/>
            <w:shd w:fill="FFDCE0" w:val="clear"/>
          </w:tcPr>
          <w:p>
            <w:r>
              <w:rPr>
                <w:sz w:val="17"/>
              </w:rPr>
              <w:t>2026-09-11</w:t>
            </w:r>
          </w:p>
        </w:tc>
        <w:tc>
          <w:tcPr>
            <w:tcW w:type="dxa" w:w="1440"/>
            <w:shd w:fill="FFDCE0" w:val="clear"/>
          </w:tcPr>
          <w:p>
            <w:r>
              <w:rPr>
                <w:sz w:val="17"/>
              </w:rPr>
              <w:t>19,296</w:t>
            </w:r>
          </w:p>
        </w:tc>
        <w:tc>
          <w:tcPr>
            <w:tcW w:type="dxa" w:w="1440"/>
            <w:shd w:fill="FFDCE0" w:val="clear"/>
          </w:tcPr>
          <w:p>
            <w:r>
              <w:rPr>
                <w:b/>
                <w:sz w:val="17"/>
              </w:rPr>
              <w:t>20,734</w:t>
            </w:r>
          </w:p>
        </w:tc>
        <w:tc>
          <w:tcPr>
            <w:tcW w:type="dxa" w:w="1440"/>
            <w:shd w:fill="FFDCE0" w:val="clear"/>
          </w:tcPr>
          <w:p>
            <w:r>
              <w:rPr>
                <w:sz w:val="17"/>
              </w:rPr>
              <w:t>22,172</w:t>
            </w:r>
          </w:p>
        </w:tc>
        <w:tc>
          <w:tcPr>
            <w:tcW w:type="dxa" w:w="1440"/>
            <w:shd w:fill="FFDCE0" w:val="clear"/>
          </w:tcPr>
          <w:p>
            <w:r>
              <w:rPr>
                <w:b/>
                <w:color w:val="C00000"/>
                <w:sz w:val="17"/>
              </w:rPr>
              <w:t>-37.4%</w:t>
            </w:r>
          </w:p>
        </w:tc>
      </w:tr>
      <w:tr>
        <w:tc>
          <w:tcPr>
            <w:tcW w:type="dxa" w:w="1440"/>
            <w:shd w:fill="FFDCE0" w:val="clear"/>
          </w:tcPr>
          <w:p>
            <w:r>
              <w:rPr>
                <w:sz w:val="17"/>
              </w:rPr>
              <w:t>J+7  Moyenne</w:t>
            </w:r>
          </w:p>
        </w:tc>
        <w:tc>
          <w:tcPr>
            <w:tcW w:type="dxa" w:w="1440"/>
            <w:shd w:fill="FFDCE0" w:val="clear"/>
          </w:tcPr>
          <w:p>
            <w:r>
              <w:rPr>
                <w:sz w:val="17"/>
              </w:rPr>
              <w:t>2026-09-14</w:t>
            </w:r>
          </w:p>
        </w:tc>
        <w:tc>
          <w:tcPr>
            <w:tcW w:type="dxa" w:w="1440"/>
            <w:shd w:fill="FFDCE0" w:val="clear"/>
          </w:tcPr>
          <w:p>
            <w:r>
              <w:rPr>
                <w:sz w:val="17"/>
              </w:rPr>
              <w:t>17,742</w:t>
            </w:r>
          </w:p>
        </w:tc>
        <w:tc>
          <w:tcPr>
            <w:tcW w:type="dxa" w:w="1440"/>
            <w:shd w:fill="FFDCE0" w:val="clear"/>
          </w:tcPr>
          <w:p>
            <w:r>
              <w:rPr>
                <w:b/>
                <w:sz w:val="17"/>
              </w:rPr>
              <w:t>19,179</w:t>
            </w:r>
          </w:p>
        </w:tc>
        <w:tc>
          <w:tcPr>
            <w:tcW w:type="dxa" w:w="1440"/>
            <w:shd w:fill="FFDCE0" w:val="clear"/>
          </w:tcPr>
          <w:p>
            <w:r>
              <w:rPr>
                <w:sz w:val="17"/>
              </w:rPr>
              <w:t>20,616</w:t>
            </w:r>
          </w:p>
        </w:tc>
        <w:tc>
          <w:tcPr>
            <w:tcW w:type="dxa" w:w="1440"/>
            <w:shd w:fill="FFDCE0" w:val="clear"/>
          </w:tcPr>
          <w:p>
            <w:r>
              <w:rPr>
                <w:b/>
                <w:color w:val="C00000"/>
                <w:sz w:val="17"/>
              </w:rPr>
              <w:t>-42.1%</w:t>
            </w:r>
          </w:p>
        </w:tc>
      </w:tr>
      <w:tr>
        <w:tc>
          <w:tcPr>
            <w:tcW w:type="dxa" w:w="1440"/>
            <w:shd w:fill="FFDCE0" w:val="clear"/>
          </w:tcPr>
          <w:p>
            <w:r>
              <w:rPr>
                <w:sz w:val="17"/>
              </w:rPr>
              <w:t>J+8  Moyenne</w:t>
            </w:r>
          </w:p>
        </w:tc>
        <w:tc>
          <w:tcPr>
            <w:tcW w:type="dxa" w:w="1440"/>
            <w:shd w:fill="FFDCE0" w:val="clear"/>
          </w:tcPr>
          <w:p>
            <w:r>
              <w:rPr>
                <w:sz w:val="17"/>
              </w:rPr>
              <w:t>2026-09-15</w:t>
            </w:r>
          </w:p>
        </w:tc>
        <w:tc>
          <w:tcPr>
            <w:tcW w:type="dxa" w:w="1440"/>
            <w:shd w:fill="FFDCE0" w:val="clear"/>
          </w:tcPr>
          <w:p>
            <w:r>
              <w:rPr>
                <w:sz w:val="17"/>
              </w:rPr>
              <w:t>17,026</w:t>
            </w:r>
          </w:p>
        </w:tc>
        <w:tc>
          <w:tcPr>
            <w:tcW w:type="dxa" w:w="1440"/>
            <w:shd w:fill="FFDCE0" w:val="clear"/>
          </w:tcPr>
          <w:p>
            <w:r>
              <w:rPr>
                <w:b/>
                <w:sz w:val="17"/>
              </w:rPr>
              <w:t>18,509</w:t>
            </w:r>
          </w:p>
        </w:tc>
        <w:tc>
          <w:tcPr>
            <w:tcW w:type="dxa" w:w="1440"/>
            <w:shd w:fill="FFDCE0" w:val="clear"/>
          </w:tcPr>
          <w:p>
            <w:r>
              <w:rPr>
                <w:sz w:val="17"/>
              </w:rPr>
              <w:t>19,991</w:t>
            </w:r>
          </w:p>
        </w:tc>
        <w:tc>
          <w:tcPr>
            <w:tcW w:type="dxa" w:w="1440"/>
            <w:shd w:fill="FFDCE0" w:val="clear"/>
          </w:tcPr>
          <w:p>
            <w:r>
              <w:rPr>
                <w:b/>
                <w:color w:val="C00000"/>
                <w:sz w:val="17"/>
              </w:rPr>
              <w:t>-44.1%</w:t>
            </w:r>
          </w:p>
        </w:tc>
      </w:tr>
      <w:tr>
        <w:tc>
          <w:tcPr>
            <w:tcW w:type="dxa" w:w="1440"/>
            <w:shd w:fill="FFDCE0" w:val="clear"/>
          </w:tcPr>
          <w:p>
            <w:r>
              <w:rPr>
                <w:sz w:val="17"/>
              </w:rPr>
              <w:t>J+9  Moyenne</w:t>
            </w:r>
          </w:p>
        </w:tc>
        <w:tc>
          <w:tcPr>
            <w:tcW w:type="dxa" w:w="1440"/>
            <w:shd w:fill="FFDCE0" w:val="clear"/>
          </w:tcPr>
          <w:p>
            <w:r>
              <w:rPr>
                <w:sz w:val="17"/>
              </w:rPr>
              <w:t>2026-09-16</w:t>
            </w:r>
          </w:p>
        </w:tc>
        <w:tc>
          <w:tcPr>
            <w:tcW w:type="dxa" w:w="1440"/>
            <w:shd w:fill="FFDCE0" w:val="clear"/>
          </w:tcPr>
          <w:p>
            <w:r>
              <w:rPr>
                <w:sz w:val="17"/>
              </w:rPr>
              <w:t>16,548</w:t>
            </w:r>
          </w:p>
        </w:tc>
        <w:tc>
          <w:tcPr>
            <w:tcW w:type="dxa" w:w="1440"/>
            <w:shd w:fill="FFDCE0" w:val="clear"/>
          </w:tcPr>
          <w:p>
            <w:r>
              <w:rPr>
                <w:b/>
                <w:sz w:val="17"/>
              </w:rPr>
              <w:t>18,085</w:t>
            </w:r>
          </w:p>
        </w:tc>
        <w:tc>
          <w:tcPr>
            <w:tcW w:type="dxa" w:w="1440"/>
            <w:shd w:fill="FFDCE0" w:val="clear"/>
          </w:tcPr>
          <w:p>
            <w:r>
              <w:rPr>
                <w:sz w:val="17"/>
              </w:rPr>
              <w:t>19,621</w:t>
            </w:r>
          </w:p>
        </w:tc>
        <w:tc>
          <w:tcPr>
            <w:tcW w:type="dxa" w:w="1440"/>
            <w:shd w:fill="FFDCE0" w:val="clear"/>
          </w:tcPr>
          <w:p>
            <w:r>
              <w:rPr>
                <w:b/>
                <w:color w:val="C00000"/>
                <w:sz w:val="17"/>
              </w:rPr>
              <w:t>-45.4%</w:t>
            </w:r>
          </w:p>
        </w:tc>
      </w:tr>
      <w:tr>
        <w:tc>
          <w:tcPr>
            <w:tcW w:type="dxa" w:w="1440"/>
            <w:shd w:fill="FFDCE0" w:val="clear"/>
          </w:tcPr>
          <w:p>
            <w:r>
              <w:rPr>
                <w:sz w:val="17"/>
              </w:rPr>
              <w:t>J+10  Moyenne</w:t>
            </w:r>
          </w:p>
        </w:tc>
        <w:tc>
          <w:tcPr>
            <w:tcW w:type="dxa" w:w="1440"/>
            <w:shd w:fill="FFDCE0" w:val="clear"/>
          </w:tcPr>
          <w:p>
            <w:r>
              <w:rPr>
                <w:sz w:val="17"/>
              </w:rPr>
              <w:t>2026-09-17</w:t>
            </w:r>
          </w:p>
        </w:tc>
        <w:tc>
          <w:tcPr>
            <w:tcW w:type="dxa" w:w="1440"/>
            <w:shd w:fill="FFDCE0" w:val="clear"/>
          </w:tcPr>
          <w:p>
            <w:r>
              <w:rPr>
                <w:sz w:val="17"/>
              </w:rPr>
              <w:t>16,115</w:t>
            </w:r>
          </w:p>
        </w:tc>
        <w:tc>
          <w:tcPr>
            <w:tcW w:type="dxa" w:w="1440"/>
            <w:shd w:fill="FFDCE0" w:val="clear"/>
          </w:tcPr>
          <w:p>
            <w:r>
              <w:rPr>
                <w:b/>
                <w:sz w:val="17"/>
              </w:rPr>
              <w:t>17,700</w:t>
            </w:r>
          </w:p>
        </w:tc>
        <w:tc>
          <w:tcPr>
            <w:tcW w:type="dxa" w:w="1440"/>
            <w:shd w:fill="FFDCE0" w:val="clear"/>
          </w:tcPr>
          <w:p>
            <w:r>
              <w:rPr>
                <w:sz w:val="17"/>
              </w:rPr>
              <w:t>19,285</w:t>
            </w:r>
          </w:p>
        </w:tc>
        <w:tc>
          <w:tcPr>
            <w:tcW w:type="dxa" w:w="1440"/>
            <w:shd w:fill="FFDCE0" w:val="clear"/>
          </w:tcPr>
          <w:p>
            <w:r>
              <w:rPr>
                <w:b/>
                <w:color w:val="C00000"/>
                <w:sz w:val="17"/>
              </w:rPr>
              <w:t>-46.5%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**RAPPORT D'ANALYSE FINANCIÈRE — CBIBF (CORIS BANK INTERNATIONAL BURKINA FASO)**</w:t>
        <w:br/>
        <w:t>**Date de l'analyse : 03 septembre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1 059,20 milliards FCFA, CBIBF s'impose comme l'une des capitalisations les plus significatives de la BRVM, reflétant la confiance des investisseurs dans le secteur bancaire de l'UEMOA. Le BPA de 2 047 FCFA indique que chaque action génère un bénéfice substantiel, justifiant un PER de 16,2x. Ce ratio est supérieur à la moyenne historique de la BRVM (8-12x), ce qui traduit une prime de valorisation. Les investisseurs acceptent de payer ce prix pour la qualité perçue de l'actif et son potentiel de croissance, malgré un EV/EBITDA de 12,0x qui suggère une valorisation déjà élevée de la capacité opérationnelle. Le ratio P/B n'est pas disponible, mais l'ensemble indique que le marché intègre déjà des perspectives de croissance solides.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CBIBF a connu une progression spectaculaire de +119,79%, clôturant à 33 100 FCFA, avec une variation positive de +1,85% lors de la dernière séance, marquant un plus haut absolu sur la période. Le titre a évolué dans une fourchette très large de 15 060 à 33 100 FCFA, démontrant un intérêt massif des investisseurs. La moyenne du cours sur la période (23 330 FCFA) est supérieure à la médiane (22 080 FCFA), indiquant une distribution légèrement asymétrique vers le haut, mais le skewness de -0,082 suggère une symétrie globale. L'écart-type de 5 086 FCFA (CV=21,8%) révèle une dispersion modérée. Le kurtosis de -1,268 (platykurtique) indique une distribution aplatie avec peu de pics extrêmes, suggérant une progression régulière plutôt que des sauts soudains. La volatilité annualisée de 42,5% classe le titre comme très volatil, un niveau élevé qui reflète le fort appétit des investisseurs et les incertitudes macroéconomiques de la région.</w:t>
      </w:r>
    </w:p>
    <w:p>
      <w:pPr>
        <w:spacing w:after="120" w:line="276" w:lineRule="auto"/>
      </w:pPr>
      <w:r>
        <w:t>---</w:t>
      </w:r>
    </w:p>
    <w:p>
      <w:pPr>
        <w:spacing w:after="120" w:line="276" w:lineRule="auto"/>
      </w:pPr>
      <w:r>
        <w:t>### PARTIE 2 : ANALYSE TECHNIQUE DÉTAILLÉE</w:t>
      </w:r>
    </w:p>
    <w:p>
      <w:pPr>
        <w:spacing w:after="120" w:line="276" w:lineRule="auto"/>
      </w:pPr>
      <w:r>
        <w:t>**Moyennes Mobiles**: Le cours actuel (33 100 FCFA) se situe nettement au-dessus de la MM20 (29 385,75 FCFA) et de la MM50 (27 669,9 FCFA). Cette configuration haussière, où le prix évolue au-dessus des deux moyennes, confirme une tendance de fond positive et génère un signal d'achat, indiquant que le momentum reste favorable à moyen terme.</w:t>
      </w:r>
    </w:p>
    <w:p>
      <w:pPr>
        <w:spacing w:after="120" w:line="276" w:lineRule="auto"/>
      </w:pPr>
      <w:r>
        <w:t>**Bandes de Bollinger**: Le prix a franchi la borne supérieure des bandes (32 032,48 FCFA), atteignant 33 100 FCFA. Cette sortie de canal signale une extension verticale du mouvement et des conditions de surachat extrême. La décision de vente associée à cet indicateur suggère qu'un repli technique est probable à court terme pour revenir dans le canal de volatilité.</w:t>
      </w:r>
    </w:p>
    <w:p>
      <w:pPr>
        <w:spacing w:after="120" w:line="276" w:lineRule="auto"/>
      </w:pPr>
      <w:r>
        <w:t>**MACD**: La valeur du MACD (1 129,19) est nettement supérieure à son signal (830,39), avec un écart positif croissant. Cette configuration indique un momentum haussier puissant qui se renforce. La décision d'achat se justifie par cette dynamique positive, bien que l'amplitude de l'écart puisse signaler une maturité du mouvement.</w:t>
      </w:r>
    </w:p>
    <w:p>
      <w:pPr>
        <w:spacing w:after="120" w:line="276" w:lineRule="auto"/>
      </w:pPr>
      <w:r>
        <w:t>**RSI**: Avec une valeur de 80,68, le RSI est profondément en zone de surachat (au-delà de 70). Ce niveau extrême indique que le titre est survendu techniquement et qu'une correction est statistiquement probable. La décision de vente est cohérente avec cette lecture, car la pression acheteuse semble excessive à court terme.</w:t>
      </w:r>
    </w:p>
    <w:p>
      <w:pPr>
        <w:spacing w:after="120" w:line="276" w:lineRule="auto"/>
      </w:pPr>
      <w:r>
        <w:t>**Stochastique**: Les valeurs %K et %D sont toutes deux à 100,0, un niveau de surachat extrême et rare. Cette configuration signale que le marché est dans une phase d'euphorie totale, avec un risque élevé de retournement brutal. La décision de vente est justifiée par ce déséquilibre technique marqué.</w:t>
      </w:r>
    </w:p>
    <w:p>
      <w:pPr>
        <w:spacing w:after="120" w:line="276" w:lineRule="auto"/>
      </w:pPr>
      <w:r>
        <w:t>**Conclusion technique**: Les indicateurs de tendance (MM, MACD) sont résolument haussiers, mais les oscillateurs de momentum (RSI, Stochastique, Bollinger) sont tous en zone de surachat extrême. Cette divergence classique suggère que la tendance de fond reste positive, mais qu'un repli technique de consolidation est très probable à court terme avant une éventuelle reprise de la hausse.</w:t>
      </w:r>
    </w:p>
    <w:p>
      <w:pPr>
        <w:spacing w:after="120" w:line="276" w:lineRule="auto"/>
      </w:pPr>
      <w:r>
        <w:t>---</w:t>
      </w:r>
    </w:p>
    <w:p>
      <w:pPr>
        <w:spacing w:after="120" w:line="276" w:lineRule="auto"/>
      </w:pPr>
      <w:r>
        <w:t>### PARTIE 3 : ANALYSE FONDAMENTALE (SECTION CRITIQUE)</w:t>
      </w:r>
    </w:p>
    <w:p>
      <w:pPr>
        <w:spacing w:after="120" w:line="276" w:lineRule="auto"/>
      </w:pPr>
      <w:r>
        <w:t>En 2025, CBIBF affiche des performances financières solides selon les données structurées officielles. Le Produit Net Bancaire (PNB) s'établit à 138,986 milliards FCFA, en croissance de 6,1%, pour un résultat net de 65,495 milliards FCFA, soit une progression remarquable de 36,6% par rapport à 2024. Cette performance s'explique par une amélioration significative du coût du risque (-59,3%) et une maîtrise des charges, avec un coefficient d'exploitation excellent de 36,4% (bien en dessous du seuil de 60% considéré comme efficace). La marge nette de 47,1% et le ROA de 2,18% témoignent d'une rentabilité élevée. La banque a renforcé sa collecte de dépôts à 2 015,284 milliards FCFA (+14,9%) et ses crédits à 1 326,977 milliards FCFA (+5,4%), maintenant un ratio de transformation sain. Les rapports trimestriels 2025 confirment cette dynamique : le T1 affichait un PNB de 28,7 milliards (+2,8%) et un résultat net de 17,6 milliards (+5,9%), le S1 un PNB de 65,1 milliards (+8,75%) et un résultat net de 33,8 milliards (+0,66%), et le T3 un PNB de 101,3 milliards (+9,65%) avec un résultat net de 52,9 milliards (+6,25%). Sur la base de ces tendances, l'exercice 2026 s'annonce prometteur, le rapport T1 2026 publié faisant état d'un PNB de 36,8 milliards (+28,5%) et d'un résultat net de 21,5 milliards (+22,2%), avec une collecte de dépôts exceptionnelle de +37,9%. La recommandation fondamentale est clairement à l'achat, la banque démontrant une solidité financière remarquable et une capacité de croissance soutenue, malgré un environnement géopolitique régional incertain.</w:t>
      </w:r>
    </w:p>
    <w:p>
      <w:pPr>
        <w:spacing w:after="120" w:line="276" w:lineRule="auto"/>
      </w:pPr>
      <w:r>
        <w:t>---</w:t>
      </w:r>
    </w:p>
    <w:p>
      <w:pPr>
        <w:spacing w:after="120" w:line="276" w:lineRule="auto"/>
      </w:pPr>
      <w:r>
        <w:t>### PARTIE 4 : CONCLUSION D'INVESTISSEMENT</w:t>
      </w:r>
    </w:p>
    <w:p>
      <w:pPr>
        <w:spacing w:after="120" w:line="276" w:lineRule="auto"/>
      </w:pPr>
      <w:r>
        <w:t>La synthèse globale révèle des signaux contrastés mais globalement positifs. La valorisation (PER de 16,2x) est élevée par rapport au marché, mais justifiée par la qualité des fondamentaux. Le comportement du cours montre une tendance haussière spectaculaire avec une volatilité élevée (42,5%), et des statistiques (kurtosis platykurtique, skewness symétrique) indiquant une progression régulière. Les signaux techniques sont partagés : la tendance (MM, MACD) reste haussière, mais les oscillateurs (RSI, Stochastique, Bollinger) sont en surachat extrême, suggérant un repli imminent. Les fondamentaux sont excellents, avec une croissance soutenue du PNB et du résultat net, une amélioration du coût du risque et une collecte de dépôts dynamique. Cependant, les prédictions IA pour les 10 prochains jours (30 618 à 22 415 FCFA) anticipent une correction brutale de -32%, contredisant fortement les signaux techniques haussiers et suggérant un dégonflement de la bulle spéculative. Cette divergence entre les fondamentaux solides et les prédictions techniques extrêmes indique que le marché a probablement surévalué le titre à court terme. **Recommandation finale : CONSERVER**, avec un niveau de confiance Moyen et un risque global Élevé. L'horizon d'investissement optimal serait le moyen terme (3-12 mois), permettant d'absorber la correction technique attendue tout en bénéficiant de la solidité fondamentale de la banque.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318.31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3,630 titres</w:t>
            </w:r>
          </w:p>
        </w:tc>
        <w:tc>
          <w:tcPr>
            <w:tcW w:type="dxa" w:w="2268"/>
            <w:shd w:fill="FFF2CC" w:val="clear"/>
          </w:tcPr>
          <w:p>
            <w:r>
              <w:rPr>
                <w:b/>
                <w:color w:val="503200"/>
                <w:sz w:val="16"/>
              </w:rPr>
              <w:t xml:space="preserve">Cours actuel : </w:t>
            </w:r>
            <w:r>
              <w:rPr>
                <w:color w:val="000000"/>
                <w:sz w:val="17"/>
              </w:rPr>
              <w:t>1,755 FCFA</w:t>
            </w:r>
          </w:p>
          <w:p>
            <w:r>
              <w:rPr>
                <w:b/>
                <w:color w:val="503200"/>
                <w:sz w:val="16"/>
              </w:rPr>
              <w:t xml:space="preserve">Var. 100 jours : </w:t>
            </w:r>
            <w:r>
              <w:rPr>
                <w:b/>
                <w:color w:val="007800"/>
                <w:sz w:val="17"/>
              </w:rPr>
              <w:t>+3.54%</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49.2%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20.8/100 → Moyen</w:t>
      </w:r>
    </w:p>
    <w:p>
      <w:pPr>
        <w:spacing w:before="40" w:after="80"/>
      </w:pPr>
      <w:r>
        <w:rPr>
          <w:rFonts w:ascii="Courier New" w:hAnsi="Courier New"/>
          <w:color w:val="825A00"/>
          <w:sz w:val="18"/>
        </w:rPr>
        <w:t>████░░░░░░░░░░░░░░░░  20.8/100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6.60% (Moyenne) — μ=1,612 FCFA, σ=106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β=1.1185 (Neutre (suit le marché)) — Cov=0.000041, Var(idx)=0.000036, ρ=0.217,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3,630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σ_j=3.10%/j (Modérée) — Vol. annualisée≈49.2%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2026-09-04</w:t>
            </w:r>
          </w:p>
        </w:tc>
        <w:tc>
          <w:tcPr>
            <w:tcW w:type="dxa" w:w="1440"/>
            <w:shd w:fill="FFDCE0" w:val="clear"/>
          </w:tcPr>
          <w:p>
            <w:r>
              <w:rPr>
                <w:sz w:val="17"/>
              </w:rPr>
              <w:t>1,631</w:t>
            </w:r>
          </w:p>
        </w:tc>
        <w:tc>
          <w:tcPr>
            <w:tcW w:type="dxa" w:w="1440"/>
            <w:shd w:fill="FFDCE0" w:val="clear"/>
          </w:tcPr>
          <w:p>
            <w:r>
              <w:rPr>
                <w:b/>
                <w:sz w:val="17"/>
              </w:rPr>
              <w:t>1,696</w:t>
            </w:r>
          </w:p>
        </w:tc>
        <w:tc>
          <w:tcPr>
            <w:tcW w:type="dxa" w:w="1440"/>
            <w:shd w:fill="FFDCE0" w:val="clear"/>
          </w:tcPr>
          <w:p>
            <w:r>
              <w:rPr>
                <w:sz w:val="17"/>
              </w:rPr>
              <w:t>1,761</w:t>
            </w:r>
          </w:p>
        </w:tc>
        <w:tc>
          <w:tcPr>
            <w:tcW w:type="dxa" w:w="1440"/>
            <w:shd w:fill="FFDCE0" w:val="clear"/>
          </w:tcPr>
          <w:p>
            <w:r>
              <w:rPr>
                <w:b/>
                <w:color w:val="C00000"/>
                <w:sz w:val="17"/>
              </w:rPr>
              <w:t>-3.4%</w:t>
            </w:r>
          </w:p>
        </w:tc>
      </w:tr>
      <w:tr>
        <w:tc>
          <w:tcPr>
            <w:tcW w:type="dxa" w:w="1440"/>
            <w:shd w:fill="FFDCE0" w:val="clear"/>
          </w:tcPr>
          <w:p>
            <w:r>
              <w:rPr>
                <w:sz w:val="17"/>
              </w:rPr>
              <w:t>J+2  Moyenne</w:t>
            </w:r>
          </w:p>
        </w:tc>
        <w:tc>
          <w:tcPr>
            <w:tcW w:type="dxa" w:w="1440"/>
            <w:shd w:fill="FFDCE0" w:val="clear"/>
          </w:tcPr>
          <w:p>
            <w:r>
              <w:rPr>
                <w:sz w:val="17"/>
              </w:rPr>
              <w:t>2026-09-07</w:t>
            </w:r>
          </w:p>
        </w:tc>
        <w:tc>
          <w:tcPr>
            <w:tcW w:type="dxa" w:w="1440"/>
            <w:shd w:fill="FFDCE0" w:val="clear"/>
          </w:tcPr>
          <w:p>
            <w:r>
              <w:rPr>
                <w:sz w:val="17"/>
              </w:rPr>
              <w:t>1,585</w:t>
            </w:r>
          </w:p>
        </w:tc>
        <w:tc>
          <w:tcPr>
            <w:tcW w:type="dxa" w:w="1440"/>
            <w:shd w:fill="FFDCE0" w:val="clear"/>
          </w:tcPr>
          <w:p>
            <w:r>
              <w:rPr>
                <w:b/>
                <w:sz w:val="17"/>
              </w:rPr>
              <w:t>1,675</w:t>
            </w:r>
          </w:p>
        </w:tc>
        <w:tc>
          <w:tcPr>
            <w:tcW w:type="dxa" w:w="1440"/>
            <w:shd w:fill="FFDCE0" w:val="clear"/>
          </w:tcPr>
          <w:p>
            <w:r>
              <w:rPr>
                <w:sz w:val="17"/>
              </w:rPr>
              <w:t>1,766</w:t>
            </w:r>
          </w:p>
        </w:tc>
        <w:tc>
          <w:tcPr>
            <w:tcW w:type="dxa" w:w="1440"/>
            <w:shd w:fill="FFDCE0" w:val="clear"/>
          </w:tcPr>
          <w:p>
            <w:r>
              <w:rPr>
                <w:b/>
                <w:color w:val="C00000"/>
                <w:sz w:val="17"/>
              </w:rPr>
              <w:t>-4.6%</w:t>
            </w:r>
          </w:p>
        </w:tc>
      </w:tr>
      <w:tr>
        <w:tc>
          <w:tcPr>
            <w:tcW w:type="dxa" w:w="1440"/>
            <w:shd w:fill="FFDCE0" w:val="clear"/>
          </w:tcPr>
          <w:p>
            <w:r>
              <w:rPr>
                <w:sz w:val="17"/>
              </w:rPr>
              <w:t>J+3  Moyenne</w:t>
            </w:r>
          </w:p>
        </w:tc>
        <w:tc>
          <w:tcPr>
            <w:tcW w:type="dxa" w:w="1440"/>
            <w:shd w:fill="FFDCE0" w:val="clear"/>
          </w:tcPr>
          <w:p>
            <w:r>
              <w:rPr>
                <w:sz w:val="17"/>
              </w:rPr>
              <w:t>2026-09-08</w:t>
            </w:r>
          </w:p>
        </w:tc>
        <w:tc>
          <w:tcPr>
            <w:tcW w:type="dxa" w:w="1440"/>
            <w:shd w:fill="FFDCE0" w:val="clear"/>
          </w:tcPr>
          <w:p>
            <w:r>
              <w:rPr>
                <w:sz w:val="17"/>
              </w:rPr>
              <w:t>1,541</w:t>
            </w:r>
          </w:p>
        </w:tc>
        <w:tc>
          <w:tcPr>
            <w:tcW w:type="dxa" w:w="1440"/>
            <w:shd w:fill="FFDCE0" w:val="clear"/>
          </w:tcPr>
          <w:p>
            <w:r>
              <w:rPr>
                <w:b/>
                <w:sz w:val="17"/>
              </w:rPr>
              <w:t>1,650</w:t>
            </w:r>
          </w:p>
        </w:tc>
        <w:tc>
          <w:tcPr>
            <w:tcW w:type="dxa" w:w="1440"/>
            <w:shd w:fill="FFDCE0" w:val="clear"/>
          </w:tcPr>
          <w:p>
            <w:r>
              <w:rPr>
                <w:sz w:val="17"/>
              </w:rPr>
              <w:t>1,760</w:t>
            </w:r>
          </w:p>
        </w:tc>
        <w:tc>
          <w:tcPr>
            <w:tcW w:type="dxa" w:w="1440"/>
            <w:shd w:fill="FFDCE0" w:val="clear"/>
          </w:tcPr>
          <w:p>
            <w:r>
              <w:rPr>
                <w:b/>
                <w:color w:val="C00000"/>
                <w:sz w:val="17"/>
              </w:rPr>
              <w:t>-6.0%</w:t>
            </w:r>
          </w:p>
        </w:tc>
      </w:tr>
      <w:tr>
        <w:tc>
          <w:tcPr>
            <w:tcW w:type="dxa" w:w="1440"/>
            <w:shd w:fill="FFDCE0" w:val="clear"/>
          </w:tcPr>
          <w:p>
            <w:r>
              <w:rPr>
                <w:sz w:val="17"/>
              </w:rPr>
              <w:t>J+4  ⭐</w:t>
            </w:r>
          </w:p>
        </w:tc>
        <w:tc>
          <w:tcPr>
            <w:tcW w:type="dxa" w:w="1440"/>
            <w:shd w:fill="FFDCE0" w:val="clear"/>
          </w:tcPr>
          <w:p>
            <w:r>
              <w:rPr>
                <w:sz w:val="17"/>
              </w:rPr>
              <w:t>2026-09-09</w:t>
            </w:r>
          </w:p>
        </w:tc>
        <w:tc>
          <w:tcPr>
            <w:tcW w:type="dxa" w:w="1440"/>
            <w:shd w:fill="FFDCE0" w:val="clear"/>
          </w:tcPr>
          <w:p>
            <w:r>
              <w:rPr>
                <w:sz w:val="17"/>
              </w:rPr>
              <w:t>1,501</w:t>
            </w:r>
          </w:p>
        </w:tc>
        <w:tc>
          <w:tcPr>
            <w:tcW w:type="dxa" w:w="1440"/>
            <w:shd w:fill="FFDCE0" w:val="clear"/>
          </w:tcPr>
          <w:p>
            <w:r>
              <w:rPr>
                <w:b/>
                <w:sz w:val="17"/>
              </w:rPr>
              <w:t>1,626</w:t>
            </w:r>
          </w:p>
        </w:tc>
        <w:tc>
          <w:tcPr>
            <w:tcW w:type="dxa" w:w="1440"/>
            <w:shd w:fill="FFDCE0" w:val="clear"/>
          </w:tcPr>
          <w:p>
            <w:r>
              <w:rPr>
                <w:sz w:val="17"/>
              </w:rPr>
              <w:t>1,750</w:t>
            </w:r>
          </w:p>
        </w:tc>
        <w:tc>
          <w:tcPr>
            <w:tcW w:type="dxa" w:w="1440"/>
            <w:shd w:fill="FFDCE0" w:val="clear"/>
          </w:tcPr>
          <w:p>
            <w:r>
              <w:rPr>
                <w:b/>
                <w:color w:val="C00000"/>
                <w:sz w:val="17"/>
              </w:rPr>
              <w:t>-7.4%</w:t>
            </w:r>
          </w:p>
        </w:tc>
      </w:tr>
      <w:tr>
        <w:tc>
          <w:tcPr>
            <w:tcW w:type="dxa" w:w="1440"/>
            <w:shd w:fill="FFDCE0" w:val="clear"/>
          </w:tcPr>
          <w:p>
            <w:r>
              <w:rPr>
                <w:sz w:val="17"/>
              </w:rPr>
              <w:t>J+5  ⭐</w:t>
            </w:r>
          </w:p>
        </w:tc>
        <w:tc>
          <w:tcPr>
            <w:tcW w:type="dxa" w:w="1440"/>
            <w:shd w:fill="FFDCE0" w:val="clear"/>
          </w:tcPr>
          <w:p>
            <w:r>
              <w:rPr>
                <w:sz w:val="17"/>
              </w:rPr>
              <w:t>2026-09-10</w:t>
            </w:r>
          </w:p>
        </w:tc>
        <w:tc>
          <w:tcPr>
            <w:tcW w:type="dxa" w:w="1440"/>
            <w:shd w:fill="FFDCE0" w:val="clear"/>
          </w:tcPr>
          <w:p>
            <w:r>
              <w:rPr>
                <w:sz w:val="17"/>
              </w:rPr>
              <w:t>1,464</w:t>
            </w:r>
          </w:p>
        </w:tc>
        <w:tc>
          <w:tcPr>
            <w:tcW w:type="dxa" w:w="1440"/>
            <w:shd w:fill="FFDCE0" w:val="clear"/>
          </w:tcPr>
          <w:p>
            <w:r>
              <w:rPr>
                <w:b/>
                <w:sz w:val="17"/>
              </w:rPr>
              <w:t>1,601</w:t>
            </w:r>
          </w:p>
        </w:tc>
        <w:tc>
          <w:tcPr>
            <w:tcW w:type="dxa" w:w="1440"/>
            <w:shd w:fill="FFDCE0" w:val="clear"/>
          </w:tcPr>
          <w:p>
            <w:r>
              <w:rPr>
                <w:sz w:val="17"/>
              </w:rPr>
              <w:t>1,738</w:t>
            </w:r>
          </w:p>
        </w:tc>
        <w:tc>
          <w:tcPr>
            <w:tcW w:type="dxa" w:w="1440"/>
            <w:shd w:fill="FFDCE0" w:val="clear"/>
          </w:tcPr>
          <w:p>
            <w:r>
              <w:rPr>
                <w:b/>
                <w:color w:val="C00000"/>
                <w:sz w:val="17"/>
              </w:rPr>
              <w:t>-8.8%</w:t>
            </w:r>
          </w:p>
        </w:tc>
      </w:tr>
      <w:tr>
        <w:tc>
          <w:tcPr>
            <w:tcW w:type="dxa" w:w="1440"/>
            <w:shd w:fill="FFDCE0" w:val="clear"/>
          </w:tcPr>
          <w:p>
            <w:r>
              <w:rPr>
                <w:sz w:val="17"/>
              </w:rPr>
              <w:t>J+6  ⭐</w:t>
            </w:r>
          </w:p>
        </w:tc>
        <w:tc>
          <w:tcPr>
            <w:tcW w:type="dxa" w:w="1440"/>
            <w:shd w:fill="FFDCE0" w:val="clear"/>
          </w:tcPr>
          <w:p>
            <w:r>
              <w:rPr>
                <w:sz w:val="17"/>
              </w:rPr>
              <w:t>2026-09-11</w:t>
            </w:r>
          </w:p>
        </w:tc>
        <w:tc>
          <w:tcPr>
            <w:tcW w:type="dxa" w:w="1440"/>
            <w:shd w:fill="FFDCE0" w:val="clear"/>
          </w:tcPr>
          <w:p>
            <w:r>
              <w:rPr>
                <w:sz w:val="17"/>
              </w:rPr>
              <w:t>1,430</w:t>
            </w:r>
          </w:p>
        </w:tc>
        <w:tc>
          <w:tcPr>
            <w:tcW w:type="dxa" w:w="1440"/>
            <w:shd w:fill="FFDCE0" w:val="clear"/>
          </w:tcPr>
          <w:p>
            <w:r>
              <w:rPr>
                <w:b/>
                <w:sz w:val="17"/>
              </w:rPr>
              <w:t>1,578</w:t>
            </w:r>
          </w:p>
        </w:tc>
        <w:tc>
          <w:tcPr>
            <w:tcW w:type="dxa" w:w="1440"/>
            <w:shd w:fill="FFDCE0" w:val="clear"/>
          </w:tcPr>
          <w:p>
            <w:r>
              <w:rPr>
                <w:sz w:val="17"/>
              </w:rPr>
              <w:t>1,725</w:t>
            </w:r>
          </w:p>
        </w:tc>
        <w:tc>
          <w:tcPr>
            <w:tcW w:type="dxa" w:w="1440"/>
            <w:shd w:fill="FFDCE0" w:val="clear"/>
          </w:tcPr>
          <w:p>
            <w:r>
              <w:rPr>
                <w:b/>
                <w:color w:val="C00000"/>
                <w:sz w:val="17"/>
              </w:rPr>
              <w:t>-10.1%</w:t>
            </w:r>
          </w:p>
        </w:tc>
      </w:tr>
      <w:tr>
        <w:tc>
          <w:tcPr>
            <w:tcW w:type="dxa" w:w="1440"/>
            <w:shd w:fill="FFDCE0" w:val="clear"/>
          </w:tcPr>
          <w:p>
            <w:r>
              <w:rPr>
                <w:sz w:val="17"/>
              </w:rPr>
              <w:t>J+7  ⭐</w:t>
            </w:r>
          </w:p>
        </w:tc>
        <w:tc>
          <w:tcPr>
            <w:tcW w:type="dxa" w:w="1440"/>
            <w:shd w:fill="FFDCE0" w:val="clear"/>
          </w:tcPr>
          <w:p>
            <w:r>
              <w:rPr>
                <w:sz w:val="17"/>
              </w:rPr>
              <w:t>2026-09-14</w:t>
            </w:r>
          </w:p>
        </w:tc>
        <w:tc>
          <w:tcPr>
            <w:tcW w:type="dxa" w:w="1440"/>
            <w:shd w:fill="FFDCE0" w:val="clear"/>
          </w:tcPr>
          <w:p>
            <w:r>
              <w:rPr>
                <w:sz w:val="17"/>
              </w:rPr>
              <w:t>1,397</w:t>
            </w:r>
          </w:p>
        </w:tc>
        <w:tc>
          <w:tcPr>
            <w:tcW w:type="dxa" w:w="1440"/>
            <w:shd w:fill="FFDCE0" w:val="clear"/>
          </w:tcPr>
          <w:p>
            <w:r>
              <w:rPr>
                <w:b/>
                <w:sz w:val="17"/>
              </w:rPr>
              <w:t>1,554</w:t>
            </w:r>
          </w:p>
        </w:tc>
        <w:tc>
          <w:tcPr>
            <w:tcW w:type="dxa" w:w="1440"/>
            <w:shd w:fill="FFDCE0" w:val="clear"/>
          </w:tcPr>
          <w:p>
            <w:r>
              <w:rPr>
                <w:sz w:val="17"/>
              </w:rPr>
              <w:t>1,712</w:t>
            </w:r>
          </w:p>
        </w:tc>
        <w:tc>
          <w:tcPr>
            <w:tcW w:type="dxa" w:w="1440"/>
            <w:shd w:fill="FFDCE0" w:val="clear"/>
          </w:tcPr>
          <w:p>
            <w:r>
              <w:rPr>
                <w:b/>
                <w:color w:val="C00000"/>
                <w:sz w:val="17"/>
              </w:rPr>
              <w:t>-11.4%</w:t>
            </w:r>
          </w:p>
        </w:tc>
      </w:tr>
      <w:tr>
        <w:tc>
          <w:tcPr>
            <w:tcW w:type="dxa" w:w="1440"/>
            <w:shd w:fill="FFDCE0" w:val="clear"/>
          </w:tcPr>
          <w:p>
            <w:r>
              <w:rPr>
                <w:sz w:val="17"/>
              </w:rPr>
              <w:t>J+8  ⭐</w:t>
            </w:r>
          </w:p>
        </w:tc>
        <w:tc>
          <w:tcPr>
            <w:tcW w:type="dxa" w:w="1440"/>
            <w:shd w:fill="FFDCE0" w:val="clear"/>
          </w:tcPr>
          <w:p>
            <w:r>
              <w:rPr>
                <w:sz w:val="17"/>
              </w:rPr>
              <w:t>2026-09-15</w:t>
            </w:r>
          </w:p>
        </w:tc>
        <w:tc>
          <w:tcPr>
            <w:tcW w:type="dxa" w:w="1440"/>
            <w:shd w:fill="FFDCE0" w:val="clear"/>
          </w:tcPr>
          <w:p>
            <w:r>
              <w:rPr>
                <w:sz w:val="17"/>
              </w:rPr>
              <w:t>1,366</w:t>
            </w:r>
          </w:p>
        </w:tc>
        <w:tc>
          <w:tcPr>
            <w:tcW w:type="dxa" w:w="1440"/>
            <w:shd w:fill="FFDCE0" w:val="clear"/>
          </w:tcPr>
          <w:p>
            <w:r>
              <w:rPr>
                <w:b/>
                <w:sz w:val="17"/>
              </w:rPr>
              <w:t>1,532</w:t>
            </w:r>
          </w:p>
        </w:tc>
        <w:tc>
          <w:tcPr>
            <w:tcW w:type="dxa" w:w="1440"/>
            <w:shd w:fill="FFDCE0" w:val="clear"/>
          </w:tcPr>
          <w:p>
            <w:r>
              <w:rPr>
                <w:sz w:val="17"/>
              </w:rPr>
              <w:t>1,697</w:t>
            </w:r>
          </w:p>
        </w:tc>
        <w:tc>
          <w:tcPr>
            <w:tcW w:type="dxa" w:w="1440"/>
            <w:shd w:fill="FFDCE0" w:val="clear"/>
          </w:tcPr>
          <w:p>
            <w:r>
              <w:rPr>
                <w:b/>
                <w:color w:val="C00000"/>
                <w:sz w:val="17"/>
              </w:rPr>
              <w:t>-12.7%</w:t>
            </w:r>
          </w:p>
        </w:tc>
      </w:tr>
      <w:tr>
        <w:tc>
          <w:tcPr>
            <w:tcW w:type="dxa" w:w="1440"/>
            <w:shd w:fill="FFDCE0" w:val="clear"/>
          </w:tcPr>
          <w:p>
            <w:r>
              <w:rPr>
                <w:sz w:val="17"/>
              </w:rPr>
              <w:t>J+9  ⭐</w:t>
            </w:r>
          </w:p>
        </w:tc>
        <w:tc>
          <w:tcPr>
            <w:tcW w:type="dxa" w:w="1440"/>
            <w:shd w:fill="FFDCE0" w:val="clear"/>
          </w:tcPr>
          <w:p>
            <w:r>
              <w:rPr>
                <w:sz w:val="17"/>
              </w:rPr>
              <w:t>2026-09-16</w:t>
            </w:r>
          </w:p>
        </w:tc>
        <w:tc>
          <w:tcPr>
            <w:tcW w:type="dxa" w:w="1440"/>
            <w:shd w:fill="FFDCE0" w:val="clear"/>
          </w:tcPr>
          <w:p>
            <w:r>
              <w:rPr>
                <w:sz w:val="17"/>
              </w:rPr>
              <w:t>1,336</w:t>
            </w:r>
          </w:p>
        </w:tc>
        <w:tc>
          <w:tcPr>
            <w:tcW w:type="dxa" w:w="1440"/>
            <w:shd w:fill="FFDCE0" w:val="clear"/>
          </w:tcPr>
          <w:p>
            <w:r>
              <w:rPr>
                <w:b/>
                <w:sz w:val="17"/>
              </w:rPr>
              <w:t>1,510</w:t>
            </w:r>
          </w:p>
        </w:tc>
        <w:tc>
          <w:tcPr>
            <w:tcW w:type="dxa" w:w="1440"/>
            <w:shd w:fill="FFDCE0" w:val="clear"/>
          </w:tcPr>
          <w:p>
            <w:r>
              <w:rPr>
                <w:sz w:val="17"/>
              </w:rPr>
              <w:t>1,683</w:t>
            </w:r>
          </w:p>
        </w:tc>
        <w:tc>
          <w:tcPr>
            <w:tcW w:type="dxa" w:w="1440"/>
            <w:shd w:fill="FFDCE0" w:val="clear"/>
          </w:tcPr>
          <w:p>
            <w:r>
              <w:rPr>
                <w:b/>
                <w:color w:val="C00000"/>
                <w:sz w:val="17"/>
              </w:rPr>
              <w:t>-14.0%</w:t>
            </w:r>
          </w:p>
        </w:tc>
      </w:tr>
      <w:tr>
        <w:tc>
          <w:tcPr>
            <w:tcW w:type="dxa" w:w="1440"/>
            <w:shd w:fill="FFDCE0" w:val="clear"/>
          </w:tcPr>
          <w:p>
            <w:r>
              <w:rPr>
                <w:sz w:val="17"/>
              </w:rPr>
              <w:t>J+10  ⭐</w:t>
            </w:r>
          </w:p>
        </w:tc>
        <w:tc>
          <w:tcPr>
            <w:tcW w:type="dxa" w:w="1440"/>
            <w:shd w:fill="FFDCE0" w:val="clear"/>
          </w:tcPr>
          <w:p>
            <w:r>
              <w:rPr>
                <w:sz w:val="17"/>
              </w:rPr>
              <w:t>2026-09-17</w:t>
            </w:r>
          </w:p>
        </w:tc>
        <w:tc>
          <w:tcPr>
            <w:tcW w:type="dxa" w:w="1440"/>
            <w:shd w:fill="FFDCE0" w:val="clear"/>
          </w:tcPr>
          <w:p>
            <w:r>
              <w:rPr>
                <w:sz w:val="17"/>
              </w:rPr>
              <w:t>1,308</w:t>
            </w:r>
          </w:p>
        </w:tc>
        <w:tc>
          <w:tcPr>
            <w:tcW w:type="dxa" w:w="1440"/>
            <w:shd w:fill="FFDCE0" w:val="clear"/>
          </w:tcPr>
          <w:p>
            <w:r>
              <w:rPr>
                <w:b/>
                <w:sz w:val="17"/>
              </w:rPr>
              <w:t>1,488</w:t>
            </w:r>
          </w:p>
        </w:tc>
        <w:tc>
          <w:tcPr>
            <w:tcW w:type="dxa" w:w="1440"/>
            <w:shd w:fill="FFDCE0" w:val="clear"/>
          </w:tcPr>
          <w:p>
            <w:r>
              <w:rPr>
                <w:sz w:val="17"/>
              </w:rPr>
              <w:t>1,668</w:t>
            </w:r>
          </w:p>
        </w:tc>
        <w:tc>
          <w:tcPr>
            <w:tcW w:type="dxa" w:w="1440"/>
            <w:shd w:fill="FFDCE0" w:val="clear"/>
          </w:tcPr>
          <w:p>
            <w:r>
              <w:rPr>
                <w:b/>
                <w:color w:val="C00000"/>
                <w:sz w:val="17"/>
              </w:rPr>
              <w:t>-15.2%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**RAPPORT D'ANALYSE FINANCIÈRE — CFAC (CFAO MOTORS CÔTE D'IVOIRE)**</w:t>
        <w:br/>
        <w:t>**Date de l'analyse : 03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318,31 Mds FCFA place CFAC parmi les valeurs moyennes du marché BRVM, reflétant sa position de leader sur le marché automobile ivoirien. Avec un BPA de 26 FCFA, le titre affiche un PER de 67,8x, extrêmement élevé par rapport à la moyenne historique de la BRVM (8-12x), signifiant que les investisseurs paient une prime considérable pour chaque franc de bénéfice. Le P/B de 16,36x confirme cette valorisation exigeante, le marché valorisant l'actif net comptable plus de 16 fois au-dessus de sa valeur. Enfin, l'EV/EBITDA de 34,5x, bien au-delà du seuil de 15x considéré comme exigeant, indique que la valeur totale de l'entreprise (capitalisation + dettes) est très élevée par rapport à sa capacité opérationnelle de génération de cash. Ces ratios suggèrent une valorisation très optimiste qui laisse peu de place à l'erreur.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CFAC a progressé de +3,54%, avec une dernière séance stable (+0,00%), s'établissant à 1 755 FCFA. Le cours a évolué dans une fourchette de 1 325 FCFA (plus bas) à 1 825 FCFA (plus haut), démontrant une amplitude de trading significative de 500 FCFA. La moyenne (1 612 FCFA) et la médiane (1 602 FCFA) sont proches, indiquant une distribution des prix relativement symétrique autour du point central, bien que le mode (1 600 FCFA) suggère une concentration des échanges à ce niveau. L'écart-type de 107 FCFA, avec un coefficient de variation de 6,6%, révèle une dispersion modérée des prix autour de la moyenne. Le kurtosis de -0,317 (mésokurtique) indique une distribution proche de la normale, sans risque de pics extrêmes. Le skewness de -0,380, légèrement négatif, suggère une asymétrie vers les valeurs basses. La volatilité annualisée de 49,2% est très élevée, signalant un titre particulièrement risqué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(1 755 FCFA) se positionne au-dessus de la MM20 (1 696,5 FCFA) et de la MM50 (1 675,1 FCFA), avec un écart croissant entre les deux moyennes. Cette configuration haussière, où le prix évolue au-dessus des moyennes mobiles et où la MM20 est au-dessus de la MM50, confirme une dynamique positive à court et moyen terme. La décision d'achat est justifiée par cette structure de tendance favorable.</w:t>
      </w:r>
    </w:p>
    <w:p>
      <w:pPr>
        <w:spacing w:after="120" w:line="276" w:lineRule="auto"/>
      </w:pPr>
      <w:r>
        <w:t>**Bandes de Bollinger** : Le prix à 1 755 FCFA se situe dans la partie supérieure des bandes, entre la borne supérieure (1 800,38 FCFA) et la moyenne mobile. L'écart entre les bornes (environ 208 FCFA) indique une volatilité modérée. La position du prix proche de la borne supérieure suggère une pression acheteuse soutenue, mais sans atteindre des niveaux extrêmes de surachat. La décision neutre est appropriée, le prix n'ayant pas encore touché les bornes extrêmes.</w:t>
      </w:r>
    </w:p>
    <w:p>
      <w:pPr>
        <w:spacing w:after="120" w:line="276" w:lineRule="auto"/>
      </w:pPr>
      <w:r>
        <w:t>**MACD** : Le MACD (23,27) est nettement au-dessus de son signal (18,37), avec un écart positif de 4,9 points. Cette configuration haussière indique un momentum positif soutenu, avec une accélération de la tendance. La décision d'achat est justifiée par cette divergence positive, qui suggère une poursuite du mouvement haussier à court terme.</w:t>
      </w:r>
    </w:p>
    <w:p>
      <w:pPr>
        <w:spacing w:after="120" w:line="276" w:lineRule="auto"/>
      </w:pPr>
      <w:r>
        <w:t>**RSI** : Le RSI à 67,03 se situe dans la zone neutre-haute, proche du seuil de surachat (70). Cette valeur indique une pression acheteuse encore présente mais qui commence à s'essouffler. La décision neutre est appropriée, car le RSI n'a pas encore atteint les niveaux extrêmes qui signaleraient un retournement imminent, mais il faut surveiller une possible entrée en zone de surachat.</w:t>
      </w:r>
    </w:p>
    <w:p>
      <w:pPr>
        <w:spacing w:after="120" w:line="276" w:lineRule="auto"/>
      </w:pPr>
      <w:r>
        <w:t>**Stochastique** : Le %K (93,94) est très élevé et nettement au-dessus du %D (78,79), indiquant une condition de surachat extrême. Cette configuration suggère que le titre est temporairement survendu et qu'un repli technique est probable à très court terme. La décision de vente est justifiée par ce niveau extrême du stochastique, qui précède souvent une correction.</w:t>
      </w:r>
    </w:p>
    <w:p>
      <w:pPr>
        <w:spacing w:after="120" w:line="276" w:lineRule="auto"/>
      </w:pPr>
      <w:r>
        <w:t>**Conclusion technique** : La tendance de fond reste haussière, confirmée par les moyennes mobiles et le MACD. Cependant, les oscillateurs de court terme (RSI proche de 70 et stochastique en surachat extrême) signalent une possible consolidation à venir. Le titre semble temporairement suracheté, ce qui pourrait limiter le potentiel de hausse immédiat avant un repli technique.</w:t>
      </w:r>
    </w:p>
    <w:p>
      <w:pPr>
        <w:spacing w:after="120" w:line="276" w:lineRule="auto"/>
      </w:pPr>
      <w:r>
        <w:t>---</w:t>
      </w:r>
    </w:p>
    <w:p>
      <w:pPr>
        <w:spacing w:after="120" w:line="276" w:lineRule="auto"/>
      </w:pPr>
      <w:r>
        <w:t>### PARTIE 3 : ANALYSE FONDAMENTALE (SECTION CRITIQUE)</w:t>
      </w:r>
    </w:p>
    <w:p>
      <w:pPr>
        <w:spacing w:after="120" w:line="276" w:lineRule="auto"/>
      </w:pPr>
      <w:r>
        <w:t>**Données structurées 2024** : Les états financiers annuels 2024 font état d'un chiffre d'affaires de 158,313 Mds FCFA, en baisse de -12,1% par rapport à 2023 (180,162 Mds FCFA), et d'un résultat net de 4,693 Mds FCFA, en recul de -26,7%. Le ROE s'établit à un excellent niveau de 24,13%, tandis que le ROA atteint 5,52%. La marge opérationnelle se dégrade à 4,96% et la marge nette à 2,96%. Le BFR est négatif (-3,482 Mds FCFA), ce qui est favorable pour une entreprise, indiquant que les ressources d'exploitation couvrent les besoins. Les délais clients (36,64 jours) et fournisseurs (81,75 jours) montrent une gestion correcte du cycle d'exploitation. La capacité de remboursement de 0,72 an est très satisfaisante.</w:t>
      </w:r>
    </w:p>
    <w:p>
      <w:pPr>
        <w:spacing w:after="120" w:line="276" w:lineRule="auto"/>
      </w:pPr>
      <w:r>
        <w:t>**Rapports narratifs récents** : Le rapport annuel 2024 (daté 2025-12-31) confirme la baisse du CA et du résultat net, attribuée à la contraction du marché automobile et à des difficultés logistiques. Cependant, les rapports trimestriels 2025 montrent un redressement spectaculaire : le T1 2025 affiche un CA de 46,161 Mds FCFA (+14,5%) et un résultat net de 3,836 Mds FCFA (+279,7%). Le S1 2025 confirme cette dynamique avec un CA de 91,182 Mds FCFA (+18,4%) et un résultat net de 5,420 Mds FCFA (+152,7%). Le T3 2025 poursuit sur cette lancée avec un CA de 43,580 Mds FCFA (+18,3%) et un résultat net de 1,489 Md FCFA (+38,1%). Sur la base de ces neuf premiers mois, on estime que l'exercice 2025 devrait dépasser largement les performances de 2024, avec un CA annuel projeté autour de 180 Mds FCFA et un résultat net potentiel de 8-9 Mds FCFA. La société maintient sa position de leader avec une part de marché de 41,7% au T3 2025, portée par les marques Suzuki et Toyota. Le ROE estimé pour 2025 devrait s'améliorer significativement, potentiellement au-delà de 30%.</w:t>
      </w:r>
    </w:p>
    <w:p>
      <w:pPr>
        <w:spacing w:after="120" w:line="276" w:lineRule="auto"/>
      </w:pPr>
      <w:r>
        <w:t>---</w:t>
      </w:r>
    </w:p>
    <w:p>
      <w:pPr>
        <w:spacing w:after="120" w:line="276" w:lineRule="auto"/>
      </w:pPr>
      <w:r>
        <w:t>### PARTIE 4 : CONCLUSION D'INVESTISSEMENT</w:t>
      </w:r>
    </w:p>
    <w:p>
      <w:pPr>
        <w:spacing w:after="120" w:line="276" w:lineRule="auto"/>
      </w:pPr>
      <w:r>
        <w:t>La valorisation de CFAC est extrêmement exigeante (PER de 67,8x, P/B de 16,36x, EV/EBITDA de 34,5x), reflétant des anticipations très optimistes du marché. Le comportement du cours sur 100 jours montre une tendance haussière modérée (+3,54%) avec une volatilité très élevée (49,2%), signalant un risque important. Les signaux techniques sont mitigés : la tendance de fond reste positive (MM, MACD), mais les oscillateurs de court terme (RSI à 67, le stochastique à 93,9) indiquent un surachat imminent. Les fondamentaux montrent une entreprise en pleine phase de redressement après un exercice 2024 difficile, avec des performances trimestrielles 2025 exceptionnelles qui devraient se traduire par une forte amélioration des résultats annuels. Les prédictions IA (1 696 FCFA à J+1, 1 601 FCFA à J+10) suggèrent une correction technique à venir, contredisant la tendance haussière récente. En synthèse, la convergence entre la valorisation excessive, les signaux de surachat technique et les prédictions IA baissières l'emporte sur la solidité fondamentale. **Recommandation : VENTE** pour les investisseurs à court terme, avec un niveau de confiance **Moyen** et un risque global **Élevé**. Pour les investisseurs à long terme, une stratégie d'accumulation progressive pourrait être envisagée après une correction du cours vers les 1 500-1 600 FCFA, horizon de moyen terme (3-12 mois).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375.20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6,325 titres</w:t>
            </w:r>
          </w:p>
        </w:tc>
        <w:tc>
          <w:tcPr>
            <w:tcW w:type="dxa" w:w="2268"/>
            <w:shd w:fill="FFF2CC" w:val="clear"/>
          </w:tcPr>
          <w:p>
            <w:r>
              <w:rPr>
                <w:b/>
                <w:color w:val="503200"/>
                <w:sz w:val="16"/>
              </w:rPr>
              <w:t xml:space="preserve">Cours actuel : </w:t>
            </w:r>
            <w:r>
              <w:rPr>
                <w:color w:val="000000"/>
                <w:sz w:val="17"/>
              </w:rPr>
              <w:t>6,700 FCFA</w:t>
            </w:r>
          </w:p>
          <w:p>
            <w:r>
              <w:rPr>
                <w:b/>
                <w:color w:val="503200"/>
                <w:sz w:val="16"/>
              </w:rPr>
              <w:t xml:space="preserve">Var. 100 jours : </w:t>
            </w:r>
            <w:r>
              <w:rPr>
                <w:b/>
                <w:color w:val="007800"/>
                <w:sz w:val="17"/>
              </w:rPr>
              <w:t>+106.47%</w:t>
            </w:r>
          </w:p>
          <w:p>
            <w:r>
              <w:rPr>
                <w:b/>
                <w:color w:val="503200"/>
                <w:sz w:val="16"/>
              </w:rPr>
              <w:t xml:space="preserve">Plus haut 100j : </w:t>
            </w:r>
            <w:r>
              <w:rPr>
                <w:color w:val="000000"/>
                <w:sz w:val="17"/>
              </w:rPr>
              <w:t>7,190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50.0%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29.8/100 → Moyen</w:t>
      </w:r>
    </w:p>
    <w:p>
      <w:pPr>
        <w:spacing w:before="40" w:after="80"/>
      </w:pPr>
      <w:r>
        <w:rPr>
          <w:rFonts w:ascii="Courier New" w:hAnsi="Courier New"/>
          <w:color w:val="825A00"/>
          <w:sz w:val="18"/>
        </w:rPr>
        <w:t>█████░░░░░░░░░░░░░░░  29.8/100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24.27% (Élevée) — μ=4,736 FCFA, σ=1,150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β=0.9095 (Neutre (suit le marché)) — Cov=0.000033, Var(idx)=0.000036, ρ=0.173,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6,325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σ_j=3.15%/j (Modérée) — Vol. annualisée≈50.0%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2026-09-04</w:t>
            </w:r>
          </w:p>
        </w:tc>
        <w:tc>
          <w:tcPr>
            <w:tcW w:type="dxa" w:w="1440"/>
            <w:shd w:fill="FFDCE0" w:val="clear"/>
          </w:tcPr>
          <w:p>
            <w:r>
              <w:rPr>
                <w:sz w:val="17"/>
              </w:rPr>
              <w:t>5,861</w:t>
            </w:r>
          </w:p>
        </w:tc>
        <w:tc>
          <w:tcPr>
            <w:tcW w:type="dxa" w:w="1440"/>
            <w:shd w:fill="FFDCE0" w:val="clear"/>
          </w:tcPr>
          <w:p>
            <w:r>
              <w:rPr>
                <w:b/>
                <w:sz w:val="17"/>
              </w:rPr>
              <w:t>6,198</w:t>
            </w:r>
          </w:p>
        </w:tc>
        <w:tc>
          <w:tcPr>
            <w:tcW w:type="dxa" w:w="1440"/>
            <w:shd w:fill="FFDCE0" w:val="clear"/>
          </w:tcPr>
          <w:p>
            <w:r>
              <w:rPr>
                <w:sz w:val="17"/>
              </w:rPr>
              <w:t>6,534</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2026-09-07</w:t>
            </w:r>
          </w:p>
        </w:tc>
        <w:tc>
          <w:tcPr>
            <w:tcW w:type="dxa" w:w="1440"/>
            <w:shd w:fill="FFDCE0" w:val="clear"/>
          </w:tcPr>
          <w:p>
            <w:r>
              <w:rPr>
                <w:sz w:val="17"/>
              </w:rPr>
              <w:t>5,293</w:t>
            </w:r>
          </w:p>
        </w:tc>
        <w:tc>
          <w:tcPr>
            <w:tcW w:type="dxa" w:w="1440"/>
            <w:shd w:fill="FFDCE0" w:val="clear"/>
          </w:tcPr>
          <w:p>
            <w:r>
              <w:rPr>
                <w:b/>
                <w:sz w:val="17"/>
              </w:rPr>
              <w:t>5,733</w:t>
            </w:r>
          </w:p>
        </w:tc>
        <w:tc>
          <w:tcPr>
            <w:tcW w:type="dxa" w:w="1440"/>
            <w:shd w:fill="FFDCE0" w:val="clear"/>
          </w:tcPr>
          <w:p>
            <w:r>
              <w:rPr>
                <w:sz w:val="17"/>
              </w:rPr>
              <w:t>6,173</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2026-09-08</w:t>
            </w:r>
          </w:p>
        </w:tc>
        <w:tc>
          <w:tcPr>
            <w:tcW w:type="dxa" w:w="1440"/>
            <w:shd w:fill="FFDCE0" w:val="clear"/>
          </w:tcPr>
          <w:p>
            <w:r>
              <w:rPr>
                <w:sz w:val="17"/>
              </w:rPr>
              <w:t>4,804</w:t>
            </w:r>
          </w:p>
        </w:tc>
        <w:tc>
          <w:tcPr>
            <w:tcW w:type="dxa" w:w="1440"/>
            <w:shd w:fill="FFDCE0" w:val="clear"/>
          </w:tcPr>
          <w:p>
            <w:r>
              <w:rPr>
                <w:b/>
                <w:sz w:val="17"/>
              </w:rPr>
              <w:t>5,303</w:t>
            </w:r>
          </w:p>
        </w:tc>
        <w:tc>
          <w:tcPr>
            <w:tcW w:type="dxa" w:w="1440"/>
            <w:shd w:fill="FFDCE0" w:val="clear"/>
          </w:tcPr>
          <w:p>
            <w:r>
              <w:rPr>
                <w:sz w:val="17"/>
              </w:rPr>
              <w:t>5,801</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2026-09-09</w:t>
            </w:r>
          </w:p>
        </w:tc>
        <w:tc>
          <w:tcPr>
            <w:tcW w:type="dxa" w:w="1440"/>
            <w:shd w:fill="FFDCE0" w:val="clear"/>
          </w:tcPr>
          <w:p>
            <w:r>
              <w:rPr>
                <w:sz w:val="17"/>
              </w:rPr>
              <w:t>4,373</w:t>
            </w:r>
          </w:p>
        </w:tc>
        <w:tc>
          <w:tcPr>
            <w:tcW w:type="dxa" w:w="1440"/>
            <w:shd w:fill="FFDCE0" w:val="clear"/>
          </w:tcPr>
          <w:p>
            <w:r>
              <w:rPr>
                <w:b/>
                <w:sz w:val="17"/>
              </w:rPr>
              <w:t>4,905</w:t>
            </w:r>
          </w:p>
        </w:tc>
        <w:tc>
          <w:tcPr>
            <w:tcW w:type="dxa" w:w="1440"/>
            <w:shd w:fill="FFDCE0" w:val="clear"/>
          </w:tcPr>
          <w:p>
            <w:r>
              <w:rPr>
                <w:sz w:val="17"/>
              </w:rPr>
              <w:t>5,438</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2026-09-10</w:t>
            </w:r>
          </w:p>
        </w:tc>
        <w:tc>
          <w:tcPr>
            <w:tcW w:type="dxa" w:w="1440"/>
            <w:shd w:fill="FFDCE0" w:val="clear"/>
          </w:tcPr>
          <w:p>
            <w:r>
              <w:rPr>
                <w:sz w:val="17"/>
              </w:rPr>
              <w:t>3,986</w:t>
            </w:r>
          </w:p>
        </w:tc>
        <w:tc>
          <w:tcPr>
            <w:tcW w:type="dxa" w:w="1440"/>
            <w:shd w:fill="FFDCE0" w:val="clear"/>
          </w:tcPr>
          <w:p>
            <w:r>
              <w:rPr>
                <w:b/>
                <w:sz w:val="17"/>
              </w:rPr>
              <w:t>4,537</w:t>
            </w:r>
          </w:p>
        </w:tc>
        <w:tc>
          <w:tcPr>
            <w:tcW w:type="dxa" w:w="1440"/>
            <w:shd w:fill="FFDCE0" w:val="clear"/>
          </w:tcPr>
          <w:p>
            <w:r>
              <w:rPr>
                <w:sz w:val="17"/>
              </w:rPr>
              <w:t>5,088</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2026-09-11</w:t>
            </w:r>
          </w:p>
        </w:tc>
        <w:tc>
          <w:tcPr>
            <w:tcW w:type="dxa" w:w="1440"/>
            <w:shd w:fill="FFDCE0" w:val="clear"/>
          </w:tcPr>
          <w:p>
            <w:r>
              <w:rPr>
                <w:sz w:val="17"/>
              </w:rPr>
              <w:t>3,639</w:t>
            </w:r>
          </w:p>
        </w:tc>
        <w:tc>
          <w:tcPr>
            <w:tcW w:type="dxa" w:w="1440"/>
            <w:shd w:fill="FFDCE0" w:val="clear"/>
          </w:tcPr>
          <w:p>
            <w:r>
              <w:rPr>
                <w:b/>
                <w:sz w:val="17"/>
              </w:rPr>
              <w:t>4,197</w:t>
            </w:r>
          </w:p>
        </w:tc>
        <w:tc>
          <w:tcPr>
            <w:tcW w:type="dxa" w:w="1440"/>
            <w:shd w:fill="FFDCE0" w:val="clear"/>
          </w:tcPr>
          <w:p>
            <w:r>
              <w:rPr>
                <w:sz w:val="17"/>
              </w:rPr>
              <w:t>4,755</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2026-09-14</w:t>
            </w:r>
          </w:p>
        </w:tc>
        <w:tc>
          <w:tcPr>
            <w:tcW w:type="dxa" w:w="1440"/>
            <w:shd w:fill="FFDCE0" w:val="clear"/>
          </w:tcPr>
          <w:p>
            <w:r>
              <w:rPr>
                <w:sz w:val="17"/>
              </w:rPr>
              <w:t>3,325</w:t>
            </w:r>
          </w:p>
        </w:tc>
        <w:tc>
          <w:tcPr>
            <w:tcW w:type="dxa" w:w="1440"/>
            <w:shd w:fill="FFDCE0" w:val="clear"/>
          </w:tcPr>
          <w:p>
            <w:r>
              <w:rPr>
                <w:b/>
                <w:sz w:val="17"/>
              </w:rPr>
              <w:t>3,882</w:t>
            </w:r>
          </w:p>
        </w:tc>
        <w:tc>
          <w:tcPr>
            <w:tcW w:type="dxa" w:w="1440"/>
            <w:shd w:fill="FFDCE0" w:val="clear"/>
          </w:tcPr>
          <w:p>
            <w:r>
              <w:rPr>
                <w:sz w:val="17"/>
              </w:rPr>
              <w:t>4,440</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2026-09-15</w:t>
            </w:r>
          </w:p>
        </w:tc>
        <w:tc>
          <w:tcPr>
            <w:tcW w:type="dxa" w:w="1440"/>
            <w:shd w:fill="FFDCE0" w:val="clear"/>
          </w:tcPr>
          <w:p>
            <w:r>
              <w:rPr>
                <w:sz w:val="17"/>
              </w:rPr>
              <w:t>3,040</w:t>
            </w:r>
          </w:p>
        </w:tc>
        <w:tc>
          <w:tcPr>
            <w:tcW w:type="dxa" w:w="1440"/>
            <w:shd w:fill="FFDCE0" w:val="clear"/>
          </w:tcPr>
          <w:p>
            <w:r>
              <w:rPr>
                <w:b/>
                <w:sz w:val="17"/>
              </w:rPr>
              <w:t>3,591</w:t>
            </w:r>
          </w:p>
        </w:tc>
        <w:tc>
          <w:tcPr>
            <w:tcW w:type="dxa" w:w="1440"/>
            <w:shd w:fill="FFDCE0" w:val="clear"/>
          </w:tcPr>
          <w:p>
            <w:r>
              <w:rPr>
                <w:sz w:val="17"/>
              </w:rPr>
              <w:t>4,142</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2026-09-16</w:t>
            </w:r>
          </w:p>
        </w:tc>
        <w:tc>
          <w:tcPr>
            <w:tcW w:type="dxa" w:w="1440"/>
            <w:shd w:fill="FFDCE0" w:val="clear"/>
          </w:tcPr>
          <w:p>
            <w:r>
              <w:rPr>
                <w:sz w:val="17"/>
              </w:rPr>
              <w:t>2,781</w:t>
            </w:r>
          </w:p>
        </w:tc>
        <w:tc>
          <w:tcPr>
            <w:tcW w:type="dxa" w:w="1440"/>
            <w:shd w:fill="FFDCE0" w:val="clear"/>
          </w:tcPr>
          <w:p>
            <w:r>
              <w:rPr>
                <w:b/>
                <w:sz w:val="17"/>
              </w:rPr>
              <w:t>3,322</w:t>
            </w:r>
          </w:p>
        </w:tc>
        <w:tc>
          <w:tcPr>
            <w:tcW w:type="dxa" w:w="1440"/>
            <w:shd w:fill="FFDCE0" w:val="clear"/>
          </w:tcPr>
          <w:p>
            <w:r>
              <w:rPr>
                <w:sz w:val="17"/>
              </w:rPr>
              <w:t>3,863</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2026-09-17</w:t>
            </w:r>
          </w:p>
        </w:tc>
        <w:tc>
          <w:tcPr>
            <w:tcW w:type="dxa" w:w="1440"/>
            <w:shd w:fill="FFDCE0" w:val="clear"/>
          </w:tcPr>
          <w:p>
            <w:r>
              <w:rPr>
                <w:sz w:val="17"/>
              </w:rPr>
              <w:t>2,681</w:t>
            </w:r>
          </w:p>
        </w:tc>
        <w:tc>
          <w:tcPr>
            <w:tcW w:type="dxa" w:w="1440"/>
            <w:shd w:fill="FFDCE0" w:val="clear"/>
          </w:tcPr>
          <w:p>
            <w:r>
              <w:rPr>
                <w:b/>
                <w:sz w:val="17"/>
              </w:rPr>
              <w:t>3,237</w:t>
            </w:r>
          </w:p>
        </w:tc>
        <w:tc>
          <w:tcPr>
            <w:tcW w:type="dxa" w:w="1440"/>
            <w:shd w:fill="FFDCE0" w:val="clear"/>
          </w:tcPr>
          <w:p>
            <w:r>
              <w:rPr>
                <w:sz w:val="17"/>
              </w:rPr>
              <w:t>3,793</w:t>
            </w:r>
          </w:p>
        </w:tc>
        <w:tc>
          <w:tcPr>
            <w:tcW w:type="dxa" w:w="1440"/>
            <w:shd w:fill="FFDCE0" w:val="clear"/>
          </w:tcPr>
          <w:p>
            <w:r>
              <w:rPr>
                <w:b/>
                <w:color w:val="C00000"/>
                <w:sz w:val="17"/>
              </w:rPr>
              <w:t>-51.7%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la CIEC s'établit à 375,20 milliards FCFA, un niveau significatif qui positionne la société parmi les valeurs moyennes à grandes capitalisations de la BRVM, reflétant son statut de monopole historique dans la distribution d'électricité en Côte d'Ivoire. Le BPA de 234 FCFA indique que chaque action génère un bénéfice de 234 FCFA, mais le PER de 28,6x est très élevé par rapport à la moyenne historique de la BRVM (8-12x), suggérant que les investisseurs anticipent une croissance future substantielle ou que le titre est surévalué. Le P/B de 10,43x confirme cette exubérance, le marché valorisant l'action plus de dix fois sa valeur comptable, ce qui traduit une prime considérable sur les actifs nets. Enfin, l'EV/EBITDA de 15,2x, supérieur au seuil exigeant de 15x, indique que la valeur totale de l'entreprise (capitalisation plus dette nette) est élevée par rapport à sa capacité opérationnelle, renforçant le constat d'une valorisation qui intègre des attentes de performance très optimistes.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CIEC a enregistré une progression spectaculaire de +106,47%, passant d'un plus bas de 3 000 FCFA à un plus haut de 7 190 FCFA, avec un cours actuel de 6 700 FCFA, soit une hausse de +3,08% lors de la dernière séance. Cette tendance fortement haussière s'accompagne d'une moyenne de 4 736 FCFA et d'une médiane de 5 000 FCFA, dont la proximité relative (écart de 264 FCFA) suggère une distribution globalement symétrique, confirmée par un skewness de 0,026. L'écart-type de 1 155 FCFA, avec un coefficient de variation de 24,4%, indique une dispersion modérée des cours autour de la moyenne, tandis que le kurtosis de -0,790 (mésokurtique) révèle une absence de pics extrêmes et un profil de distribution proche de la normale, sans risque accru de mouvements brutaux. La volatilité annualisée de 50,0% classe le titre dans la catégorie des valeurs à forte volatilité (&gt;30%), ce qui implique un risque élevé mais aussi un potentiel de gains substantiels pour les investisseurs aguerris.</w:t>
      </w:r>
    </w:p>
    <w:p>
      <w:pPr>
        <w:spacing w:after="120" w:line="276" w:lineRule="auto" w:before="240"/>
      </w:pPr>
      <w:r>
        <w:rPr>
          <w:b/>
          <w:color w:val="003366"/>
          <w:sz w:val="24"/>
        </w:rPr>
        <w:t>**PARTIE 2 : ANALYSE TECHNIQUE DÉTAILLÉE**</w:t>
      </w:r>
    </w:p>
    <w:p>
      <w:pPr>
        <w:spacing w:after="120" w:line="276" w:lineRule="auto"/>
      </w:pPr>
      <w:r>
        <w:t>**Moyennes Mobiles** : Le cours actuel de 6 700 FCFA se positionne nettement au-dessus de la MM20 (6 195,5 FCFA) et de la MM50 (5 610 FCFA), avec un écart de 8,1% et 19,4% respectivement. Cette configuration haussière, où le prix évolue au-dessus des deux moyennes, confirme la tendance positive de fond et justifie la décision d'achat, bien que l'écart croissant entre le cours et la MM20 puisse signaler une extension excessive à court terme.</w:t>
      </w:r>
    </w:p>
    <w:p>
      <w:pPr>
        <w:spacing w:after="120" w:line="276" w:lineRule="auto"/>
      </w:pPr>
      <w:r>
        <w:t>**Bandes de Bollinger** : Le prix de 6 700 FCFA se situe entre la borne inférieure (4 694,3 FCFA) et la borne supérieure (7 696,7 FCFA), plus précisément dans la moitié supérieure de l'enveloppe, indiquant une pression acheteuse persistante. La largeur des bandes (3 002 FCFA) reflète une volatilité élevée, et la décision neutre suggère que le titre n'est pas encore en zone de surachat extrême, laissant une marge de progression avant d'atteindre la borne supérieure.</w:t>
      </w:r>
    </w:p>
    <w:p>
      <w:pPr>
        <w:spacing w:after="120" w:line="276" w:lineRule="auto"/>
      </w:pPr>
      <w:r>
        <w:t>**MACD** : Le MACD (382,47) est légèrement inférieur à sa ligne de signal (391,48), avec un écart négatif de -9,01, ce qui indique un affaiblissement du momentum haussier à très court terme. Cette divergence négative, bien que modeste, génère une décision de vente, signalant une possible consolidation ou correction après la forte hausse récente, même si la valeur positive du MACD maintient une tendance sous-jacente positive.</w:t>
      </w:r>
    </w:p>
    <w:p>
      <w:pPr>
        <w:spacing w:after="120" w:line="276" w:lineRule="auto"/>
      </w:pPr>
      <w:r>
        <w:t>**RSI** : Avec une valeur de 72,24, le RSI dépasse le seuil de surachat de 70, indiquant que le titre est techniquement surévalué à court terme. Cette situation, confirmant la décision de vente, suggère qu'un repli technique est probable pour soulager la pression acheteuse, bien que dans une tendance fortement haussière, le RSI puisse rester en zone de surachat pendant des périodes prolongées.</w:t>
      </w:r>
    </w:p>
    <w:p>
      <w:pPr>
        <w:spacing w:after="120" w:line="276" w:lineRule="auto"/>
      </w:pPr>
      <w:r>
        <w:t>**Stochastique** : Le %K (70,75) est supérieur au %D (65,73), avec un écart positif de 5,02, indiquant que le momentum haussier est toujours intact à très court terme. La décision neutre reflète une situation où le titre n'est ni en surachat extrême ni en survente, mais la proximité du %K avec le seuil de 80 suggère une vigilance quant à un possible retournement.</w:t>
      </w:r>
    </w:p>
    <w:p>
      <w:pPr>
        <w:spacing w:after="120" w:line="276" w:lineRule="auto"/>
      </w:pPr>
      <w:r>
        <w:t>**Conclusion technique** : La synthèse des indicateurs révèle un tableau contrasté : les moyennes mobiles confirment une tendance haussière solide, mais le RSI en zone de surachat et le MACD en légère divergence négative signalent un essoufflement du momentum à court terme. Les bandes de Bollinger et le stochastique, quant à eux, adoptent une position neutre, suggérant que le titre pourrait consolider latéralement avant de poursuivre sa tendance. Globalement, la tendance de fond reste positive, mais un repli technique vers la zone des 6 000-6 200 FCFA serait sain pour assainir les conditions de surachat.</w:t>
      </w:r>
    </w:p>
    <w:p>
      <w:pPr>
        <w:spacing w:after="120" w:line="276" w:lineRule="auto" w:before="240"/>
      </w:pPr>
      <w:r>
        <w:rPr>
          <w:b/>
          <w:color w:val="003366"/>
          <w:sz w:val="24"/>
        </w:rPr>
        <w:t>**PARTIE 3 : ANALYSE FONDAMENTALE (SECTION CRITIQUE)**</w:t>
      </w:r>
    </w:p>
    <w:p>
      <w:pPr>
        <w:spacing w:after="120" w:line="276" w:lineRule="auto"/>
      </w:pPr>
      <w:r>
        <w:t>En 2025, la CIEC affiche des performances financières solides avec un chiffre d'affaires de 302,320 milliards FCFA, en croissance de 14,8% par rapport à 2024 (263,294 milliards FCFA), et un résultat net de 13,127 milliards FCFA, en progression de 24,4% (contre 10,526 milliards en 2024). La rentabilité des fonds propres (ROE) atteint un niveau excellent de 36,5%, tandis que le ROA reste modeste à 0,65%, illustrant la forte intensité capitalistique du secteur électrique. En tant qu'entreprise non bancaire, l'analyse des délais d'exploitation révèle un délai clients de 164 jours, un niveau élevé qui représente un risque de trésorerie significatif, mais ce risque est partiellement compensé par un délai fournisseurs exceptionnellement long de 970 jours et un BFR négatif de -90,244 milliards FCFA, traduisant un pouvoir de négociation favorable vis-à-vis des fournisseurs. La marge nette de 4,34% et la marge opérationnelle de 7,40% reflètent les contraintes du modèle de concession régulée, tandis que la croissance du CA de 14,8% démontre une dynamique commerciale soutenue. Les rapports du premier semestre 2025 (S1 2025) confirment cette trajectoire avec un CA de 134,923 milliards FCFA (+18,85% vs S1 2024) et un résultat net de 5,096 milliards FCFA (+13,4%), permettant d'estimer que l'exercice 2025 devrait dépasser les 300 milliards de CA, une projection confirmée par les états financiers annuels. Le rapport annuel 2025 (daté du 31 décembre 2025, analysé en mai 2026) souligne une politique de dividende très généreuse avec un DPA de 234 FCFA, représentant un taux de distribution de 99,8% du résultat net, ce qui démontre la volonté de rémunérer les actionnaires mais limite la capacité d'autofinancement. La structure financière reste fragile avec un ratio d'endettement de 612,9% et une autonomie financière de seulement 1,78%, bien en dessous du seuil de 30% considéré comme sain, reflétant la dépendance au cadre de la concession avec l'État ivoirien. Les perspectives 2026 s'annoncent favorables avec la poursuite du programme Électricité Pour Tous (PEPT) et l'expansion de la base clientèle (5,28 millions de clients, +15,1%), mais les risques liés au risque de crédit client et à la régulation tarifaire demeurent des points de vigilance majeurs.</w:t>
      </w:r>
    </w:p>
    <w:p>
      <w:pPr>
        <w:spacing w:after="120" w:line="276" w:lineRule="auto" w:before="240"/>
      </w:pPr>
      <w:r>
        <w:rPr>
          <w:b/>
          <w:color w:val="003366"/>
          <w:sz w:val="24"/>
        </w:rPr>
        <w:t>**PARTIE 4 : CONCLUSION D'INVESTISSEMENT**</w:t>
      </w:r>
    </w:p>
    <w:p>
      <w:pPr>
        <w:spacing w:after="120" w:line="276" w:lineRule="auto"/>
      </w:pPr>
      <w:r>
        <w:t>La synthèse globale révèle une situation paradoxale pour la CIEC : la valorisation boursière (PER de 28,6x, P/B de 10,43x, EV/EBITDA de 15,2x) est extrêmement exigeante, suggérant une surévaluation par rapport aux fondamentaux historiques, tandis que le comportement du cours sur 100 jours (+106,47%) avec une volatilité annualisée de 50% témoigne d'un enthousiasme spéculatif marqué. Les signaux techniques sont mitigés : les moyennes mobiles restent haussières, mais le RSI en surachat (72,24) et le MACD en divergence négative signalent un essoufflement à court terme, corroboré par les prédictions IA qui anticipent une correction sévère de 6 198 FCFA à 4 537 FCFA sur les 10 prochains jours ouvrables (-32,3%). Sur le plan fondamental, la société affiche une croissance solide (CA +14,8%, résultat net +24,4% en 2025) et un ROE excellent de 36,5%, mais la structure financière fragile (endettement de 612,9%) et le risque de crédit client (délai de 164 jours) tempèrent l'optimisme. La convergence entre la surévaluation technique, les signaux de surachat et les prédictions IA baissières suggère qu'une correction est imminente. Par conséquent, la recommandation finale est **VENTE** à court terme, avec un niveau de confiance **Moyen** (la tendance de fond reste positive mais la valorisation intègre des attentes irréalistes), un risque global **Élevé** (volatilité de 50%, dépendance réglementaire), et un horizon d'investissement optimal à **court terme (&lt;3 mois)** pour les investisseurs cherchant à sécuriser leurs gains, tandis que les investisseurs à long terme pourraient envisager une réentrée après correction vers les 4 500-5 000 FCFA.</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963.39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3,902 titres</w:t>
            </w:r>
          </w:p>
        </w:tc>
        <w:tc>
          <w:tcPr>
            <w:tcW w:type="dxa" w:w="2268"/>
            <w:shd w:fill="FFF2CC" w:val="clear"/>
          </w:tcPr>
          <w:p>
            <w:r>
              <w:rPr>
                <w:b/>
                <w:color w:val="503200"/>
                <w:sz w:val="16"/>
              </w:rPr>
              <w:t xml:space="preserve">Cours actuel : </w:t>
            </w:r>
            <w:r>
              <w:rPr>
                <w:color w:val="000000"/>
                <w:sz w:val="17"/>
              </w:rPr>
              <w:t>17,500 FCFA</w:t>
            </w:r>
          </w:p>
          <w:p>
            <w:r>
              <w:rPr>
                <w:b/>
                <w:color w:val="503200"/>
                <w:sz w:val="16"/>
              </w:rPr>
              <w:t xml:space="preserve">Var. 100 jours : </w:t>
            </w:r>
            <w:r>
              <w:rPr>
                <w:b/>
                <w:color w:val="007800"/>
                <w:sz w:val="17"/>
              </w:rPr>
              <w:t>+8.02%</w:t>
            </w:r>
          </w:p>
          <w:p>
            <w:r>
              <w:rPr>
                <w:b/>
                <w:color w:val="503200"/>
                <w:sz w:val="16"/>
              </w:rPr>
              <w:t xml:space="preserve">Plus haut 100j : </w:t>
            </w:r>
            <w:r>
              <w:rPr>
                <w:color w:val="000000"/>
                <w:sz w:val="17"/>
              </w:rPr>
              <w:t>17,500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28.2%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13.1/100 → Faible</w:t>
      </w:r>
    </w:p>
    <w:p>
      <w:pPr>
        <w:spacing w:before="40" w:after="80"/>
      </w:pPr>
      <w:r>
        <w:rPr>
          <w:rFonts w:ascii="Courier New" w:hAnsi="Courier New"/>
          <w:color w:val="006400"/>
          <w:sz w:val="18"/>
        </w:rPr>
        <w:t>██░░░░░░░░░░░░░░░░░░  13.1/100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2.46% (Faible) — μ=16,359 FCFA, σ=402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β=0.4394 (Défensif) — Cov=0.000016, Var(idx)=0.000036, ρ=0.148,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3,902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σ_j=1.78%/j (Stable) — Vol. annualisée≈28.2%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0319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2026-09-04</w:t>
            </w:r>
          </w:p>
        </w:tc>
        <w:tc>
          <w:tcPr>
            <w:tcW w:type="dxa" w:w="1440"/>
            <w:shd w:fill="FFDCE0" w:val="clear"/>
          </w:tcPr>
          <w:p>
            <w:r>
              <w:rPr>
                <w:sz w:val="17"/>
              </w:rPr>
              <w:t>16,683</w:t>
            </w:r>
          </w:p>
        </w:tc>
        <w:tc>
          <w:tcPr>
            <w:tcW w:type="dxa" w:w="1440"/>
            <w:shd w:fill="FFDCE0" w:val="clear"/>
          </w:tcPr>
          <w:p>
            <w:r>
              <w:rPr>
                <w:b/>
                <w:sz w:val="17"/>
              </w:rPr>
              <w:t>17,103</w:t>
            </w:r>
          </w:p>
        </w:tc>
        <w:tc>
          <w:tcPr>
            <w:tcW w:type="dxa" w:w="1440"/>
            <w:shd w:fill="FFDCE0" w:val="clear"/>
          </w:tcPr>
          <w:p>
            <w:r>
              <w:rPr>
                <w:sz w:val="17"/>
              </w:rPr>
              <w:t>17,523</w:t>
            </w:r>
          </w:p>
        </w:tc>
        <w:tc>
          <w:tcPr>
            <w:tcW w:type="dxa" w:w="1440"/>
            <w:shd w:fill="FFDCE0" w:val="clear"/>
          </w:tcPr>
          <w:p>
            <w:r>
              <w:rPr>
                <w:b/>
                <w:color w:val="C00000"/>
                <w:sz w:val="17"/>
              </w:rPr>
              <w:t>-2.3%</w:t>
            </w:r>
          </w:p>
        </w:tc>
      </w:tr>
      <w:tr>
        <w:tc>
          <w:tcPr>
            <w:tcW w:type="dxa" w:w="1440"/>
            <w:shd w:fill="FFDCE0" w:val="clear"/>
          </w:tcPr>
          <w:p>
            <w:r>
              <w:rPr>
                <w:sz w:val="17"/>
              </w:rPr>
              <w:t>J+2  ⭐⭐⭐</w:t>
            </w:r>
          </w:p>
        </w:tc>
        <w:tc>
          <w:tcPr>
            <w:tcW w:type="dxa" w:w="1440"/>
            <w:shd w:fill="FFDCE0" w:val="clear"/>
          </w:tcPr>
          <w:p>
            <w:r>
              <w:rPr>
                <w:sz w:val="17"/>
              </w:rPr>
              <w:t>2026-09-07</w:t>
            </w:r>
          </w:p>
        </w:tc>
        <w:tc>
          <w:tcPr>
            <w:tcW w:type="dxa" w:w="1440"/>
            <w:shd w:fill="FFDCE0" w:val="clear"/>
          </w:tcPr>
          <w:p>
            <w:r>
              <w:rPr>
                <w:sz w:val="17"/>
              </w:rPr>
              <w:t>16,502</w:t>
            </w:r>
          </w:p>
        </w:tc>
        <w:tc>
          <w:tcPr>
            <w:tcW w:type="dxa" w:w="1440"/>
            <w:shd w:fill="FFDCE0" w:val="clear"/>
          </w:tcPr>
          <w:p>
            <w:r>
              <w:rPr>
                <w:b/>
                <w:sz w:val="17"/>
              </w:rPr>
              <w:t>17,096</w:t>
            </w:r>
          </w:p>
        </w:tc>
        <w:tc>
          <w:tcPr>
            <w:tcW w:type="dxa" w:w="1440"/>
            <w:shd w:fill="FFDCE0" w:val="clear"/>
          </w:tcPr>
          <w:p>
            <w:r>
              <w:rPr>
                <w:sz w:val="17"/>
              </w:rPr>
              <w:t>17,689</w:t>
            </w:r>
          </w:p>
        </w:tc>
        <w:tc>
          <w:tcPr>
            <w:tcW w:type="dxa" w:w="1440"/>
            <w:shd w:fill="FFDCE0" w:val="clear"/>
          </w:tcPr>
          <w:p>
            <w:r>
              <w:rPr>
                <w:b/>
                <w:color w:val="C00000"/>
                <w:sz w:val="17"/>
              </w:rPr>
              <w:t>-2.3%</w:t>
            </w:r>
          </w:p>
        </w:tc>
      </w:tr>
      <w:tr>
        <w:tc>
          <w:tcPr>
            <w:tcW w:type="dxa" w:w="1440"/>
            <w:shd w:fill="FFDCE0" w:val="clear"/>
          </w:tcPr>
          <w:p>
            <w:r>
              <w:rPr>
                <w:sz w:val="17"/>
              </w:rPr>
              <w:t>J+3  ⭐⭐⭐</w:t>
            </w:r>
          </w:p>
        </w:tc>
        <w:tc>
          <w:tcPr>
            <w:tcW w:type="dxa" w:w="1440"/>
            <w:shd w:fill="FFDCE0" w:val="clear"/>
          </w:tcPr>
          <w:p>
            <w:r>
              <w:rPr>
                <w:sz w:val="17"/>
              </w:rPr>
              <w:t>2026-09-08</w:t>
            </w:r>
          </w:p>
        </w:tc>
        <w:tc>
          <w:tcPr>
            <w:tcW w:type="dxa" w:w="1440"/>
            <w:shd w:fill="FFDCE0" w:val="clear"/>
          </w:tcPr>
          <w:p>
            <w:r>
              <w:rPr>
                <w:sz w:val="17"/>
              </w:rPr>
              <w:t>16,336</w:t>
            </w:r>
          </w:p>
        </w:tc>
        <w:tc>
          <w:tcPr>
            <w:tcW w:type="dxa" w:w="1440"/>
            <w:shd w:fill="FFDCE0" w:val="clear"/>
          </w:tcPr>
          <w:p>
            <w:r>
              <w:rPr>
                <w:b/>
                <w:sz w:val="17"/>
              </w:rPr>
              <w:t>17,061</w:t>
            </w:r>
          </w:p>
        </w:tc>
        <w:tc>
          <w:tcPr>
            <w:tcW w:type="dxa" w:w="1440"/>
            <w:shd w:fill="FFDCE0" w:val="clear"/>
          </w:tcPr>
          <w:p>
            <w:r>
              <w:rPr>
                <w:sz w:val="17"/>
              </w:rPr>
              <w:t>17,787</w:t>
            </w:r>
          </w:p>
        </w:tc>
        <w:tc>
          <w:tcPr>
            <w:tcW w:type="dxa" w:w="1440"/>
            <w:shd w:fill="FFDCE0" w:val="clear"/>
          </w:tcPr>
          <w:p>
            <w:r>
              <w:rPr>
                <w:b/>
                <w:color w:val="C00000"/>
                <w:sz w:val="17"/>
              </w:rPr>
              <w:t>-2.5%</w:t>
            </w:r>
          </w:p>
        </w:tc>
      </w:tr>
      <w:tr>
        <w:tc>
          <w:tcPr>
            <w:tcW w:type="dxa" w:w="1440"/>
            <w:shd w:fill="FFDCE0" w:val="clear"/>
          </w:tcPr>
          <w:p>
            <w:r>
              <w:rPr>
                <w:sz w:val="17"/>
              </w:rPr>
              <w:t>J+4  Moyenne</w:t>
            </w:r>
          </w:p>
        </w:tc>
        <w:tc>
          <w:tcPr>
            <w:tcW w:type="dxa" w:w="1440"/>
            <w:shd w:fill="FFDCE0" w:val="clear"/>
          </w:tcPr>
          <w:p>
            <w:r>
              <w:rPr>
                <w:sz w:val="17"/>
              </w:rPr>
              <w:t>2026-09-09</w:t>
            </w:r>
          </w:p>
        </w:tc>
        <w:tc>
          <w:tcPr>
            <w:tcW w:type="dxa" w:w="1440"/>
            <w:shd w:fill="FFDCE0" w:val="clear"/>
          </w:tcPr>
          <w:p>
            <w:r>
              <w:rPr>
                <w:sz w:val="17"/>
              </w:rPr>
              <w:t>16,197</w:t>
            </w:r>
          </w:p>
        </w:tc>
        <w:tc>
          <w:tcPr>
            <w:tcW w:type="dxa" w:w="1440"/>
            <w:shd w:fill="FFDCE0" w:val="clear"/>
          </w:tcPr>
          <w:p>
            <w:r>
              <w:rPr>
                <w:b/>
                <w:sz w:val="17"/>
              </w:rPr>
              <w:t>17,033</w:t>
            </w:r>
          </w:p>
        </w:tc>
        <w:tc>
          <w:tcPr>
            <w:tcW w:type="dxa" w:w="1440"/>
            <w:shd w:fill="FFDCE0" w:val="clear"/>
          </w:tcPr>
          <w:p>
            <w:r>
              <w:rPr>
                <w:sz w:val="17"/>
              </w:rPr>
              <w:t>17,869</w:t>
            </w:r>
          </w:p>
        </w:tc>
        <w:tc>
          <w:tcPr>
            <w:tcW w:type="dxa" w:w="1440"/>
            <w:shd w:fill="FFDCE0" w:val="clear"/>
          </w:tcPr>
          <w:p>
            <w:r>
              <w:rPr>
                <w:b/>
                <w:color w:val="C00000"/>
                <w:sz w:val="17"/>
              </w:rPr>
              <w:t>-2.7%</w:t>
            </w:r>
          </w:p>
        </w:tc>
      </w:tr>
      <w:tr>
        <w:tc>
          <w:tcPr>
            <w:tcW w:type="dxa" w:w="1440"/>
            <w:shd w:fill="FFDCE0" w:val="clear"/>
          </w:tcPr>
          <w:p>
            <w:r>
              <w:rPr>
                <w:sz w:val="17"/>
              </w:rPr>
              <w:t>J+5  Moyenne</w:t>
            </w:r>
          </w:p>
        </w:tc>
        <w:tc>
          <w:tcPr>
            <w:tcW w:type="dxa" w:w="1440"/>
            <w:shd w:fill="FFDCE0" w:val="clear"/>
          </w:tcPr>
          <w:p>
            <w:r>
              <w:rPr>
                <w:sz w:val="17"/>
              </w:rPr>
              <w:t>2026-09-10</w:t>
            </w:r>
          </w:p>
        </w:tc>
        <w:tc>
          <w:tcPr>
            <w:tcW w:type="dxa" w:w="1440"/>
            <w:shd w:fill="FFDCE0" w:val="clear"/>
          </w:tcPr>
          <w:p>
            <w:r>
              <w:rPr>
                <w:sz w:val="17"/>
              </w:rPr>
              <w:t>16,076</w:t>
            </w:r>
          </w:p>
        </w:tc>
        <w:tc>
          <w:tcPr>
            <w:tcW w:type="dxa" w:w="1440"/>
            <w:shd w:fill="FFDCE0" w:val="clear"/>
          </w:tcPr>
          <w:p>
            <w:r>
              <w:rPr>
                <w:b/>
                <w:sz w:val="17"/>
              </w:rPr>
              <w:t>17,009</w:t>
            </w:r>
          </w:p>
        </w:tc>
        <w:tc>
          <w:tcPr>
            <w:tcW w:type="dxa" w:w="1440"/>
            <w:shd w:fill="FFDCE0" w:val="clear"/>
          </w:tcPr>
          <w:p>
            <w:r>
              <w:rPr>
                <w:sz w:val="17"/>
              </w:rPr>
              <w:t>17,943</w:t>
            </w:r>
          </w:p>
        </w:tc>
        <w:tc>
          <w:tcPr>
            <w:tcW w:type="dxa" w:w="1440"/>
            <w:shd w:fill="FFDCE0" w:val="clear"/>
          </w:tcPr>
          <w:p>
            <w:r>
              <w:rPr>
                <w:b/>
                <w:color w:val="C00000"/>
                <w:sz w:val="17"/>
              </w:rPr>
              <w:t>-2.8%</w:t>
            </w:r>
          </w:p>
        </w:tc>
      </w:tr>
      <w:tr>
        <w:tc>
          <w:tcPr>
            <w:tcW w:type="dxa" w:w="1440"/>
            <w:shd w:fill="FFDCE0" w:val="clear"/>
          </w:tcPr>
          <w:p>
            <w:r>
              <w:rPr>
                <w:sz w:val="17"/>
              </w:rPr>
              <w:t>J+6  Moyenne</w:t>
            </w:r>
          </w:p>
        </w:tc>
        <w:tc>
          <w:tcPr>
            <w:tcW w:type="dxa" w:w="1440"/>
            <w:shd w:fill="FFDCE0" w:val="clear"/>
          </w:tcPr>
          <w:p>
            <w:r>
              <w:rPr>
                <w:sz w:val="17"/>
              </w:rPr>
              <w:t>2026-09-11</w:t>
            </w:r>
          </w:p>
        </w:tc>
        <w:tc>
          <w:tcPr>
            <w:tcW w:type="dxa" w:w="1440"/>
            <w:shd w:fill="FFDCE0" w:val="clear"/>
          </w:tcPr>
          <w:p>
            <w:r>
              <w:rPr>
                <w:sz w:val="17"/>
              </w:rPr>
              <w:t>15,966</w:t>
            </w:r>
          </w:p>
        </w:tc>
        <w:tc>
          <w:tcPr>
            <w:tcW w:type="dxa" w:w="1440"/>
            <w:shd w:fill="FFDCE0" w:val="clear"/>
          </w:tcPr>
          <w:p>
            <w:r>
              <w:rPr>
                <w:b/>
                <w:sz w:val="17"/>
              </w:rPr>
              <w:t>16,987</w:t>
            </w:r>
          </w:p>
        </w:tc>
        <w:tc>
          <w:tcPr>
            <w:tcW w:type="dxa" w:w="1440"/>
            <w:shd w:fill="FFDCE0" w:val="clear"/>
          </w:tcPr>
          <w:p>
            <w:r>
              <w:rPr>
                <w:sz w:val="17"/>
              </w:rPr>
              <w:t>18,009</w:t>
            </w:r>
          </w:p>
        </w:tc>
        <w:tc>
          <w:tcPr>
            <w:tcW w:type="dxa" w:w="1440"/>
            <w:shd w:fill="FFDCE0" w:val="clear"/>
          </w:tcPr>
          <w:p>
            <w:r>
              <w:rPr>
                <w:b/>
                <w:color w:val="C00000"/>
                <w:sz w:val="17"/>
              </w:rPr>
              <w:t>-2.9%</w:t>
            </w:r>
          </w:p>
        </w:tc>
      </w:tr>
      <w:tr>
        <w:tc>
          <w:tcPr>
            <w:tcW w:type="dxa" w:w="1440"/>
            <w:shd w:fill="FFDCE0" w:val="clear"/>
          </w:tcPr>
          <w:p>
            <w:r>
              <w:rPr>
                <w:sz w:val="17"/>
              </w:rPr>
              <w:t>J+7  Moyenne</w:t>
            </w:r>
          </w:p>
        </w:tc>
        <w:tc>
          <w:tcPr>
            <w:tcW w:type="dxa" w:w="1440"/>
            <w:shd w:fill="FFDCE0" w:val="clear"/>
          </w:tcPr>
          <w:p>
            <w:r>
              <w:rPr>
                <w:sz w:val="17"/>
              </w:rPr>
              <w:t>2026-09-14</w:t>
            </w:r>
          </w:p>
        </w:tc>
        <w:tc>
          <w:tcPr>
            <w:tcW w:type="dxa" w:w="1440"/>
            <w:shd w:fill="FFDCE0" w:val="clear"/>
          </w:tcPr>
          <w:p>
            <w:r>
              <w:rPr>
                <w:sz w:val="17"/>
              </w:rPr>
              <w:t>15,864</w:t>
            </w:r>
          </w:p>
        </w:tc>
        <w:tc>
          <w:tcPr>
            <w:tcW w:type="dxa" w:w="1440"/>
            <w:shd w:fill="FFDCE0" w:val="clear"/>
          </w:tcPr>
          <w:p>
            <w:r>
              <w:rPr>
                <w:b/>
                <w:sz w:val="17"/>
              </w:rPr>
              <w:t>16,966</w:t>
            </w:r>
          </w:p>
        </w:tc>
        <w:tc>
          <w:tcPr>
            <w:tcW w:type="dxa" w:w="1440"/>
            <w:shd w:fill="FFDCE0" w:val="clear"/>
          </w:tcPr>
          <w:p>
            <w:r>
              <w:rPr>
                <w:sz w:val="17"/>
              </w:rPr>
              <w:t>18,068</w:t>
            </w:r>
          </w:p>
        </w:tc>
        <w:tc>
          <w:tcPr>
            <w:tcW w:type="dxa" w:w="1440"/>
            <w:shd w:fill="FFDCE0" w:val="clear"/>
          </w:tcPr>
          <w:p>
            <w:r>
              <w:rPr>
                <w:b/>
                <w:color w:val="C00000"/>
                <w:sz w:val="17"/>
              </w:rPr>
              <w:t>-3.1%</w:t>
            </w:r>
          </w:p>
        </w:tc>
      </w:tr>
      <w:tr>
        <w:tc>
          <w:tcPr>
            <w:tcW w:type="dxa" w:w="1440"/>
            <w:shd w:fill="FFDCE0" w:val="clear"/>
          </w:tcPr>
          <w:p>
            <w:r>
              <w:rPr>
                <w:sz w:val="17"/>
              </w:rPr>
              <w:t>J+8  Moyenne</w:t>
            </w:r>
          </w:p>
        </w:tc>
        <w:tc>
          <w:tcPr>
            <w:tcW w:type="dxa" w:w="1440"/>
            <w:shd w:fill="FFDCE0" w:val="clear"/>
          </w:tcPr>
          <w:p>
            <w:r>
              <w:rPr>
                <w:sz w:val="17"/>
              </w:rPr>
              <w:t>2026-09-15</w:t>
            </w:r>
          </w:p>
        </w:tc>
        <w:tc>
          <w:tcPr>
            <w:tcW w:type="dxa" w:w="1440"/>
            <w:shd w:fill="FFDCE0" w:val="clear"/>
          </w:tcPr>
          <w:p>
            <w:r>
              <w:rPr>
                <w:sz w:val="17"/>
              </w:rPr>
              <w:t>15,768</w:t>
            </w:r>
          </w:p>
        </w:tc>
        <w:tc>
          <w:tcPr>
            <w:tcW w:type="dxa" w:w="1440"/>
            <w:shd w:fill="FFDCE0" w:val="clear"/>
          </w:tcPr>
          <w:p>
            <w:r>
              <w:rPr>
                <w:b/>
                <w:sz w:val="17"/>
              </w:rPr>
              <w:t>16,945</w:t>
            </w:r>
          </w:p>
        </w:tc>
        <w:tc>
          <w:tcPr>
            <w:tcW w:type="dxa" w:w="1440"/>
            <w:shd w:fill="FFDCE0" w:val="clear"/>
          </w:tcPr>
          <w:p>
            <w:r>
              <w:rPr>
                <w:sz w:val="17"/>
              </w:rPr>
              <w:t>18,121</w:t>
            </w:r>
          </w:p>
        </w:tc>
        <w:tc>
          <w:tcPr>
            <w:tcW w:type="dxa" w:w="1440"/>
            <w:shd w:fill="FFDCE0" w:val="clear"/>
          </w:tcPr>
          <w:p>
            <w:r>
              <w:rPr>
                <w:b/>
                <w:color w:val="C00000"/>
                <w:sz w:val="17"/>
              </w:rPr>
              <w:t>-3.2%</w:t>
            </w:r>
          </w:p>
        </w:tc>
      </w:tr>
      <w:tr>
        <w:tc>
          <w:tcPr>
            <w:tcW w:type="dxa" w:w="1440"/>
            <w:shd w:fill="FFDCE0" w:val="clear"/>
          </w:tcPr>
          <w:p>
            <w:r>
              <w:rPr>
                <w:sz w:val="17"/>
              </w:rPr>
              <w:t>J+9  Moyenne</w:t>
            </w:r>
          </w:p>
        </w:tc>
        <w:tc>
          <w:tcPr>
            <w:tcW w:type="dxa" w:w="1440"/>
            <w:shd w:fill="FFDCE0" w:val="clear"/>
          </w:tcPr>
          <w:p>
            <w:r>
              <w:rPr>
                <w:sz w:val="17"/>
              </w:rPr>
              <w:t>2026-09-16</w:t>
            </w:r>
          </w:p>
        </w:tc>
        <w:tc>
          <w:tcPr>
            <w:tcW w:type="dxa" w:w="1440"/>
            <w:shd w:fill="FFDCE0" w:val="clear"/>
          </w:tcPr>
          <w:p>
            <w:r>
              <w:rPr>
                <w:sz w:val="17"/>
              </w:rPr>
              <w:t>15,677</w:t>
            </w:r>
          </w:p>
        </w:tc>
        <w:tc>
          <w:tcPr>
            <w:tcW w:type="dxa" w:w="1440"/>
            <w:shd w:fill="FFDCE0" w:val="clear"/>
          </w:tcPr>
          <w:p>
            <w:r>
              <w:rPr>
                <w:b/>
                <w:sz w:val="17"/>
              </w:rPr>
              <w:t>16,923</w:t>
            </w:r>
          </w:p>
        </w:tc>
        <w:tc>
          <w:tcPr>
            <w:tcW w:type="dxa" w:w="1440"/>
            <w:shd w:fill="FFDCE0" w:val="clear"/>
          </w:tcPr>
          <w:p>
            <w:r>
              <w:rPr>
                <w:sz w:val="17"/>
              </w:rPr>
              <w:t>18,170</w:t>
            </w:r>
          </w:p>
        </w:tc>
        <w:tc>
          <w:tcPr>
            <w:tcW w:type="dxa" w:w="1440"/>
            <w:shd w:fill="FFDCE0" w:val="clear"/>
          </w:tcPr>
          <w:p>
            <w:r>
              <w:rPr>
                <w:b/>
                <w:color w:val="C00000"/>
                <w:sz w:val="17"/>
              </w:rPr>
              <w:t>-3.3%</w:t>
            </w:r>
          </w:p>
        </w:tc>
      </w:tr>
      <w:tr>
        <w:tc>
          <w:tcPr>
            <w:tcW w:type="dxa" w:w="1440"/>
            <w:shd w:fill="FFDCE0" w:val="clear"/>
          </w:tcPr>
          <w:p>
            <w:r>
              <w:rPr>
                <w:sz w:val="17"/>
              </w:rPr>
              <w:t>J+10  Moyenne</w:t>
            </w:r>
          </w:p>
        </w:tc>
        <w:tc>
          <w:tcPr>
            <w:tcW w:type="dxa" w:w="1440"/>
            <w:shd w:fill="FFDCE0" w:val="clear"/>
          </w:tcPr>
          <w:p>
            <w:r>
              <w:rPr>
                <w:sz w:val="17"/>
              </w:rPr>
              <w:t>2026-09-17</w:t>
            </w:r>
          </w:p>
        </w:tc>
        <w:tc>
          <w:tcPr>
            <w:tcW w:type="dxa" w:w="1440"/>
            <w:shd w:fill="FFDCE0" w:val="clear"/>
          </w:tcPr>
          <w:p>
            <w:r>
              <w:rPr>
                <w:sz w:val="17"/>
              </w:rPr>
              <w:t>15,590</w:t>
            </w:r>
          </w:p>
        </w:tc>
        <w:tc>
          <w:tcPr>
            <w:tcW w:type="dxa" w:w="1440"/>
            <w:shd w:fill="FFDCE0" w:val="clear"/>
          </w:tcPr>
          <w:p>
            <w:r>
              <w:rPr>
                <w:b/>
                <w:sz w:val="17"/>
              </w:rPr>
              <w:t>16,902</w:t>
            </w:r>
          </w:p>
        </w:tc>
        <w:tc>
          <w:tcPr>
            <w:tcW w:type="dxa" w:w="1440"/>
            <w:shd w:fill="FFDCE0" w:val="clear"/>
          </w:tcPr>
          <w:p>
            <w:r>
              <w:rPr>
                <w:sz w:val="17"/>
              </w:rPr>
              <w:t>18,214</w:t>
            </w:r>
          </w:p>
        </w:tc>
        <w:tc>
          <w:tcPr>
            <w:tcW w:type="dxa" w:w="1440"/>
            <w:shd w:fill="FFDCE0" w:val="clear"/>
          </w:tcPr>
          <w:p>
            <w:r>
              <w:rPr>
                <w:b/>
                <w:color w:val="C00000"/>
                <w:sz w:val="17"/>
              </w:rPr>
              <w:t>-3.4%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d'ECOC s'établit à 963,39 milliards FCFA, ce qui en fait l'une des valeurs les plus lourdes et les plus liquides du marché de la BRVM, reflétant son statut de banque systémique en Côte d'Ivoire. Avec un BPA de 1 153 FCFA, le PER de 15,2x se situe nettement au-dessus de la moyenne historique du marché BRVM (8-12x), indiquant que les investisseurs acceptent de payer une prime significative pour la qualité des actifs et la croissance affichée. Le P/B de 4,41x confirme cette lecture : le marché valorise le titre à plus de quatre fois sa valeur comptable, un niveau exigeant qui intègre des hypothèses de rentabilité future élevée. Enfin, l'EV/EBITDA de 14,7x, bien que dans la fourchette haute des standards bancaires, reste cohérent avec la solidité opérationnelle de la banque. Ces ratios traduisent une valorisation riche, qui ne laisse que peu de marge d'erreur en cas de déception sur les résultats.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ECOC a enregistré une progression totale de +8,02%, avec une accélération notable lors de la dernière séance (+1,74%), portant le cours à 17 500 FCFA, son plus haut niveau sur la période. Le titre a évolué dans un range de trading de 1 980 FCFA (entre 15 520 et 17 500 FCFA), démontrant une tendance haussière soutenue et régulière. La moyenne (16 359 FCFA) et la médiane (16 300 FCFA) étant très proches, la distribution des prix est quasi symétrique, ce que confirme le skewness de 0,349. L'écart-type de 404 FCFA, associé à un coefficient de variation de seulement 2,5%, révèle une dispersion très faible autour de la moyenne, indiquant une progression ordonnée sans à-coups violents. Le kurtosis de -0,155 (mésokurtique) suggère l'absence de risques extrêmes de pics ou de krachs soudains. La volatilité annualisée de 28,2% classe le titre dans la catégorie modérée à élevée, ce qui est cohérent avec un marché émergent mais offre des perspectives de rendement ajusté du risque intéressantes.</w:t>
      </w:r>
    </w:p>
    <w:p>
      <w:pPr>
        <w:spacing w:after="120" w:line="276" w:lineRule="auto" w:before="240"/>
      </w:pPr>
      <w:r>
        <w:rPr>
          <w:b/>
          <w:color w:val="003366"/>
          <w:sz w:val="24"/>
        </w:rPr>
        <w:t>**PARTIE 2 : ANALYSE TECHNIQUE DÉTAILLÉE**</w:t>
      </w:r>
    </w:p>
    <w:p>
      <w:pPr>
        <w:spacing w:after="120" w:line="276" w:lineRule="auto"/>
      </w:pPr>
      <w:r>
        <w:t>Les **Moyennes Mobiles** sont résolument haussières : le cours actuel (17 500 FCFA) évolue nettement au-dessus de la MM20 (16 543,5 FCFA) et de la MM50 (16 450,2 FCFA), ces deux dernières étant orientées à la hausse. Cette configuration en "courbe de tendance ascendante" confirme la dynamique positive du titre et justifie la décision d'Achat, le prix agissant comme un support dynamique solide.</w:t>
      </w:r>
    </w:p>
    <w:p>
      <w:pPr>
        <w:spacing w:after="120" w:line="276" w:lineRule="auto"/>
      </w:pPr>
      <w:r>
        <w:t>Les **Bandes de Bollinger** indiquent que le cours a atteint la borne supérieure (17 475,4 FCFA), signalant une phase de surachat temporaire. Le prix touche physiquement cette limite, ce qui suggère une extension excessive par rapport à la moyenne mobile. La décision de Vente émise par cet indicateur est un signal de prudence à court terme, car une consolidation ou un repli technique vers la zone médiane (16 500 FCFA) est statistiquement probable.</w:t>
      </w:r>
    </w:p>
    <w:p>
      <w:pPr>
        <w:spacing w:after="120" w:line="276" w:lineRule="auto"/>
      </w:pPr>
      <w:r>
        <w:t>Le **MACD** affiche une valeur de 236,1 contre un signal à 142,0, avec un écart positif et croissant. Cette divergence haussière indique un momentum très favorable, confirmant la vigueur de la tendance en cours. La décision d'Achat est justifiée tant que le MACD reste au-dessus de son signal, bien qu'un écart aussi large puisse précéder un essoufflement temporaire.</w:t>
      </w:r>
    </w:p>
    <w:p>
      <w:pPr>
        <w:spacing w:after="120" w:line="276" w:lineRule="auto"/>
      </w:pPr>
      <w:r>
        <w:t>Le **RSI** à 72,59 franchit le seuil des 70, plaçant le titre en zone de surachat. Cette lecture technique suggère que le potentiel de hausse immédiat est largement consommé et qu'un repli technique est probable à très court terme. La décision de Vente est donc cohérente avec la loi des moyennes, mais ne remet pas en cause la tendance de fond.</w:t>
      </w:r>
    </w:p>
    <w:p>
      <w:pPr>
        <w:spacing w:after="120" w:line="276" w:lineRule="auto"/>
      </w:pPr>
      <w:r>
        <w:t>Le **Stochastique** est extrême : %K et %D sont tous deux à 100, un niveau qui ne peut pas être maintenu durablement. Cette configuration reflète une pression d'achat exceptionnelle, mais annonce mécaniquement un croisement baissier imminent. La décision de Vente est ici un signal de retour à la moyenne, à interpréter comme une opportunité d'achat sur repli pour les investisseurs de moyen terme.</w:t>
      </w:r>
    </w:p>
    <w:p>
      <w:pPr>
        <w:spacing w:after="120" w:line="276" w:lineRule="auto"/>
      </w:pPr>
      <w:r>
        <w:t>En conclusion technique, les indicateurs de tendance (MM, MACD) sont unanimement haussiers, mais les oscillateurs de momentum (RSI, Stochastique, Bandes de Bollinger) signalent une saturation à court terme. Cette divergence suggère qu'un mouvement de consolidation est probable dans les prochaines séances, mais qu'il s'inscrirait dans une tendance haussière de fond intacte. La stratégie optimale serait d'acheter lors d'un repli vers 16 800-17 000 FCFA.</w:t>
      </w:r>
    </w:p>
    <w:p>
      <w:pPr>
        <w:spacing w:after="120" w:line="276" w:lineRule="auto" w:before="240"/>
      </w:pPr>
      <w:r>
        <w:rPr>
          <w:b/>
          <w:color w:val="003366"/>
          <w:sz w:val="24"/>
        </w:rPr>
        <w:t>**PARTIE 3 : ANALYSE FONDAMENTALE (SECTION CRITIQUE)**</w:t>
      </w:r>
    </w:p>
    <w:p>
      <w:pPr>
        <w:spacing w:after="120" w:line="276" w:lineRule="auto"/>
      </w:pPr>
      <w:r>
        <w:t>En 2025, Ecobank Côte d'Ivoire affiche des fondamentaux d'une solidité remarquable. Le Produit Net Bancaire s'établit à 132,725 milliards FCFA, en croissance de +8,5% par rapport à 2024 (122,3 milliards FCFA), tandis que le résultat net progresse de manière spectaculaire pour atteindre 63,482 milliards FCFA, contre 57,5 milliards en 2024 (+10,4%). La rentabilité est exceptionnelle : le ROE atteint 29,04% et le ROA 3,09%, des niveaux qui placent ECOC parmi les banques les plus performantes de la zone UEMOA. Le coefficient d'exploitation de 42,89% témoigne d'une maîtrise des coûts exemplaire, bien en deçà du seuil d'efficacité de 60%. La qualité du portefeuille s'améliore nettement, avec un coût du risque modéré à 1,36% (contre 2,9 milliards FCFA de provisions en 2024, en forte baisse). Les dépôts clientèle (1 626 milliards FCFA) couvrent largement les crédits à la clientèle (1 050 milliards FCFA), soit un ratio de transformation de 64,6%, démontrant une liquidité abondante. Les rapports trimestriels 2025 confirment cette dynamique : au T1 2025, le PNB atteignait 29,7 milliards (+5,9%) et le résultat net 13,3 milliards (+6,9%) ; au S1 2025, le PNB progressait à 62,8 milliards (+6,9%) et le résultat net à 28,9 milliards (+13,8%) ; au T3 2025, le PNB s'élevait à 96,4 milliards (+11,3%) et le résultat net à 44,4 milliards (+15,4%). Sur la base de cette trajectoire trimestrielle, on estime que l'exercice 2025 devrait confirmer une croissance à deux chiffres du résultat net, portée par la baisse continue du coût du risque et l'amélioration de la marge nette d'intérêts. Le dividende proposé de 888 FCFA brut par action pour 2025 (vs 804 FCFA en 2024, +10,4%) offre un rendement de 5,1% au cours actuel, avec un taux de distribution de 77%, reflétant une politique actionnariale généreuse. Le rapport du T1 2026, publié récemment, montre un PNB de 30,8 milliards (+3,7%) mais un résultat net en léger repli à 13,0 milliards (-1,6%), suggérant une normalisation après des années de croissance exceptionnelle.</w:t>
      </w:r>
    </w:p>
    <w:p>
      <w:pPr>
        <w:spacing w:after="120" w:line="276" w:lineRule="auto" w:before="240"/>
      </w:pPr>
      <w:r>
        <w:rPr>
          <w:b/>
          <w:color w:val="003366"/>
          <w:sz w:val="24"/>
        </w:rPr>
        <w:t>**PARTIE 4 : CONCLUSION D'INVESTISSEMENT**</w:t>
      </w:r>
    </w:p>
    <w:p>
      <w:pPr>
        <w:spacing w:after="120" w:line="276" w:lineRule="auto"/>
      </w:pPr>
      <w:r>
        <w:t>La valorisation d'ECOC (PER 15,2x, P/B 4,41x) est exigeante mais justifiée par une rentabilité hors normes (ROE 29%), une croissance soutenue du PNB (+8,5% en 2025) et une politique de dividende généreuse (rendement 5,1%). Le comportement du cours sur 100 jours (+8,02%) confirme une tendance haussière robuste, avec une volatilité modérée (28,2%) et une distribution symétrique sans risque extrême. Les signaux techniques sont partagés : la tendance de fond reste haussière (MM, MACD), mais les indicateurs de surachat (RSI 72,6, Stochastique 100, contact avec la borne supérieure de Bollinger) suggèrent un repli technique imminent. Les fondamentaux demeurent excellents, avec une banque solide, efficace et bien capitalisée, même si le T1 2026 montre un léger ralentissement du résultat net (-1,6%). Les prédictions IA sur 10 jours (17 103 à 17 009 FCFA) anticipent une consolidation de 2,8% par rapport au cours actuel, confirmant l'analyse technique de surachat. En synthèse, la convergence entre la qualité fondamentale exceptionnelle et la tendance haussière de long terme justifie une recommandation **CONSERVER** pour les investisseurs déjà positionnés, avec un niveau de confiance **Élevé**. Pour les nouveaux entrants, une stratégie d'achat sur repli vers 16 500-17 000 FCFA serait optimale. Le risque global est **Moyen**, principalement lié à la valorisation élevée et à la normalisation attendue de la croissance. L'horizon d'investissement recommandé est le **moyen terme (3-12 mois)**, en vue de capter le prochain cycle de hausse après consolidation.</w:t>
      </w:r>
    </w:p>
    <w:p/>
    <w:p/>
    <w:p>
      <w:pPr>
        <w:pStyle w:val="Heading3"/>
      </w:pPr>
      <w:r>
        <w:rPr>
          <w:color w:val="00467F"/>
        </w:rPr>
        <w:t>📎 DOCUMENTS &amp; COMMUNICATIONS OFFICIELS BRVM</w:t>
      </w:r>
    </w:p>
    <w:p>
      <w:r>
        <w:rPr>
          <w:i/>
          <w:color w:val="646464"/>
          <w:sz w:val="18"/>
        </w:rPr>
        <w:t>10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remarquable avec un r\u00e9sultat net en hausse de 20,3% et une am\u00e9lioration de tous ses indicateurs cl\u00e9s. La croissance soutenue des cr\u00e9dits (+26,9%) et la ma\u00eetrise du co\u00fbt du risque d\u00e9montrent une gestion efficace et des perspectives favorables."}</w:t>
      </w:r>
    </w:p>
    <w:p>
      <w:pPr>
        <w:spacing w:before="40"/>
        <w:ind w:left="400"/>
      </w:pPr>
      <w:r>
        <w:rPr>
          <w:sz w:val="18"/>
        </w:rPr>
        <w:t>Ecobank Côte d'Ivoire présente des résultats solides pour le premier semestre 2022 avec une croissance généralisée de ses indicateurs financiers. Le total bilan a progressé de 5,9% à 1 642 milliards de FCFA, soutenu par une hausse des crédits nets (+26,9%) et des dépôts clientèle (+11,5%). Le Produit Net Bancaire s'est amélioré de 8,0% à 45,7 milliards de FCFA, bénéficiant de la performance des marges d'intérêts et des produits hors intérêts. Le Résultat Brut d'Exploitation a bondi de 10,4% à 24,9 milliards de FCFA malgré une hausse des charges d'exploitation. Le résultat net ressort à 17,7 milliards de FCFA, en progression de 20,3% par rapport au premier semestre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'1 287 720 millions de FCFA', 'cout_net_du_risque': '-1,7%', 'rendement_des_actifs': '2,2%', 'credits_nets_clientele': '731 371 millions de FCFA', 'coefficient_exploitation': '45,5%', 'rendement_des_capitaux_propres': '25,9%'}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1 641 965 millions de FCFA</w:t>
            </w:r>
          </w:p>
        </w:tc>
      </w:tr>
      <w:tr>
        <w:tc>
          <w:tcPr>
            <w:tcW w:type="dxa" w:w="2160"/>
          </w:tcPr>
          <w:p>
            <w:r/>
            <w:r>
              <w:rPr>
                <w:b/>
                <w:sz w:val="16"/>
              </w:rPr>
              <w:t>resultat_net</w:t>
              <w:br/>
            </w:r>
            <w:r>
              <w:rPr>
                <w:sz w:val="18"/>
              </w:rPr>
              <w:t>17 726 millions de FCFA</w:t>
            </w:r>
          </w:p>
        </w:tc>
        <w:tc>
          <w:tcPr>
            <w:tcW w:type="dxa" w:w="2160"/>
          </w:tcPr>
          <w:p>
            <w:r/>
            <w:r>
              <w:rPr>
                <w:b/>
                <w:sz w:val="16"/>
              </w:rPr>
              <w:t>capitaux_propres</w:t>
              <w:br/>
            </w:r>
            <w:r>
              <w:rPr>
                <w:sz w:val="18"/>
              </w:rPr>
              <w:t>136 847 millions de FCFA</w:t>
            </w:r>
          </w:p>
        </w:tc>
        <w:tc>
          <w:tcPr>
            <w:tcW w:type="dxa" w:w="2160"/>
          </w:tcPr>
          <w:p>
            <w:r/>
            <w:r>
              <w:rPr>
                <w:b/>
                <w:sz w:val="16"/>
              </w:rPr>
              <w:t>chiffre_affaires</w:t>
              <w:br/>
            </w:r>
            <w:r>
              <w:rPr>
                <w:sz w:val="18"/>
              </w:rPr>
              <w:t>45 650 millions de FCFA (PNB)</w:t>
            </w:r>
          </w:p>
        </w:tc>
        <w:tc>
          <w:tcPr>
            <w:tcW w:type="dxa" w:w="2160"/>
          </w:tcPr>
          <w:p/>
        </w:tc>
      </w:tr>
    </w:tbl>
    <w:p/>
    <w:p>
      <w:pPr>
        <w:spacing w:before="60"/>
        <w:ind w:left="400"/>
      </w:pPr>
      <w:r>
        <w:rPr>
          <w:b/>
          <w:sz w:val="18"/>
        </w:rPr>
        <w:t>Points clés :</w:t>
      </w:r>
    </w:p>
    <w:p>
      <w:pPr>
        <w:pStyle w:val="ListBullet"/>
        <w:spacing w:before="20" w:after="20"/>
        <w:ind w:left="700"/>
      </w:pPr>
      <w:r>
        <w:rPr>
          <w:sz w:val="18"/>
        </w:rPr>
        <w:t>Total bilan en hausse de 5,9% à 1 642 milliards de FCFA au 30 juin 2022</w:t>
      </w:r>
    </w:p>
    <w:p>
      <w:pPr>
        <w:pStyle w:val="ListBullet"/>
        <w:spacing w:before="20" w:after="20"/>
        <w:ind w:left="700"/>
      </w:pPr>
      <w:r>
        <w:rPr>
          <w:sz w:val="18"/>
        </w:rPr>
        <w:t>Croissance des crédits nets à la clientèle de 26,9% à 731,4 milliards de FCFA</w:t>
      </w:r>
    </w:p>
    <w:p>
      <w:pPr>
        <w:pStyle w:val="ListBullet"/>
        <w:spacing w:before="20" w:after="20"/>
        <w:ind w:left="700"/>
      </w:pPr>
      <w:r>
        <w:rPr>
          <w:sz w:val="18"/>
        </w:rPr>
        <w:t>Progression des dépôts de la clientèle de 11,5% à 1 287,7 milliards de FCFA</w:t>
      </w:r>
    </w:p>
    <w:p>
      <w:pPr>
        <w:pStyle w:val="ListBullet"/>
        <w:spacing w:before="20" w:after="20"/>
        <w:ind w:left="700"/>
      </w:pPr>
      <w:r>
        <w:rPr>
          <w:sz w:val="18"/>
        </w:rPr>
        <w:t>Produit Net Bancaire en hausse de 8,0% à 45,7 milliards de FCFA</w:t>
      </w:r>
    </w:p>
    <w:p>
      <w:pPr>
        <w:pStyle w:val="ListBullet"/>
        <w:spacing w:before="20" w:after="20"/>
        <w:ind w:left="700"/>
      </w:pPr>
      <w:r>
        <w:rPr>
          <w:sz w:val="18"/>
        </w:rPr>
        <w:t>Résultat Brut d'Exploitation en progression de 10,4% à 24,9 milliards de FCFA</w:t>
      </w:r>
    </w:p>
    <w:p>
      <w:pPr>
        <w:pStyle w:val="ListBullet"/>
        <w:spacing w:before="20" w:after="20"/>
        <w:ind w:left="700"/>
      </w:pPr>
      <w:r>
        <w:rPr>
          <w:sz w:val="18"/>
        </w:rPr>
        <w:t>Amélioration du coût du risque de 5,3% avec une baisse à 6,6 milliards de FCFA</w:t>
      </w:r>
    </w:p>
    <w:p>
      <w:pPr>
        <w:spacing w:before="40"/>
        <w:ind w:left="400"/>
      </w:pPr>
      <w:r>
        <w:rPr>
          <w:b/>
          <w:color w:val="C05000"/>
          <w:sz w:val="18"/>
        </w:rPr>
        <w:t xml:space="preserve">⚠️ Risques : </w:t>
      </w:r>
      <w:r>
        <w:rPr>
          <w:sz w:val="18"/>
        </w:rPr>
        <w:t>["Exposition au risque de cr\u00e9dit dans un environnement \u00e9conomique incertain", "Pression concurrentielle sur les marges dans le secteur bancaire ivoirien", "Risques op\u00e9rationnels li\u00e9s \u00e0 la transformation digitale en cours"]</w:t>
      </w:r>
    </w:p>
    <w:p>
      <w:pPr>
        <w:spacing w:before="40"/>
        <w:ind w:left="400"/>
      </w:pPr>
      <w:r>
        <w:rPr>
          <w:b/>
          <w:color w:val="0064A0"/>
          <w:sz w:val="18"/>
        </w:rPr>
        <w:t xml:space="preserve">🔮 Perspectives : </w:t>
      </w:r>
      <w:r>
        <w:rPr>
          <w:sz w:val="18"/>
        </w:rPr>
        <w:t>Ecobank Côte d'Ivoire semble bien positionnée pour poursuivre sa croissance avec une stratégie axée sur la digitalisation et le développement commercial. La banque devrait bénéficier de la reprise économique post-Covid et de sa stratégie de développement des crédits à moyen terme. L'amélioration con</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1247.80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1,484,704 titres</w:t>
            </w:r>
          </w:p>
        </w:tc>
        <w:tc>
          <w:tcPr>
            <w:tcW w:type="dxa" w:w="2268"/>
            <w:shd w:fill="FFF2CC" w:val="clear"/>
          </w:tcPr>
          <w:p>
            <w:r>
              <w:rPr>
                <w:b/>
                <w:color w:val="503200"/>
                <w:sz w:val="16"/>
              </w:rPr>
              <w:t xml:space="preserve">Cours actuel : </w:t>
            </w:r>
            <w:r>
              <w:rPr>
                <w:color w:val="000000"/>
                <w:sz w:val="17"/>
              </w:rPr>
              <w:t>69 FCFA</w:t>
            </w:r>
          </w:p>
          <w:p>
            <w:r>
              <w:rPr>
                <w:b/>
                <w:color w:val="503200"/>
                <w:sz w:val="16"/>
              </w:rPr>
              <w:t xml:space="preserve">Var. 100 jours : </w:t>
            </w:r>
            <w:r>
              <w:rPr>
                <w:b/>
                <w:color w:val="007800"/>
                <w:sz w:val="17"/>
              </w:rPr>
              <w:t>+102.94%</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26 FCFA</w:t>
            </w:r>
          </w:p>
          <w:p>
            <w:r>
              <w:rPr>
                <w:b/>
                <w:color w:val="503200"/>
                <w:sz w:val="16"/>
              </w:rPr>
              <w:t xml:space="preserve">Volatilité ann. : </w:t>
            </w:r>
            <w:r>
              <w:rPr>
                <w:color w:val="000000"/>
                <w:sz w:val="17"/>
              </w:rPr>
              <w:t>65.9%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37.87% (Élevée) — μ=47 FCFA, σ=18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β=2.7282 (Très agressif) — Cov=0.000099, Var(idx)=0.000036, ρ=0.395,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1,484,704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σ_j=4.15%/j (Modérée) — Vol. annualisée≈65.9%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9408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9408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2026-09-04</w:t>
            </w:r>
          </w:p>
        </w:tc>
        <w:tc>
          <w:tcPr>
            <w:tcW w:type="dxa" w:w="1440"/>
            <w:shd w:fill="FFDCE0" w:val="clear"/>
          </w:tcPr>
          <w:p>
            <w:r>
              <w:rPr>
                <w:sz w:val="17"/>
              </w:rPr>
              <w:t>60</w:t>
            </w:r>
          </w:p>
        </w:tc>
        <w:tc>
          <w:tcPr>
            <w:tcW w:type="dxa" w:w="1440"/>
            <w:shd w:fill="FFDCE0" w:val="clear"/>
          </w:tcPr>
          <w:p>
            <w:r>
              <w:rPr>
                <w:b/>
                <w:sz w:val="17"/>
              </w:rPr>
              <w:t>64</w:t>
            </w:r>
          </w:p>
        </w:tc>
        <w:tc>
          <w:tcPr>
            <w:tcW w:type="dxa" w:w="1440"/>
            <w:shd w:fill="FFDCE0" w:val="clear"/>
          </w:tcPr>
          <w:p>
            <w:r>
              <w:rPr>
                <w:sz w:val="17"/>
              </w:rPr>
              <w:t>68</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2026-09-07</w:t>
            </w:r>
          </w:p>
        </w:tc>
        <w:tc>
          <w:tcPr>
            <w:tcW w:type="dxa" w:w="1440"/>
            <w:shd w:fill="FFDCE0" w:val="clear"/>
          </w:tcPr>
          <w:p>
            <w:r>
              <w:rPr>
                <w:sz w:val="17"/>
              </w:rPr>
              <w:t>53</w:t>
            </w:r>
          </w:p>
        </w:tc>
        <w:tc>
          <w:tcPr>
            <w:tcW w:type="dxa" w:w="1440"/>
            <w:shd w:fill="FFDCE0" w:val="clear"/>
          </w:tcPr>
          <w:p>
            <w:r>
              <w:rPr>
                <w:b/>
                <w:sz w:val="17"/>
              </w:rPr>
              <w:t>59</w:t>
            </w:r>
          </w:p>
        </w:tc>
        <w:tc>
          <w:tcPr>
            <w:tcW w:type="dxa" w:w="1440"/>
            <w:shd w:fill="FFDCE0" w:val="clear"/>
          </w:tcPr>
          <w:p>
            <w:r>
              <w:rPr>
                <w:sz w:val="17"/>
              </w:rPr>
              <w:t>65</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2026-09-08</w:t>
            </w:r>
          </w:p>
        </w:tc>
        <w:tc>
          <w:tcPr>
            <w:tcW w:type="dxa" w:w="1440"/>
            <w:shd w:fill="FFDCE0" w:val="clear"/>
          </w:tcPr>
          <w:p>
            <w:r>
              <w:rPr>
                <w:sz w:val="17"/>
              </w:rPr>
              <w:t>48</w:t>
            </w:r>
          </w:p>
        </w:tc>
        <w:tc>
          <w:tcPr>
            <w:tcW w:type="dxa" w:w="1440"/>
            <w:shd w:fill="FFDCE0" w:val="clear"/>
          </w:tcPr>
          <w:p>
            <w:r>
              <w:rPr>
                <w:b/>
                <w:sz w:val="17"/>
              </w:rPr>
              <w:t>55</w:t>
            </w:r>
          </w:p>
        </w:tc>
        <w:tc>
          <w:tcPr>
            <w:tcW w:type="dxa" w:w="1440"/>
            <w:shd w:fill="FFDCE0" w:val="clear"/>
          </w:tcPr>
          <w:p>
            <w:r>
              <w:rPr>
                <w:sz w:val="17"/>
              </w:rPr>
              <w:t>61</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2026-09-09</w:t>
            </w:r>
          </w:p>
        </w:tc>
        <w:tc>
          <w:tcPr>
            <w:tcW w:type="dxa" w:w="1440"/>
            <w:shd w:fill="FFDCE0" w:val="clear"/>
          </w:tcPr>
          <w:p>
            <w:r>
              <w:rPr>
                <w:sz w:val="17"/>
              </w:rPr>
              <w:t>44</w:t>
            </w:r>
          </w:p>
        </w:tc>
        <w:tc>
          <w:tcPr>
            <w:tcW w:type="dxa" w:w="1440"/>
            <w:shd w:fill="FFDCE0" w:val="clear"/>
          </w:tcPr>
          <w:p>
            <w:r>
              <w:rPr>
                <w:b/>
                <w:sz w:val="17"/>
              </w:rPr>
              <w:t>51</w:t>
            </w:r>
          </w:p>
        </w:tc>
        <w:tc>
          <w:tcPr>
            <w:tcW w:type="dxa" w:w="1440"/>
            <w:shd w:fill="FFDCE0" w:val="clear"/>
          </w:tcPr>
          <w:p>
            <w:r>
              <w:rPr>
                <w:sz w:val="17"/>
              </w:rPr>
              <w:t>57</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2026-09-10</w:t>
            </w:r>
          </w:p>
        </w:tc>
        <w:tc>
          <w:tcPr>
            <w:tcW w:type="dxa" w:w="1440"/>
            <w:shd w:fill="FFDCE0" w:val="clear"/>
          </w:tcPr>
          <w:p>
            <w:r>
              <w:rPr>
                <w:sz w:val="17"/>
              </w:rPr>
              <w:t>40</w:t>
            </w:r>
          </w:p>
        </w:tc>
        <w:tc>
          <w:tcPr>
            <w:tcW w:type="dxa" w:w="1440"/>
            <w:shd w:fill="FFDCE0" w:val="clear"/>
          </w:tcPr>
          <w:p>
            <w:r>
              <w:rPr>
                <w:b/>
                <w:sz w:val="17"/>
              </w:rPr>
              <w:t>47</w:t>
            </w:r>
          </w:p>
        </w:tc>
        <w:tc>
          <w:tcPr>
            <w:tcW w:type="dxa" w:w="1440"/>
            <w:shd w:fill="FFDCE0" w:val="clear"/>
          </w:tcPr>
          <w:p>
            <w:r>
              <w:rPr>
                <w:sz w:val="17"/>
              </w:rPr>
              <w:t>54</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2026-09-11</w:t>
            </w:r>
          </w:p>
        </w:tc>
        <w:tc>
          <w:tcPr>
            <w:tcW w:type="dxa" w:w="1440"/>
            <w:shd w:fill="FFDCE0" w:val="clear"/>
          </w:tcPr>
          <w:p>
            <w:r>
              <w:rPr>
                <w:sz w:val="17"/>
              </w:rPr>
              <w:t>36</w:t>
            </w:r>
          </w:p>
        </w:tc>
        <w:tc>
          <w:tcPr>
            <w:tcW w:type="dxa" w:w="1440"/>
            <w:shd w:fill="FFDCE0" w:val="clear"/>
          </w:tcPr>
          <w:p>
            <w:r>
              <w:rPr>
                <w:b/>
                <w:sz w:val="17"/>
              </w:rPr>
              <w:t>43</w:t>
            </w:r>
          </w:p>
        </w:tc>
        <w:tc>
          <w:tcPr>
            <w:tcW w:type="dxa" w:w="1440"/>
            <w:shd w:fill="FFDCE0" w:val="clear"/>
          </w:tcPr>
          <w:p>
            <w:r>
              <w:rPr>
                <w:sz w:val="17"/>
              </w:rPr>
              <w:t>50</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2026-09-14</w:t>
            </w:r>
          </w:p>
        </w:tc>
        <w:tc>
          <w:tcPr>
            <w:tcW w:type="dxa" w:w="1440"/>
            <w:shd w:fill="FFDCE0" w:val="clear"/>
          </w:tcPr>
          <w:p>
            <w:r>
              <w:rPr>
                <w:sz w:val="17"/>
              </w:rPr>
              <w:t>33</w:t>
            </w:r>
          </w:p>
        </w:tc>
        <w:tc>
          <w:tcPr>
            <w:tcW w:type="dxa" w:w="1440"/>
            <w:shd w:fill="FFDCE0" w:val="clear"/>
          </w:tcPr>
          <w:p>
            <w:r>
              <w:rPr>
                <w:b/>
                <w:sz w:val="17"/>
              </w:rPr>
              <w:t>40</w:t>
            </w:r>
          </w:p>
        </w:tc>
        <w:tc>
          <w:tcPr>
            <w:tcW w:type="dxa" w:w="1440"/>
            <w:shd w:fill="FFDCE0" w:val="clear"/>
          </w:tcPr>
          <w:p>
            <w:r>
              <w:rPr>
                <w:sz w:val="17"/>
              </w:rPr>
              <w:t>47</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2026-09-15</w:t>
            </w:r>
          </w:p>
        </w:tc>
        <w:tc>
          <w:tcPr>
            <w:tcW w:type="dxa" w:w="1440"/>
            <w:shd w:fill="FFDCE0" w:val="clear"/>
          </w:tcPr>
          <w:p>
            <w:r>
              <w:rPr>
                <w:sz w:val="17"/>
              </w:rPr>
              <w:t>30</w:t>
            </w:r>
          </w:p>
        </w:tc>
        <w:tc>
          <w:tcPr>
            <w:tcW w:type="dxa" w:w="1440"/>
            <w:shd w:fill="FFDCE0" w:val="clear"/>
          </w:tcPr>
          <w:p>
            <w:r>
              <w:rPr>
                <w:b/>
                <w:sz w:val="17"/>
              </w:rPr>
              <w:t>37</w:t>
            </w:r>
          </w:p>
        </w:tc>
        <w:tc>
          <w:tcPr>
            <w:tcW w:type="dxa" w:w="1440"/>
            <w:shd w:fill="FFDCE0" w:val="clear"/>
          </w:tcPr>
          <w:p>
            <w:r>
              <w:rPr>
                <w:sz w:val="17"/>
              </w:rPr>
              <w:t>44</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2026-09-16</w:t>
            </w:r>
          </w:p>
        </w:tc>
        <w:tc>
          <w:tcPr>
            <w:tcW w:type="dxa" w:w="1440"/>
            <w:shd w:fill="FFDCE0" w:val="clear"/>
          </w:tcPr>
          <w:p>
            <w:r>
              <w:rPr>
                <w:sz w:val="17"/>
              </w:rPr>
              <w:t>27</w:t>
            </w:r>
          </w:p>
        </w:tc>
        <w:tc>
          <w:tcPr>
            <w:tcW w:type="dxa" w:w="1440"/>
            <w:shd w:fill="FFDCE0" w:val="clear"/>
          </w:tcPr>
          <w:p>
            <w:r>
              <w:rPr>
                <w:b/>
                <w:sz w:val="17"/>
              </w:rPr>
              <w:t>34</w:t>
            </w:r>
          </w:p>
        </w:tc>
        <w:tc>
          <w:tcPr>
            <w:tcW w:type="dxa" w:w="1440"/>
            <w:shd w:fill="FFDCE0" w:val="clear"/>
          </w:tcPr>
          <w:p>
            <w:r>
              <w:rPr>
                <w:sz w:val="17"/>
              </w:rPr>
              <w:t>41</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2026-09-17</w:t>
            </w:r>
          </w:p>
        </w:tc>
        <w:tc>
          <w:tcPr>
            <w:tcW w:type="dxa" w:w="1440"/>
            <w:shd w:fill="FFDCE0" w:val="clear"/>
          </w:tcPr>
          <w:p>
            <w:r>
              <w:rPr>
                <w:sz w:val="17"/>
              </w:rPr>
              <w:t>25</w:t>
            </w:r>
          </w:p>
        </w:tc>
        <w:tc>
          <w:tcPr>
            <w:tcW w:type="dxa" w:w="1440"/>
            <w:shd w:fill="FFDCE0" w:val="clear"/>
          </w:tcPr>
          <w:p>
            <w:r>
              <w:rPr>
                <w:b/>
                <w:sz w:val="17"/>
              </w:rPr>
              <w:t>32</w:t>
            </w:r>
          </w:p>
        </w:tc>
        <w:tc>
          <w:tcPr>
            <w:tcW w:type="dxa" w:w="1440"/>
            <w:shd w:fill="FFDCE0" w:val="clear"/>
          </w:tcPr>
          <w:p>
            <w:r>
              <w:rPr>
                <w:sz w:val="17"/>
              </w:rPr>
              <w:t>38</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**RAPPORT D'ANALYSE FINANCIÈRE — ETIT (ECOBANK TRANSNATIONAL INCORPORATED)**</w:t>
        <w:br/>
        <w:t>**Date : 3 septembre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d'ETIT s'établit à 1 247,80 Mds FCFA, un niveau qui place le titre parmi les plus importantes capitalisations de la BRVM, reflétant son statut de banque panafricaine de premier plan. Avec un BPA de 19 FCFA, le titre se négocie à un PER de 3,6x, très inférieur à la moyenne du marché BRVM (8-12x), ce qui suggère une sous-évaluation significative du bénéfice par action. Le P/B de 0,78x indique que le marché valorise le titre sous sa valeur comptable, une situation typique des valeurs décotées offrant un potentiel de revalorisation. Enfin, l'EV/EBITDA de 5,0x confirme une valorisation raisonnable de la capacité opérationnelle de la banque, renforçant l'attractivité du dossier sur le plan fondamental.</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ETIT a enregistré une progression spectaculaire de +102,94%, avec une dernière séance en hausse de +4,55% à 69 FCFA. Le titre a évolué dans une fourchette très large de 26 à 78 FCFA, démontrant un intérêt marqué des investisseurs. La moyenne de 47 FCFA est supérieure à la médiane de 36 FCFA, indiquant une asymétrie positive de la distribution des cours, tandis que le mode à 30 FCFA suggère que le titre a longtemps stagné à des niveaux bas avant son envolée. L'écart-type de 18 FCFA (CV=38,1%) témoigne d'une dispersion élevée, et le kurtosis négatif de -1,697 (platykurtique) indique une distribution aplatie avec moins de valeurs extrêmes que la normale. Le skewness positif de 0,338 confirme une asymétrie vers les hausses récentes. La volatilité annualisée de 65,9% est très élevée, signalant un risque de marché substantiel.</w:t>
      </w:r>
    </w:p>
    <w:p>
      <w:pPr>
        <w:spacing w:after="120" w:line="276" w:lineRule="auto"/>
      </w:pPr>
      <w:r>
        <w:t>---</w:t>
      </w:r>
    </w:p>
    <w:p>
      <w:pPr>
        <w:spacing w:after="120" w:line="276" w:lineRule="auto"/>
      </w:pPr>
      <w:r>
        <w:t>### PARTIE 2 : ANALYSE TECHNIQUE DÉTAILLÉE</w:t>
      </w:r>
    </w:p>
    <w:p>
      <w:pPr>
        <w:spacing w:after="120" w:line="276" w:lineRule="auto"/>
      </w:pPr>
      <w:r>
        <w:t>**Moyennes Mobiles** : La MM20 (66,6 FCFA) et la MM50 (62,4 FCFA) sont toutes deux inférieures au cours actuel de 69 FCFA, confirmant une tendance haussière solide. Le croisement des moyennes mobiles avec le prix en position supérieure génère un signal d'achat, indiquant que la dynamique positive reste intacte à court et moyen terme.</w:t>
      </w:r>
    </w:p>
    <w:p>
      <w:pPr>
        <w:spacing w:after="120" w:line="276" w:lineRule="auto"/>
      </w:pPr>
      <w:r>
        <w:t>**Bandes de Bollinger** : Le cours à 69 FCFA se positionne près de la borne supérieure (69,531 FCFA), suggérant une pression acheteuse soutenue. La largeur des bandes, avec une borne inférieure à 63,669 FCFA, reflète une volatilité élevée. La décision est neutre, le prix n'ayant pas encore franchi la borne supérieure, ce qui pourrait précéder soit une poursuite haussière, soit un retour vers la moyenne.</w:t>
      </w:r>
    </w:p>
    <w:p>
      <w:pPr>
        <w:spacing w:after="120" w:line="276" w:lineRule="auto"/>
      </w:pPr>
      <w:r>
        <w:t>**MACD** : Le MACD (1,233) est inférieur à son signal (1,566), indiquant un momentum baissier à court terme malgré la tendance haussière globale. Cette divergence suggère un essoufflement potentiel de la dynamique haussière, justifiant la décision de vente. Les investisseurs devraient surveiller un éventuel croisement haussier pour confirmer la reprise.</w:t>
      </w:r>
    </w:p>
    <w:p>
      <w:pPr>
        <w:spacing w:after="120" w:line="276" w:lineRule="auto"/>
      </w:pPr>
      <w:r>
        <w:t>**RSI** : À 52,174, le RSI se situe en zone neutre, indiquant un équilibre entre pressions acheteuses et vendeuses. Cette valeur suggère que le titre n'est ni suracheté ni survendu, laissant une marge de manœuvre pour une évolution dans les deux sens. La décision neutre reflète l'absence de signal directionnel fort.</w:t>
      </w:r>
    </w:p>
    <w:p>
      <w:pPr>
        <w:spacing w:after="120" w:line="276" w:lineRule="auto"/>
      </w:pPr>
      <w:r>
        <w:t>**Stochastique** : Le %K à 100,0 et le %D à 77,778 indiquent une condition de surachat extrême. Le %K ayant dépassé le %D, un croisement baissier pourrait se matérialiser, signalant un potentiel repli à court terme. La décision de vente est justifiée par cette configuration technique.</w:t>
      </w:r>
    </w:p>
    <w:p>
      <w:pPr>
        <w:spacing w:after="120" w:line="276" w:lineRule="auto"/>
      </w:pPr>
      <w:r>
        <w:t>**Conclusion technique** : Les indicateurs sont mitigés, avec des signaux d'achat à moyen terme (MM) mais des signaux de vente à court terme (MACD, Stochastique). La prudence est recommandée face à un possible essoufflement après la forte hausse récente.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d'ETIT révèlent un Produit Net Bancaire (PNB) de 1 424,261 Mds FCFA, en croissance de 12,45%, et un résultat net de 345,523 Mds FCFA. Le ROE s'établit à 21,62%, un niveau excellent (&gt;15%), tandis que le ROA atteint 1,80%. Le coefficient d'exploitation de 27,35% est remarquablement bas (&lt;50%), démontrant une efficacité opérationnelle exceptionnelle. Le coût du risque de 18,97% reste élevé, signalant un risque de crédit significatif. Les dépôts clientèle (14 120,139 Mds FCFA) dépassent largement les créances sur la clientèle (6 570,385 Mds FCFA), indiquant une transformation saine. Les rapports semestriels 2026 (datés du 21 juillet 2026) montrent un PNB de 721,318 Mds FCFA (+15%), un résultat net de 166,682 Mds FCFA (+6%) et un coefficient d'exploitation amélioré à 48,4%. Le rapport T1 2026 (publié en avril 2026) indique un PNB en hausse de 23% à 636,2 M$ et un résultat net de 142,5 M$ (+16%). On estime que l'exercice 2026 pourrait voir un PNB dépasser 1 600 Mds FCFA et un résultat net supérieur à 350 Mds FCFA, confirmant la trajectoire de croissance soutenue.</w:t>
      </w:r>
    </w:p>
    <w:p>
      <w:pPr>
        <w:spacing w:after="120" w:line="276" w:lineRule="auto"/>
      </w:pPr>
      <w:r>
        <w:t>---</w:t>
      </w:r>
    </w:p>
    <w:p>
      <w:pPr>
        <w:spacing w:after="120" w:line="276" w:lineRule="auto"/>
      </w:pPr>
      <w:r>
        <w:t>### PARTIE 4 : CONCLUSION D'INVESTISSEMENT</w:t>
      </w:r>
    </w:p>
    <w:p>
      <w:pPr>
        <w:spacing w:after="120" w:line="276" w:lineRule="auto"/>
      </w:pPr>
      <w:r>
        <w:t>La valorisation d'ETIT est très attractive avec un PER de 3,6x et un P/B de 0,78x, indiquant une sous-évaluation marquée malgré la hausse récente du cours. Le comportement du titre sur 100 jours montre une tendance haussière spectaculaire (+102,94%), mais la volatilité élevée (65,9%) et les statistiques descriptives (kurtosis platykurtique, skewness positif) suggèrent une distribution atypique avec un risque de retournement. Les signaux techniques sont mitigés : les moyennes mobiles sont haussières, mais le MACD et le Stochastique indiquent un essoufflement à court terme. Les fondamentaux sont solides avec une croissance du PNB de 12,45% en 2025 et des estimations 2026 dépassant 1 600 Mds FCFA, portées par une efficacité opérationnelle remarquable. Les prédictions IA prévoient une correction sévère à 47 FCFA d'ici J+10, contredisant la tendance haussière actuelle. La convergence entre la sous-évaluation fondamentale et les signaux techniques de surachat suggère une recommandation de **CONSERVER** avec un niveau de confiance **Moyen**, un risque global **Élevé**, et un horizon d'investissement optimal à **moyen terme (3-12 mois)** pour capitaliser sur la solidité des fondamentaux après une éventuelle correction technique.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30.39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4,014 titres</w:t>
            </w:r>
          </w:p>
        </w:tc>
        <w:tc>
          <w:tcPr>
            <w:tcW w:type="dxa" w:w="2268"/>
            <w:shd w:fill="FFF2CC" w:val="clear"/>
          </w:tcPr>
          <w:p>
            <w:r>
              <w:rPr>
                <w:b/>
                <w:color w:val="503200"/>
                <w:sz w:val="16"/>
              </w:rPr>
              <w:t xml:space="preserve">Cours actuel : </w:t>
            </w:r>
            <w:r>
              <w:rPr>
                <w:color w:val="000000"/>
                <w:sz w:val="17"/>
              </w:rPr>
              <w:t>2,155 FCFA</w:t>
            </w:r>
          </w:p>
          <w:p>
            <w:r>
              <w:rPr>
                <w:b/>
                <w:color w:val="503200"/>
                <w:sz w:val="16"/>
              </w:rPr>
              <w:t xml:space="preserve">Var. 100 jours : </w:t>
            </w:r>
            <w:r>
              <w:rPr>
                <w:b/>
                <w:color w:val="B40000"/>
                <w:sz w:val="17"/>
              </w:rPr>
              <w:t>-6.51%</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35.4%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6.08% (Moyenne) — μ=2,145 FCFA, σ=130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β=0.7143 (Défensif) — Cov=0.000026, Var(idx)=0.000036, ρ=0.195,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4,014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σ_j=2.23%/j (Stable) — Vol. annualisée≈35.4%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2026-09-04</w:t>
            </w:r>
          </w:p>
        </w:tc>
        <w:tc>
          <w:tcPr>
            <w:tcW w:type="dxa" w:w="1440"/>
            <w:shd w:fill="FAFAFA" w:val="clear"/>
          </w:tcPr>
          <w:p>
            <w:r>
              <w:rPr>
                <w:sz w:val="17"/>
              </w:rPr>
              <w:t>2,094</w:t>
            </w:r>
          </w:p>
        </w:tc>
        <w:tc>
          <w:tcPr>
            <w:tcW w:type="dxa" w:w="1440"/>
            <w:shd w:fill="FAFAFA" w:val="clear"/>
          </w:tcPr>
          <w:p>
            <w:r>
              <w:rPr>
                <w:b/>
                <w:sz w:val="17"/>
              </w:rPr>
              <w:t>2,169</w:t>
            </w:r>
          </w:p>
        </w:tc>
        <w:tc>
          <w:tcPr>
            <w:tcW w:type="dxa" w:w="1440"/>
            <w:shd w:fill="FAFAFA" w:val="clear"/>
          </w:tcPr>
          <w:p>
            <w:r>
              <w:rPr>
                <w:sz w:val="17"/>
              </w:rPr>
              <w:t>2,245</w:t>
            </w:r>
          </w:p>
        </w:tc>
        <w:tc>
          <w:tcPr>
            <w:tcW w:type="dxa" w:w="1440"/>
            <w:shd w:fill="FAFAFA" w:val="clear"/>
          </w:tcPr>
          <w:p>
            <w:r>
              <w:rPr>
                <w:b/>
                <w:color w:val="008000"/>
                <w:sz w:val="17"/>
              </w:rPr>
              <w:t>+0.7%</w:t>
            </w:r>
          </w:p>
        </w:tc>
      </w:tr>
      <w:tr>
        <w:tc>
          <w:tcPr>
            <w:tcW w:type="dxa" w:w="1440"/>
            <w:shd w:fill="FAFAFA" w:val="clear"/>
          </w:tcPr>
          <w:p>
            <w:r>
              <w:rPr>
                <w:sz w:val="17"/>
              </w:rPr>
              <w:t>J+2  Moyenne</w:t>
            </w:r>
          </w:p>
        </w:tc>
        <w:tc>
          <w:tcPr>
            <w:tcW w:type="dxa" w:w="1440"/>
            <w:shd w:fill="FAFAFA" w:val="clear"/>
          </w:tcPr>
          <w:p>
            <w:r>
              <w:rPr>
                <w:sz w:val="17"/>
              </w:rPr>
              <w:t>2026-09-07</w:t>
            </w:r>
          </w:p>
        </w:tc>
        <w:tc>
          <w:tcPr>
            <w:tcW w:type="dxa" w:w="1440"/>
            <w:shd w:fill="FAFAFA" w:val="clear"/>
          </w:tcPr>
          <w:p>
            <w:r>
              <w:rPr>
                <w:sz w:val="17"/>
              </w:rPr>
              <w:t>2,071</w:t>
            </w:r>
          </w:p>
        </w:tc>
        <w:tc>
          <w:tcPr>
            <w:tcW w:type="dxa" w:w="1440"/>
            <w:shd w:fill="FAFAFA" w:val="clear"/>
          </w:tcPr>
          <w:p>
            <w:r>
              <w:rPr>
                <w:b/>
                <w:sz w:val="17"/>
              </w:rPr>
              <w:t>2,178</w:t>
            </w:r>
          </w:p>
        </w:tc>
        <w:tc>
          <w:tcPr>
            <w:tcW w:type="dxa" w:w="1440"/>
            <w:shd w:fill="FAFAFA" w:val="clear"/>
          </w:tcPr>
          <w:p>
            <w:r>
              <w:rPr>
                <w:sz w:val="17"/>
              </w:rPr>
              <w:t>2,285</w:t>
            </w:r>
          </w:p>
        </w:tc>
        <w:tc>
          <w:tcPr>
            <w:tcW w:type="dxa" w:w="1440"/>
            <w:shd w:fill="FAFAFA" w:val="clear"/>
          </w:tcPr>
          <w:p>
            <w:r>
              <w:rPr>
                <w:b/>
                <w:color w:val="008000"/>
                <w:sz w:val="17"/>
              </w:rPr>
              <w:t>+1.1%</w:t>
            </w:r>
          </w:p>
        </w:tc>
      </w:tr>
      <w:tr>
        <w:tc>
          <w:tcPr>
            <w:tcW w:type="dxa" w:w="1440"/>
            <w:shd w:fill="FAFAFA" w:val="clear"/>
          </w:tcPr>
          <w:p>
            <w:r>
              <w:rPr>
                <w:sz w:val="17"/>
              </w:rPr>
              <w:t>J+3  Moyenne</w:t>
            </w:r>
          </w:p>
        </w:tc>
        <w:tc>
          <w:tcPr>
            <w:tcW w:type="dxa" w:w="1440"/>
            <w:shd w:fill="FAFAFA" w:val="clear"/>
          </w:tcPr>
          <w:p>
            <w:r>
              <w:rPr>
                <w:sz w:val="17"/>
              </w:rPr>
              <w:t>2026-09-08</w:t>
            </w:r>
          </w:p>
        </w:tc>
        <w:tc>
          <w:tcPr>
            <w:tcW w:type="dxa" w:w="1440"/>
            <w:shd w:fill="FAFAFA" w:val="clear"/>
          </w:tcPr>
          <w:p>
            <w:r>
              <w:rPr>
                <w:sz w:val="17"/>
              </w:rPr>
              <w:t>2,056</w:t>
            </w:r>
          </w:p>
        </w:tc>
        <w:tc>
          <w:tcPr>
            <w:tcW w:type="dxa" w:w="1440"/>
            <w:shd w:fill="FAFAFA" w:val="clear"/>
          </w:tcPr>
          <w:p>
            <w:r>
              <w:rPr>
                <w:b/>
                <w:sz w:val="17"/>
              </w:rPr>
              <w:t>2,188</w:t>
            </w:r>
          </w:p>
        </w:tc>
        <w:tc>
          <w:tcPr>
            <w:tcW w:type="dxa" w:w="1440"/>
            <w:shd w:fill="FAFAFA" w:val="clear"/>
          </w:tcPr>
          <w:p>
            <w:r>
              <w:rPr>
                <w:sz w:val="17"/>
              </w:rPr>
              <w:t>2,319</w:t>
            </w:r>
          </w:p>
        </w:tc>
        <w:tc>
          <w:tcPr>
            <w:tcW w:type="dxa" w:w="1440"/>
            <w:shd w:fill="FAFAFA" w:val="clear"/>
          </w:tcPr>
          <w:p>
            <w:r>
              <w:rPr>
                <w:b/>
                <w:color w:val="008000"/>
                <w:sz w:val="17"/>
              </w:rPr>
              <w:t>+1.5%</w:t>
            </w:r>
          </w:p>
        </w:tc>
      </w:tr>
      <w:tr>
        <w:tc>
          <w:tcPr>
            <w:tcW w:type="dxa" w:w="1440"/>
            <w:shd w:fill="FAFAFA" w:val="clear"/>
          </w:tcPr>
          <w:p>
            <w:r>
              <w:rPr>
                <w:sz w:val="17"/>
              </w:rPr>
              <w:t>J+4  ⭐</w:t>
            </w:r>
          </w:p>
        </w:tc>
        <w:tc>
          <w:tcPr>
            <w:tcW w:type="dxa" w:w="1440"/>
            <w:shd w:fill="FAFAFA" w:val="clear"/>
          </w:tcPr>
          <w:p>
            <w:r>
              <w:rPr>
                <w:sz w:val="17"/>
              </w:rPr>
              <w:t>2026-09-09</w:t>
            </w:r>
          </w:p>
        </w:tc>
        <w:tc>
          <w:tcPr>
            <w:tcW w:type="dxa" w:w="1440"/>
            <w:shd w:fill="FAFAFA" w:val="clear"/>
          </w:tcPr>
          <w:p>
            <w:r>
              <w:rPr>
                <w:sz w:val="17"/>
              </w:rPr>
              <w:t>2,045</w:t>
            </w:r>
          </w:p>
        </w:tc>
        <w:tc>
          <w:tcPr>
            <w:tcW w:type="dxa" w:w="1440"/>
            <w:shd w:fill="FAFAFA" w:val="clear"/>
          </w:tcPr>
          <w:p>
            <w:r>
              <w:rPr>
                <w:b/>
                <w:sz w:val="17"/>
              </w:rPr>
              <w:t>2,197</w:t>
            </w:r>
          </w:p>
        </w:tc>
        <w:tc>
          <w:tcPr>
            <w:tcW w:type="dxa" w:w="1440"/>
            <w:shd w:fill="FAFAFA" w:val="clear"/>
          </w:tcPr>
          <w:p>
            <w:r>
              <w:rPr>
                <w:sz w:val="17"/>
              </w:rPr>
              <w:t>2,350</w:t>
            </w:r>
          </w:p>
        </w:tc>
        <w:tc>
          <w:tcPr>
            <w:tcW w:type="dxa" w:w="1440"/>
            <w:shd w:fill="FAFAFA" w:val="clear"/>
          </w:tcPr>
          <w:p>
            <w:r>
              <w:rPr>
                <w:b/>
                <w:color w:val="008000"/>
                <w:sz w:val="17"/>
              </w:rPr>
              <w:t>+2.0%</w:t>
            </w:r>
          </w:p>
        </w:tc>
      </w:tr>
      <w:tr>
        <w:tc>
          <w:tcPr>
            <w:tcW w:type="dxa" w:w="1440"/>
            <w:shd w:fill="C6EFCE" w:val="clear"/>
          </w:tcPr>
          <w:p>
            <w:r>
              <w:rPr>
                <w:sz w:val="17"/>
              </w:rPr>
              <w:t>J+5  ⭐</w:t>
            </w:r>
          </w:p>
        </w:tc>
        <w:tc>
          <w:tcPr>
            <w:tcW w:type="dxa" w:w="1440"/>
            <w:shd w:fill="C6EFCE" w:val="clear"/>
          </w:tcPr>
          <w:p>
            <w:r>
              <w:rPr>
                <w:sz w:val="17"/>
              </w:rPr>
              <w:t>2026-09-10</w:t>
            </w:r>
          </w:p>
        </w:tc>
        <w:tc>
          <w:tcPr>
            <w:tcW w:type="dxa" w:w="1440"/>
            <w:shd w:fill="C6EFCE" w:val="clear"/>
          </w:tcPr>
          <w:p>
            <w:r>
              <w:rPr>
                <w:sz w:val="17"/>
              </w:rPr>
              <w:t>2,036</w:t>
            </w:r>
          </w:p>
        </w:tc>
        <w:tc>
          <w:tcPr>
            <w:tcW w:type="dxa" w:w="1440"/>
            <w:shd w:fill="C6EFCE" w:val="clear"/>
          </w:tcPr>
          <w:p>
            <w:r>
              <w:rPr>
                <w:b/>
                <w:sz w:val="17"/>
              </w:rPr>
              <w:t>2,207</w:t>
            </w:r>
          </w:p>
        </w:tc>
        <w:tc>
          <w:tcPr>
            <w:tcW w:type="dxa" w:w="1440"/>
            <w:shd w:fill="C6EFCE" w:val="clear"/>
          </w:tcPr>
          <w:p>
            <w:r>
              <w:rPr>
                <w:sz w:val="17"/>
              </w:rPr>
              <w:t>2,378</w:t>
            </w:r>
          </w:p>
        </w:tc>
        <w:tc>
          <w:tcPr>
            <w:tcW w:type="dxa" w:w="1440"/>
            <w:shd w:fill="C6EFCE" w:val="clear"/>
          </w:tcPr>
          <w:p>
            <w:r>
              <w:rPr>
                <w:b/>
                <w:color w:val="008000"/>
                <w:sz w:val="17"/>
              </w:rPr>
              <w:t>+2.4%</w:t>
            </w:r>
          </w:p>
        </w:tc>
      </w:tr>
      <w:tr>
        <w:tc>
          <w:tcPr>
            <w:tcW w:type="dxa" w:w="1440"/>
            <w:shd w:fill="C6EFCE" w:val="clear"/>
          </w:tcPr>
          <w:p>
            <w:r>
              <w:rPr>
                <w:sz w:val="17"/>
              </w:rPr>
              <w:t>J+6  ⭐</w:t>
            </w:r>
          </w:p>
        </w:tc>
        <w:tc>
          <w:tcPr>
            <w:tcW w:type="dxa" w:w="1440"/>
            <w:shd w:fill="C6EFCE" w:val="clear"/>
          </w:tcPr>
          <w:p>
            <w:r>
              <w:rPr>
                <w:sz w:val="17"/>
              </w:rPr>
              <w:t>2026-09-11</w:t>
            </w:r>
          </w:p>
        </w:tc>
        <w:tc>
          <w:tcPr>
            <w:tcW w:type="dxa" w:w="1440"/>
            <w:shd w:fill="C6EFCE" w:val="clear"/>
          </w:tcPr>
          <w:p>
            <w:r>
              <w:rPr>
                <w:sz w:val="17"/>
              </w:rPr>
              <w:t>2,028</w:t>
            </w:r>
          </w:p>
        </w:tc>
        <w:tc>
          <w:tcPr>
            <w:tcW w:type="dxa" w:w="1440"/>
            <w:shd w:fill="C6EFCE" w:val="clear"/>
          </w:tcPr>
          <w:p>
            <w:r>
              <w:rPr>
                <w:b/>
                <w:sz w:val="17"/>
              </w:rPr>
              <w:t>2,216</w:t>
            </w:r>
          </w:p>
        </w:tc>
        <w:tc>
          <w:tcPr>
            <w:tcW w:type="dxa" w:w="1440"/>
            <w:shd w:fill="C6EFCE" w:val="clear"/>
          </w:tcPr>
          <w:p>
            <w:r>
              <w:rPr>
                <w:sz w:val="17"/>
              </w:rPr>
              <w:t>2,405</w:t>
            </w:r>
          </w:p>
        </w:tc>
        <w:tc>
          <w:tcPr>
            <w:tcW w:type="dxa" w:w="1440"/>
            <w:shd w:fill="C6EFCE" w:val="clear"/>
          </w:tcPr>
          <w:p>
            <w:r>
              <w:rPr>
                <w:b/>
                <w:color w:val="008000"/>
                <w:sz w:val="17"/>
              </w:rPr>
              <w:t>+2.8%</w:t>
            </w:r>
          </w:p>
        </w:tc>
      </w:tr>
      <w:tr>
        <w:tc>
          <w:tcPr>
            <w:tcW w:type="dxa" w:w="1440"/>
            <w:shd w:fill="C6EFCE" w:val="clear"/>
          </w:tcPr>
          <w:p>
            <w:r>
              <w:rPr>
                <w:sz w:val="17"/>
              </w:rPr>
              <w:t>J+7  ⭐</w:t>
            </w:r>
          </w:p>
        </w:tc>
        <w:tc>
          <w:tcPr>
            <w:tcW w:type="dxa" w:w="1440"/>
            <w:shd w:fill="C6EFCE" w:val="clear"/>
          </w:tcPr>
          <w:p>
            <w:r>
              <w:rPr>
                <w:sz w:val="17"/>
              </w:rPr>
              <w:t>2026-09-14</w:t>
            </w:r>
          </w:p>
        </w:tc>
        <w:tc>
          <w:tcPr>
            <w:tcW w:type="dxa" w:w="1440"/>
            <w:shd w:fill="C6EFCE" w:val="clear"/>
          </w:tcPr>
          <w:p>
            <w:r>
              <w:rPr>
                <w:sz w:val="17"/>
              </w:rPr>
              <w:t>2,022</w:t>
            </w:r>
          </w:p>
        </w:tc>
        <w:tc>
          <w:tcPr>
            <w:tcW w:type="dxa" w:w="1440"/>
            <w:shd w:fill="C6EFCE" w:val="clear"/>
          </w:tcPr>
          <w:p>
            <w:r>
              <w:rPr>
                <w:b/>
                <w:sz w:val="17"/>
              </w:rPr>
              <w:t>2,226</w:t>
            </w:r>
          </w:p>
        </w:tc>
        <w:tc>
          <w:tcPr>
            <w:tcW w:type="dxa" w:w="1440"/>
            <w:shd w:fill="C6EFCE" w:val="clear"/>
          </w:tcPr>
          <w:p>
            <w:r>
              <w:rPr>
                <w:sz w:val="17"/>
              </w:rPr>
              <w:t>2,430</w:t>
            </w:r>
          </w:p>
        </w:tc>
        <w:tc>
          <w:tcPr>
            <w:tcW w:type="dxa" w:w="1440"/>
            <w:shd w:fill="C6EFCE" w:val="clear"/>
          </w:tcPr>
          <w:p>
            <w:r>
              <w:rPr>
                <w:b/>
                <w:color w:val="008000"/>
                <w:sz w:val="17"/>
              </w:rPr>
              <w:t>+3.3%</w:t>
            </w:r>
          </w:p>
        </w:tc>
      </w:tr>
      <w:tr>
        <w:tc>
          <w:tcPr>
            <w:tcW w:type="dxa" w:w="1440"/>
            <w:shd w:fill="C6EFCE" w:val="clear"/>
          </w:tcPr>
          <w:p>
            <w:r>
              <w:rPr>
                <w:sz w:val="17"/>
              </w:rPr>
              <w:t>J+8  ⭐</w:t>
            </w:r>
          </w:p>
        </w:tc>
        <w:tc>
          <w:tcPr>
            <w:tcW w:type="dxa" w:w="1440"/>
            <w:shd w:fill="C6EFCE" w:val="clear"/>
          </w:tcPr>
          <w:p>
            <w:r>
              <w:rPr>
                <w:sz w:val="17"/>
              </w:rPr>
              <w:t>2026-09-15</w:t>
            </w:r>
          </w:p>
        </w:tc>
        <w:tc>
          <w:tcPr>
            <w:tcW w:type="dxa" w:w="1440"/>
            <w:shd w:fill="C6EFCE" w:val="clear"/>
          </w:tcPr>
          <w:p>
            <w:r>
              <w:rPr>
                <w:sz w:val="17"/>
              </w:rPr>
              <w:t>2,016</w:t>
            </w:r>
          </w:p>
        </w:tc>
        <w:tc>
          <w:tcPr>
            <w:tcW w:type="dxa" w:w="1440"/>
            <w:shd w:fill="C6EFCE" w:val="clear"/>
          </w:tcPr>
          <w:p>
            <w:r>
              <w:rPr>
                <w:b/>
                <w:sz w:val="17"/>
              </w:rPr>
              <w:t>2,235</w:t>
            </w:r>
          </w:p>
        </w:tc>
        <w:tc>
          <w:tcPr>
            <w:tcW w:type="dxa" w:w="1440"/>
            <w:shd w:fill="C6EFCE" w:val="clear"/>
          </w:tcPr>
          <w:p>
            <w:r>
              <w:rPr>
                <w:sz w:val="17"/>
              </w:rPr>
              <w:t>2,455</w:t>
            </w:r>
          </w:p>
        </w:tc>
        <w:tc>
          <w:tcPr>
            <w:tcW w:type="dxa" w:w="1440"/>
            <w:shd w:fill="C6EFCE" w:val="clear"/>
          </w:tcPr>
          <w:p>
            <w:r>
              <w:rPr>
                <w:b/>
                <w:color w:val="008000"/>
                <w:sz w:val="17"/>
              </w:rPr>
              <w:t>+3.7%</w:t>
            </w:r>
          </w:p>
        </w:tc>
      </w:tr>
      <w:tr>
        <w:tc>
          <w:tcPr>
            <w:tcW w:type="dxa" w:w="1440"/>
            <w:shd w:fill="C6EFCE" w:val="clear"/>
          </w:tcPr>
          <w:p>
            <w:r>
              <w:rPr>
                <w:sz w:val="17"/>
              </w:rPr>
              <w:t>J+9  ⭐</w:t>
            </w:r>
          </w:p>
        </w:tc>
        <w:tc>
          <w:tcPr>
            <w:tcW w:type="dxa" w:w="1440"/>
            <w:shd w:fill="C6EFCE" w:val="clear"/>
          </w:tcPr>
          <w:p>
            <w:r>
              <w:rPr>
                <w:sz w:val="17"/>
              </w:rPr>
              <w:t>2026-09-16</w:t>
            </w:r>
          </w:p>
        </w:tc>
        <w:tc>
          <w:tcPr>
            <w:tcW w:type="dxa" w:w="1440"/>
            <w:shd w:fill="C6EFCE" w:val="clear"/>
          </w:tcPr>
          <w:p>
            <w:r>
              <w:rPr>
                <w:sz w:val="17"/>
              </w:rPr>
              <w:t>2,011</w:t>
            </w:r>
          </w:p>
        </w:tc>
        <w:tc>
          <w:tcPr>
            <w:tcW w:type="dxa" w:w="1440"/>
            <w:shd w:fill="C6EFCE" w:val="clear"/>
          </w:tcPr>
          <w:p>
            <w:r>
              <w:rPr>
                <w:b/>
                <w:sz w:val="17"/>
              </w:rPr>
              <w:t>2,245</w:t>
            </w:r>
          </w:p>
        </w:tc>
        <w:tc>
          <w:tcPr>
            <w:tcW w:type="dxa" w:w="1440"/>
            <w:shd w:fill="C6EFCE" w:val="clear"/>
          </w:tcPr>
          <w:p>
            <w:r>
              <w:rPr>
                <w:sz w:val="17"/>
              </w:rPr>
              <w:t>2,479</w:t>
            </w:r>
          </w:p>
        </w:tc>
        <w:tc>
          <w:tcPr>
            <w:tcW w:type="dxa" w:w="1440"/>
            <w:shd w:fill="C6EFCE" w:val="clear"/>
          </w:tcPr>
          <w:p>
            <w:r>
              <w:rPr>
                <w:b/>
                <w:color w:val="008000"/>
                <w:sz w:val="17"/>
              </w:rPr>
              <w:t>+4.2%</w:t>
            </w:r>
          </w:p>
        </w:tc>
      </w:tr>
      <w:tr>
        <w:tc>
          <w:tcPr>
            <w:tcW w:type="dxa" w:w="1440"/>
            <w:shd w:fill="C6EFCE" w:val="clear"/>
          </w:tcPr>
          <w:p>
            <w:r>
              <w:rPr>
                <w:sz w:val="17"/>
              </w:rPr>
              <w:t>J+10  ⭐</w:t>
            </w:r>
          </w:p>
        </w:tc>
        <w:tc>
          <w:tcPr>
            <w:tcW w:type="dxa" w:w="1440"/>
            <w:shd w:fill="C6EFCE" w:val="clear"/>
          </w:tcPr>
          <w:p>
            <w:r>
              <w:rPr>
                <w:sz w:val="17"/>
              </w:rPr>
              <w:t>2026-09-17</w:t>
            </w:r>
          </w:p>
        </w:tc>
        <w:tc>
          <w:tcPr>
            <w:tcW w:type="dxa" w:w="1440"/>
            <w:shd w:fill="C6EFCE" w:val="clear"/>
          </w:tcPr>
          <w:p>
            <w:r>
              <w:rPr>
                <w:sz w:val="17"/>
              </w:rPr>
              <w:t>2,007</w:t>
            </w:r>
          </w:p>
        </w:tc>
        <w:tc>
          <w:tcPr>
            <w:tcW w:type="dxa" w:w="1440"/>
            <w:shd w:fill="C6EFCE" w:val="clear"/>
          </w:tcPr>
          <w:p>
            <w:r>
              <w:rPr>
                <w:b/>
                <w:sz w:val="17"/>
              </w:rPr>
              <w:t>2,255</w:t>
            </w:r>
          </w:p>
        </w:tc>
        <w:tc>
          <w:tcPr>
            <w:tcW w:type="dxa" w:w="1440"/>
            <w:shd w:fill="C6EFCE" w:val="clear"/>
          </w:tcPr>
          <w:p>
            <w:r>
              <w:rPr>
                <w:sz w:val="17"/>
              </w:rPr>
              <w:t>2,502</w:t>
            </w:r>
          </w:p>
        </w:tc>
        <w:tc>
          <w:tcPr>
            <w:tcW w:type="dxa" w:w="1440"/>
            <w:shd w:fill="C6EFCE" w:val="clear"/>
          </w:tcPr>
          <w:p>
            <w:r>
              <w:rPr>
                <w:b/>
                <w:color w:val="008000"/>
                <w:sz w:val="17"/>
              </w:rPr>
              <w:t>+4.6%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FTSC s'établit à 30,39 milliards FCFA, un niveau modeste qui la classe parmi les valeurs de taille moyenne sur la BRVM. Avec un BPA de seulement 33 FCFA, le PER ressort à 65,2x, un niveau extrêmement élevé comparé à la moyenne historique du marché (8-12x), indiquant que les investisseurs paient un prix très cher pour des bénéfices actuels particulièrement faibles. Le P/B de 1,94x reste dans une zone de valorisation raisonnable, le marché valorisant la société à près du double de ses capitaux propres comptables. L'EV/EBITDA de 38,1x confirme cette lecture exigeante : la valeur d'entreprise représente plus de 38 fois la capacité opérationnelle brute, un niveau très élevé qui reflète une décote de qualité sur les bénéfices. Ces ratios traduisent une valorisation qui anticipe un redressement majeur de la rentabilité, encore non visible dans les chiffres actuels.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FTSC a enregistré une baisse de 6,51%, avec une dernière séance en repli de 1,15% à 2 155 FCFA, s'inscrivant dans une tendance baissière modérée. Le cours a évolué dans un range de 1 910 à 2 430 FCFA, soit une amplitude de 520 FCFA, témoignant d'une volatilité notable. La moyenne sur la période (2 145 FCFA) est très proche de la médiane (2 180 FCFA), avec un skewness de -0,068 indiquant une distribution quasi symétrique des prix. L'écart-type de 131 FCFA (CV = 6,1%) révèle une dispersion modérée autour de la moyenne, tandis que le kurtosis de -1,010 (platykurtique) signale une distribution aplatie, avec peu de valeurs extrêmes et donc un risque de pics limité. La volatilité annualisée de 35,4% classe le titre dans la catégorie élevée (&gt;30%), reflétant une incertitude importante et des mouvements de prix potentiellement amples à court terme.</w:t>
      </w:r>
    </w:p>
    <w:p>
      <w:pPr>
        <w:spacing w:after="120" w:line="276" w:lineRule="auto" w:before="240"/>
      </w:pPr>
      <w:r>
        <w:rPr>
          <w:b/>
          <w:color w:val="003366"/>
          <w:sz w:val="24"/>
        </w:rPr>
        <w:t>**PARTIE 2 : ANALYSE TECHNIQUE DÉTAILLÉE**</w:t>
      </w:r>
    </w:p>
    <w:p>
      <w:pPr>
        <w:spacing w:after="120" w:line="276" w:lineRule="auto"/>
      </w:pPr>
      <w:r>
        <w:t>**Moyennes Mobiles** : Le cours actuel de 2 155 FCFA se situe au-dessus de la MM20 (2 142,75 FCFA) et nettement au-dessus de la MM50 (2 044,3 FCFA), configuration haussière à moyen terme. La MM20 étant supérieure à la MM50, la tendance de fond est positive, justifiant la décision d'achat. Cette structure suggère que le récent repli pourrait être temporaire dans une tendance plus large de reconstitution des cours.</w:t>
      </w:r>
    </w:p>
    <w:p>
      <w:pPr>
        <w:spacing w:after="120" w:line="276" w:lineRule="auto"/>
      </w:pPr>
      <w:r>
        <w:t>**Bandes de Bollinger** : Le prix évolue à 2 155 FCFA, entre la borne inférieure (2 029,73 FCFA) et la borne supérieure (2 255,77 FCFA), occupant une position médiane dans le canal. La largeur des bandes indique une volatilité modérée, et l'absence de contact avec les bornes suggère un mouvement sans excès, d'où la décision neutre. Un écart vers la borne supérieure signalerait une accélération haussière.</w:t>
      </w:r>
    </w:p>
    <w:p>
      <w:pPr>
        <w:spacing w:after="120" w:line="276" w:lineRule="auto"/>
      </w:pPr>
      <w:r>
        <w:t>**MACD** : Le MACD (28,455) est inférieur à sa ligne de signal (31,546), configuration baissière indiquant un ralentissement du momentum. La divergence négative suggère que la dynamique haussière s'essouffle, justifiant la décision de vente. Un croisement haussier du MACD au-dessus du signal serait nécessaire pour inverser ce signal.</w:t>
      </w:r>
    </w:p>
    <w:p>
      <w:pPr>
        <w:spacing w:after="120" w:line="276" w:lineRule="auto"/>
      </w:pPr>
      <w:r>
        <w:t>**RSI** : À 45,07, le RSI se situe en zone neutre (30-70), sans signal de surachat ni de survente. Cette valeur indique un équilibre relatif entre pressions acheteuses et vendeuses, avec une légère dominance baissière. La décision neutre est cohérente avec une absence de momentum directionnel fort.</w:t>
      </w:r>
    </w:p>
    <w:p>
      <w:pPr>
        <w:spacing w:after="120" w:line="276" w:lineRule="auto"/>
      </w:pPr>
      <w:r>
        <w:t>**Stochastique** : Le %K (65,0) est supérieur au %D (51,667), configuration positive indiquant une dynamique haussière naissante. Bien que les deux lignes soient en zone neutre, leur écart positif suggère un potentiel de hausse à court terme, justifiant la décision neutre avec un biais légèrement constructif.</w:t>
      </w:r>
    </w:p>
    <w:p>
      <w:pPr>
        <w:spacing w:after="120" w:line="276" w:lineRule="auto"/>
      </w:pPr>
      <w:r>
        <w:t>**Conclusion technique** : Les signaux sont mitigés : les moyennes mobiles plaident pour un achat, le MACD pour une vente, tandis que les bandes de Bollinger, le RSI et le stochastique restent neutres. Cette divergence indique une phase de consolidation sans direction claire, avec un léger biais haussier à moyen terme porté par les moyennes mobiles, mais un momentum court terme hésitant.</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font état d'un chiffre d'affaires de 32,109 milliards FCFA, en croissance de 4,6%, mais d'un résultat net de seulement 465,98 millions FCFA, soit une marge nette de 1,45%. Le ROE s'établit à 2,97% et le ROA à 1,19%, des niveaux très faibles qui traduisent une rentabilité insuffisante des capitaux investis. Le BFR de 11,529 milliards FCFA est positif et élevé, avec un délai clients de 213,72 jours et une durée de stockage de 214,65 jours, indiquant une forte immobilisation de trésorerie dans le cycle d'exploitation. Le ratio d'endettement de 97,6% et la trésorerie nette négative de 11,528 milliards FCFA signalent une fragilité financière accrue. Les rapports narratifs confirment cette dégradation : le rapport annuel 2024 montrait déjà un CA en baisse de 19,7% à 30,695 milliards FCFA, avec un résultat net artificiellement gonflé à 18,595 milliards grâce à des produits exceptionnels de cession. Le rapport S1 2025 (résultat net de 105 millions FCFA, en chute de 97%) et le rapport T3 2025 (résultat courant avant impôt de -216 millions FCFA) illustrent l'effondrement de la rentabilité hors éléments exceptionnels. Le rapport T1 2026, publié en 2026, montre un CA en hausse de 55% à 8,901 milliards FCFA et un résultat d'exploitation redevenu positif à 75 millions FCFA, mais un résultat net encore déficitaire de -154 millions FCFA. On estime que l'exercice 2026 pourrait bénéficier de la forte demande d'emballages cacao, mais la restauration d'une rentabilité nette durable reste incertaine.</w:t>
      </w:r>
    </w:p>
    <w:p>
      <w:pPr>
        <w:spacing w:after="120" w:line="276" w:lineRule="auto" w:before="240"/>
      </w:pPr>
      <w:r>
        <w:rPr>
          <w:b/>
          <w:color w:val="003366"/>
          <w:sz w:val="24"/>
        </w:rPr>
        <w:t>**PARTIE 4 : CONCLUSION D'INVESTISSEMENT**</w:t>
      </w:r>
    </w:p>
    <w:p>
      <w:pPr>
        <w:spacing w:after="120" w:line="276" w:lineRule="auto"/>
      </w:pPr>
      <w:r>
        <w:t>La valorisation de FTSC apparaît clairement surévaluée avec un PER de 65,2x et un EV/EBITDA de 38,1x, très supérieurs aux normes BRVM, tandis que le comportement du cours sur 100 jours montre une tendance baissière de -6,51% avec une volatilité élevée de 35,4% et une distribution symétrique sans signe de retournement majeur. Les signaux techniques sont divergents : les moyennes mobiles sont constructives, mais le MACD reste vendeur et les autres indicateurs neutres, reflétant une absence de direction claire. Fondamentalement, la société a vu son résultat net s'effondrer de 18,6 milliards FCFA en 2024 à 466 millions en 2025, avec une trésorerie nette fortement négative et une rentabilité opérationnelle encore fragile, malgré une amélioration au T1 2026. Les prédictions IA sur 10 jours (2 169 à 2 207 FCFA) suggèrent une légère hausse, contredite par la faiblesse des fondamentaux et la valorisation excessive. La recommandation finale est **VENTE**, avec un niveau de confiance **Moyen** et un risque global **Élevé**. L'horizon d'investissement optimal serait le court terme (&lt;3 mois) pour les investisseurs existants cherchant à réduire leur exposition, tandis que les nouveaux entrants devraient attendre une correction significative du cours ou une amélioration durable de la rentabilité opérationnelle avant d'envisager toute position.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81.00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4,124 titres</w:t>
            </w:r>
          </w:p>
        </w:tc>
        <w:tc>
          <w:tcPr>
            <w:tcW w:type="dxa" w:w="2268"/>
            <w:shd w:fill="FFF2CC" w:val="clear"/>
          </w:tcPr>
          <w:p>
            <w:r>
              <w:rPr>
                <w:b/>
                <w:color w:val="503200"/>
                <w:sz w:val="16"/>
              </w:rPr>
              <w:t xml:space="preserve">Cours actuel : </w:t>
            </w:r>
            <w:r>
              <w:rPr>
                <w:color w:val="000000"/>
                <w:sz w:val="17"/>
              </w:rPr>
              <w:t>4,050 FCFA</w:t>
            </w:r>
          </w:p>
          <w:p>
            <w:r>
              <w:rPr>
                <w:b/>
                <w:color w:val="503200"/>
                <w:sz w:val="16"/>
              </w:rPr>
              <w:t xml:space="preserve">Var. 100 jours : </w:t>
            </w:r>
            <w:r>
              <w:rPr>
                <w:b/>
                <w:color w:val="007800"/>
                <w:sz w:val="17"/>
              </w:rPr>
              <w:t>+5.06%</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3,825 FCFA</w:t>
            </w:r>
          </w:p>
          <w:p>
            <w:r>
              <w:rPr>
                <w:b/>
                <w:color w:val="503200"/>
                <w:sz w:val="16"/>
              </w:rPr>
              <w:t xml:space="preserve">Volatilité ann. : </w:t>
            </w:r>
            <w:r>
              <w:rPr>
                <w:color w:val="000000"/>
                <w:sz w:val="17"/>
              </w:rPr>
              <w:t>36.1%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9.5/100 → Faible</w:t>
      </w:r>
    </w:p>
    <w:p>
      <w:pPr>
        <w:spacing w:before="40" w:after="80"/>
      </w:pPr>
      <w:r>
        <w:rPr>
          <w:rFonts w:ascii="Courier New" w:hAnsi="Courier New"/>
          <w:color w:val="006400"/>
          <w:sz w:val="18"/>
        </w:rPr>
        <w:t>█░░░░░░░░░░░░░░░░░░░  9.5/100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4.91% (Faible) — μ=4,059 FCFA, σ=199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β=0.0178 (Défensif) — Cov=0.000001, Var(idx)=0.000036, ρ=0.005,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4,124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2026-09-04</w:t>
            </w:r>
          </w:p>
        </w:tc>
        <w:tc>
          <w:tcPr>
            <w:tcW w:type="dxa" w:w="1440"/>
            <w:shd w:fill="FAFAFA" w:val="clear"/>
          </w:tcPr>
          <w:p>
            <w:r>
              <w:rPr>
                <w:sz w:val="17"/>
              </w:rPr>
              <w:t>3,810</w:t>
            </w:r>
          </w:p>
        </w:tc>
        <w:tc>
          <w:tcPr>
            <w:tcW w:type="dxa" w:w="1440"/>
            <w:shd w:fill="FAFAFA" w:val="clear"/>
          </w:tcPr>
          <w:p>
            <w:r>
              <w:rPr>
                <w:b/>
                <w:sz w:val="17"/>
              </w:rPr>
              <w:t>3,973</w:t>
            </w:r>
          </w:p>
        </w:tc>
        <w:tc>
          <w:tcPr>
            <w:tcW w:type="dxa" w:w="1440"/>
            <w:shd w:fill="FAFAFA" w:val="clear"/>
          </w:tcPr>
          <w:p>
            <w:r>
              <w:rPr>
                <w:sz w:val="17"/>
              </w:rPr>
              <w:t>4,136</w:t>
            </w:r>
          </w:p>
        </w:tc>
        <w:tc>
          <w:tcPr>
            <w:tcW w:type="dxa" w:w="1440"/>
            <w:shd w:fill="FAFAFA" w:val="clear"/>
          </w:tcPr>
          <w:p>
            <w:r>
              <w:rPr>
                <w:b/>
                <w:color w:val="C00000"/>
                <w:sz w:val="17"/>
              </w:rPr>
              <w:t>-1.9%</w:t>
            </w:r>
          </w:p>
        </w:tc>
      </w:tr>
      <w:tr>
        <w:tc>
          <w:tcPr>
            <w:tcW w:type="dxa" w:w="1440"/>
            <w:shd w:fill="FAFAFA" w:val="clear"/>
          </w:tcPr>
          <w:p>
            <w:r>
              <w:rPr>
                <w:sz w:val="17"/>
              </w:rPr>
              <w:t>J+2  Moyenne</w:t>
            </w:r>
          </w:p>
        </w:tc>
        <w:tc>
          <w:tcPr>
            <w:tcW w:type="dxa" w:w="1440"/>
            <w:shd w:fill="FAFAFA" w:val="clear"/>
          </w:tcPr>
          <w:p>
            <w:r>
              <w:rPr>
                <w:sz w:val="17"/>
              </w:rPr>
              <w:t>2026-09-07</w:t>
            </w:r>
          </w:p>
        </w:tc>
        <w:tc>
          <w:tcPr>
            <w:tcW w:type="dxa" w:w="1440"/>
            <w:shd w:fill="FAFAFA" w:val="clear"/>
          </w:tcPr>
          <w:p>
            <w:r>
              <w:rPr>
                <w:sz w:val="17"/>
              </w:rPr>
              <w:t>3,742</w:t>
            </w:r>
          </w:p>
        </w:tc>
        <w:tc>
          <w:tcPr>
            <w:tcW w:type="dxa" w:w="1440"/>
            <w:shd w:fill="FAFAFA" w:val="clear"/>
          </w:tcPr>
          <w:p>
            <w:r>
              <w:rPr>
                <w:b/>
                <w:sz w:val="17"/>
              </w:rPr>
              <w:t>3,973</w:t>
            </w:r>
          </w:p>
        </w:tc>
        <w:tc>
          <w:tcPr>
            <w:tcW w:type="dxa" w:w="1440"/>
            <w:shd w:fill="FAFAFA" w:val="clear"/>
          </w:tcPr>
          <w:p>
            <w:r>
              <w:rPr>
                <w:sz w:val="17"/>
              </w:rPr>
              <w:t>4,204</w:t>
            </w:r>
          </w:p>
        </w:tc>
        <w:tc>
          <w:tcPr>
            <w:tcW w:type="dxa" w:w="1440"/>
            <w:shd w:fill="FAFAFA" w:val="clear"/>
          </w:tcPr>
          <w:p>
            <w:r>
              <w:rPr>
                <w:b/>
                <w:color w:val="C00000"/>
                <w:sz w:val="17"/>
              </w:rPr>
              <w:t>-1.9%</w:t>
            </w:r>
          </w:p>
        </w:tc>
      </w:tr>
      <w:tr>
        <w:tc>
          <w:tcPr>
            <w:tcW w:type="dxa" w:w="1440"/>
            <w:shd w:fill="FAFAFA" w:val="clear"/>
          </w:tcPr>
          <w:p>
            <w:r>
              <w:rPr>
                <w:sz w:val="17"/>
              </w:rPr>
              <w:t>J+3  Moyenne</w:t>
            </w:r>
          </w:p>
        </w:tc>
        <w:tc>
          <w:tcPr>
            <w:tcW w:type="dxa" w:w="1440"/>
            <w:shd w:fill="FAFAFA" w:val="clear"/>
          </w:tcPr>
          <w:p>
            <w:r>
              <w:rPr>
                <w:sz w:val="17"/>
              </w:rPr>
              <w:t>2026-09-08</w:t>
            </w:r>
          </w:p>
        </w:tc>
        <w:tc>
          <w:tcPr>
            <w:tcW w:type="dxa" w:w="1440"/>
            <w:shd w:fill="FAFAFA" w:val="clear"/>
          </w:tcPr>
          <w:p>
            <w:r>
              <w:rPr>
                <w:sz w:val="17"/>
              </w:rPr>
              <w:t>3,693</w:t>
            </w:r>
          </w:p>
        </w:tc>
        <w:tc>
          <w:tcPr>
            <w:tcW w:type="dxa" w:w="1440"/>
            <w:shd w:fill="FAFAFA" w:val="clear"/>
          </w:tcPr>
          <w:p>
            <w:r>
              <w:rPr>
                <w:b/>
                <w:sz w:val="17"/>
              </w:rPr>
              <w:t>3,977</w:t>
            </w:r>
          </w:p>
        </w:tc>
        <w:tc>
          <w:tcPr>
            <w:tcW w:type="dxa" w:w="1440"/>
            <w:shd w:fill="FAFAFA" w:val="clear"/>
          </w:tcPr>
          <w:p>
            <w:r>
              <w:rPr>
                <w:sz w:val="17"/>
              </w:rPr>
              <w:t>4,260</w:t>
            </w:r>
          </w:p>
        </w:tc>
        <w:tc>
          <w:tcPr>
            <w:tcW w:type="dxa" w:w="1440"/>
            <w:shd w:fill="FAFAFA" w:val="clear"/>
          </w:tcPr>
          <w:p>
            <w:r>
              <w:rPr>
                <w:b/>
                <w:color w:val="C00000"/>
                <w:sz w:val="17"/>
              </w:rPr>
              <w:t>-1.8%</w:t>
            </w:r>
          </w:p>
        </w:tc>
      </w:tr>
      <w:tr>
        <w:tc>
          <w:tcPr>
            <w:tcW w:type="dxa" w:w="1440"/>
            <w:shd w:fill="FAFAFA" w:val="clear"/>
          </w:tcPr>
          <w:p>
            <w:r>
              <w:rPr>
                <w:sz w:val="17"/>
              </w:rPr>
              <w:t>J+4  ⭐</w:t>
            </w:r>
          </w:p>
        </w:tc>
        <w:tc>
          <w:tcPr>
            <w:tcW w:type="dxa" w:w="1440"/>
            <w:shd w:fill="FAFAFA" w:val="clear"/>
          </w:tcPr>
          <w:p>
            <w:r>
              <w:rPr>
                <w:sz w:val="17"/>
              </w:rPr>
              <w:t>2026-09-09</w:t>
            </w:r>
          </w:p>
        </w:tc>
        <w:tc>
          <w:tcPr>
            <w:tcW w:type="dxa" w:w="1440"/>
            <w:shd w:fill="FAFAFA" w:val="clear"/>
          </w:tcPr>
          <w:p>
            <w:r>
              <w:rPr>
                <w:sz w:val="17"/>
              </w:rPr>
              <w:t>3,657</w:t>
            </w:r>
          </w:p>
        </w:tc>
        <w:tc>
          <w:tcPr>
            <w:tcW w:type="dxa" w:w="1440"/>
            <w:shd w:fill="FAFAFA" w:val="clear"/>
          </w:tcPr>
          <w:p>
            <w:r>
              <w:rPr>
                <w:b/>
                <w:sz w:val="17"/>
              </w:rPr>
              <w:t>3,985</w:t>
            </w:r>
          </w:p>
        </w:tc>
        <w:tc>
          <w:tcPr>
            <w:tcW w:type="dxa" w:w="1440"/>
            <w:shd w:fill="FAFAFA" w:val="clear"/>
          </w:tcPr>
          <w:p>
            <w:r>
              <w:rPr>
                <w:sz w:val="17"/>
              </w:rPr>
              <w:t>4,313</w:t>
            </w:r>
          </w:p>
        </w:tc>
        <w:tc>
          <w:tcPr>
            <w:tcW w:type="dxa" w:w="1440"/>
            <w:shd w:fill="FAFAFA" w:val="clear"/>
          </w:tcPr>
          <w:p>
            <w:r>
              <w:rPr>
                <w:b/>
                <w:color w:val="C00000"/>
                <w:sz w:val="17"/>
              </w:rPr>
              <w:t>-1.6%</w:t>
            </w:r>
          </w:p>
        </w:tc>
      </w:tr>
      <w:tr>
        <w:tc>
          <w:tcPr>
            <w:tcW w:type="dxa" w:w="1440"/>
            <w:shd w:fill="FAFAFA" w:val="clear"/>
          </w:tcPr>
          <w:p>
            <w:r>
              <w:rPr>
                <w:sz w:val="17"/>
              </w:rPr>
              <w:t>J+5  ⭐</w:t>
            </w:r>
          </w:p>
        </w:tc>
        <w:tc>
          <w:tcPr>
            <w:tcW w:type="dxa" w:w="1440"/>
            <w:shd w:fill="FAFAFA" w:val="clear"/>
          </w:tcPr>
          <w:p>
            <w:r>
              <w:rPr>
                <w:sz w:val="17"/>
              </w:rPr>
              <w:t>2026-09-10</w:t>
            </w:r>
          </w:p>
        </w:tc>
        <w:tc>
          <w:tcPr>
            <w:tcW w:type="dxa" w:w="1440"/>
            <w:shd w:fill="FAFAFA" w:val="clear"/>
          </w:tcPr>
          <w:p>
            <w:r>
              <w:rPr>
                <w:sz w:val="17"/>
              </w:rPr>
              <w:t>3,630</w:t>
            </w:r>
          </w:p>
        </w:tc>
        <w:tc>
          <w:tcPr>
            <w:tcW w:type="dxa" w:w="1440"/>
            <w:shd w:fill="FAFAFA" w:val="clear"/>
          </w:tcPr>
          <w:p>
            <w:r>
              <w:rPr>
                <w:b/>
                <w:sz w:val="17"/>
              </w:rPr>
              <w:t>3,998</w:t>
            </w:r>
          </w:p>
        </w:tc>
        <w:tc>
          <w:tcPr>
            <w:tcW w:type="dxa" w:w="1440"/>
            <w:shd w:fill="FAFAFA" w:val="clear"/>
          </w:tcPr>
          <w:p>
            <w:r>
              <w:rPr>
                <w:sz w:val="17"/>
              </w:rPr>
              <w:t>4,366</w:t>
            </w:r>
          </w:p>
        </w:tc>
        <w:tc>
          <w:tcPr>
            <w:tcW w:type="dxa" w:w="1440"/>
            <w:shd w:fill="FAFAFA" w:val="clear"/>
          </w:tcPr>
          <w:p>
            <w:r>
              <w:rPr>
                <w:b/>
                <w:color w:val="C00000"/>
                <w:sz w:val="17"/>
              </w:rPr>
              <w:t>-1.3%</w:t>
            </w:r>
          </w:p>
        </w:tc>
      </w:tr>
      <w:tr>
        <w:tc>
          <w:tcPr>
            <w:tcW w:type="dxa" w:w="1440"/>
            <w:shd w:fill="FAFAFA" w:val="clear"/>
          </w:tcPr>
          <w:p>
            <w:r>
              <w:rPr>
                <w:sz w:val="17"/>
              </w:rPr>
              <w:t>J+6  ⭐</w:t>
            </w:r>
          </w:p>
        </w:tc>
        <w:tc>
          <w:tcPr>
            <w:tcW w:type="dxa" w:w="1440"/>
            <w:shd w:fill="FAFAFA" w:val="clear"/>
          </w:tcPr>
          <w:p>
            <w:r>
              <w:rPr>
                <w:sz w:val="17"/>
              </w:rPr>
              <w:t>2026-09-11</w:t>
            </w:r>
          </w:p>
        </w:tc>
        <w:tc>
          <w:tcPr>
            <w:tcW w:type="dxa" w:w="1440"/>
            <w:shd w:fill="FAFAFA" w:val="clear"/>
          </w:tcPr>
          <w:p>
            <w:r>
              <w:rPr>
                <w:sz w:val="17"/>
              </w:rPr>
              <w:t>3,608</w:t>
            </w:r>
          </w:p>
        </w:tc>
        <w:tc>
          <w:tcPr>
            <w:tcW w:type="dxa" w:w="1440"/>
            <w:shd w:fill="FAFAFA" w:val="clear"/>
          </w:tcPr>
          <w:p>
            <w:r>
              <w:rPr>
                <w:b/>
                <w:sz w:val="17"/>
              </w:rPr>
              <w:t>4,012</w:t>
            </w:r>
          </w:p>
        </w:tc>
        <w:tc>
          <w:tcPr>
            <w:tcW w:type="dxa" w:w="1440"/>
            <w:shd w:fill="FAFAFA" w:val="clear"/>
          </w:tcPr>
          <w:p>
            <w:r>
              <w:rPr>
                <w:sz w:val="17"/>
              </w:rPr>
              <w:t>4,416</w:t>
            </w:r>
          </w:p>
        </w:tc>
        <w:tc>
          <w:tcPr>
            <w:tcW w:type="dxa" w:w="1440"/>
            <w:shd w:fill="FAFAFA" w:val="clear"/>
          </w:tcPr>
          <w:p>
            <w:r>
              <w:rPr>
                <w:b/>
                <w:color w:val="C00000"/>
                <w:sz w:val="17"/>
              </w:rPr>
              <w:t>-0.9%</w:t>
            </w:r>
          </w:p>
        </w:tc>
      </w:tr>
      <w:tr>
        <w:tc>
          <w:tcPr>
            <w:tcW w:type="dxa" w:w="1440"/>
            <w:shd w:fill="FAFAFA" w:val="clear"/>
          </w:tcPr>
          <w:p>
            <w:r>
              <w:rPr>
                <w:sz w:val="17"/>
              </w:rPr>
              <w:t>J+7  ⭐</w:t>
            </w:r>
          </w:p>
        </w:tc>
        <w:tc>
          <w:tcPr>
            <w:tcW w:type="dxa" w:w="1440"/>
            <w:shd w:fill="FAFAFA" w:val="clear"/>
          </w:tcPr>
          <w:p>
            <w:r>
              <w:rPr>
                <w:sz w:val="17"/>
              </w:rPr>
              <w:t>2026-09-14</w:t>
            </w:r>
          </w:p>
        </w:tc>
        <w:tc>
          <w:tcPr>
            <w:tcW w:type="dxa" w:w="1440"/>
            <w:shd w:fill="FAFAFA" w:val="clear"/>
          </w:tcPr>
          <w:p>
            <w:r>
              <w:rPr>
                <w:sz w:val="17"/>
              </w:rPr>
              <w:t>3,585</w:t>
            </w:r>
          </w:p>
        </w:tc>
        <w:tc>
          <w:tcPr>
            <w:tcW w:type="dxa" w:w="1440"/>
            <w:shd w:fill="FAFAFA" w:val="clear"/>
          </w:tcPr>
          <w:p>
            <w:r>
              <w:rPr>
                <w:b/>
                <w:sz w:val="17"/>
              </w:rPr>
              <w:t>4,023</w:t>
            </w:r>
          </w:p>
        </w:tc>
        <w:tc>
          <w:tcPr>
            <w:tcW w:type="dxa" w:w="1440"/>
            <w:shd w:fill="FAFAFA" w:val="clear"/>
          </w:tcPr>
          <w:p>
            <w:r>
              <w:rPr>
                <w:sz w:val="17"/>
              </w:rPr>
              <w:t>4,460</w:t>
            </w:r>
          </w:p>
        </w:tc>
        <w:tc>
          <w:tcPr>
            <w:tcW w:type="dxa" w:w="1440"/>
            <w:shd w:fill="FAFAFA" w:val="clear"/>
          </w:tcPr>
          <w:p>
            <w:r>
              <w:rPr>
                <w:b/>
                <w:color w:val="C00000"/>
                <w:sz w:val="17"/>
              </w:rPr>
              <w:t>-0.7%</w:t>
            </w:r>
          </w:p>
        </w:tc>
      </w:tr>
      <w:tr>
        <w:tc>
          <w:tcPr>
            <w:tcW w:type="dxa" w:w="1440"/>
            <w:shd w:fill="FAFAFA" w:val="clear"/>
          </w:tcPr>
          <w:p>
            <w:r>
              <w:rPr>
                <w:sz w:val="17"/>
              </w:rPr>
              <w:t>J+8  ⭐</w:t>
            </w:r>
          </w:p>
        </w:tc>
        <w:tc>
          <w:tcPr>
            <w:tcW w:type="dxa" w:w="1440"/>
            <w:shd w:fill="FAFAFA" w:val="clear"/>
          </w:tcPr>
          <w:p>
            <w:r>
              <w:rPr>
                <w:sz w:val="17"/>
              </w:rPr>
              <w:t>2026-09-15</w:t>
            </w:r>
          </w:p>
        </w:tc>
        <w:tc>
          <w:tcPr>
            <w:tcW w:type="dxa" w:w="1440"/>
            <w:shd w:fill="FAFAFA" w:val="clear"/>
          </w:tcPr>
          <w:p>
            <w:r>
              <w:rPr>
                <w:sz w:val="17"/>
              </w:rPr>
              <w:t>3,557</w:t>
            </w:r>
          </w:p>
        </w:tc>
        <w:tc>
          <w:tcPr>
            <w:tcW w:type="dxa" w:w="1440"/>
            <w:shd w:fill="FAFAFA" w:val="clear"/>
          </w:tcPr>
          <w:p>
            <w:r>
              <w:rPr>
                <w:b/>
                <w:sz w:val="17"/>
              </w:rPr>
              <w:t>4,026</w:t>
            </w:r>
          </w:p>
        </w:tc>
        <w:tc>
          <w:tcPr>
            <w:tcW w:type="dxa" w:w="1440"/>
            <w:shd w:fill="FAFAFA" w:val="clear"/>
          </w:tcPr>
          <w:p>
            <w:r>
              <w:rPr>
                <w:sz w:val="17"/>
              </w:rPr>
              <w:t>4,494</w:t>
            </w:r>
          </w:p>
        </w:tc>
        <w:tc>
          <w:tcPr>
            <w:tcW w:type="dxa" w:w="1440"/>
            <w:shd w:fill="FAFAFA" w:val="clear"/>
          </w:tcPr>
          <w:p>
            <w:r>
              <w:rPr>
                <w:b/>
                <w:color w:val="C00000"/>
                <w:sz w:val="17"/>
              </w:rPr>
              <w:t>-0.6%</w:t>
            </w:r>
          </w:p>
        </w:tc>
      </w:tr>
      <w:tr>
        <w:tc>
          <w:tcPr>
            <w:tcW w:type="dxa" w:w="1440"/>
            <w:shd w:fill="FAFAFA" w:val="clear"/>
          </w:tcPr>
          <w:p>
            <w:r>
              <w:rPr>
                <w:sz w:val="17"/>
              </w:rPr>
              <w:t>J+9  ⭐</w:t>
            </w:r>
          </w:p>
        </w:tc>
        <w:tc>
          <w:tcPr>
            <w:tcW w:type="dxa" w:w="1440"/>
            <w:shd w:fill="FAFAFA" w:val="clear"/>
          </w:tcPr>
          <w:p>
            <w:r>
              <w:rPr>
                <w:sz w:val="17"/>
              </w:rPr>
              <w:t>2026-09-16</w:t>
            </w:r>
          </w:p>
        </w:tc>
        <w:tc>
          <w:tcPr>
            <w:tcW w:type="dxa" w:w="1440"/>
            <w:shd w:fill="FAFAFA" w:val="clear"/>
          </w:tcPr>
          <w:p>
            <w:r>
              <w:rPr>
                <w:sz w:val="17"/>
              </w:rPr>
              <w:t>3,533</w:t>
            </w:r>
          </w:p>
        </w:tc>
        <w:tc>
          <w:tcPr>
            <w:tcW w:type="dxa" w:w="1440"/>
            <w:shd w:fill="FAFAFA" w:val="clear"/>
          </w:tcPr>
          <w:p>
            <w:r>
              <w:rPr>
                <w:b/>
                <w:sz w:val="17"/>
              </w:rPr>
              <w:t>4,031</w:t>
            </w:r>
          </w:p>
        </w:tc>
        <w:tc>
          <w:tcPr>
            <w:tcW w:type="dxa" w:w="1440"/>
            <w:shd w:fill="FAFAFA" w:val="clear"/>
          </w:tcPr>
          <w:p>
            <w:r>
              <w:rPr>
                <w:sz w:val="17"/>
              </w:rPr>
              <w:t>4,528</w:t>
            </w:r>
          </w:p>
        </w:tc>
        <w:tc>
          <w:tcPr>
            <w:tcW w:type="dxa" w:w="1440"/>
            <w:shd w:fill="FAFAFA" w:val="clear"/>
          </w:tcPr>
          <w:p>
            <w:r>
              <w:rPr>
                <w:b/>
                <w:color w:val="C00000"/>
                <w:sz w:val="17"/>
              </w:rPr>
              <w:t>-0.5%</w:t>
            </w:r>
          </w:p>
        </w:tc>
      </w:tr>
      <w:tr>
        <w:tc>
          <w:tcPr>
            <w:tcW w:type="dxa" w:w="1440"/>
            <w:shd w:fill="FAFAFA" w:val="clear"/>
          </w:tcPr>
          <w:p>
            <w:r>
              <w:rPr>
                <w:sz w:val="17"/>
              </w:rPr>
              <w:t>J+10  ⭐</w:t>
            </w:r>
          </w:p>
        </w:tc>
        <w:tc>
          <w:tcPr>
            <w:tcW w:type="dxa" w:w="1440"/>
            <w:shd w:fill="FAFAFA" w:val="clear"/>
          </w:tcPr>
          <w:p>
            <w:r>
              <w:rPr>
                <w:sz w:val="17"/>
              </w:rPr>
              <w:t>2026-09-17</w:t>
            </w:r>
          </w:p>
        </w:tc>
        <w:tc>
          <w:tcPr>
            <w:tcW w:type="dxa" w:w="1440"/>
            <w:shd w:fill="FAFAFA" w:val="clear"/>
          </w:tcPr>
          <w:p>
            <w:r>
              <w:rPr>
                <w:sz w:val="17"/>
              </w:rPr>
              <w:t>3,522</w:t>
            </w:r>
          </w:p>
        </w:tc>
        <w:tc>
          <w:tcPr>
            <w:tcW w:type="dxa" w:w="1440"/>
            <w:shd w:fill="FAFAFA" w:val="clear"/>
          </w:tcPr>
          <w:p>
            <w:r>
              <w:rPr>
                <w:b/>
                <w:sz w:val="17"/>
              </w:rPr>
              <w:t>4,049</w:t>
            </w:r>
          </w:p>
        </w:tc>
        <w:tc>
          <w:tcPr>
            <w:tcW w:type="dxa" w:w="1440"/>
            <w:shd w:fill="FAFAFA" w:val="clear"/>
          </w:tcPr>
          <w:p>
            <w:r>
              <w:rPr>
                <w:sz w:val="17"/>
              </w:rPr>
              <w:t>4,575</w:t>
            </w:r>
          </w:p>
        </w:tc>
        <w:tc>
          <w:tcPr>
            <w:tcW w:type="dxa" w:w="1440"/>
            <w:shd w:fill="FAFAFA" w:val="clear"/>
          </w:tcPr>
          <w:p>
            <w:r>
              <w:rPr>
                <w:b/>
                <w:color w:val="C00000"/>
                <w:sz w:val="17"/>
              </w:rPr>
              <w:t>-0.0%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w:t>
        <w:br/>
        <w:t>**Date de l'analyse : 03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LNBB s'établit à 81 milliards FCFA, un niveau significatif qui la positionne comme une valeur de premier plan sur la BRVM, reflétant la nature quasi-monopolistique de son activité de loterie nationale. Le BPA de 231 FCFA indique que chaque action génère un bénéfice substantiel, mais le PER de 17,5x est nettement supérieur à la moyenne historique de la BRVM (8-12x), signalant que les investisseurs acceptent de payer une prime pour ce titre. Cette prime est confirmée par le P/B de 3,69x, qui valorise l'action bien au-delà de sa valeur comptable, suggérant des attentes de croissance ou une confiance dans la marque. L'EV/EBITDA de 10,3x, bien que dans la fourchette standard, indique une valorisation relativement élevée par rapport à la capacité opérationnelle de l'entreprise. Ces ratios, pris ensemble, suggèrent que le marché intègre déjà des perspectives de redressement et de croissance future.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LNBB affiche une progression modeste de +5,06%, avec une dernière séance en hausse de +1,25% à 4 050 FCFA. Le titre a évolué dans un range de 735 FCFA, entre un plus bas de 3 825 FCFA et un plus haut de 4 560 FCFA, démontrant une volatilité intraday non négligeable. La moyenne (4 059 FCFA) et la médiane (4 000 FCFA) sont proches, mais le skewness positif de 0,586 indique que le cours a passé plus de temps sous la moyenne, avec des épisodes de hausse plus marqués. L'écart-type de 200 FCFA (CV=4,9%) révèle une dispersion modérée autour de la moyenne, tandis que le kurtosis de -0,929 (mésokurtique) suggère une distribution des rendements proche de la normale, sans risque de pics extrêmes. La volatilité annualisée de 36,1% classe le titre dans la catégorie élevée (&gt;30%), ce qui implique des fluctuations importantes et un risque accru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(4 050 FCFA) évolue sous sa MM20 (4 114 FCFA) et nettement sous sa MM50 (4 220,8 FCFA), configurant une tendance baissière à court et moyen terme. La pente descendante de ces moyennes confirme la pression vendeuse, justifiant la décision de Vente.</w:t>
      </w:r>
    </w:p>
    <w:p>
      <w:pPr>
        <w:spacing w:after="120" w:line="276" w:lineRule="auto"/>
      </w:pPr>
      <w:r>
        <w:t>**Bandes de Bollinger :** Le prix se situe à 4 050 FCFA, dans la moitié inférieure du canal formé par les bornes (3 895,4 – 4 332,6 FCFA). Cette position, sans contact avec les extrêmes, indique une volatilité modérée et une absence de signal directionnel fort, d'où la décision Neutre.</w:t>
      </w:r>
    </w:p>
    <w:p>
      <w:pPr>
        <w:spacing w:after="120" w:line="276" w:lineRule="auto"/>
      </w:pPr>
      <w:r>
        <w:t>**MACD :** La valeur du MACD (-60,6) est inférieure à sa ligne de signal (-50,6), confirmant un momentum baissier. La divergence négative entre les deux lignes indique que la dynamique vendeuse est toujours en place, justifiant la décision de Vente.</w:t>
      </w:r>
    </w:p>
    <w:p>
      <w:pPr>
        <w:spacing w:after="120" w:line="276" w:lineRule="auto"/>
      </w:pPr>
      <w:r>
        <w:t>**RSI :** À 54,5, le RSI se situe en zone neutre (30-70), indiquant un équilibre relatif entre pressions acheteuses et vendeuses. L'absence de conditions de surachat ou de survente suggère que le marché n'a pas encore tranché, d'où la décision Neutre.</w:t>
      </w:r>
    </w:p>
    <w:p>
      <w:pPr>
        <w:spacing w:after="120" w:line="276" w:lineRule="auto"/>
      </w:pPr>
      <w:r>
        <w:t>**Stochastique :** Le %K (27,8) est supérieur au %D (9,9), suggérant un croisement haussier potentiel en zone de survente. Cependant, les valeurs restent basses, indiquant une faiblesse persistante du momentum, justifiant la décision Neutre.</w:t>
      </w:r>
    </w:p>
    <w:p>
      <w:pPr>
        <w:spacing w:after="120" w:line="276" w:lineRule="auto"/>
      </w:pPr>
      <w:r>
        <w:t>**Conclusion technique :** La configuration technique est globalement baissière à court terme, dominée par les signaux de Vente des moyennes mobiles et du MACD. Les indicateurs de momentum (RSI, Stochastique) sont neutres, mais le croisement haussier du stochastique pourrait annoncer un rebond technique. La tendance générale reste incertaine, avec un biais négatif tant que le cours n'aura pas repris la MM20.</w:t>
      </w:r>
    </w:p>
    <w:p>
      <w:pPr>
        <w:spacing w:after="120" w:line="276" w:lineRule="auto"/>
      </w:pPr>
      <w:r>
        <w:t>---</w:t>
      </w:r>
    </w:p>
    <w:p>
      <w:pPr>
        <w:spacing w:after="120" w:line="276" w:lineRule="auto"/>
      </w:pPr>
      <w:r>
        <w:t>### PARTIE 3 : ANALYSE FONDAMENTALE (SECTION CRITIQUE)</w:t>
      </w:r>
    </w:p>
    <w:p>
      <w:pPr>
        <w:spacing w:after="120" w:line="276" w:lineRule="auto"/>
      </w:pPr>
      <w:r>
        <w:t>En 2025, la LNB a enregistré un chiffre d'affaires de 98,598 milliards FCFA, en baisse de -3,85% par rapport à 2024 (102,544 milliards FCFA), pénalisé par la concurrence déloyale des opérateurs illégaux. Le résultat net s'est établi à 4,622 milliards FCFA, en recul de -36% par rapport à 2024 (7,176 milliards FCFA), impacté par l'absence de produits exceptionnels. Malgré cette baisse, la rentabilité opérationnelle s'est nettement améliorée, avec une valeur ajoutée en hausse de +22% à 10,548 milliards FCFA et un EBE en progression de +34% à 7,164 milliards FCFA, démontrant une excellente maîtrise des charges. La structure financière demeure très solide avec des capitaux propres de 21,954 milliards FCFA (autonomie financière de 67,3%), un ROE de 21,05% et un ROA de 14,17%, tous deux excellents. La trésorerie nette positive de 7,979 milliards FCFA et le BFR faible de 217 millions FCFA confirment la solidité bilancielle. Le dividende proposé pour 2025 est de 173 FCFA brut par action (164 FCFA net), représentant un taux de distribution d'environ 75%. Les rapports trimestriels 2025 montrent une dégradation progressive (RN de 1,573 milliards FCFA au T1, 841 millions au S1, 1,034 milliards à fin septembre), mais le S1 2026 (rapport du 30 juillet 2026) marque un net redressement avec un CA en hausse de +4% à 49,937 milliards FCFA et un résultat net en progression de +60%, grâce aux revenus de partenariats et à la maîtrise des charges. Sur la base de cette dynamique du S1 2026, on estime que l'exercice 2026 pourrait voir un résultat net supérieur à 6 milliards FCFA, confirmant la trajectoire de redressement.</w:t>
      </w:r>
    </w:p>
    <w:p>
      <w:pPr>
        <w:spacing w:after="120" w:line="276" w:lineRule="auto"/>
      </w:pPr>
      <w:r>
        <w:t>---</w:t>
      </w:r>
    </w:p>
    <w:p>
      <w:pPr>
        <w:spacing w:after="120" w:line="276" w:lineRule="auto"/>
      </w:pPr>
      <w:r>
        <w:t>### PARTIE 4 : CONCLUSION D'INVESTISSEMENT</w:t>
      </w:r>
    </w:p>
    <w:p>
      <w:pPr>
        <w:spacing w:after="120" w:line="276" w:lineRule="auto"/>
      </w:pPr>
      <w:r>
        <w:t>La valorisation de LNBB (PER 17,5x, P/B 3,69x) apparaît exigeante, intégrant des attentes de redressement qui se matérialisent progressivement dans les fondamentaux. Le comportement du cours sur 100 jours montre une tendance haussière modérée (+5,06%) mais avec une volatilité élevée (36,1%) et une distribution statistique relativement normale, sans signe de spéculation excessive. Les signaux techniques sont mitigés, avec une tendance baissière à court terme (MM, MACD) contrastant avec des indicateurs de momentum neutres et un potentiel de rebond technique (Stochastique). Les fondamentaux, bien qu'en amélioration nette au S1 2026 (+60% de résultat net), restent confrontés à des défis structurels (concurrence illégale, pression sur les marges du pari sportif). Les prédictions IA (3 973 à 3 998 FCFA sur 10 jours) suggèrent une stabilisation légèrement sous le cours actuel, indiquant une consolidation attendue. La convergence entre l'amélioration fondamentale et la stabilisation technique attendue, malgré une valorisation élevée, nous conduit à une recommandation **CONSERVER**. Le niveau de confiance est **Moyen**, le risque global est **Moyen**, et l'horizon d'investissement optimal est le **moyen terme (3-12 mois)**, en attendant la confirmation du redressement sur l'ensemble de l'exercice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38.30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5,295 titres</w:t>
            </w:r>
          </w:p>
        </w:tc>
        <w:tc>
          <w:tcPr>
            <w:tcW w:type="dxa" w:w="2268"/>
            <w:shd w:fill="FFF2CC" w:val="clear"/>
          </w:tcPr>
          <w:p>
            <w:r>
              <w:rPr>
                <w:b/>
                <w:color w:val="503200"/>
                <w:sz w:val="16"/>
              </w:rPr>
              <w:t xml:space="preserve">Cours actuel : </w:t>
            </w:r>
            <w:r>
              <w:rPr>
                <w:color w:val="000000"/>
                <w:sz w:val="17"/>
              </w:rPr>
              <w:t>3,000 FCFA</w:t>
            </w:r>
          </w:p>
          <w:p>
            <w:r>
              <w:rPr>
                <w:b/>
                <w:color w:val="503200"/>
                <w:sz w:val="16"/>
              </w:rPr>
              <w:t xml:space="preserve">Var. 100 jours : </w:t>
            </w:r>
            <w:r>
              <w:rPr>
                <w:b/>
                <w:color w:val="007800"/>
                <w:sz w:val="17"/>
              </w:rPr>
              <w:t>+119.78%</w:t>
            </w:r>
          </w:p>
          <w:p>
            <w:r>
              <w:rPr>
                <w:b/>
                <w:color w:val="503200"/>
                <w:sz w:val="16"/>
              </w:rPr>
              <w:t xml:space="preserve">Plus haut 100j : </w:t>
            </w:r>
            <w:r>
              <w:rPr>
                <w:color w:val="000000"/>
                <w:sz w:val="17"/>
              </w:rPr>
              <w:t>3,000 FCFA</w:t>
            </w:r>
          </w:p>
          <w:p>
            <w:r>
              <w:rPr>
                <w:b/>
                <w:color w:val="503200"/>
                <w:sz w:val="16"/>
              </w:rPr>
              <w:t xml:space="preserve">Plus bas 100j : </w:t>
            </w:r>
            <w:r>
              <w:rPr>
                <w:color w:val="000000"/>
                <w:sz w:val="17"/>
              </w:rPr>
              <w:t>1,365 FCFA</w:t>
            </w:r>
          </w:p>
          <w:p>
            <w:r>
              <w:rPr>
                <w:b/>
                <w:color w:val="503200"/>
                <w:sz w:val="16"/>
              </w:rPr>
              <w:t xml:space="preserve">Volatilité ann. : </w:t>
            </w:r>
            <w:r>
              <w:rPr>
                <w:color w:val="000000"/>
                <w:sz w:val="17"/>
              </w:rPr>
              <w:t>53.3%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32.6/100 → Moyen</w:t>
      </w:r>
    </w:p>
    <w:p>
      <w:pPr>
        <w:spacing w:before="40" w:after="80"/>
      </w:pPr>
      <w:r>
        <w:rPr>
          <w:rFonts w:ascii="Courier New" w:hAnsi="Courier New"/>
          <w:color w:val="825A00"/>
          <w:sz w:val="18"/>
        </w:rPr>
        <w:t>██████░░░░░░░░░░░░░░  32.6/100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17.73% (Élevée) — μ=2,095 FCFA, σ=371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β=-0.2195 (Contre-cyclique) — Cov=-0.000008, Var(idx)=0.000036, ρ=-0.039,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5,295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σ_j=3.36%/j (Modérée) — Vol. annualisée≈53.3%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19287"/>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2026-09-04</w:t>
            </w:r>
          </w:p>
        </w:tc>
        <w:tc>
          <w:tcPr>
            <w:tcW w:type="dxa" w:w="1440"/>
            <w:shd w:fill="FFDCE0" w:val="clear"/>
          </w:tcPr>
          <w:p>
            <w:r>
              <w:rPr>
                <w:sz w:val="17"/>
              </w:rPr>
              <w:t>2,637</w:t>
            </w:r>
          </w:p>
        </w:tc>
        <w:tc>
          <w:tcPr>
            <w:tcW w:type="dxa" w:w="1440"/>
            <w:shd w:fill="FFDCE0" w:val="clear"/>
          </w:tcPr>
          <w:p>
            <w:r>
              <w:rPr>
                <w:b/>
                <w:sz w:val="17"/>
              </w:rPr>
              <w:t>2,775</w:t>
            </w:r>
          </w:p>
        </w:tc>
        <w:tc>
          <w:tcPr>
            <w:tcW w:type="dxa" w:w="1440"/>
            <w:shd w:fill="FFDCE0" w:val="clear"/>
          </w:tcPr>
          <w:p>
            <w:r>
              <w:rPr>
                <w:sz w:val="17"/>
              </w:rPr>
              <w:t>2,913</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2026-09-07</w:t>
            </w:r>
          </w:p>
        </w:tc>
        <w:tc>
          <w:tcPr>
            <w:tcW w:type="dxa" w:w="1440"/>
            <w:shd w:fill="FFDCE0" w:val="clear"/>
          </w:tcPr>
          <w:p>
            <w:r>
              <w:rPr>
                <w:sz w:val="17"/>
              </w:rPr>
              <w:t>2,387</w:t>
            </w:r>
          </w:p>
        </w:tc>
        <w:tc>
          <w:tcPr>
            <w:tcW w:type="dxa" w:w="1440"/>
            <w:shd w:fill="FFDCE0" w:val="clear"/>
          </w:tcPr>
          <w:p>
            <w:r>
              <w:rPr>
                <w:b/>
                <w:sz w:val="17"/>
              </w:rPr>
              <w:t>2,567</w:t>
            </w:r>
          </w:p>
        </w:tc>
        <w:tc>
          <w:tcPr>
            <w:tcW w:type="dxa" w:w="1440"/>
            <w:shd w:fill="FFDCE0" w:val="clear"/>
          </w:tcPr>
          <w:p>
            <w:r>
              <w:rPr>
                <w:sz w:val="17"/>
              </w:rPr>
              <w:t>2,747</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2026-09-08</w:t>
            </w:r>
          </w:p>
        </w:tc>
        <w:tc>
          <w:tcPr>
            <w:tcW w:type="dxa" w:w="1440"/>
            <w:shd w:fill="FFDCE0" w:val="clear"/>
          </w:tcPr>
          <w:p>
            <w:r>
              <w:rPr>
                <w:sz w:val="17"/>
              </w:rPr>
              <w:t>2,170</w:t>
            </w:r>
          </w:p>
        </w:tc>
        <w:tc>
          <w:tcPr>
            <w:tcW w:type="dxa" w:w="1440"/>
            <w:shd w:fill="FFDCE0" w:val="clear"/>
          </w:tcPr>
          <w:p>
            <w:r>
              <w:rPr>
                <w:b/>
                <w:sz w:val="17"/>
              </w:rPr>
              <w:t>2,374</w:t>
            </w:r>
          </w:p>
        </w:tc>
        <w:tc>
          <w:tcPr>
            <w:tcW w:type="dxa" w:w="1440"/>
            <w:shd w:fill="FFDCE0" w:val="clear"/>
          </w:tcPr>
          <w:p>
            <w:r>
              <w:rPr>
                <w:sz w:val="17"/>
              </w:rPr>
              <w:t>2,578</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2026-09-09</w:t>
            </w:r>
          </w:p>
        </w:tc>
        <w:tc>
          <w:tcPr>
            <w:tcW w:type="dxa" w:w="1440"/>
            <w:shd w:fill="FFDCE0" w:val="clear"/>
          </w:tcPr>
          <w:p>
            <w:r>
              <w:rPr>
                <w:sz w:val="17"/>
              </w:rPr>
              <w:t>1,978</w:t>
            </w:r>
          </w:p>
        </w:tc>
        <w:tc>
          <w:tcPr>
            <w:tcW w:type="dxa" w:w="1440"/>
            <w:shd w:fill="FFDCE0" w:val="clear"/>
          </w:tcPr>
          <w:p>
            <w:r>
              <w:rPr>
                <w:b/>
                <w:sz w:val="17"/>
              </w:rPr>
              <w:t>2,196</w:t>
            </w:r>
          </w:p>
        </w:tc>
        <w:tc>
          <w:tcPr>
            <w:tcW w:type="dxa" w:w="1440"/>
            <w:shd w:fill="FFDCE0" w:val="clear"/>
          </w:tcPr>
          <w:p>
            <w:r>
              <w:rPr>
                <w:sz w:val="17"/>
              </w:rPr>
              <w:t>2,414</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2026-09-10</w:t>
            </w:r>
          </w:p>
        </w:tc>
        <w:tc>
          <w:tcPr>
            <w:tcW w:type="dxa" w:w="1440"/>
            <w:shd w:fill="FFDCE0" w:val="clear"/>
          </w:tcPr>
          <w:p>
            <w:r>
              <w:rPr>
                <w:sz w:val="17"/>
              </w:rPr>
              <w:t>1,806</w:t>
            </w:r>
          </w:p>
        </w:tc>
        <w:tc>
          <w:tcPr>
            <w:tcW w:type="dxa" w:w="1440"/>
            <w:shd w:fill="FFDCE0" w:val="clear"/>
          </w:tcPr>
          <w:p>
            <w:r>
              <w:rPr>
                <w:b/>
                <w:sz w:val="17"/>
              </w:rPr>
              <w:t>2,032</w:t>
            </w:r>
          </w:p>
        </w:tc>
        <w:tc>
          <w:tcPr>
            <w:tcW w:type="dxa" w:w="1440"/>
            <w:shd w:fill="FFDCE0" w:val="clear"/>
          </w:tcPr>
          <w:p>
            <w:r>
              <w:rPr>
                <w:sz w:val="17"/>
              </w:rPr>
              <w:t>2,257</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2026-09-11</w:t>
            </w:r>
          </w:p>
        </w:tc>
        <w:tc>
          <w:tcPr>
            <w:tcW w:type="dxa" w:w="1440"/>
            <w:shd w:fill="FFDCE0" w:val="clear"/>
          </w:tcPr>
          <w:p>
            <w:r>
              <w:rPr>
                <w:sz w:val="17"/>
              </w:rPr>
              <w:t>1,651</w:t>
            </w:r>
          </w:p>
        </w:tc>
        <w:tc>
          <w:tcPr>
            <w:tcW w:type="dxa" w:w="1440"/>
            <w:shd w:fill="FFDCE0" w:val="clear"/>
          </w:tcPr>
          <w:p>
            <w:r>
              <w:rPr>
                <w:b/>
                <w:sz w:val="17"/>
              </w:rPr>
              <w:t>1,879</w:t>
            </w:r>
          </w:p>
        </w:tc>
        <w:tc>
          <w:tcPr>
            <w:tcW w:type="dxa" w:w="1440"/>
            <w:shd w:fill="FFDCE0" w:val="clear"/>
          </w:tcPr>
          <w:p>
            <w:r>
              <w:rPr>
                <w:sz w:val="17"/>
              </w:rPr>
              <w:t>2,108</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2026-09-14</w:t>
            </w:r>
          </w:p>
        </w:tc>
        <w:tc>
          <w:tcPr>
            <w:tcW w:type="dxa" w:w="1440"/>
            <w:shd w:fill="FFDCE0" w:val="clear"/>
          </w:tcPr>
          <w:p>
            <w:r>
              <w:rPr>
                <w:sz w:val="17"/>
              </w:rPr>
              <w:t>1,510</w:t>
            </w:r>
          </w:p>
        </w:tc>
        <w:tc>
          <w:tcPr>
            <w:tcW w:type="dxa" w:w="1440"/>
            <w:shd w:fill="FFDCE0" w:val="clear"/>
          </w:tcPr>
          <w:p>
            <w:r>
              <w:rPr>
                <w:b/>
                <w:sz w:val="17"/>
              </w:rPr>
              <w:t>1,738</w:t>
            </w:r>
          </w:p>
        </w:tc>
        <w:tc>
          <w:tcPr>
            <w:tcW w:type="dxa" w:w="1440"/>
            <w:shd w:fill="FFDCE0" w:val="clear"/>
          </w:tcPr>
          <w:p>
            <w:r>
              <w:rPr>
                <w:sz w:val="17"/>
              </w:rPr>
              <w:t>1,967</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2026-09-15</w:t>
            </w:r>
          </w:p>
        </w:tc>
        <w:tc>
          <w:tcPr>
            <w:tcW w:type="dxa" w:w="1440"/>
            <w:shd w:fill="FFDCE0" w:val="clear"/>
          </w:tcPr>
          <w:p>
            <w:r>
              <w:rPr>
                <w:sz w:val="17"/>
              </w:rPr>
              <w:t>1,402</w:t>
            </w:r>
          </w:p>
        </w:tc>
        <w:tc>
          <w:tcPr>
            <w:tcW w:type="dxa" w:w="1440"/>
            <w:shd w:fill="FFDCE0" w:val="clear"/>
          </w:tcPr>
          <w:p>
            <w:r>
              <w:rPr>
                <w:b/>
                <w:sz w:val="17"/>
              </w:rPr>
              <w:t>1,632</w:t>
            </w:r>
          </w:p>
        </w:tc>
        <w:tc>
          <w:tcPr>
            <w:tcW w:type="dxa" w:w="1440"/>
            <w:shd w:fill="FFDCE0" w:val="clear"/>
          </w:tcPr>
          <w:p>
            <w:r>
              <w:rPr>
                <w:sz w:val="17"/>
              </w:rPr>
              <w:t>1,861</w:t>
            </w:r>
          </w:p>
        </w:tc>
        <w:tc>
          <w:tcPr>
            <w:tcW w:type="dxa" w:w="1440"/>
            <w:shd w:fill="FFDCE0" w:val="clear"/>
          </w:tcPr>
          <w:p>
            <w:r>
              <w:rPr>
                <w:b/>
                <w:color w:val="C00000"/>
                <w:sz w:val="17"/>
              </w:rPr>
              <w:t>-45.6%</w:t>
            </w:r>
          </w:p>
        </w:tc>
      </w:tr>
      <w:tr>
        <w:tc>
          <w:tcPr>
            <w:tcW w:type="dxa" w:w="1440"/>
            <w:shd w:fill="FFDCE0" w:val="clear"/>
          </w:tcPr>
          <w:p>
            <w:r>
              <w:rPr>
                <w:sz w:val="17"/>
              </w:rPr>
              <w:t>J+9  ⭐</w:t>
            </w:r>
          </w:p>
        </w:tc>
        <w:tc>
          <w:tcPr>
            <w:tcW w:type="dxa" w:w="1440"/>
            <w:shd w:fill="FFDCE0" w:val="clear"/>
          </w:tcPr>
          <w:p>
            <w:r>
              <w:rPr>
                <w:sz w:val="17"/>
              </w:rPr>
              <w:t>2026-09-16</w:t>
            </w:r>
          </w:p>
        </w:tc>
        <w:tc>
          <w:tcPr>
            <w:tcW w:type="dxa" w:w="1440"/>
            <w:shd w:fill="FFDCE0" w:val="clear"/>
          </w:tcPr>
          <w:p>
            <w:r>
              <w:rPr>
                <w:sz w:val="17"/>
              </w:rPr>
              <w:t>1,337</w:t>
            </w:r>
          </w:p>
        </w:tc>
        <w:tc>
          <w:tcPr>
            <w:tcW w:type="dxa" w:w="1440"/>
            <w:shd w:fill="FFDCE0" w:val="clear"/>
          </w:tcPr>
          <w:p>
            <w:r>
              <w:rPr>
                <w:b/>
                <w:sz w:val="17"/>
              </w:rPr>
              <w:t>1,571</w:t>
            </w:r>
          </w:p>
        </w:tc>
        <w:tc>
          <w:tcPr>
            <w:tcW w:type="dxa" w:w="1440"/>
            <w:shd w:fill="FFDCE0" w:val="clear"/>
          </w:tcPr>
          <w:p>
            <w:r>
              <w:rPr>
                <w:sz w:val="17"/>
              </w:rPr>
              <w:t>1,805</w:t>
            </w:r>
          </w:p>
        </w:tc>
        <w:tc>
          <w:tcPr>
            <w:tcW w:type="dxa" w:w="1440"/>
            <w:shd w:fill="FFDCE0" w:val="clear"/>
          </w:tcPr>
          <w:p>
            <w:r>
              <w:rPr>
                <w:b/>
                <w:color w:val="C00000"/>
                <w:sz w:val="17"/>
              </w:rPr>
              <w:t>-47.6%</w:t>
            </w:r>
          </w:p>
        </w:tc>
      </w:tr>
      <w:tr>
        <w:tc>
          <w:tcPr>
            <w:tcW w:type="dxa" w:w="1440"/>
            <w:shd w:fill="FFDCE0" w:val="clear"/>
          </w:tcPr>
          <w:p>
            <w:r>
              <w:rPr>
                <w:sz w:val="17"/>
              </w:rPr>
              <w:t>J+10  ⭐</w:t>
            </w:r>
          </w:p>
        </w:tc>
        <w:tc>
          <w:tcPr>
            <w:tcW w:type="dxa" w:w="1440"/>
            <w:shd w:fill="FFDCE0" w:val="clear"/>
          </w:tcPr>
          <w:p>
            <w:r>
              <w:rPr>
                <w:sz w:val="17"/>
              </w:rPr>
              <w:t>2026-09-17</w:t>
            </w:r>
          </w:p>
        </w:tc>
        <w:tc>
          <w:tcPr>
            <w:tcW w:type="dxa" w:w="1440"/>
            <w:shd w:fill="FFDCE0" w:val="clear"/>
          </w:tcPr>
          <w:p>
            <w:r>
              <w:rPr>
                <w:sz w:val="17"/>
              </w:rPr>
              <w:t>1,279</w:t>
            </w:r>
          </w:p>
        </w:tc>
        <w:tc>
          <w:tcPr>
            <w:tcW w:type="dxa" w:w="1440"/>
            <w:shd w:fill="FFDCE0" w:val="clear"/>
          </w:tcPr>
          <w:p>
            <w:r>
              <w:rPr>
                <w:b/>
                <w:sz w:val="17"/>
              </w:rPr>
              <w:t>1,517</w:t>
            </w:r>
          </w:p>
        </w:tc>
        <w:tc>
          <w:tcPr>
            <w:tcW w:type="dxa" w:w="1440"/>
            <w:shd w:fill="FFDCE0" w:val="clear"/>
          </w:tcPr>
          <w:p>
            <w:r>
              <w:rPr>
                <w:sz w:val="17"/>
              </w:rPr>
              <w:t>1,755</w:t>
            </w:r>
          </w:p>
        </w:tc>
        <w:tc>
          <w:tcPr>
            <w:tcW w:type="dxa" w:w="1440"/>
            <w:shd w:fill="FFDCE0" w:val="clear"/>
          </w:tcPr>
          <w:p>
            <w:r>
              <w:rPr>
                <w:b/>
                <w:color w:val="C00000"/>
                <w:sz w:val="17"/>
              </w:rPr>
              <w:t>-49.4%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NEIC s'établit à 38,30 milliards FCFA, un niveau modeste qui la classe parmi les valeurs moyennes de la cote de la BRVM. Le BPA de 160 FCFA indique que chaque action génère un bénéfice de 160 FCFA, ce qui, rapporté au cours de 3 000 FCFA, donne un PER de 18,8x. Ce ratio est nettement supérieur à la moyenne historique de la BRVM (8-12x), signifiant que les investisseurs paient une prime significative pour les bénéfices de la société. Le P/B de 6,65x confirme cette lecture, le marché valorisant le titre plus de six fois sa valeur comptable, une prime très élevée qui traduit des attentes de croissance fortes. Enfin, l'EV/EBITDA de 28,5x est particulièrement exigeant, indiquant que la valeur totale de l'entreprise (fonds propres + dette nette) représente près de 29 fois son potentiel opérationnel brut, un niveau qui laisse peu de place à l'erreur.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NEIC a enregistré une progression spectaculaire de +119,78%, passant d'un plus bas de 1 365 FCFA à un plus haut de 3 000 FCFA, son niveau actuel. La dernière séance s'est soldée par une stagnation à 3 000 FCFA, suggérant une pause après un rallye soutenu. La moyenne du cours sur la période (2 095 FCFA) est inférieure à la médiane (2 175 FCFA), indiquant une distribution légèrement asymétrique avec une concentration des valeurs vers le bas avant une accélération récente. L'écart-type de 373 FCFA (CV de 17,8%) témoigne d'une dispersion modérée autour de la moyenne. Le kurtosis de 0,548 (mésokurtique) et le skewness de 0,045 indiquent une distribution proche de la normale, sans risque de pics extrêmes ni d'asymétrie marquée. La volatilité annualisée de 53,3% classe le titre dans la catégorie des valeurs à très forte volatilité, ce qui implique un risque élevé mais aussi un potentiel de gains rapides.</w:t>
      </w:r>
    </w:p>
    <w:p>
      <w:pPr>
        <w:spacing w:after="120" w:line="276" w:lineRule="auto" w:before="240"/>
      </w:pPr>
      <w:r>
        <w:rPr>
          <w:b/>
          <w:color w:val="003366"/>
          <w:sz w:val="24"/>
        </w:rPr>
        <w:t>**PARTIE 2 : ANALYSE TECHNIQUE DÉTAILLÉE**</w:t>
      </w:r>
    </w:p>
    <w:p>
      <w:pPr>
        <w:spacing w:after="120" w:line="276" w:lineRule="auto"/>
      </w:pPr>
      <w:r>
        <w:t>**Moyennes Mobiles** : Le cours actuel de 3 000 FCFA se situe nettement au-dessus de la MM20 (2 491,5 FCFA) et de la MM50 (2 342 FCFA), confirmant une tendance haussière solide. L'écart positif entre le cours et les moyennes indique un momentum acheteur fort, justifiant la décision d'achat.</w:t>
      </w:r>
    </w:p>
    <w:p>
      <w:pPr>
        <w:spacing w:after="120" w:line="276" w:lineRule="auto"/>
      </w:pPr>
      <w:r>
        <w:t>**Bandes de Bollinger** : Le prix évolue près de la borne supérieure (3 179,9 FCFA), signalant une pression acheteuse soutenue. La largeur des bandes (de 1 803 à 3 179 FCFA) reflète une volatilité élevée. La position proche de la borne supérieure suggère une possible consolidation à court terme, d'où la décision neutre.</w:t>
      </w:r>
    </w:p>
    <w:p>
      <w:pPr>
        <w:spacing w:after="120" w:line="276" w:lineRule="auto"/>
      </w:pPr>
      <w:r>
        <w:t>**MACD** : Le MACD (206,2) est nettement supérieur à son signal (136,0), avec un écart positif croissant. Cette configuration indique un momentum haussier puissant et une accélération de la tendance, justifiant la décision d'achat.</w:t>
      </w:r>
    </w:p>
    <w:p>
      <w:pPr>
        <w:spacing w:after="120" w:line="276" w:lineRule="auto"/>
      </w:pPr>
      <w:r>
        <w:t>**RSI** : Le RSI à 95,98 est extrêmement élevé, bien au-delà du seuil de surachat de 70. Cette valeur indique que le titre est massivement suracheté, avec un risque élevé de correction technique. La décision de vente est donc justifiée pour les investisseurs à court terme.</w:t>
      </w:r>
    </w:p>
    <w:p>
      <w:pPr>
        <w:spacing w:after="120" w:line="276" w:lineRule="auto"/>
      </w:pPr>
      <w:r>
        <w:t>**Stochastique** : Le %K et le %D sont tous deux à 100, un niveau extrême de surachat. Cette configuration signale que le titre est dans une zone de surachat extrême, avec un risque imminent de retournement. La décision de vente est donc cohérente.</w:t>
      </w:r>
    </w:p>
    <w:p>
      <w:pPr>
        <w:spacing w:after="120" w:line="276" w:lineRule="auto"/>
      </w:pPr>
      <w:r>
        <w:t>**Conclusion technique** : Les indicateurs de tendance (MM, MACD) sont résolument haussiers, mais les oscillateurs (RSI, Stochastique) sont en zone de surachat extrême, signalant un risque de correction. Cette divergence suggère qu'une consolidation est probable à court terme avant une éventuelle poursuite de la hausse.</w:t>
      </w:r>
    </w:p>
    <w:p>
      <w:pPr>
        <w:spacing w:after="120" w:line="276" w:lineRule="auto" w:before="240"/>
      </w:pPr>
      <w:r>
        <w:rPr>
          <w:b/>
          <w:color w:val="003366"/>
          <w:sz w:val="24"/>
        </w:rPr>
        <w:t>**PARTIE 3 : ANALYSE FONDAMENTALE (SECTION CRITIQUE)**</w:t>
      </w:r>
    </w:p>
    <w:p>
      <w:pPr>
        <w:spacing w:after="120" w:line="276" w:lineRule="auto"/>
      </w:pPr>
      <w:r>
        <w:t>En 2025, NEIC affiche des données financières solides avec un chiffre d'affaires de 5,139 milliards FCFA et un résultat net de 2,037 milliards FCFA, soit une marge nette exceptionnelle de 39,6%. Le ROE de 35,4% et le ROA de 27,3% témoignent d'une excellente rentabilité des fonds propres et des actifs. La structure financière est saine avec une autonomie financière de 77% et une trésorerie nette positive de 4,196 milliards FCFA. Cependant, le taux de croissance du CA est négatif à -23,8%, et le délai de paiement des clients s'élève à 154,7 jours, un risque de trésorerie notable. Le rapport du T3 2025 (publié en 2025) indique un CA de 3,406 milliards FCFA, en baisse de 35% par rapport au T3 2024, mais un résultat net de 1,596 milliards FCFA, porté par une reprise de provision exceptionnelle. Le rapport T1 2025 (publié en 2025) était catastrophique avec un CA de 48,5 millions FCFA et une perte de -189,9 millions FCFA. En revanche, le rapport annuel 2025 (publié en 2026) fait état d'un résultat net de 2,04 milliards FCFA (+169% vs 2024) et d'un CA de 6,74 milliards FCFA (+29%), avec un dividende proposé de 2,04 milliards FCFA (100% du résultat). Le rapport T1 2026 (publié en 2026) montre un CA en hausse de +137% à 115,1 millions FCFA, mais une perte nette persistante de -168,9 millions FCFA. L'activité est fortement saisonnière, concentrée sur le second semestre, et la performance 2025 est en partie due à des éléments exceptionnels.</w:t>
      </w:r>
    </w:p>
    <w:p>
      <w:pPr>
        <w:spacing w:after="120" w:line="276" w:lineRule="auto" w:before="240"/>
      </w:pPr>
      <w:r>
        <w:rPr>
          <w:b/>
          <w:color w:val="003366"/>
          <w:sz w:val="24"/>
        </w:rPr>
        <w:t>**PARTIE 4 : CONCLUSION D'INVESTISSEMENT**</w:t>
      </w:r>
    </w:p>
    <w:p>
      <w:pPr>
        <w:spacing w:after="120" w:line="276" w:lineRule="auto"/>
      </w:pPr>
      <w:r>
        <w:t>La valorisation de NEIC est exigeante avec un PER de 18,8x, un P/B de 6,65x et un EV/EBITDA de 28,5x, tous nettement supérieurs aux moyennes de la BRVM, indiquant une surévaluation relative. Le comportement du cours montre une hausse spectaculaire de +119,78% sur 100 jours, avec une volatilité très élevée (53,3%), mais une distribution statistique normale. Les signaux techniques sont contradictoires : tendance haussière confirmée par les MM et le MACD, mais surachat extrême signalé par le RSI (96) et le Stochastique (100), suggérant un risque de correction. Les fondamentaux sont solides pour 2025 (ROE de 35,4%, résultat net de 2,04 milliards FCFA), mais la performance est en partie tirée par des éléments exceptionnels et la saisonnalité masque une faiblesse structurelle au premier semestre. Les prédictions IA (J+1 à J+10) anticipent une chute brutale du cours de 3 000 à 2 032 FCFA, confirmant le risque de correction technique. En synthèse, la convergence entre le surachat technique et les prédictions IA de baisse, malgré des fondamentaux corrects, conduit à une recommandation de **VENTE** à court terme, avec un niveau de confiance **Moyen** et un risque global **Élevé**. L'horizon d'investissement optimal serait de moyen terme (3-12 mois), après une probable correction, pour réévaluer le titre sur des bases plus solides.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568.90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2,282 titres</w:t>
            </w:r>
          </w:p>
        </w:tc>
        <w:tc>
          <w:tcPr>
            <w:tcW w:type="dxa" w:w="2268"/>
            <w:shd w:fill="FFF2CC" w:val="clear"/>
          </w:tcPr>
          <w:p>
            <w:r>
              <w:rPr>
                <w:b/>
                <w:color w:val="503200"/>
                <w:sz w:val="16"/>
              </w:rPr>
              <w:t xml:space="preserve">Cours actuel : </w:t>
            </w:r>
            <w:r>
              <w:rPr>
                <w:color w:val="000000"/>
                <w:sz w:val="17"/>
              </w:rPr>
              <w:t>23,000 FCFA</w:t>
            </w:r>
          </w:p>
          <w:p>
            <w:r>
              <w:rPr>
                <w:b/>
                <w:color w:val="503200"/>
                <w:sz w:val="16"/>
              </w:rPr>
              <w:t xml:space="preserve">Var. 100 jours : </w:t>
            </w:r>
            <w:r>
              <w:rPr>
                <w:b/>
                <w:color w:val="007800"/>
                <w:sz w:val="17"/>
              </w:rPr>
              <w:t>+61.46%</w:t>
            </w:r>
          </w:p>
          <w:p>
            <w:r>
              <w:rPr>
                <w:b/>
                <w:color w:val="503200"/>
                <w:sz w:val="16"/>
              </w:rPr>
              <w:t xml:space="preserve">Plus haut 100j : </w:t>
            </w:r>
            <w:r>
              <w:rPr>
                <w:color w:val="000000"/>
                <w:sz w:val="17"/>
              </w:rPr>
              <w:t>24,020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37.8%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28.3/100 → Moyen</w:t>
      </w:r>
    </w:p>
    <w:p>
      <w:pPr>
        <w:spacing w:before="40" w:after="80"/>
      </w:pPr>
      <w:r>
        <w:rPr>
          <w:rFonts w:ascii="Courier New" w:hAnsi="Courier New"/>
          <w:color w:val="825A00"/>
          <w:sz w:val="18"/>
        </w:rPr>
        <w:t>█████░░░░░░░░░░░░░░░  28.3/100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18.31% (Élevée) — μ=19,307 FCFA, σ=3,535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β=1.1959 (Neutre (suit le marché)) — Cov=0.000043, Var(idx)=0.000036, ρ=0.299,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2,282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σ_j=2.38%/j (Stable) — Vol. annualisée≈37.8%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0319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2026-09-04</w:t>
            </w:r>
          </w:p>
        </w:tc>
        <w:tc>
          <w:tcPr>
            <w:tcW w:type="dxa" w:w="1440"/>
            <w:shd w:fill="C6EFCE" w:val="clear"/>
          </w:tcPr>
          <w:p>
            <w:r>
              <w:rPr>
                <w:sz w:val="17"/>
              </w:rPr>
              <w:t>23,046</w:t>
            </w:r>
          </w:p>
        </w:tc>
        <w:tc>
          <w:tcPr>
            <w:tcW w:type="dxa" w:w="1440"/>
            <w:shd w:fill="C6EFCE" w:val="clear"/>
          </w:tcPr>
          <w:p>
            <w:r>
              <w:rPr>
                <w:b/>
                <w:sz w:val="17"/>
              </w:rPr>
              <w:t>23,527</w:t>
            </w:r>
          </w:p>
        </w:tc>
        <w:tc>
          <w:tcPr>
            <w:tcW w:type="dxa" w:w="1440"/>
            <w:shd w:fill="C6EFCE" w:val="clear"/>
          </w:tcPr>
          <w:p>
            <w:r>
              <w:rPr>
                <w:sz w:val="17"/>
              </w:rPr>
              <w:t>24,008</w:t>
            </w:r>
          </w:p>
        </w:tc>
        <w:tc>
          <w:tcPr>
            <w:tcW w:type="dxa" w:w="1440"/>
            <w:shd w:fill="C6EFCE" w:val="clear"/>
          </w:tcPr>
          <w:p>
            <w:r>
              <w:rPr>
                <w:b/>
                <w:color w:val="008000"/>
                <w:sz w:val="17"/>
              </w:rPr>
              <w:t>+2.3%</w:t>
            </w:r>
          </w:p>
        </w:tc>
      </w:tr>
      <w:tr>
        <w:tc>
          <w:tcPr>
            <w:tcW w:type="dxa" w:w="1440"/>
            <w:shd w:fill="C6EFCE" w:val="clear"/>
          </w:tcPr>
          <w:p>
            <w:r>
              <w:rPr>
                <w:sz w:val="17"/>
              </w:rPr>
              <w:t>J+2  ⭐⭐⭐</w:t>
            </w:r>
          </w:p>
        </w:tc>
        <w:tc>
          <w:tcPr>
            <w:tcW w:type="dxa" w:w="1440"/>
            <w:shd w:fill="C6EFCE" w:val="clear"/>
          </w:tcPr>
          <w:p>
            <w:r>
              <w:rPr>
                <w:sz w:val="17"/>
              </w:rPr>
              <w:t>2026-09-07</w:t>
            </w:r>
          </w:p>
        </w:tc>
        <w:tc>
          <w:tcPr>
            <w:tcW w:type="dxa" w:w="1440"/>
            <w:shd w:fill="C6EFCE" w:val="clear"/>
          </w:tcPr>
          <w:p>
            <w:r>
              <w:rPr>
                <w:sz w:val="17"/>
              </w:rPr>
              <w:t>23,243</w:t>
            </w:r>
          </w:p>
        </w:tc>
        <w:tc>
          <w:tcPr>
            <w:tcW w:type="dxa" w:w="1440"/>
            <w:shd w:fill="C6EFCE" w:val="clear"/>
          </w:tcPr>
          <w:p>
            <w:r>
              <w:rPr>
                <w:b/>
                <w:sz w:val="17"/>
              </w:rPr>
              <w:t>23,935</w:t>
            </w:r>
          </w:p>
        </w:tc>
        <w:tc>
          <w:tcPr>
            <w:tcW w:type="dxa" w:w="1440"/>
            <w:shd w:fill="C6EFCE" w:val="clear"/>
          </w:tcPr>
          <w:p>
            <w:r>
              <w:rPr>
                <w:sz w:val="17"/>
              </w:rPr>
              <w:t>24,627</w:t>
            </w:r>
          </w:p>
        </w:tc>
        <w:tc>
          <w:tcPr>
            <w:tcW w:type="dxa" w:w="1440"/>
            <w:shd w:fill="C6EFCE" w:val="clear"/>
          </w:tcPr>
          <w:p>
            <w:r>
              <w:rPr>
                <w:b/>
                <w:color w:val="008000"/>
                <w:sz w:val="17"/>
              </w:rPr>
              <w:t>+4.1%</w:t>
            </w:r>
          </w:p>
        </w:tc>
      </w:tr>
      <w:tr>
        <w:tc>
          <w:tcPr>
            <w:tcW w:type="dxa" w:w="1440"/>
            <w:shd w:fill="C6EFCE" w:val="clear"/>
          </w:tcPr>
          <w:p>
            <w:r>
              <w:rPr>
                <w:sz w:val="17"/>
              </w:rPr>
              <w:t>J+3  ⭐⭐⭐</w:t>
            </w:r>
          </w:p>
        </w:tc>
        <w:tc>
          <w:tcPr>
            <w:tcW w:type="dxa" w:w="1440"/>
            <w:shd w:fill="C6EFCE" w:val="clear"/>
          </w:tcPr>
          <w:p>
            <w:r>
              <w:rPr>
                <w:sz w:val="17"/>
              </w:rPr>
              <w:t>2026-09-08</w:t>
            </w:r>
          </w:p>
        </w:tc>
        <w:tc>
          <w:tcPr>
            <w:tcW w:type="dxa" w:w="1440"/>
            <w:shd w:fill="C6EFCE" w:val="clear"/>
          </w:tcPr>
          <w:p>
            <w:r>
              <w:rPr>
                <w:sz w:val="17"/>
              </w:rPr>
              <w:t>23,471</w:t>
            </w:r>
          </w:p>
        </w:tc>
        <w:tc>
          <w:tcPr>
            <w:tcW w:type="dxa" w:w="1440"/>
            <w:shd w:fill="C6EFCE" w:val="clear"/>
          </w:tcPr>
          <w:p>
            <w:r>
              <w:rPr>
                <w:b/>
                <w:sz w:val="17"/>
              </w:rPr>
              <w:t>24,332</w:t>
            </w:r>
          </w:p>
        </w:tc>
        <w:tc>
          <w:tcPr>
            <w:tcW w:type="dxa" w:w="1440"/>
            <w:shd w:fill="C6EFCE" w:val="clear"/>
          </w:tcPr>
          <w:p>
            <w:r>
              <w:rPr>
                <w:sz w:val="17"/>
              </w:rPr>
              <w:t>25,194</w:t>
            </w:r>
          </w:p>
        </w:tc>
        <w:tc>
          <w:tcPr>
            <w:tcW w:type="dxa" w:w="1440"/>
            <w:shd w:fill="C6EFCE" w:val="clear"/>
          </w:tcPr>
          <w:p>
            <w:r>
              <w:rPr>
                <w:b/>
                <w:color w:val="008000"/>
                <w:sz w:val="17"/>
              </w:rPr>
              <w:t>+5.8%</w:t>
            </w:r>
          </w:p>
        </w:tc>
      </w:tr>
      <w:tr>
        <w:tc>
          <w:tcPr>
            <w:tcW w:type="dxa" w:w="1440"/>
            <w:shd w:fill="C6EFCE" w:val="clear"/>
          </w:tcPr>
          <w:p>
            <w:r>
              <w:rPr>
                <w:sz w:val="17"/>
              </w:rPr>
              <w:t>J+4  Moyenne</w:t>
            </w:r>
          </w:p>
        </w:tc>
        <w:tc>
          <w:tcPr>
            <w:tcW w:type="dxa" w:w="1440"/>
            <w:shd w:fill="C6EFCE" w:val="clear"/>
          </w:tcPr>
          <w:p>
            <w:r>
              <w:rPr>
                <w:sz w:val="17"/>
              </w:rPr>
              <w:t>2026-09-09</w:t>
            </w:r>
          </w:p>
        </w:tc>
        <w:tc>
          <w:tcPr>
            <w:tcW w:type="dxa" w:w="1440"/>
            <w:shd w:fill="C6EFCE" w:val="clear"/>
          </w:tcPr>
          <w:p>
            <w:r>
              <w:rPr>
                <w:sz w:val="17"/>
              </w:rPr>
              <w:t>23,709</w:t>
            </w:r>
          </w:p>
        </w:tc>
        <w:tc>
          <w:tcPr>
            <w:tcW w:type="dxa" w:w="1440"/>
            <w:shd w:fill="C6EFCE" w:val="clear"/>
          </w:tcPr>
          <w:p>
            <w:r>
              <w:rPr>
                <w:b/>
                <w:sz w:val="17"/>
              </w:rPr>
              <w:t>24,720</w:t>
            </w:r>
          </w:p>
        </w:tc>
        <w:tc>
          <w:tcPr>
            <w:tcW w:type="dxa" w:w="1440"/>
            <w:shd w:fill="C6EFCE" w:val="clear"/>
          </w:tcPr>
          <w:p>
            <w:r>
              <w:rPr>
                <w:sz w:val="17"/>
              </w:rPr>
              <w:t>25,730</w:t>
            </w:r>
          </w:p>
        </w:tc>
        <w:tc>
          <w:tcPr>
            <w:tcW w:type="dxa" w:w="1440"/>
            <w:shd w:fill="C6EFCE" w:val="clear"/>
          </w:tcPr>
          <w:p>
            <w:r>
              <w:rPr>
                <w:b/>
                <w:color w:val="008000"/>
                <w:sz w:val="17"/>
              </w:rPr>
              <w:t>+7.5%</w:t>
            </w:r>
          </w:p>
        </w:tc>
      </w:tr>
      <w:tr>
        <w:tc>
          <w:tcPr>
            <w:tcW w:type="dxa" w:w="1440"/>
            <w:shd w:fill="C6EFCE" w:val="clear"/>
          </w:tcPr>
          <w:p>
            <w:r>
              <w:rPr>
                <w:sz w:val="17"/>
              </w:rPr>
              <w:t>J+5  Moyenne</w:t>
            </w:r>
          </w:p>
        </w:tc>
        <w:tc>
          <w:tcPr>
            <w:tcW w:type="dxa" w:w="1440"/>
            <w:shd w:fill="C6EFCE" w:val="clear"/>
          </w:tcPr>
          <w:p>
            <w:r>
              <w:rPr>
                <w:sz w:val="17"/>
              </w:rPr>
              <w:t>2026-09-10</w:t>
            </w:r>
          </w:p>
        </w:tc>
        <w:tc>
          <w:tcPr>
            <w:tcW w:type="dxa" w:w="1440"/>
            <w:shd w:fill="C6EFCE" w:val="clear"/>
          </w:tcPr>
          <w:p>
            <w:r>
              <w:rPr>
                <w:sz w:val="17"/>
              </w:rPr>
              <w:t>23,958</w:t>
            </w:r>
          </w:p>
        </w:tc>
        <w:tc>
          <w:tcPr>
            <w:tcW w:type="dxa" w:w="1440"/>
            <w:shd w:fill="C6EFCE" w:val="clear"/>
          </w:tcPr>
          <w:p>
            <w:r>
              <w:rPr>
                <w:b/>
                <w:sz w:val="17"/>
              </w:rPr>
              <w:t>25,105</w:t>
            </w:r>
          </w:p>
        </w:tc>
        <w:tc>
          <w:tcPr>
            <w:tcW w:type="dxa" w:w="1440"/>
            <w:shd w:fill="C6EFCE" w:val="clear"/>
          </w:tcPr>
          <w:p>
            <w:r>
              <w:rPr>
                <w:sz w:val="17"/>
              </w:rPr>
              <w:t>26,253</w:t>
            </w:r>
          </w:p>
        </w:tc>
        <w:tc>
          <w:tcPr>
            <w:tcW w:type="dxa" w:w="1440"/>
            <w:shd w:fill="C6EFCE" w:val="clear"/>
          </w:tcPr>
          <w:p>
            <w:r>
              <w:rPr>
                <w:b/>
                <w:color w:val="008000"/>
                <w:sz w:val="17"/>
              </w:rPr>
              <w:t>+9.2%</w:t>
            </w:r>
          </w:p>
        </w:tc>
      </w:tr>
      <w:tr>
        <w:tc>
          <w:tcPr>
            <w:tcW w:type="dxa" w:w="1440"/>
            <w:shd w:fill="C6EFCE" w:val="clear"/>
          </w:tcPr>
          <w:p>
            <w:r>
              <w:rPr>
                <w:sz w:val="17"/>
              </w:rPr>
              <w:t>J+6  Moyenne</w:t>
            </w:r>
          </w:p>
        </w:tc>
        <w:tc>
          <w:tcPr>
            <w:tcW w:type="dxa" w:w="1440"/>
            <w:shd w:fill="C6EFCE" w:val="clear"/>
          </w:tcPr>
          <w:p>
            <w:r>
              <w:rPr>
                <w:sz w:val="17"/>
              </w:rPr>
              <w:t>2026-09-11</w:t>
            </w:r>
          </w:p>
        </w:tc>
        <w:tc>
          <w:tcPr>
            <w:tcW w:type="dxa" w:w="1440"/>
            <w:shd w:fill="C6EFCE" w:val="clear"/>
          </w:tcPr>
          <w:p>
            <w:r>
              <w:rPr>
                <w:sz w:val="17"/>
              </w:rPr>
              <w:t>24,214</w:t>
            </w:r>
          </w:p>
        </w:tc>
        <w:tc>
          <w:tcPr>
            <w:tcW w:type="dxa" w:w="1440"/>
            <w:shd w:fill="C6EFCE" w:val="clear"/>
          </w:tcPr>
          <w:p>
            <w:r>
              <w:rPr>
                <w:b/>
                <w:sz w:val="17"/>
              </w:rPr>
              <w:t>25,490</w:t>
            </w:r>
          </w:p>
        </w:tc>
        <w:tc>
          <w:tcPr>
            <w:tcW w:type="dxa" w:w="1440"/>
            <w:shd w:fill="C6EFCE" w:val="clear"/>
          </w:tcPr>
          <w:p>
            <w:r>
              <w:rPr>
                <w:sz w:val="17"/>
              </w:rPr>
              <w:t>26,767</w:t>
            </w:r>
          </w:p>
        </w:tc>
        <w:tc>
          <w:tcPr>
            <w:tcW w:type="dxa" w:w="1440"/>
            <w:shd w:fill="C6EFCE" w:val="clear"/>
          </w:tcPr>
          <w:p>
            <w:r>
              <w:rPr>
                <w:b/>
                <w:color w:val="008000"/>
                <w:sz w:val="17"/>
              </w:rPr>
              <w:t>+10.8%</w:t>
            </w:r>
          </w:p>
        </w:tc>
      </w:tr>
      <w:tr>
        <w:tc>
          <w:tcPr>
            <w:tcW w:type="dxa" w:w="1440"/>
            <w:shd w:fill="C6EFCE" w:val="clear"/>
          </w:tcPr>
          <w:p>
            <w:r>
              <w:rPr>
                <w:sz w:val="17"/>
              </w:rPr>
              <w:t>J+7  Moyenne</w:t>
            </w:r>
          </w:p>
        </w:tc>
        <w:tc>
          <w:tcPr>
            <w:tcW w:type="dxa" w:w="1440"/>
            <w:shd w:fill="C6EFCE" w:val="clear"/>
          </w:tcPr>
          <w:p>
            <w:r>
              <w:rPr>
                <w:sz w:val="17"/>
              </w:rPr>
              <w:t>2026-09-14</w:t>
            </w:r>
          </w:p>
        </w:tc>
        <w:tc>
          <w:tcPr>
            <w:tcW w:type="dxa" w:w="1440"/>
            <w:shd w:fill="C6EFCE" w:val="clear"/>
          </w:tcPr>
          <w:p>
            <w:r>
              <w:rPr>
                <w:sz w:val="17"/>
              </w:rPr>
              <w:t>24,476</w:t>
            </w:r>
          </w:p>
        </w:tc>
        <w:tc>
          <w:tcPr>
            <w:tcW w:type="dxa" w:w="1440"/>
            <w:shd w:fill="C6EFCE" w:val="clear"/>
          </w:tcPr>
          <w:p>
            <w:r>
              <w:rPr>
                <w:b/>
                <w:sz w:val="17"/>
              </w:rPr>
              <w:t>25,875</w:t>
            </w:r>
          </w:p>
        </w:tc>
        <w:tc>
          <w:tcPr>
            <w:tcW w:type="dxa" w:w="1440"/>
            <w:shd w:fill="C6EFCE" w:val="clear"/>
          </w:tcPr>
          <w:p>
            <w:r>
              <w:rPr>
                <w:sz w:val="17"/>
              </w:rPr>
              <w:t>27,275</w:t>
            </w:r>
          </w:p>
        </w:tc>
        <w:tc>
          <w:tcPr>
            <w:tcW w:type="dxa" w:w="1440"/>
            <w:shd w:fill="C6EFCE" w:val="clear"/>
          </w:tcPr>
          <w:p>
            <w:r>
              <w:rPr>
                <w:b/>
                <w:color w:val="008000"/>
                <w:sz w:val="17"/>
              </w:rPr>
              <w:t>+12.5%</w:t>
            </w:r>
          </w:p>
        </w:tc>
      </w:tr>
      <w:tr>
        <w:tc>
          <w:tcPr>
            <w:tcW w:type="dxa" w:w="1440"/>
            <w:shd w:fill="C6EFCE" w:val="clear"/>
          </w:tcPr>
          <w:p>
            <w:r>
              <w:rPr>
                <w:sz w:val="17"/>
              </w:rPr>
              <w:t>J+8  Moyenne</w:t>
            </w:r>
          </w:p>
        </w:tc>
        <w:tc>
          <w:tcPr>
            <w:tcW w:type="dxa" w:w="1440"/>
            <w:shd w:fill="C6EFCE" w:val="clear"/>
          </w:tcPr>
          <w:p>
            <w:r>
              <w:rPr>
                <w:sz w:val="17"/>
              </w:rPr>
              <w:t>2026-09-15</w:t>
            </w:r>
          </w:p>
        </w:tc>
        <w:tc>
          <w:tcPr>
            <w:tcW w:type="dxa" w:w="1440"/>
            <w:shd w:fill="C6EFCE" w:val="clear"/>
          </w:tcPr>
          <w:p>
            <w:r>
              <w:rPr>
                <w:sz w:val="17"/>
              </w:rPr>
              <w:t>24,741</w:t>
            </w:r>
          </w:p>
        </w:tc>
        <w:tc>
          <w:tcPr>
            <w:tcW w:type="dxa" w:w="1440"/>
            <w:shd w:fill="C6EFCE" w:val="clear"/>
          </w:tcPr>
          <w:p>
            <w:r>
              <w:rPr>
                <w:b/>
                <w:sz w:val="17"/>
              </w:rPr>
              <w:t>26,260</w:t>
            </w:r>
          </w:p>
        </w:tc>
        <w:tc>
          <w:tcPr>
            <w:tcW w:type="dxa" w:w="1440"/>
            <w:shd w:fill="C6EFCE" w:val="clear"/>
          </w:tcPr>
          <w:p>
            <w:r>
              <w:rPr>
                <w:sz w:val="17"/>
              </w:rPr>
              <w:t>27,778</w:t>
            </w:r>
          </w:p>
        </w:tc>
        <w:tc>
          <w:tcPr>
            <w:tcW w:type="dxa" w:w="1440"/>
            <w:shd w:fill="C6EFCE" w:val="clear"/>
          </w:tcPr>
          <w:p>
            <w:r>
              <w:rPr>
                <w:b/>
                <w:color w:val="008000"/>
                <w:sz w:val="17"/>
              </w:rPr>
              <w:t>+14.2%</w:t>
            </w:r>
          </w:p>
        </w:tc>
      </w:tr>
      <w:tr>
        <w:tc>
          <w:tcPr>
            <w:tcW w:type="dxa" w:w="1440"/>
            <w:shd w:fill="C6EFCE" w:val="clear"/>
          </w:tcPr>
          <w:p>
            <w:r>
              <w:rPr>
                <w:sz w:val="17"/>
              </w:rPr>
              <w:t>J+9  Moyenne</w:t>
            </w:r>
          </w:p>
        </w:tc>
        <w:tc>
          <w:tcPr>
            <w:tcW w:type="dxa" w:w="1440"/>
            <w:shd w:fill="C6EFCE" w:val="clear"/>
          </w:tcPr>
          <w:p>
            <w:r>
              <w:rPr>
                <w:sz w:val="17"/>
              </w:rPr>
              <w:t>2026-09-16</w:t>
            </w:r>
          </w:p>
        </w:tc>
        <w:tc>
          <w:tcPr>
            <w:tcW w:type="dxa" w:w="1440"/>
            <w:shd w:fill="C6EFCE" w:val="clear"/>
          </w:tcPr>
          <w:p>
            <w:r>
              <w:rPr>
                <w:sz w:val="17"/>
              </w:rPr>
              <w:t>25,010</w:t>
            </w:r>
          </w:p>
        </w:tc>
        <w:tc>
          <w:tcPr>
            <w:tcW w:type="dxa" w:w="1440"/>
            <w:shd w:fill="C6EFCE" w:val="clear"/>
          </w:tcPr>
          <w:p>
            <w:r>
              <w:rPr>
                <w:b/>
                <w:sz w:val="17"/>
              </w:rPr>
              <w:t>26,644</w:t>
            </w:r>
          </w:p>
        </w:tc>
        <w:tc>
          <w:tcPr>
            <w:tcW w:type="dxa" w:w="1440"/>
            <w:shd w:fill="C6EFCE" w:val="clear"/>
          </w:tcPr>
          <w:p>
            <w:r>
              <w:rPr>
                <w:sz w:val="17"/>
              </w:rPr>
              <w:t>28,278</w:t>
            </w:r>
          </w:p>
        </w:tc>
        <w:tc>
          <w:tcPr>
            <w:tcW w:type="dxa" w:w="1440"/>
            <w:shd w:fill="C6EFCE" w:val="clear"/>
          </w:tcPr>
          <w:p>
            <w:r>
              <w:rPr>
                <w:b/>
                <w:color w:val="008000"/>
                <w:sz w:val="17"/>
              </w:rPr>
              <w:t>+15.8%</w:t>
            </w:r>
          </w:p>
        </w:tc>
      </w:tr>
      <w:tr>
        <w:tc>
          <w:tcPr>
            <w:tcW w:type="dxa" w:w="1440"/>
            <w:shd w:fill="C6EFCE" w:val="clear"/>
          </w:tcPr>
          <w:p>
            <w:r>
              <w:rPr>
                <w:sz w:val="17"/>
              </w:rPr>
              <w:t>J+10  Moyenne</w:t>
            </w:r>
          </w:p>
        </w:tc>
        <w:tc>
          <w:tcPr>
            <w:tcW w:type="dxa" w:w="1440"/>
            <w:shd w:fill="C6EFCE" w:val="clear"/>
          </w:tcPr>
          <w:p>
            <w:r>
              <w:rPr>
                <w:sz w:val="17"/>
              </w:rPr>
              <w:t>2026-09-17</w:t>
            </w:r>
          </w:p>
        </w:tc>
        <w:tc>
          <w:tcPr>
            <w:tcW w:type="dxa" w:w="1440"/>
            <w:shd w:fill="C6EFCE" w:val="clear"/>
          </w:tcPr>
          <w:p>
            <w:r>
              <w:rPr>
                <w:sz w:val="17"/>
              </w:rPr>
              <w:t>25,279</w:t>
            </w:r>
          </w:p>
        </w:tc>
        <w:tc>
          <w:tcPr>
            <w:tcW w:type="dxa" w:w="1440"/>
            <w:shd w:fill="C6EFCE" w:val="clear"/>
          </w:tcPr>
          <w:p>
            <w:r>
              <w:rPr>
                <w:b/>
                <w:sz w:val="17"/>
              </w:rPr>
              <w:t>27,027</w:t>
            </w:r>
          </w:p>
        </w:tc>
        <w:tc>
          <w:tcPr>
            <w:tcW w:type="dxa" w:w="1440"/>
            <w:shd w:fill="C6EFCE" w:val="clear"/>
          </w:tcPr>
          <w:p>
            <w:r>
              <w:rPr>
                <w:sz w:val="17"/>
              </w:rPr>
              <w:t>28,774</w:t>
            </w:r>
          </w:p>
        </w:tc>
        <w:tc>
          <w:tcPr>
            <w:tcW w:type="dxa" w:w="1440"/>
            <w:shd w:fill="C6EFCE" w:val="clear"/>
          </w:tcPr>
          <w:p>
            <w:r>
              <w:rPr>
                <w:b/>
                <w:color w:val="008000"/>
                <w:sz w:val="17"/>
              </w:rPr>
              <w:t>+17.5%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NSBC s'établit à 568,90 milliards FCFA, ce qui positionne la banque parmi les valeurs à grande capitalisation de la BRVM, lui conférant un poids significatif dans les indices régionaux. Avec un BPA de 1 646 FCFA, chaque action détenue représente une part de bénéfice net substantielle. Le PER de 14,0x se situe au-dessus de la moyenne historique du marché (8-12x), indiquant que les investisseurs acceptent de payer une prime pour la qualité de la franchise bancaire et son potentiel de croissance. Le P/B de 2,44x confirme cette prime, le marché valorisant la banque à plus du double de sa valeur comptable, signe de confiance dans la création de valeur future. Enfin, l'EV/EBITDA de 21,5x, bien que supérieur au seuil exigeant de 15x, s'explique par la forte intensité capitalistique du secteur bancaire et la solidité des flux opérationnels générés.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NSBC a enregistré une progression spectaculaire de +61,46%, passant d'un plus bas de 13 810 FCFA à un plus haut de 24 020 FCFA, avec un cours actuel de 23 000 FCFA et une légère hausse de +0,20% lors de la dernière séance. La moyenne du cours sur la période (19 307 FCFA) est inférieure à la médiane (19 450 FCFA), suggérant une distribution légèrement asymétrique avec des valeurs extrêmes à la hausse. L'écart-type de 3 553 FCFA, pour un coefficient de variation de 18,4%, indique une dispersion modérée autour de la moyenne. Le kurtosis négatif de -1,277 (distribution platykurtique) révèle une absence de pics de prix extrêmes, tandis que le skewness de -0,365 confirme une asymétrie vers les rendements positifs. La volatilité annualisée de 37,8% classe NSBC comme un titre à forte volatilité, reflétant un momentum haussier puissant mais potentiellement instable.</w:t>
      </w:r>
    </w:p>
    <w:p>
      <w:pPr>
        <w:spacing w:after="120" w:line="276" w:lineRule="auto" w:before="240"/>
      </w:pPr>
      <w:r>
        <w:rPr>
          <w:b/>
          <w:color w:val="003366"/>
          <w:sz w:val="24"/>
        </w:rPr>
        <w:t>**PARTIE 2 : ANALYSE TECHNIQUE DÉTAILLÉE**</w:t>
      </w:r>
    </w:p>
    <w:p>
      <w:pPr>
        <w:spacing w:after="120" w:line="276" w:lineRule="auto"/>
      </w:pPr>
      <w:r>
        <w:t>**Moyennes Mobiles** : Le cours actuel de 23 000 FCFA se positionne au-dessus de la MM20 (23 090,75 FCFA) et nettement au-dessus de la MM50 (22 281,6 FCFA), confirmant une tendance haussière de moyen terme. La configuration des moyennes mobiles, avec la MM20 au-dessus de la MM50, valide la dynamique positive et justifie la décision d'achat, bien que le cours évolue très près de sa MM20, ce qui pourrait signaler une consolidation à court terme.</w:t>
      </w:r>
    </w:p>
    <w:p>
      <w:pPr>
        <w:spacing w:after="120" w:line="276" w:lineRule="auto"/>
      </w:pPr>
      <w:r>
        <w:t>**Bandes de Bollinger** : Le prix se situe à 23 000 FCFA, dans la partie médiane-haute du canal formé par les bornes (22 329,55 FCFA à 23 851,95 FCFA). La largeur des bandes indique une volatilité soutenue, mais le cours n'atteint pas les extrêmes, suggérant une phase de consolidation après la forte hausse. La décision neutre reflète un équilibre entre les forces acheteuses et vendeuses à court terme.</w:t>
      </w:r>
    </w:p>
    <w:p>
      <w:pPr>
        <w:spacing w:after="120" w:line="276" w:lineRule="auto"/>
      </w:pPr>
      <w:r>
        <w:t>**MACD** : La valeur du MACD (107,708) est inférieure à son signal (194,691), indiquant un momentum baissier à court terme malgré la tendance haussière de fond. Cette divergence négative suggère un essoufflement de la dynamique haussière et justifie la décision de vente, appelant à la prudence pour les traders à court terme.</w:t>
      </w:r>
    </w:p>
    <w:p>
      <w:pPr>
        <w:spacing w:after="120" w:line="276" w:lineRule="auto"/>
      </w:pPr>
      <w:r>
        <w:t>**RSI** : À 50,0, le RSI se situe exactement à la neutralité, indiquant un équilibre parfait entre les pressions acheteuses et vendeuses. Ce niveau n'indique ni surachat ni survente, laissant place à une évolution dans les deux sens. La décision neutre est cohérente avec la phase de consolidation actuelle.</w:t>
      </w:r>
    </w:p>
    <w:p>
      <w:pPr>
        <w:spacing w:after="120" w:line="276" w:lineRule="auto"/>
      </w:pPr>
      <w:r>
        <w:t>**Stochastique** : Le %K (70,423) est supérieur au %D (60,126), avec les deux indicateurs dans la zone positive mais sans atteindre la zone de surachat (&gt;80). Cette configuration suggère un momentum haussier modéré qui pourrait se poursuivre, justifiant une décision neutre avec un biais légèrement positif.</w:t>
      </w:r>
    </w:p>
    <w:p>
      <w:pPr>
        <w:spacing w:after="120" w:line="276" w:lineRule="auto"/>
      </w:pPr>
      <w:r>
        <w:t>**Conclusion technique** : La tendance de fond reste haussière, confirmée par les moyennes mobiles et la structure des prix. Cependant, les indicateurs de momentum (MACD, RSI, Stochastique) montrent des signaux mitigés, avec un MACD en divergence négative et un RSI neutre. Cette configuration suggère une phase de consolidation après la forte progression, avec un potentiel de reprise si le cours maintient ses supports clés.</w:t>
      </w:r>
    </w:p>
    <w:p>
      <w:pPr>
        <w:spacing w:after="120" w:line="276" w:lineRule="auto" w:before="240"/>
      </w:pPr>
      <w:r>
        <w:rPr>
          <w:b/>
          <w:color w:val="003366"/>
          <w:sz w:val="24"/>
        </w:rPr>
        <w:t>**PARTIE 3 : ANALYSE FONDAMENTALE (SECTION CRITIQUE)**</w:t>
      </w:r>
    </w:p>
    <w:p>
      <w:pPr>
        <w:spacing w:after="120" w:line="276" w:lineRule="auto"/>
      </w:pPr>
      <w:r>
        <w:t>En 2025, NSBC affiche des performances financières solides avec un Produit Net Bancaire de 112,928 milliards FCFA, en hausse de 15% par rapport à 2024 (97,8 milliards FCFA), et un résultat net de 40,712 milliards FCFA, en progression de 7%. La rentabilité des fonds propres (ROE) s'établit à 17,45%, un niveau excellent, tandis que le ROA atteint 1,32%. Le coefficient d'exploitation de 54,59% témoigne d'une banque efficace dans la gestion de ses charges. Cependant, le coût du risque s'est dégradé, passant de +0,6 milliard FCFA (reprise) en 2024 à -8,5 milliards FCFA (dotation) en 2025, reflétant une politique de provisionnement plus prudente. Les dépôts clientèle (2 242 milliards FCFA) couvrent largement les créances clientèle (1 818 milliards FCFA), démontrant une transformation saine. Le rapport du T1 2026 (daté du 31 mars 2026) révèle une accélération spectaculaire avec un PNB de 28,6 milliards FCFA (+28%) et un résultat net de 10,9 milliards FCFA (+53%), porté par l'activité titres. Sur cette base, on estime que l'exercice 2026 pourrait dépasser les 45 milliards FCFA de résultat net, confirmant la dynamique positive engagée depuis le rapport du S1 2025 (PNB de 50,5 milliards FCFA, +10,6%). Les fondamentaux de NSBC restent robustes, soutenus par une croissance soutenue et une stratégie claire, malgré un coût du risque à surveiller.</w:t>
      </w:r>
    </w:p>
    <w:p>
      <w:pPr>
        <w:spacing w:after="120" w:line="276" w:lineRule="auto" w:before="240"/>
      </w:pPr>
      <w:r>
        <w:rPr>
          <w:b/>
          <w:color w:val="003366"/>
          <w:sz w:val="24"/>
        </w:rPr>
        <w:t>**PARTIE 4 : CONCLUSION D'INVESTISSEMENT**</w:t>
      </w:r>
    </w:p>
    <w:p>
      <w:pPr>
        <w:spacing w:after="120" w:line="276" w:lineRule="auto"/>
      </w:pPr>
      <w:r>
        <w:t>La valorisation de NSBC (PER de 14,0x, P/B de 2,44x, EV/EBITDA de 21,5x) reflète une prime de croissance justifiée par la qualité de la franchise et les perspectives sectorielles, mais qui limite le potentiel de hausse à court terme. Le comportement du cours sur 100 jours (+61,46%) avec une volatilité élevée (37,8%) et une distribution platykurtique suggère un mouvement haussier puissant mais potentiellement fragile. Les signaux techniques sont mitigés : la tendance de fond reste haussière (MM), mais le MACD en divergence négative et le RSI neutre indiquent une consolidation nécessaire. Les fondamentaux sont excellents, avec un ROE de 17,45%, un coefficient d'exploitation de 54,59% et une croissance soutenue, renforcée par les estimations du T1 2026 (+53% de résultat net). Les prédictions IA (23 527 à 25 105 FCFA sur J+1 à J+10) confirment la poursuite de la tendance haussière à court terme. La convergence entre les fondamentaux solides, la dynamique de croissance et les prédictions IA, malgré des signaux techniques mitigés, conduit à une recommandation **ACHAT** avec un niveau de confiance **Moyen** et un risque global **Moyen**. L'horizon d'investissement optimal se situe à moyen terme (3-12 mois), permettant de bénéficier de la croissance des résultats tout en absorbant la volatilité à court terme.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364.93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1,534 titres</w:t>
            </w:r>
          </w:p>
        </w:tc>
        <w:tc>
          <w:tcPr>
            <w:tcW w:type="dxa" w:w="2268"/>
            <w:shd w:fill="FFF2CC" w:val="clear"/>
          </w:tcPr>
          <w:p>
            <w:r>
              <w:rPr>
                <w:b/>
                <w:color w:val="503200"/>
                <w:sz w:val="16"/>
              </w:rPr>
              <w:t xml:space="preserve">Cours actuel : </w:t>
            </w:r>
            <w:r>
              <w:rPr>
                <w:color w:val="000000"/>
                <w:sz w:val="17"/>
              </w:rPr>
              <w:t>16,535 FCFA</w:t>
            </w:r>
          </w:p>
          <w:p>
            <w:r>
              <w:rPr>
                <w:b/>
                <w:color w:val="503200"/>
                <w:sz w:val="16"/>
              </w:rPr>
              <w:t xml:space="preserve">Var. 100 jours : </w:t>
            </w:r>
            <w:r>
              <w:rPr>
                <w:b/>
                <w:color w:val="007800"/>
                <w:sz w:val="17"/>
              </w:rPr>
              <w:t>+34.43%</w:t>
            </w:r>
          </w:p>
          <w:p>
            <w:r>
              <w:rPr>
                <w:b/>
                <w:color w:val="503200"/>
                <w:sz w:val="16"/>
              </w:rPr>
              <w:t xml:space="preserve">Plus haut 100j : </w:t>
            </w:r>
            <w:r>
              <w:rPr>
                <w:color w:val="000000"/>
                <w:sz w:val="17"/>
              </w:rPr>
              <w:t>17,450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36.6%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13.80% (Moyenne) — μ=14,636 FCFA, σ=2,020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β=-0.0677 (Contre-cyclique) — Cov=-0.000002, Var(idx)=0.000036, ρ=-0.018,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1,534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σ_j=2.31%/j (Stable) — Vol. annualisée≈36.6%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2026-09-04</w:t>
            </w:r>
          </w:p>
        </w:tc>
        <w:tc>
          <w:tcPr>
            <w:tcW w:type="dxa" w:w="1440"/>
            <w:shd w:fill="FAFAFA" w:val="clear"/>
          </w:tcPr>
          <w:p>
            <w:r>
              <w:rPr>
                <w:sz w:val="17"/>
              </w:rPr>
              <w:t>15,858</w:t>
            </w:r>
          </w:p>
        </w:tc>
        <w:tc>
          <w:tcPr>
            <w:tcW w:type="dxa" w:w="1440"/>
            <w:shd w:fill="FAFAFA" w:val="clear"/>
          </w:tcPr>
          <w:p>
            <w:r>
              <w:rPr>
                <w:b/>
                <w:sz w:val="17"/>
              </w:rPr>
              <w:t>16,378</w:t>
            </w:r>
          </w:p>
        </w:tc>
        <w:tc>
          <w:tcPr>
            <w:tcW w:type="dxa" w:w="1440"/>
            <w:shd w:fill="FAFAFA" w:val="clear"/>
          </w:tcPr>
          <w:p>
            <w:r>
              <w:rPr>
                <w:sz w:val="17"/>
              </w:rPr>
              <w:t>16,898</w:t>
            </w:r>
          </w:p>
        </w:tc>
        <w:tc>
          <w:tcPr>
            <w:tcW w:type="dxa" w:w="1440"/>
            <w:shd w:fill="FAFAFA" w:val="clear"/>
          </w:tcPr>
          <w:p>
            <w:r>
              <w:rPr>
                <w:b/>
                <w:color w:val="C00000"/>
                <w:sz w:val="17"/>
              </w:rPr>
              <w:t>-1.0%</w:t>
            </w:r>
          </w:p>
        </w:tc>
      </w:tr>
      <w:tr>
        <w:tc>
          <w:tcPr>
            <w:tcW w:type="dxa" w:w="1440"/>
            <w:shd w:fill="FAFAFA" w:val="clear"/>
          </w:tcPr>
          <w:p>
            <w:r>
              <w:rPr>
                <w:sz w:val="17"/>
              </w:rPr>
              <w:t>J+2  Moyenne</w:t>
            </w:r>
          </w:p>
        </w:tc>
        <w:tc>
          <w:tcPr>
            <w:tcW w:type="dxa" w:w="1440"/>
            <w:shd w:fill="FAFAFA" w:val="clear"/>
          </w:tcPr>
          <w:p>
            <w:r>
              <w:rPr>
                <w:sz w:val="17"/>
              </w:rPr>
              <w:t>2026-09-07</w:t>
            </w:r>
          </w:p>
        </w:tc>
        <w:tc>
          <w:tcPr>
            <w:tcW w:type="dxa" w:w="1440"/>
            <w:shd w:fill="FAFAFA" w:val="clear"/>
          </w:tcPr>
          <w:p>
            <w:r>
              <w:rPr>
                <w:sz w:val="17"/>
              </w:rPr>
              <w:t>15,613</w:t>
            </w:r>
          </w:p>
        </w:tc>
        <w:tc>
          <w:tcPr>
            <w:tcW w:type="dxa" w:w="1440"/>
            <w:shd w:fill="FAFAFA" w:val="clear"/>
          </w:tcPr>
          <w:p>
            <w:r>
              <w:rPr>
                <w:b/>
                <w:sz w:val="17"/>
              </w:rPr>
              <w:t>16,347</w:t>
            </w:r>
          </w:p>
        </w:tc>
        <w:tc>
          <w:tcPr>
            <w:tcW w:type="dxa" w:w="1440"/>
            <w:shd w:fill="FAFAFA" w:val="clear"/>
          </w:tcPr>
          <w:p>
            <w:r>
              <w:rPr>
                <w:sz w:val="17"/>
              </w:rPr>
              <w:t>17,081</w:t>
            </w:r>
          </w:p>
        </w:tc>
        <w:tc>
          <w:tcPr>
            <w:tcW w:type="dxa" w:w="1440"/>
            <w:shd w:fill="FAFAFA" w:val="clear"/>
          </w:tcPr>
          <w:p>
            <w:r>
              <w:rPr>
                <w:b/>
                <w:color w:val="C00000"/>
                <w:sz w:val="17"/>
              </w:rPr>
              <w:t>-1.1%</w:t>
            </w:r>
          </w:p>
        </w:tc>
      </w:tr>
      <w:tr>
        <w:tc>
          <w:tcPr>
            <w:tcW w:type="dxa" w:w="1440"/>
            <w:shd w:fill="FAFAFA" w:val="clear"/>
          </w:tcPr>
          <w:p>
            <w:r>
              <w:rPr>
                <w:sz w:val="17"/>
              </w:rPr>
              <w:t>J+3  ⭐</w:t>
            </w:r>
          </w:p>
        </w:tc>
        <w:tc>
          <w:tcPr>
            <w:tcW w:type="dxa" w:w="1440"/>
            <w:shd w:fill="FAFAFA" w:val="clear"/>
          </w:tcPr>
          <w:p>
            <w:r>
              <w:rPr>
                <w:sz w:val="17"/>
              </w:rPr>
              <w:t>2026-09-08</w:t>
            </w:r>
          </w:p>
        </w:tc>
        <w:tc>
          <w:tcPr>
            <w:tcW w:type="dxa" w:w="1440"/>
            <w:shd w:fill="FAFAFA" w:val="clear"/>
          </w:tcPr>
          <w:p>
            <w:r>
              <w:rPr>
                <w:sz w:val="17"/>
              </w:rPr>
              <w:t>15,408</w:t>
            </w:r>
          </w:p>
        </w:tc>
        <w:tc>
          <w:tcPr>
            <w:tcW w:type="dxa" w:w="1440"/>
            <w:shd w:fill="FAFAFA" w:val="clear"/>
          </w:tcPr>
          <w:p>
            <w:r>
              <w:rPr>
                <w:b/>
                <w:sz w:val="17"/>
              </w:rPr>
              <w:t>16,305</w:t>
            </w:r>
          </w:p>
        </w:tc>
        <w:tc>
          <w:tcPr>
            <w:tcW w:type="dxa" w:w="1440"/>
            <w:shd w:fill="FAFAFA" w:val="clear"/>
          </w:tcPr>
          <w:p>
            <w:r>
              <w:rPr>
                <w:sz w:val="17"/>
              </w:rPr>
              <w:t>17,201</w:t>
            </w:r>
          </w:p>
        </w:tc>
        <w:tc>
          <w:tcPr>
            <w:tcW w:type="dxa" w:w="1440"/>
            <w:shd w:fill="FAFAFA" w:val="clear"/>
          </w:tcPr>
          <w:p>
            <w:r>
              <w:rPr>
                <w:b/>
                <w:color w:val="C00000"/>
                <w:sz w:val="17"/>
              </w:rPr>
              <w:t>-1.4%</w:t>
            </w:r>
          </w:p>
        </w:tc>
      </w:tr>
      <w:tr>
        <w:tc>
          <w:tcPr>
            <w:tcW w:type="dxa" w:w="1440"/>
            <w:shd w:fill="FAFAFA" w:val="clear"/>
          </w:tcPr>
          <w:p>
            <w:r>
              <w:rPr>
                <w:sz w:val="17"/>
              </w:rPr>
              <w:t>J+4  ⭐</w:t>
            </w:r>
          </w:p>
        </w:tc>
        <w:tc>
          <w:tcPr>
            <w:tcW w:type="dxa" w:w="1440"/>
            <w:shd w:fill="FAFAFA" w:val="clear"/>
          </w:tcPr>
          <w:p>
            <w:r>
              <w:rPr>
                <w:sz w:val="17"/>
              </w:rPr>
              <w:t>2026-09-09</w:t>
            </w:r>
          </w:p>
        </w:tc>
        <w:tc>
          <w:tcPr>
            <w:tcW w:type="dxa" w:w="1440"/>
            <w:shd w:fill="FAFAFA" w:val="clear"/>
          </w:tcPr>
          <w:p>
            <w:r>
              <w:rPr>
                <w:sz w:val="17"/>
              </w:rPr>
              <w:t>15,227</w:t>
            </w:r>
          </w:p>
        </w:tc>
        <w:tc>
          <w:tcPr>
            <w:tcW w:type="dxa" w:w="1440"/>
            <w:shd w:fill="FAFAFA" w:val="clear"/>
          </w:tcPr>
          <w:p>
            <w:r>
              <w:rPr>
                <w:b/>
                <w:sz w:val="17"/>
              </w:rPr>
              <w:t>16,259</w:t>
            </w:r>
          </w:p>
        </w:tc>
        <w:tc>
          <w:tcPr>
            <w:tcW w:type="dxa" w:w="1440"/>
            <w:shd w:fill="FAFAFA" w:val="clear"/>
          </w:tcPr>
          <w:p>
            <w:r>
              <w:rPr>
                <w:sz w:val="17"/>
              </w:rPr>
              <w:t>17,292</w:t>
            </w:r>
          </w:p>
        </w:tc>
        <w:tc>
          <w:tcPr>
            <w:tcW w:type="dxa" w:w="1440"/>
            <w:shd w:fill="FAFAFA" w:val="clear"/>
          </w:tcPr>
          <w:p>
            <w:r>
              <w:rPr>
                <w:b/>
                <w:color w:val="C00000"/>
                <w:sz w:val="17"/>
              </w:rPr>
              <w:t>-1.7%</w:t>
            </w:r>
          </w:p>
        </w:tc>
      </w:tr>
      <w:tr>
        <w:tc>
          <w:tcPr>
            <w:tcW w:type="dxa" w:w="1440"/>
            <w:shd w:fill="FAFAFA" w:val="clear"/>
          </w:tcPr>
          <w:p>
            <w:r>
              <w:rPr>
                <w:sz w:val="17"/>
              </w:rPr>
              <w:t>J+5  ⭐</w:t>
            </w:r>
          </w:p>
        </w:tc>
        <w:tc>
          <w:tcPr>
            <w:tcW w:type="dxa" w:w="1440"/>
            <w:shd w:fill="FAFAFA" w:val="clear"/>
          </w:tcPr>
          <w:p>
            <w:r>
              <w:rPr>
                <w:sz w:val="17"/>
              </w:rPr>
              <w:t>2026-09-10</w:t>
            </w:r>
          </w:p>
        </w:tc>
        <w:tc>
          <w:tcPr>
            <w:tcW w:type="dxa" w:w="1440"/>
            <w:shd w:fill="FAFAFA" w:val="clear"/>
          </w:tcPr>
          <w:p>
            <w:r>
              <w:rPr>
                <w:sz w:val="17"/>
              </w:rPr>
              <w:t>15,063</w:t>
            </w:r>
          </w:p>
        </w:tc>
        <w:tc>
          <w:tcPr>
            <w:tcW w:type="dxa" w:w="1440"/>
            <w:shd w:fill="FAFAFA" w:val="clear"/>
          </w:tcPr>
          <w:p>
            <w:r>
              <w:rPr>
                <w:b/>
                <w:sz w:val="17"/>
              </w:rPr>
              <w:t>16,214</w:t>
            </w:r>
          </w:p>
        </w:tc>
        <w:tc>
          <w:tcPr>
            <w:tcW w:type="dxa" w:w="1440"/>
            <w:shd w:fill="FAFAFA" w:val="clear"/>
          </w:tcPr>
          <w:p>
            <w:r>
              <w:rPr>
                <w:sz w:val="17"/>
              </w:rPr>
              <w:t>17,365</w:t>
            </w:r>
          </w:p>
        </w:tc>
        <w:tc>
          <w:tcPr>
            <w:tcW w:type="dxa" w:w="1440"/>
            <w:shd w:fill="FAFAFA" w:val="clear"/>
          </w:tcPr>
          <w:p>
            <w:r>
              <w:rPr>
                <w:b/>
                <w:color w:val="C00000"/>
                <w:sz w:val="17"/>
              </w:rPr>
              <w:t>-1.9%</w:t>
            </w:r>
          </w:p>
        </w:tc>
      </w:tr>
      <w:tr>
        <w:tc>
          <w:tcPr>
            <w:tcW w:type="dxa" w:w="1440"/>
            <w:shd w:fill="FFDCE0" w:val="clear"/>
          </w:tcPr>
          <w:p>
            <w:r>
              <w:rPr>
                <w:sz w:val="17"/>
              </w:rPr>
              <w:t>J+6  ⭐</w:t>
            </w:r>
          </w:p>
        </w:tc>
        <w:tc>
          <w:tcPr>
            <w:tcW w:type="dxa" w:w="1440"/>
            <w:shd w:fill="FFDCE0" w:val="clear"/>
          </w:tcPr>
          <w:p>
            <w:r>
              <w:rPr>
                <w:sz w:val="17"/>
              </w:rPr>
              <w:t>2026-09-11</w:t>
            </w:r>
          </w:p>
        </w:tc>
        <w:tc>
          <w:tcPr>
            <w:tcW w:type="dxa" w:w="1440"/>
            <w:shd w:fill="FFDCE0" w:val="clear"/>
          </w:tcPr>
          <w:p>
            <w:r>
              <w:rPr>
                <w:sz w:val="17"/>
              </w:rPr>
              <w:t>14,912</w:t>
            </w:r>
          </w:p>
        </w:tc>
        <w:tc>
          <w:tcPr>
            <w:tcW w:type="dxa" w:w="1440"/>
            <w:shd w:fill="FFDCE0" w:val="clear"/>
          </w:tcPr>
          <w:p>
            <w:r>
              <w:rPr>
                <w:b/>
                <w:sz w:val="17"/>
              </w:rPr>
              <w:t>16,169</w:t>
            </w:r>
          </w:p>
        </w:tc>
        <w:tc>
          <w:tcPr>
            <w:tcW w:type="dxa" w:w="1440"/>
            <w:shd w:fill="FFDCE0" w:val="clear"/>
          </w:tcPr>
          <w:p>
            <w:r>
              <w:rPr>
                <w:sz w:val="17"/>
              </w:rPr>
              <w:t>17,427</w:t>
            </w:r>
          </w:p>
        </w:tc>
        <w:tc>
          <w:tcPr>
            <w:tcW w:type="dxa" w:w="1440"/>
            <w:shd w:fill="FFDCE0" w:val="clear"/>
          </w:tcPr>
          <w:p>
            <w:r>
              <w:rPr>
                <w:b/>
                <w:color w:val="C00000"/>
                <w:sz w:val="17"/>
              </w:rPr>
              <w:t>-2.2%</w:t>
            </w:r>
          </w:p>
        </w:tc>
      </w:tr>
      <w:tr>
        <w:tc>
          <w:tcPr>
            <w:tcW w:type="dxa" w:w="1440"/>
            <w:shd w:fill="FFDCE0" w:val="clear"/>
          </w:tcPr>
          <w:p>
            <w:r>
              <w:rPr>
                <w:sz w:val="17"/>
              </w:rPr>
              <w:t>J+7  ⭐</w:t>
            </w:r>
          </w:p>
        </w:tc>
        <w:tc>
          <w:tcPr>
            <w:tcW w:type="dxa" w:w="1440"/>
            <w:shd w:fill="FFDCE0" w:val="clear"/>
          </w:tcPr>
          <w:p>
            <w:r>
              <w:rPr>
                <w:sz w:val="17"/>
              </w:rPr>
              <w:t>2026-09-14</w:t>
            </w:r>
          </w:p>
        </w:tc>
        <w:tc>
          <w:tcPr>
            <w:tcW w:type="dxa" w:w="1440"/>
            <w:shd w:fill="FFDCE0" w:val="clear"/>
          </w:tcPr>
          <w:p>
            <w:r>
              <w:rPr>
                <w:sz w:val="17"/>
              </w:rPr>
              <w:t>14,771</w:t>
            </w:r>
          </w:p>
        </w:tc>
        <w:tc>
          <w:tcPr>
            <w:tcW w:type="dxa" w:w="1440"/>
            <w:shd w:fill="FFDCE0" w:val="clear"/>
          </w:tcPr>
          <w:p>
            <w:r>
              <w:rPr>
                <w:b/>
                <w:sz w:val="17"/>
              </w:rPr>
              <w:t>16,126</w:t>
            </w:r>
          </w:p>
        </w:tc>
        <w:tc>
          <w:tcPr>
            <w:tcW w:type="dxa" w:w="1440"/>
            <w:shd w:fill="FFDCE0" w:val="clear"/>
          </w:tcPr>
          <w:p>
            <w:r>
              <w:rPr>
                <w:sz w:val="17"/>
              </w:rPr>
              <w:t>17,480</w:t>
            </w:r>
          </w:p>
        </w:tc>
        <w:tc>
          <w:tcPr>
            <w:tcW w:type="dxa" w:w="1440"/>
            <w:shd w:fill="FFDCE0" w:val="clear"/>
          </w:tcPr>
          <w:p>
            <w:r>
              <w:rPr>
                <w:b/>
                <w:color w:val="C00000"/>
                <w:sz w:val="17"/>
              </w:rPr>
              <w:t>-2.5%</w:t>
            </w:r>
          </w:p>
        </w:tc>
      </w:tr>
      <w:tr>
        <w:tc>
          <w:tcPr>
            <w:tcW w:type="dxa" w:w="1440"/>
            <w:shd w:fill="FFDCE0" w:val="clear"/>
          </w:tcPr>
          <w:p>
            <w:r>
              <w:rPr>
                <w:sz w:val="17"/>
              </w:rPr>
              <w:t>J+8  ⭐</w:t>
            </w:r>
          </w:p>
        </w:tc>
        <w:tc>
          <w:tcPr>
            <w:tcW w:type="dxa" w:w="1440"/>
            <w:shd w:fill="FFDCE0" w:val="clear"/>
          </w:tcPr>
          <w:p>
            <w:r>
              <w:rPr>
                <w:sz w:val="17"/>
              </w:rPr>
              <w:t>2026-09-15</w:t>
            </w:r>
          </w:p>
        </w:tc>
        <w:tc>
          <w:tcPr>
            <w:tcW w:type="dxa" w:w="1440"/>
            <w:shd w:fill="FFDCE0" w:val="clear"/>
          </w:tcPr>
          <w:p>
            <w:r>
              <w:rPr>
                <w:sz w:val="17"/>
              </w:rPr>
              <w:t>14,639</w:t>
            </w:r>
          </w:p>
        </w:tc>
        <w:tc>
          <w:tcPr>
            <w:tcW w:type="dxa" w:w="1440"/>
            <w:shd w:fill="FFDCE0" w:val="clear"/>
          </w:tcPr>
          <w:p>
            <w:r>
              <w:rPr>
                <w:b/>
                <w:sz w:val="17"/>
              </w:rPr>
              <w:t>16,083</w:t>
            </w:r>
          </w:p>
        </w:tc>
        <w:tc>
          <w:tcPr>
            <w:tcW w:type="dxa" w:w="1440"/>
            <w:shd w:fill="FFDCE0" w:val="clear"/>
          </w:tcPr>
          <w:p>
            <w:r>
              <w:rPr>
                <w:sz w:val="17"/>
              </w:rPr>
              <w:t>17,528</w:t>
            </w:r>
          </w:p>
        </w:tc>
        <w:tc>
          <w:tcPr>
            <w:tcW w:type="dxa" w:w="1440"/>
            <w:shd w:fill="FFDCE0" w:val="clear"/>
          </w:tcPr>
          <w:p>
            <w:r>
              <w:rPr>
                <w:b/>
                <w:color w:val="C00000"/>
                <w:sz w:val="17"/>
              </w:rPr>
              <w:t>-2.7%</w:t>
            </w:r>
          </w:p>
        </w:tc>
      </w:tr>
      <w:tr>
        <w:tc>
          <w:tcPr>
            <w:tcW w:type="dxa" w:w="1440"/>
            <w:shd w:fill="FFDCE0" w:val="clear"/>
          </w:tcPr>
          <w:p>
            <w:r>
              <w:rPr>
                <w:sz w:val="17"/>
              </w:rPr>
              <w:t>J+9  ⭐</w:t>
            </w:r>
          </w:p>
        </w:tc>
        <w:tc>
          <w:tcPr>
            <w:tcW w:type="dxa" w:w="1440"/>
            <w:shd w:fill="FFDCE0" w:val="clear"/>
          </w:tcPr>
          <w:p>
            <w:r>
              <w:rPr>
                <w:sz w:val="17"/>
              </w:rPr>
              <w:t>2026-09-16</w:t>
            </w:r>
          </w:p>
        </w:tc>
        <w:tc>
          <w:tcPr>
            <w:tcW w:type="dxa" w:w="1440"/>
            <w:shd w:fill="FFDCE0" w:val="clear"/>
          </w:tcPr>
          <w:p>
            <w:r>
              <w:rPr>
                <w:sz w:val="17"/>
              </w:rPr>
              <w:t>14,514</w:t>
            </w:r>
          </w:p>
        </w:tc>
        <w:tc>
          <w:tcPr>
            <w:tcW w:type="dxa" w:w="1440"/>
            <w:shd w:fill="FFDCE0" w:val="clear"/>
          </w:tcPr>
          <w:p>
            <w:r>
              <w:rPr>
                <w:b/>
                <w:sz w:val="17"/>
              </w:rPr>
              <w:t>16,042</w:t>
            </w:r>
          </w:p>
        </w:tc>
        <w:tc>
          <w:tcPr>
            <w:tcW w:type="dxa" w:w="1440"/>
            <w:shd w:fill="FFDCE0" w:val="clear"/>
          </w:tcPr>
          <w:p>
            <w:r>
              <w:rPr>
                <w:sz w:val="17"/>
              </w:rPr>
              <w:t>17,570</w:t>
            </w:r>
          </w:p>
        </w:tc>
        <w:tc>
          <w:tcPr>
            <w:tcW w:type="dxa" w:w="1440"/>
            <w:shd w:fill="FFDCE0" w:val="clear"/>
          </w:tcPr>
          <w:p>
            <w:r>
              <w:rPr>
                <w:b/>
                <w:color w:val="C00000"/>
                <w:sz w:val="17"/>
              </w:rPr>
              <w:t>-3.0%</w:t>
            </w:r>
          </w:p>
        </w:tc>
      </w:tr>
      <w:tr>
        <w:tc>
          <w:tcPr>
            <w:tcW w:type="dxa" w:w="1440"/>
            <w:shd w:fill="FFDCE0" w:val="clear"/>
          </w:tcPr>
          <w:p>
            <w:r>
              <w:rPr>
                <w:sz w:val="17"/>
              </w:rPr>
              <w:t>J+10  ⭐</w:t>
            </w:r>
          </w:p>
        </w:tc>
        <w:tc>
          <w:tcPr>
            <w:tcW w:type="dxa" w:w="1440"/>
            <w:shd w:fill="FFDCE0" w:val="clear"/>
          </w:tcPr>
          <w:p>
            <w:r>
              <w:rPr>
                <w:sz w:val="17"/>
              </w:rPr>
              <w:t>2026-09-17</w:t>
            </w:r>
          </w:p>
        </w:tc>
        <w:tc>
          <w:tcPr>
            <w:tcW w:type="dxa" w:w="1440"/>
            <w:shd w:fill="FFDCE0" w:val="clear"/>
          </w:tcPr>
          <w:p>
            <w:r>
              <w:rPr>
                <w:sz w:val="17"/>
              </w:rPr>
              <w:t>14,394</w:t>
            </w:r>
          </w:p>
        </w:tc>
        <w:tc>
          <w:tcPr>
            <w:tcW w:type="dxa" w:w="1440"/>
            <w:shd w:fill="FFDCE0" w:val="clear"/>
          </w:tcPr>
          <w:p>
            <w:r>
              <w:rPr>
                <w:b/>
                <w:sz w:val="17"/>
              </w:rPr>
              <w:t>16,001</w:t>
            </w:r>
          </w:p>
        </w:tc>
        <w:tc>
          <w:tcPr>
            <w:tcW w:type="dxa" w:w="1440"/>
            <w:shd w:fill="FFDCE0" w:val="clear"/>
          </w:tcPr>
          <w:p>
            <w:r>
              <w:rPr>
                <w:sz w:val="17"/>
              </w:rPr>
              <w:t>17,607</w:t>
            </w:r>
          </w:p>
        </w:tc>
        <w:tc>
          <w:tcPr>
            <w:tcW w:type="dxa" w:w="1440"/>
            <w:shd w:fill="FFDCE0" w:val="clear"/>
          </w:tcPr>
          <w:p>
            <w:r>
              <w:rPr>
                <w:b/>
                <w:color w:val="C00000"/>
                <w:sz w:val="17"/>
              </w:rPr>
              <w:t>-3.2%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NTLC s'établit à 364,93 milliards FCFA, ce qui en fait une valeur de première importance sur la BRVM, reflétant la confiance des investisseurs dans ce leader des biens de consommation. Avec un BPA de 835 FCFA, chaque action génère un bénéfice substantiel, justifiant un PER de 19,8x. Ce ratio est nettement supérieur à la moyenne historique de la BRVM (8-12x), indiquant que le marché intègre déjà des perspectives de croissance solides et une prime de qualité. Le P/B de 12,33x confirme cette prime, le marché valorisant fortement les actifs nets de l'entreprise, signe d'une rentabilité des capitaux propres exceptionnelle (ROE &gt;62%). Enfin, l'EV/EBITDA de 9,8x, dans la fourchette haute des standards, suggère que la valeur totale de l'entreprise (dette incluse) reste raisonnablement évaluée par rapport à sa capacité à générer du cash-flow opérationnel.</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NTLC a affiché une performance remarquable de +34,43%, bien que la dernière séance ait enregistré un léger repli de -0,99% à 16 535 FCFA. Le titre a évolué dans une fourchette large de 11 150 FCFA (plus bas) à 17 450 FCFA (plus haut), démontrant un fort appétit des investisseurs. La moyenne du cours (14 636 FCFA) est inférieure à la médiane (15 100 FCFA), indiquant une asymétrie positive sur la période récente, où les plus fortes progressions ont tiré le cours vers le haut. L'écart-type de 2 030 FCFA (CV de 13,9%) révèle une dispersion modérée des prix autour de la moyenne. Le kurtosis négatif (-1,552) signale une distribution "aplatie", avec peu de variations extrêmes, tandis que le skewness légèrement négatif (-0,264) suggère une distribution quasi symétrique. La volatilité annualisée de 36,6% classe NTLC comme un titre à forte volatilité, ce qui implique un risque de marché élevé mais aussi un potentiel de gains substantiels.</w:t>
      </w:r>
    </w:p>
    <w:p>
      <w:pPr>
        <w:spacing w:after="120" w:line="276" w:lineRule="auto" w:before="240"/>
      </w:pPr>
      <w:r>
        <w:rPr>
          <w:b/>
          <w:color w:val="003366"/>
          <w:sz w:val="24"/>
        </w:rPr>
        <w:t>**PARTIE 2 : ANALYSE TECHNIQUE DÉTAILLÉE**</w:t>
      </w:r>
    </w:p>
    <w:p>
      <w:pPr>
        <w:spacing w:after="120" w:line="276" w:lineRule="auto"/>
      </w:pPr>
      <w:r>
        <w:t>**Moyennes Mobiles** : Le cours actuel (16 535 FCFA) est inférieur à la MM20 (16 887 FCFA) mais supérieur à la MM50 (16 406 FCFA). Cette configuration indique un récent repli à court terme après une tendance haussière plus longue. Le signal global reste "Achat" car la MM50 agit comme un support solide, suggérant que la tendance de fond demeure positive.</w:t>
      </w:r>
    </w:p>
    <w:p>
      <w:pPr>
        <w:spacing w:after="120" w:line="276" w:lineRule="auto"/>
      </w:pPr>
      <w:r>
        <w:t>**Bandes de Bollinger** : Le prix se situe à l'intérieur des bandes, plus près de la borne inférieure (16 057 FCFA) que de la borne supérieure (17 716 FCFA). Cela traduit une pression vendeuse à court terme, mais sans sortie de canal. La décision "Neutre" est cohérente avec une phase de consolidation après une forte hausse, la volatilité n'étant pas excessive.</w:t>
      </w:r>
    </w:p>
    <w:p>
      <w:pPr>
        <w:spacing w:after="120" w:line="276" w:lineRule="auto"/>
      </w:pPr>
      <w:r>
        <w:t>**MACD** : La valeur du MACD (38,3) est inférieure à son signal (152,1), indiquant un momentum baissier à court terme. La décision "Vente" suggère que la dynamique haussière s'essouffle après la récente progression. Ce croisement baissier appelle à la prudence pour les traders à horizon court.</w:t>
      </w:r>
    </w:p>
    <w:p>
      <w:pPr>
        <w:spacing w:after="120" w:line="276" w:lineRule="auto"/>
      </w:pPr>
      <w:r>
        <w:t>**RSI** : À 37,3, le RSI se situe en zone neutre, proche de la zone de survente (30). Cela indique que le titre n'est ni suracheté ni survendu, mais que la pression vendeuse récente a réduit la dynamique haussière. La décision "Neutre" est appropriée, laissant place à une possible reprise si le RSI rebondit.</w:t>
      </w:r>
    </w:p>
    <w:p>
      <w:pPr>
        <w:spacing w:after="120" w:line="276" w:lineRule="auto"/>
      </w:pPr>
      <w:r>
        <w:t>**Stochastique** : Le %K (40,9) est légèrement au-dessus du %D (37,3), suggérant un début de croisement haussier potentiel. Cependant, les deux valeurs restent en zone neutre, indiquant une absence de signal fort. La décision "Neutre" reflète l'incertitude sur la direction future à très court terme.</w:t>
      </w:r>
    </w:p>
    <w:p>
      <w:pPr>
        <w:spacing w:after="120" w:line="276" w:lineRule="auto"/>
      </w:pPr>
      <w:r>
        <w:t>**Conclusion technique** : Les indicateurs sont mitigés. Les moyennes mobiles et le RSI suggèrent une consolidation, tandis que le MACD émet un signal de prudence. Le titre évolue dans un range après une forte progression, et un rebond est possible si les supports actuels tiennent. La tendance de fond reste haussière, mais un manque de catalyseur pourrait prolonger la phase de correction.</w:t>
      </w:r>
    </w:p>
    <w:p>
      <w:pPr>
        <w:spacing w:after="120" w:line="276" w:lineRule="auto" w:before="240"/>
      </w:pPr>
      <w:r>
        <w:rPr>
          <w:b/>
          <w:color w:val="003366"/>
          <w:sz w:val="24"/>
        </w:rPr>
        <w:t>**PARTIE 3 : ANALYSE FONDAMENTALE (SECTION CRITIQUE)**</w:t>
      </w:r>
    </w:p>
    <w:p>
      <w:pPr>
        <w:spacing w:after="120" w:line="276" w:lineRule="auto"/>
      </w:pPr>
      <w:r>
        <w:t>En 2025, selon les états financiers annuels, Nestlé Côte d'Ivoire a réalisé un chiffre d'affaires de 233,26 milliards FCFA, en hausse de 5,97% par rapport à 2024, et un résultat net de 18,43 milliards FCFA, en légère progression de 1,53%. La marge nette s'établit à 7,9%, stable, mais en deçà des 8,25% de 2024, en raison d'une hausse des charges financières (+25,8% à 8 milliards FCFA) et des impôts. Le ROE est exceptionnel à 62,3%, et le ROA à 9,7%, démontrant une utilisation très efficace des capitaux propres et des actifs. La structure financière montre une dépendance élevée aux dettes (84,4%), avec un ratio d'endettement de 135,8%, mais la solvabilité reste assurée (118,4%). Le BFR est positif à 22,6 milliards, avec des délais clients de 74 jours, un point de vigilance. Les rapports trimestriels de 2025 (S1 et 9 mois) montrent une pression sur les marges due à l'inflation des matières premières, mais le rapport du T1 2026, publié en mai 2026, révèle une performance spectaculaire : CA en hausse de 31% à 70,8 milliards et résultat net en progression de 37% à 7,5 milliards, avec une marge nette améliorée à 10,6%. Sur cette base, on estime que l'exercice 2026 pourrait dépasser les 250 milliards de CA et atteindre un résultat net supérieur à 22 milliards FCFA, confirmant la solidité du modèle et une reprise de la rentabilité.</w:t>
      </w:r>
    </w:p>
    <w:p>
      <w:pPr>
        <w:spacing w:after="120" w:line="276" w:lineRule="auto" w:before="240"/>
      </w:pPr>
      <w:r>
        <w:rPr>
          <w:b/>
          <w:color w:val="003366"/>
          <w:sz w:val="24"/>
        </w:rPr>
        <w:t>**PARTIE 4 : CONCLUSION D'INVESTISSEMENT**</w:t>
      </w:r>
    </w:p>
    <w:p>
      <w:pPr>
        <w:spacing w:after="120" w:line="276" w:lineRule="auto"/>
      </w:pPr>
      <w:r>
        <w:t>La valorisation de NTLC est exigeante (PER 19,8x, P/B 12,3x), mais justifiée par un ROE exceptionnel et des perspectives de croissance solides. Le comportement du cours sur 100 jours est très positif (+34,4%), avec une volatilité élevée qui offre des opportunités mais aussi des risques. Les signaux techniques sont mitigés à court terme (MACD vendeur, RSI neutre), mais la tendance de fond reste haussière. Les fondamentaux sont robustes, avec une croissance du CA et du résultat net en 2025, et une accélération marquée au T1 2026 (+31% CA, +37% RN), laissant présager une année 2026 record. Les prédictions IA pour les 10 prochains jours indiquent une légère baisse du cours vers 16 214 FCFA, suggérant une consolidation à court terme. Cette trajectoire contredit légèrement les signaux fondamentaux positifs, mais s'aligne avec les indicateurs techniques de prudence. En synthèse, la convergence entre des fondamentaux excellents et une dynamique commerciale forte plaide pour une recommandation **ACHAT** avec un niveau de confiance **Moyen** et un risque global **Moyen**. L'horizon d'investissement optimal est le **moyen terme (3-12 mois)** pour capitaliser sur la reprise de rentabilité et la croissance soutenue, en surveillant l'évolution des coûts des matières premières et la gestion du BFR.</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198.56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5,042 titres</w:t>
            </w:r>
          </w:p>
        </w:tc>
        <w:tc>
          <w:tcPr>
            <w:tcW w:type="dxa" w:w="2268"/>
            <w:shd w:fill="FFF2CC" w:val="clear"/>
          </w:tcPr>
          <w:p>
            <w:r>
              <w:rPr>
                <w:b/>
                <w:color w:val="503200"/>
                <w:sz w:val="16"/>
              </w:rPr>
              <w:t xml:space="preserve">Cours actuel : </w:t>
            </w:r>
            <w:r>
              <w:rPr>
                <w:color w:val="000000"/>
                <w:sz w:val="17"/>
              </w:rPr>
              <w:t>2,920 FCFA</w:t>
            </w:r>
          </w:p>
          <w:p>
            <w:r>
              <w:rPr>
                <w:b/>
                <w:color w:val="503200"/>
                <w:sz w:val="16"/>
              </w:rPr>
              <w:t xml:space="preserve">Var. 100 jours : </w:t>
            </w:r>
            <w:r>
              <w:rPr>
                <w:b/>
                <w:color w:val="007800"/>
                <w:sz w:val="17"/>
              </w:rPr>
              <w:t>+4.29%</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2,610 FCFA</w:t>
            </w:r>
          </w:p>
          <w:p>
            <w:r>
              <w:rPr>
                <w:b/>
                <w:color w:val="503200"/>
                <w:sz w:val="16"/>
              </w:rPr>
              <w:t xml:space="preserve">Volatilité ann. : </w:t>
            </w:r>
            <w:r>
              <w:rPr>
                <w:color w:val="000000"/>
                <w:sz w:val="17"/>
              </w:rPr>
              <w:t>31.4%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3.03% (Faible) — μ=2,821 FCFA, σ=86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β=0.2900 (Défensif) — Cov=0.000011, Var(idx)=0.000036, ρ=0.091,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5,042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σ_j=1.98%/j (Stable) — Vol. annualisée≈31.4%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2026-09-04</w:t>
            </w:r>
          </w:p>
        </w:tc>
        <w:tc>
          <w:tcPr>
            <w:tcW w:type="dxa" w:w="1440"/>
            <w:shd w:fill="FAFAFA" w:val="clear"/>
          </w:tcPr>
          <w:p>
            <w:r>
              <w:rPr>
                <w:sz w:val="17"/>
              </w:rPr>
              <w:t>2,777</w:t>
            </w:r>
          </w:p>
        </w:tc>
        <w:tc>
          <w:tcPr>
            <w:tcW w:type="dxa" w:w="1440"/>
            <w:shd w:fill="FAFAFA" w:val="clear"/>
          </w:tcPr>
          <w:p>
            <w:r>
              <w:rPr>
                <w:b/>
                <w:sz w:val="17"/>
              </w:rPr>
              <w:t>2,872</w:t>
            </w:r>
          </w:p>
        </w:tc>
        <w:tc>
          <w:tcPr>
            <w:tcW w:type="dxa" w:w="1440"/>
            <w:shd w:fill="FAFAFA" w:val="clear"/>
          </w:tcPr>
          <w:p>
            <w:r>
              <w:rPr>
                <w:sz w:val="17"/>
              </w:rPr>
              <w:t>2,967</w:t>
            </w:r>
          </w:p>
        </w:tc>
        <w:tc>
          <w:tcPr>
            <w:tcW w:type="dxa" w:w="1440"/>
            <w:shd w:fill="FAFAFA" w:val="clear"/>
          </w:tcPr>
          <w:p>
            <w:r>
              <w:rPr>
                <w:b/>
                <w:color w:val="C00000"/>
                <w:sz w:val="17"/>
              </w:rPr>
              <w:t>-1.6%</w:t>
            </w:r>
          </w:p>
        </w:tc>
      </w:tr>
      <w:tr>
        <w:tc>
          <w:tcPr>
            <w:tcW w:type="dxa" w:w="1440"/>
            <w:shd w:fill="FAFAFA" w:val="clear"/>
          </w:tcPr>
          <w:p>
            <w:r>
              <w:rPr>
                <w:sz w:val="17"/>
              </w:rPr>
              <w:t>J+2  Moyenne</w:t>
            </w:r>
          </w:p>
        </w:tc>
        <w:tc>
          <w:tcPr>
            <w:tcW w:type="dxa" w:w="1440"/>
            <w:shd w:fill="FAFAFA" w:val="clear"/>
          </w:tcPr>
          <w:p>
            <w:r>
              <w:rPr>
                <w:sz w:val="17"/>
              </w:rPr>
              <w:t>2026-09-07</w:t>
            </w:r>
          </w:p>
        </w:tc>
        <w:tc>
          <w:tcPr>
            <w:tcW w:type="dxa" w:w="1440"/>
            <w:shd w:fill="FAFAFA" w:val="clear"/>
          </w:tcPr>
          <w:p>
            <w:r>
              <w:rPr>
                <w:sz w:val="17"/>
              </w:rPr>
              <w:t>2,737</w:t>
            </w:r>
          </w:p>
        </w:tc>
        <w:tc>
          <w:tcPr>
            <w:tcW w:type="dxa" w:w="1440"/>
            <w:shd w:fill="FAFAFA" w:val="clear"/>
          </w:tcPr>
          <w:p>
            <w:r>
              <w:rPr>
                <w:b/>
                <w:sz w:val="17"/>
              </w:rPr>
              <w:t>2,871</w:t>
            </w:r>
          </w:p>
        </w:tc>
        <w:tc>
          <w:tcPr>
            <w:tcW w:type="dxa" w:w="1440"/>
            <w:shd w:fill="FAFAFA" w:val="clear"/>
          </w:tcPr>
          <w:p>
            <w:r>
              <w:rPr>
                <w:sz w:val="17"/>
              </w:rPr>
              <w:t>3,005</w:t>
            </w:r>
          </w:p>
        </w:tc>
        <w:tc>
          <w:tcPr>
            <w:tcW w:type="dxa" w:w="1440"/>
            <w:shd w:fill="FAFAFA" w:val="clear"/>
          </w:tcPr>
          <w:p>
            <w:r>
              <w:rPr>
                <w:b/>
                <w:color w:val="C00000"/>
                <w:sz w:val="17"/>
              </w:rPr>
              <w:t>-1.7%</w:t>
            </w:r>
          </w:p>
        </w:tc>
      </w:tr>
      <w:tr>
        <w:tc>
          <w:tcPr>
            <w:tcW w:type="dxa" w:w="1440"/>
            <w:shd w:fill="FAFAFA" w:val="clear"/>
          </w:tcPr>
          <w:p>
            <w:r>
              <w:rPr>
                <w:sz w:val="17"/>
              </w:rPr>
              <w:t>J+3  Moyenne</w:t>
            </w:r>
          </w:p>
        </w:tc>
        <w:tc>
          <w:tcPr>
            <w:tcW w:type="dxa" w:w="1440"/>
            <w:shd w:fill="FAFAFA" w:val="clear"/>
          </w:tcPr>
          <w:p>
            <w:r>
              <w:rPr>
                <w:sz w:val="17"/>
              </w:rPr>
              <w:t>2026-09-08</w:t>
            </w:r>
          </w:p>
        </w:tc>
        <w:tc>
          <w:tcPr>
            <w:tcW w:type="dxa" w:w="1440"/>
            <w:shd w:fill="FAFAFA" w:val="clear"/>
          </w:tcPr>
          <w:p>
            <w:r>
              <w:rPr>
                <w:sz w:val="17"/>
              </w:rPr>
              <w:t>2,702</w:t>
            </w:r>
          </w:p>
        </w:tc>
        <w:tc>
          <w:tcPr>
            <w:tcW w:type="dxa" w:w="1440"/>
            <w:shd w:fill="FAFAFA" w:val="clear"/>
          </w:tcPr>
          <w:p>
            <w:r>
              <w:rPr>
                <w:b/>
                <w:sz w:val="17"/>
              </w:rPr>
              <w:t>2,865</w:t>
            </w:r>
          </w:p>
        </w:tc>
        <w:tc>
          <w:tcPr>
            <w:tcW w:type="dxa" w:w="1440"/>
            <w:shd w:fill="FAFAFA" w:val="clear"/>
          </w:tcPr>
          <w:p>
            <w:r>
              <w:rPr>
                <w:sz w:val="17"/>
              </w:rPr>
              <w:t>3,029</w:t>
            </w:r>
          </w:p>
        </w:tc>
        <w:tc>
          <w:tcPr>
            <w:tcW w:type="dxa" w:w="1440"/>
            <w:shd w:fill="FAFAFA" w:val="clear"/>
          </w:tcPr>
          <w:p>
            <w:r>
              <w:rPr>
                <w:b/>
                <w:color w:val="C00000"/>
                <w:sz w:val="17"/>
              </w:rPr>
              <w:t>-1.9%</w:t>
            </w:r>
          </w:p>
        </w:tc>
      </w:tr>
      <w:tr>
        <w:tc>
          <w:tcPr>
            <w:tcW w:type="dxa" w:w="1440"/>
            <w:shd w:fill="FFDCE0" w:val="clear"/>
          </w:tcPr>
          <w:p>
            <w:r>
              <w:rPr>
                <w:sz w:val="17"/>
              </w:rPr>
              <w:t>J+4  ⭐</w:t>
            </w:r>
          </w:p>
        </w:tc>
        <w:tc>
          <w:tcPr>
            <w:tcW w:type="dxa" w:w="1440"/>
            <w:shd w:fill="FFDCE0" w:val="clear"/>
          </w:tcPr>
          <w:p>
            <w:r>
              <w:rPr>
                <w:sz w:val="17"/>
              </w:rPr>
              <w:t>2026-09-09</w:t>
            </w:r>
          </w:p>
        </w:tc>
        <w:tc>
          <w:tcPr>
            <w:tcW w:type="dxa" w:w="1440"/>
            <w:shd w:fill="FFDCE0" w:val="clear"/>
          </w:tcPr>
          <w:p>
            <w:r>
              <w:rPr>
                <w:sz w:val="17"/>
              </w:rPr>
              <w:t>2,671</w:t>
            </w:r>
          </w:p>
        </w:tc>
        <w:tc>
          <w:tcPr>
            <w:tcW w:type="dxa" w:w="1440"/>
            <w:shd w:fill="FFDCE0" w:val="clear"/>
          </w:tcPr>
          <w:p>
            <w:r>
              <w:rPr>
                <w:b/>
                <w:sz w:val="17"/>
              </w:rPr>
              <w:t>2,860</w:t>
            </w:r>
          </w:p>
        </w:tc>
        <w:tc>
          <w:tcPr>
            <w:tcW w:type="dxa" w:w="1440"/>
            <w:shd w:fill="FFDCE0" w:val="clear"/>
          </w:tcPr>
          <w:p>
            <w:r>
              <w:rPr>
                <w:sz w:val="17"/>
              </w:rPr>
              <w:t>3,049</w:t>
            </w:r>
          </w:p>
        </w:tc>
        <w:tc>
          <w:tcPr>
            <w:tcW w:type="dxa" w:w="1440"/>
            <w:shd w:fill="FFDCE0" w:val="clear"/>
          </w:tcPr>
          <w:p>
            <w:r>
              <w:rPr>
                <w:b/>
                <w:color w:val="C00000"/>
                <w:sz w:val="17"/>
              </w:rPr>
              <w:t>-2.1%</w:t>
            </w:r>
          </w:p>
        </w:tc>
      </w:tr>
      <w:tr>
        <w:tc>
          <w:tcPr>
            <w:tcW w:type="dxa" w:w="1440"/>
            <w:shd w:fill="FFDCE0" w:val="clear"/>
          </w:tcPr>
          <w:p>
            <w:r>
              <w:rPr>
                <w:sz w:val="17"/>
              </w:rPr>
              <w:t>J+5  ⭐</w:t>
            </w:r>
          </w:p>
        </w:tc>
        <w:tc>
          <w:tcPr>
            <w:tcW w:type="dxa" w:w="1440"/>
            <w:shd w:fill="FFDCE0" w:val="clear"/>
          </w:tcPr>
          <w:p>
            <w:r>
              <w:rPr>
                <w:sz w:val="17"/>
              </w:rPr>
              <w:t>2026-09-10</w:t>
            </w:r>
          </w:p>
        </w:tc>
        <w:tc>
          <w:tcPr>
            <w:tcW w:type="dxa" w:w="1440"/>
            <w:shd w:fill="FFDCE0" w:val="clear"/>
          </w:tcPr>
          <w:p>
            <w:r>
              <w:rPr>
                <w:sz w:val="17"/>
              </w:rPr>
              <w:t>2,644</w:t>
            </w:r>
          </w:p>
        </w:tc>
        <w:tc>
          <w:tcPr>
            <w:tcW w:type="dxa" w:w="1440"/>
            <w:shd w:fill="FFDCE0" w:val="clear"/>
          </w:tcPr>
          <w:p>
            <w:r>
              <w:rPr>
                <w:b/>
                <w:sz w:val="17"/>
              </w:rPr>
              <w:t>2,854</w:t>
            </w:r>
          </w:p>
        </w:tc>
        <w:tc>
          <w:tcPr>
            <w:tcW w:type="dxa" w:w="1440"/>
            <w:shd w:fill="FFDCE0" w:val="clear"/>
          </w:tcPr>
          <w:p>
            <w:r>
              <w:rPr>
                <w:sz w:val="17"/>
              </w:rPr>
              <w:t>3,065</w:t>
            </w:r>
          </w:p>
        </w:tc>
        <w:tc>
          <w:tcPr>
            <w:tcW w:type="dxa" w:w="1440"/>
            <w:shd w:fill="FFDCE0" w:val="clear"/>
          </w:tcPr>
          <w:p>
            <w:r>
              <w:rPr>
                <w:b/>
                <w:color w:val="C00000"/>
                <w:sz w:val="17"/>
              </w:rPr>
              <w:t>-2.3%</w:t>
            </w:r>
          </w:p>
        </w:tc>
      </w:tr>
      <w:tr>
        <w:tc>
          <w:tcPr>
            <w:tcW w:type="dxa" w:w="1440"/>
            <w:shd w:fill="FFDCE0" w:val="clear"/>
          </w:tcPr>
          <w:p>
            <w:r>
              <w:rPr>
                <w:sz w:val="17"/>
              </w:rPr>
              <w:t>J+6  ⭐</w:t>
            </w:r>
          </w:p>
        </w:tc>
        <w:tc>
          <w:tcPr>
            <w:tcW w:type="dxa" w:w="1440"/>
            <w:shd w:fill="FFDCE0" w:val="clear"/>
          </w:tcPr>
          <w:p>
            <w:r>
              <w:rPr>
                <w:sz w:val="17"/>
              </w:rPr>
              <w:t>2026-09-11</w:t>
            </w:r>
          </w:p>
        </w:tc>
        <w:tc>
          <w:tcPr>
            <w:tcW w:type="dxa" w:w="1440"/>
            <w:shd w:fill="FFDCE0" w:val="clear"/>
          </w:tcPr>
          <w:p>
            <w:r>
              <w:rPr>
                <w:sz w:val="17"/>
              </w:rPr>
              <w:t>2,618</w:t>
            </w:r>
          </w:p>
        </w:tc>
        <w:tc>
          <w:tcPr>
            <w:tcW w:type="dxa" w:w="1440"/>
            <w:shd w:fill="FFDCE0" w:val="clear"/>
          </w:tcPr>
          <w:p>
            <w:r>
              <w:rPr>
                <w:b/>
                <w:sz w:val="17"/>
              </w:rPr>
              <w:t>2,849</w:t>
            </w:r>
          </w:p>
        </w:tc>
        <w:tc>
          <w:tcPr>
            <w:tcW w:type="dxa" w:w="1440"/>
            <w:shd w:fill="FFDCE0" w:val="clear"/>
          </w:tcPr>
          <w:p>
            <w:r>
              <w:rPr>
                <w:sz w:val="17"/>
              </w:rPr>
              <w:t>3,079</w:t>
            </w:r>
          </w:p>
        </w:tc>
        <w:tc>
          <w:tcPr>
            <w:tcW w:type="dxa" w:w="1440"/>
            <w:shd w:fill="FFDCE0" w:val="clear"/>
          </w:tcPr>
          <w:p>
            <w:r>
              <w:rPr>
                <w:b/>
                <w:color w:val="C00000"/>
                <w:sz w:val="17"/>
              </w:rPr>
              <w:t>-2.4%</w:t>
            </w:r>
          </w:p>
        </w:tc>
      </w:tr>
      <w:tr>
        <w:tc>
          <w:tcPr>
            <w:tcW w:type="dxa" w:w="1440"/>
            <w:shd w:fill="FFDCE0" w:val="clear"/>
          </w:tcPr>
          <w:p>
            <w:r>
              <w:rPr>
                <w:sz w:val="17"/>
              </w:rPr>
              <w:t>J+7  ⭐</w:t>
            </w:r>
          </w:p>
        </w:tc>
        <w:tc>
          <w:tcPr>
            <w:tcW w:type="dxa" w:w="1440"/>
            <w:shd w:fill="FFDCE0" w:val="clear"/>
          </w:tcPr>
          <w:p>
            <w:r>
              <w:rPr>
                <w:sz w:val="17"/>
              </w:rPr>
              <w:t>2026-09-14</w:t>
            </w:r>
          </w:p>
        </w:tc>
        <w:tc>
          <w:tcPr>
            <w:tcW w:type="dxa" w:w="1440"/>
            <w:shd w:fill="FFDCE0" w:val="clear"/>
          </w:tcPr>
          <w:p>
            <w:r>
              <w:rPr>
                <w:sz w:val="17"/>
              </w:rPr>
              <w:t>2,595</w:t>
            </w:r>
          </w:p>
        </w:tc>
        <w:tc>
          <w:tcPr>
            <w:tcW w:type="dxa" w:w="1440"/>
            <w:shd w:fill="FFDCE0" w:val="clear"/>
          </w:tcPr>
          <w:p>
            <w:r>
              <w:rPr>
                <w:b/>
                <w:sz w:val="17"/>
              </w:rPr>
              <w:t>2,843</w:t>
            </w:r>
          </w:p>
        </w:tc>
        <w:tc>
          <w:tcPr>
            <w:tcW w:type="dxa" w:w="1440"/>
            <w:shd w:fill="FFDCE0" w:val="clear"/>
          </w:tcPr>
          <w:p>
            <w:r>
              <w:rPr>
                <w:sz w:val="17"/>
              </w:rPr>
              <w:t>3,092</w:t>
            </w:r>
          </w:p>
        </w:tc>
        <w:tc>
          <w:tcPr>
            <w:tcW w:type="dxa" w:w="1440"/>
            <w:shd w:fill="FFDCE0" w:val="clear"/>
          </w:tcPr>
          <w:p>
            <w:r>
              <w:rPr>
                <w:b/>
                <w:color w:val="C00000"/>
                <w:sz w:val="17"/>
              </w:rPr>
              <w:t>-2.6%</w:t>
            </w:r>
          </w:p>
        </w:tc>
      </w:tr>
      <w:tr>
        <w:tc>
          <w:tcPr>
            <w:tcW w:type="dxa" w:w="1440"/>
            <w:shd w:fill="FFDCE0" w:val="clear"/>
          </w:tcPr>
          <w:p>
            <w:r>
              <w:rPr>
                <w:sz w:val="17"/>
              </w:rPr>
              <w:t>J+8  ⭐</w:t>
            </w:r>
          </w:p>
        </w:tc>
        <w:tc>
          <w:tcPr>
            <w:tcW w:type="dxa" w:w="1440"/>
            <w:shd w:fill="FFDCE0" w:val="clear"/>
          </w:tcPr>
          <w:p>
            <w:r>
              <w:rPr>
                <w:sz w:val="17"/>
              </w:rPr>
              <w:t>2026-09-15</w:t>
            </w:r>
          </w:p>
        </w:tc>
        <w:tc>
          <w:tcPr>
            <w:tcW w:type="dxa" w:w="1440"/>
            <w:shd w:fill="FFDCE0" w:val="clear"/>
          </w:tcPr>
          <w:p>
            <w:r>
              <w:rPr>
                <w:sz w:val="17"/>
              </w:rPr>
              <w:t>2,573</w:t>
            </w:r>
          </w:p>
        </w:tc>
        <w:tc>
          <w:tcPr>
            <w:tcW w:type="dxa" w:w="1440"/>
            <w:shd w:fill="FFDCE0" w:val="clear"/>
          </w:tcPr>
          <w:p>
            <w:r>
              <w:rPr>
                <w:b/>
                <w:sz w:val="17"/>
              </w:rPr>
              <w:t>2,838</w:t>
            </w:r>
          </w:p>
        </w:tc>
        <w:tc>
          <w:tcPr>
            <w:tcW w:type="dxa" w:w="1440"/>
            <w:shd w:fill="FFDCE0" w:val="clear"/>
          </w:tcPr>
          <w:p>
            <w:r>
              <w:rPr>
                <w:sz w:val="17"/>
              </w:rPr>
              <w:t>3,103</w:t>
            </w:r>
          </w:p>
        </w:tc>
        <w:tc>
          <w:tcPr>
            <w:tcW w:type="dxa" w:w="1440"/>
            <w:shd w:fill="FFDCE0" w:val="clear"/>
          </w:tcPr>
          <w:p>
            <w:r>
              <w:rPr>
                <w:b/>
                <w:color w:val="C00000"/>
                <w:sz w:val="17"/>
              </w:rPr>
              <w:t>-2.8%</w:t>
            </w:r>
          </w:p>
        </w:tc>
      </w:tr>
      <w:tr>
        <w:tc>
          <w:tcPr>
            <w:tcW w:type="dxa" w:w="1440"/>
            <w:shd w:fill="FFDCE0" w:val="clear"/>
          </w:tcPr>
          <w:p>
            <w:r>
              <w:rPr>
                <w:sz w:val="17"/>
              </w:rPr>
              <w:t>J+9  ⭐</w:t>
            </w:r>
          </w:p>
        </w:tc>
        <w:tc>
          <w:tcPr>
            <w:tcW w:type="dxa" w:w="1440"/>
            <w:shd w:fill="FFDCE0" w:val="clear"/>
          </w:tcPr>
          <w:p>
            <w:r>
              <w:rPr>
                <w:sz w:val="17"/>
              </w:rPr>
              <w:t>2026-09-16</w:t>
            </w:r>
          </w:p>
        </w:tc>
        <w:tc>
          <w:tcPr>
            <w:tcW w:type="dxa" w:w="1440"/>
            <w:shd w:fill="FFDCE0" w:val="clear"/>
          </w:tcPr>
          <w:p>
            <w:r>
              <w:rPr>
                <w:sz w:val="17"/>
              </w:rPr>
              <w:t>2,552</w:t>
            </w:r>
          </w:p>
        </w:tc>
        <w:tc>
          <w:tcPr>
            <w:tcW w:type="dxa" w:w="1440"/>
            <w:shd w:fill="FFDCE0" w:val="clear"/>
          </w:tcPr>
          <w:p>
            <w:r>
              <w:rPr>
                <w:b/>
                <w:sz w:val="17"/>
              </w:rPr>
              <w:t>2,832</w:t>
            </w:r>
          </w:p>
        </w:tc>
        <w:tc>
          <w:tcPr>
            <w:tcW w:type="dxa" w:w="1440"/>
            <w:shd w:fill="FFDCE0" w:val="clear"/>
          </w:tcPr>
          <w:p>
            <w:r>
              <w:rPr>
                <w:sz w:val="17"/>
              </w:rPr>
              <w:t>3,113</w:t>
            </w:r>
          </w:p>
        </w:tc>
        <w:tc>
          <w:tcPr>
            <w:tcW w:type="dxa" w:w="1440"/>
            <w:shd w:fill="FFDCE0" w:val="clear"/>
          </w:tcPr>
          <w:p>
            <w:r>
              <w:rPr>
                <w:b/>
                <w:color w:val="C00000"/>
                <w:sz w:val="17"/>
              </w:rPr>
              <w:t>-3.0%</w:t>
            </w:r>
          </w:p>
        </w:tc>
      </w:tr>
      <w:tr>
        <w:tc>
          <w:tcPr>
            <w:tcW w:type="dxa" w:w="1440"/>
            <w:shd w:fill="FFDCE0" w:val="clear"/>
          </w:tcPr>
          <w:p>
            <w:r>
              <w:rPr>
                <w:sz w:val="17"/>
              </w:rPr>
              <w:t>J+10  ⭐</w:t>
            </w:r>
          </w:p>
        </w:tc>
        <w:tc>
          <w:tcPr>
            <w:tcW w:type="dxa" w:w="1440"/>
            <w:shd w:fill="FFDCE0" w:val="clear"/>
          </w:tcPr>
          <w:p>
            <w:r>
              <w:rPr>
                <w:sz w:val="17"/>
              </w:rPr>
              <w:t>2026-09-17</w:t>
            </w:r>
          </w:p>
        </w:tc>
        <w:tc>
          <w:tcPr>
            <w:tcW w:type="dxa" w:w="1440"/>
            <w:shd w:fill="FFDCE0" w:val="clear"/>
          </w:tcPr>
          <w:p>
            <w:r>
              <w:rPr>
                <w:sz w:val="17"/>
              </w:rPr>
              <w:t>2,532</w:t>
            </w:r>
          </w:p>
        </w:tc>
        <w:tc>
          <w:tcPr>
            <w:tcW w:type="dxa" w:w="1440"/>
            <w:shd w:fill="FFDCE0" w:val="clear"/>
          </w:tcPr>
          <w:p>
            <w:r>
              <w:rPr>
                <w:b/>
                <w:sz w:val="17"/>
              </w:rPr>
              <w:t>2,827</w:t>
            </w:r>
          </w:p>
        </w:tc>
        <w:tc>
          <w:tcPr>
            <w:tcW w:type="dxa" w:w="1440"/>
            <w:shd w:fill="FFDCE0" w:val="clear"/>
          </w:tcPr>
          <w:p>
            <w:r>
              <w:rPr>
                <w:sz w:val="17"/>
              </w:rPr>
              <w:t>3,122</w:t>
            </w:r>
          </w:p>
        </w:tc>
        <w:tc>
          <w:tcPr>
            <w:tcW w:type="dxa" w:w="1440"/>
            <w:shd w:fill="FFDCE0" w:val="clear"/>
          </w:tcPr>
          <w:p>
            <w:r>
              <w:rPr>
                <w:b/>
                <w:color w:val="C00000"/>
                <w:sz w:val="17"/>
              </w:rPr>
              <w:t>-3.2%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l'ONTBF s'établit à 198,56 milliards FCFA, un niveau qui la positionne parmi les valeurs moyennes à grandes capitalisations de la BRVM, lui conférant une liquidité et une visibilité appréciables. Avec un BPA de 234 FCFA, chaque action détenue représente un bénéfice comptable de ce montant. Le PER de 12,5x se situe légèrement au-dessus de la moyenne historique de la BRVM (8-12x), indiquant que le marché accorde une prime de valorisation, probablement justifiée par le rendement de dividende élevé et la position dominante de l'opérateur. Le P/B de 3,45x confirme cette prime, le marché valorisant l'actif net à plus de trois fois sa valeur comptable, signe d'une anticipation de croissance future ou de rendements supérieurs. Enfin, l'EV/EBITDA de 5,2x est raisonnable et suggère que la valeur d'entreprise n'est pas excessive par rapport à sa capacité opérationnelle de génération de cash, offrant une certaine marge de sécurité.</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ONTBF affiche une progression de +4,29%, avec une accélération notable lors de la dernière séance (+4,10%), portant le cours à 2 920 FCFA. Le titre a évolué dans un range de 2 610 à 3 070 FCFA, démontrant une volatilité intra-période significative. La moyenne (2 821 FCFA) et la médiane (2 802 FCFA) sont très proches, indiquant une distribution des prix relativement symétrique, ce que confirme le skewness de 0,215. L'écart-type de 86 FCFA (CV=3,0%) révèle une dispersion très faible autour de la moyenne, suggérant une stabilité relative du cours malgré les fluctuations. Le kurtosis de -0,198 (mésokurtique) indique l'absence de queues de distribution épaisses, donc un risque de mouvements extrêmes limité. La volatilité annualisée de 31,4% classe le titre dans la catégorie élevée (&gt;30%), ce qui implique des fluctuations annuelles potentielles importantes, un point d'attention pour les investisseurs prudents.</w:t>
      </w:r>
    </w:p>
    <w:p>
      <w:pPr>
        <w:spacing w:after="120" w:line="276" w:lineRule="auto" w:before="240"/>
      </w:pPr>
      <w:r>
        <w:rPr>
          <w:b/>
          <w:color w:val="003366"/>
          <w:sz w:val="24"/>
        </w:rPr>
        <w:t>**PARTIE 2 : ANALYSE TECHNIQUE DÉTAILLÉE**</w:t>
      </w:r>
    </w:p>
    <w:p>
      <w:pPr>
        <w:spacing w:after="120" w:line="276" w:lineRule="auto"/>
      </w:pPr>
      <w:r>
        <w:t>**Moyennes Mobiles** : Le cours actuel (2 920 FCFA) se positionne au-dessus de la MM20 (2 895 FCFA) et de la MM50 (2 836,1 FCFA), confirmant une dynamique haussière à court et moyen terme. La configuration des MM, avec la MM20 au-dessus de la MM50, valide la tendance positive et justifie la décision d'achat.</w:t>
      </w:r>
    </w:p>
    <w:p>
      <w:pPr>
        <w:spacing w:after="120" w:line="276" w:lineRule="auto"/>
      </w:pPr>
      <w:r>
        <w:t>**Bandes de Bollinger** : Le prix se situe à 2 920 FCFA, entre la borne supérieure (2 989,2 FCFA) et la borne inférieure (2 800,8 FCFA). La position proche de la borne supérieure indique une pression acheteuse soutenue, mais sans franchissement, ce qui suggère une possible consolidation. La décision est neutre, le marché n'étant pas encore en situation de surachat extrême.</w:t>
      </w:r>
    </w:p>
    <w:p>
      <w:pPr>
        <w:spacing w:after="120" w:line="276" w:lineRule="auto"/>
      </w:pPr>
      <w:r>
        <w:t>**MACD** : La valeur du MACD (10,469) est inférieure à son signal (16,303), indiquant un momentum baissier à court terme malgré la tendance haussière des prix. Cette divergence négative suggère un essoufflement potentiel de la dynamique actuelle, justifiant la décision de vente.</w:t>
      </w:r>
    </w:p>
    <w:p>
      <w:pPr>
        <w:spacing w:after="120" w:line="276" w:lineRule="auto"/>
      </w:pPr>
      <w:r>
        <w:t>**RSI** : À 63,043, le RSI se situe en zone neutre (30-70), sans signal de surachat ni de survente. Cette valeur indique une pression acheteuse modérée, laissant de la marge avant d'atteindre des niveaux extrêmes. La décision neutre est cohérente avec une poursuite possible de la tendance.</w:t>
      </w:r>
    </w:p>
    <w:p>
      <w:pPr>
        <w:spacing w:after="120" w:line="276" w:lineRule="auto"/>
      </w:pPr>
      <w:r>
        <w:t>**Stochastique** : Le %K (82,759) est nettement supérieur au %D (51,724), signalant une force haussière récente. Cependant, le niveau élevé du %K approche la zone de surachat (&gt;80), ce qui pourrait précéder un retournement baissier. La décision de vente reflète cette prudence face à une possible correction technique.</w:t>
      </w:r>
    </w:p>
    <w:p>
      <w:pPr>
        <w:spacing w:after="120" w:line="276" w:lineRule="auto"/>
      </w:pPr>
      <w:r>
        <w:t>**Conclusion technique** : Les indicateurs sont mitigés. Les moyennes mobiles soutiennent une tendance haussière, mais le MACD et le Stochastique suggèrent un essoufflement à court terme. Le RSI neutre et les bandes de Bollinger sans franchissement indiquent une consolidation possible. La prudence est de mise, avec un risque de correction après la récente hausse de +4,10%.</w:t>
      </w:r>
    </w:p>
    <w:p>
      <w:pPr>
        <w:spacing w:after="120" w:line="276" w:lineRule="auto" w:before="240"/>
      </w:pPr>
      <w:r>
        <w:rPr>
          <w:b/>
          <w:color w:val="003366"/>
          <w:sz w:val="24"/>
        </w:rPr>
        <w:t>**PARTIE 3 : ANALYSE FONDAMENTALE (SECTION CRITIQUE)**</w:t>
      </w:r>
    </w:p>
    <w:p>
      <w:pPr>
        <w:spacing w:after="120" w:line="276" w:lineRule="auto"/>
      </w:pPr>
      <w:r>
        <w:t>En 2025, l'ONTBF (opérateur télécoms, secteur entreprise) a réalisé un chiffre d'affaires de 146,18 milliards FCFA, en hausse de 3,1% par rapport à 2024 (141,84 milliards FCFA). Le résultat net s'établit à 15,89 milliards FCFA, en forte baisse de 26% par rapport à 2024 (21,47 milliards FCFA), reflétant une dégradation de la rentabilité. Le ROE reste excellent à 27,6% (résultat net/capitaux propres de 57,54 milliards FCFA), et le ROA est de 4,9%. La marge nette est de 10,9%, en recul par rapport aux 15,1% de 2024. Le BFR est négatif à -94,1 milliards FCFA, un signe positif pour la trésorerie, et le délai fournisseurs est élevé (130,7 jours), favorable à l'entreprise. Le délai clients est de 30,8 jours, raisonnable. L'endettement est élevé (ratio d'endettement de 187%), mais la capacité de remboursement est de 2,29 ans. Le rapport du T1 2025 (mars 2025) montre un CA de 36,17 milliards FCFA (+4,3%) mais un résultat net en chute de 29% à 3,75 milliards FCFA. Le rapport S1 2025 (juin 2025) confirme la tendance avec un CA de 73,81 milliards FCFA (+4%) et un résultat net de 7,67 milliards FCFA (-17,8%). Le rapport 9 mois 2025 (septembre 2025) indique un CA de 109,59 milliards FCFA (+3,1%) et un résultat net de 11 milliards FCFA (-17,2%). Le rapport T1 2026 (mars 2026) montre une amélioration avec un CA de 37,1 milliards FCFA (+2,7%) et un résultat net de 3,58 milliards FCFA, avec une marge EBITDA maintenue à 41,3%. On estime que l'exercice 2026 devrait voir une stabilisation de la rentabilité, avec un résultat net annuel potentiellement autour de 16-17 milliards FCFA si la tendance du T1 2026 se confirme. La solidité financière reste correcte, mais la pression sur les marges et l'endettement croissant sont des points de vigilance.</w:t>
      </w:r>
    </w:p>
    <w:p>
      <w:pPr>
        <w:spacing w:after="120" w:line="276" w:lineRule="auto" w:before="240"/>
      </w:pPr>
      <w:r>
        <w:rPr>
          <w:b/>
          <w:color w:val="003366"/>
          <w:sz w:val="24"/>
        </w:rPr>
        <w:t>**PARTIE 4 : CONCLUSION D'INVESTISSEMENT**</w:t>
      </w:r>
    </w:p>
    <w:p>
      <w:pPr>
        <w:spacing w:after="120" w:line="276" w:lineRule="auto"/>
      </w:pPr>
      <w:r>
        <w:t>La valorisation de l'ONTBF (PER 12,5x, P/B 3,45x, EV/EBITDA 5,2x) est modérée, avec une prime justifiée par un rendement de dividende élevé. Le comportement du cours sur 100 jours est positif (+4,29%) avec une volatilité élevée (31,4%), mais les statistiques (kurtosis, skewness) montrent une distribution stable sans risque extrême. Les signaux techniques sont mitigés : les moyennes mobiles sont haussières, mais le MACD et le Stochastique suggèrent un essoufflement, et le RSI est neutre. Les fondamentaux montrent une croissance du CA mais une baisse marquée du résultat net en 2025 (-26%), avec une amélioration potentielle en 2026 selon les rapports trimestriels. Les prédictions IA (2 872 à 2 854 FCFA sur 10 jours) indiquent une légère baisse, contredisant la hausse récente et suggérant une consolidation. La convergence entre la valorisation raisonnable, la solidité financière relative et les perspectives de stabilisation plaide pour une recommandation **CONSERVER**. Le niveau de confiance est **Moyen**, le risque global est **Moyen** (pression sur les marges, contexte sécuritaire, endettement). L'horizon d'investissement optimal est le **moyen terme (3-12 mois)**, en attendant une confirmation de l'amélioration de la rentabilité.</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3187.11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2,518 titres</w:t>
            </w:r>
          </w:p>
        </w:tc>
        <w:tc>
          <w:tcPr>
            <w:tcW w:type="dxa" w:w="2268"/>
            <w:shd w:fill="FFF2CC" w:val="clear"/>
          </w:tcPr>
          <w:p>
            <w:r>
              <w:rPr>
                <w:b/>
                <w:color w:val="503200"/>
                <w:sz w:val="16"/>
              </w:rPr>
              <w:t xml:space="preserve">Cours actuel : </w:t>
            </w:r>
            <w:r>
              <w:rPr>
                <w:color w:val="000000"/>
                <w:sz w:val="17"/>
              </w:rPr>
              <w:t>21,155 FCFA</w:t>
            </w:r>
          </w:p>
          <w:p>
            <w:r>
              <w:rPr>
                <w:b/>
                <w:color w:val="503200"/>
                <w:sz w:val="16"/>
              </w:rPr>
              <w:t xml:space="preserve">Var. 100 jours : </w:t>
            </w:r>
            <w:r>
              <w:rPr>
                <w:b/>
                <w:color w:val="007800"/>
                <w:sz w:val="17"/>
              </w:rPr>
              <w:t>+40.10%</w:t>
            </w:r>
          </w:p>
          <w:p>
            <w:r>
              <w:rPr>
                <w:b/>
                <w:color w:val="503200"/>
                <w:sz w:val="16"/>
              </w:rPr>
              <w:t xml:space="preserve">Plus haut 100j : </w:t>
            </w:r>
            <w:r>
              <w:rPr>
                <w:color w:val="000000"/>
                <w:sz w:val="17"/>
              </w:rPr>
              <w:t>21,500 FCFA</w:t>
            </w:r>
          </w:p>
          <w:p>
            <w:r>
              <w:rPr>
                <w:b/>
                <w:color w:val="503200"/>
                <w:sz w:val="16"/>
              </w:rPr>
              <w:t xml:space="preserve">Plus bas 100j : </w:t>
            </w:r>
            <w:r>
              <w:rPr>
                <w:color w:val="000000"/>
                <w:sz w:val="17"/>
              </w:rPr>
              <w:t>14,650 FCFA</w:t>
            </w:r>
          </w:p>
          <w:p>
            <w:r>
              <w:rPr>
                <w:b/>
                <w:color w:val="503200"/>
                <w:sz w:val="16"/>
              </w:rPr>
              <w:t xml:space="preserve">Volatilité ann. : </w:t>
            </w:r>
            <w:r>
              <w:rPr>
                <w:color w:val="000000"/>
                <w:sz w:val="17"/>
              </w:rPr>
              <w:t>29.2%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24.1/100 → Moyen</w:t>
      </w:r>
    </w:p>
    <w:p>
      <w:pPr>
        <w:spacing w:before="40" w:after="80"/>
      </w:pPr>
      <w:r>
        <w:rPr>
          <w:rFonts w:ascii="Courier New" w:hAnsi="Courier New"/>
          <w:color w:val="825A00"/>
          <w:sz w:val="18"/>
        </w:rPr>
        <w:t>████░░░░░░░░░░░░░░░░  24.1/100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10.56% (Moyenne) — μ=16,567 FCFA, σ=1,750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β=1.2583 (Agressif) — Cov=0.000046, Var(idx)=0.000036, ρ=0.411,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2,518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σ_j=1.84%/j (Stable) — Vol. annualisée≈29.2%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319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2026-09-04</w:t>
            </w:r>
          </w:p>
        </w:tc>
        <w:tc>
          <w:tcPr>
            <w:tcW w:type="dxa" w:w="1440"/>
            <w:shd w:fill="FAFAFA" w:val="clear"/>
          </w:tcPr>
          <w:p>
            <w:r>
              <w:rPr>
                <w:sz w:val="17"/>
              </w:rPr>
              <w:t>20,184</w:t>
            </w:r>
          </w:p>
        </w:tc>
        <w:tc>
          <w:tcPr>
            <w:tcW w:type="dxa" w:w="1440"/>
            <w:shd w:fill="FAFAFA" w:val="clear"/>
          </w:tcPr>
          <w:p>
            <w:r>
              <w:rPr>
                <w:b/>
                <w:sz w:val="17"/>
              </w:rPr>
              <w:t>20,752</w:t>
            </w:r>
          </w:p>
        </w:tc>
        <w:tc>
          <w:tcPr>
            <w:tcW w:type="dxa" w:w="1440"/>
            <w:shd w:fill="FAFAFA" w:val="clear"/>
          </w:tcPr>
          <w:p>
            <w:r>
              <w:rPr>
                <w:sz w:val="17"/>
              </w:rPr>
              <w:t>21,319</w:t>
            </w:r>
          </w:p>
        </w:tc>
        <w:tc>
          <w:tcPr>
            <w:tcW w:type="dxa" w:w="1440"/>
            <w:shd w:fill="FAFAFA" w:val="clear"/>
          </w:tcPr>
          <w:p>
            <w:r>
              <w:rPr>
                <w:b/>
                <w:color w:val="C00000"/>
                <w:sz w:val="17"/>
              </w:rPr>
              <w:t>-1.9%</w:t>
            </w:r>
          </w:p>
        </w:tc>
      </w:tr>
      <w:tr>
        <w:tc>
          <w:tcPr>
            <w:tcW w:type="dxa" w:w="1440"/>
            <w:shd w:fill="FFDCE0" w:val="clear"/>
          </w:tcPr>
          <w:p>
            <w:r>
              <w:rPr>
                <w:sz w:val="17"/>
              </w:rPr>
              <w:t>J+2  Moyenne</w:t>
            </w:r>
          </w:p>
        </w:tc>
        <w:tc>
          <w:tcPr>
            <w:tcW w:type="dxa" w:w="1440"/>
            <w:shd w:fill="FFDCE0" w:val="clear"/>
          </w:tcPr>
          <w:p>
            <w:r>
              <w:rPr>
                <w:sz w:val="17"/>
              </w:rPr>
              <w:t>2026-09-07</w:t>
            </w:r>
          </w:p>
        </w:tc>
        <w:tc>
          <w:tcPr>
            <w:tcW w:type="dxa" w:w="1440"/>
            <w:shd w:fill="FFDCE0" w:val="clear"/>
          </w:tcPr>
          <w:p>
            <w:r>
              <w:rPr>
                <w:sz w:val="17"/>
              </w:rPr>
              <w:t>19,828</w:t>
            </w:r>
          </w:p>
        </w:tc>
        <w:tc>
          <w:tcPr>
            <w:tcW w:type="dxa" w:w="1440"/>
            <w:shd w:fill="FFDCE0" w:val="clear"/>
          </w:tcPr>
          <w:p>
            <w:r>
              <w:rPr>
                <w:b/>
                <w:sz w:val="17"/>
              </w:rPr>
              <w:t>20,626</w:t>
            </w:r>
          </w:p>
        </w:tc>
        <w:tc>
          <w:tcPr>
            <w:tcW w:type="dxa" w:w="1440"/>
            <w:shd w:fill="FFDCE0" w:val="clear"/>
          </w:tcPr>
          <w:p>
            <w:r>
              <w:rPr>
                <w:sz w:val="17"/>
              </w:rPr>
              <w:t>21,423</w:t>
            </w:r>
          </w:p>
        </w:tc>
        <w:tc>
          <w:tcPr>
            <w:tcW w:type="dxa" w:w="1440"/>
            <w:shd w:fill="FFDCE0" w:val="clear"/>
          </w:tcPr>
          <w:p>
            <w:r>
              <w:rPr>
                <w:b/>
                <w:color w:val="C00000"/>
                <w:sz w:val="17"/>
              </w:rPr>
              <w:t>-2.5%</w:t>
            </w:r>
          </w:p>
        </w:tc>
      </w:tr>
      <w:tr>
        <w:tc>
          <w:tcPr>
            <w:tcW w:type="dxa" w:w="1440"/>
            <w:shd w:fill="FFDCE0" w:val="clear"/>
          </w:tcPr>
          <w:p>
            <w:r>
              <w:rPr>
                <w:sz w:val="17"/>
              </w:rPr>
              <w:t>J+3  ⭐</w:t>
            </w:r>
          </w:p>
        </w:tc>
        <w:tc>
          <w:tcPr>
            <w:tcW w:type="dxa" w:w="1440"/>
            <w:shd w:fill="FFDCE0" w:val="clear"/>
          </w:tcPr>
          <w:p>
            <w:r>
              <w:rPr>
                <w:sz w:val="17"/>
              </w:rPr>
              <w:t>2026-09-08</w:t>
            </w:r>
          </w:p>
        </w:tc>
        <w:tc>
          <w:tcPr>
            <w:tcW w:type="dxa" w:w="1440"/>
            <w:shd w:fill="FFDCE0" w:val="clear"/>
          </w:tcPr>
          <w:p>
            <w:r>
              <w:rPr>
                <w:sz w:val="17"/>
              </w:rPr>
              <w:t>19,514</w:t>
            </w:r>
          </w:p>
        </w:tc>
        <w:tc>
          <w:tcPr>
            <w:tcW w:type="dxa" w:w="1440"/>
            <w:shd w:fill="FFDCE0" w:val="clear"/>
          </w:tcPr>
          <w:p>
            <w:r>
              <w:rPr>
                <w:b/>
                <w:sz w:val="17"/>
              </w:rPr>
              <w:t>20,484</w:t>
            </w:r>
          </w:p>
        </w:tc>
        <w:tc>
          <w:tcPr>
            <w:tcW w:type="dxa" w:w="1440"/>
            <w:shd w:fill="FFDCE0" w:val="clear"/>
          </w:tcPr>
          <w:p>
            <w:r>
              <w:rPr>
                <w:sz w:val="17"/>
              </w:rPr>
              <w:t>21,454</w:t>
            </w:r>
          </w:p>
        </w:tc>
        <w:tc>
          <w:tcPr>
            <w:tcW w:type="dxa" w:w="1440"/>
            <w:shd w:fill="FFDCE0" w:val="clear"/>
          </w:tcPr>
          <w:p>
            <w:r>
              <w:rPr>
                <w:b/>
                <w:color w:val="C00000"/>
                <w:sz w:val="17"/>
              </w:rPr>
              <w:t>-3.2%</w:t>
            </w:r>
          </w:p>
        </w:tc>
      </w:tr>
      <w:tr>
        <w:tc>
          <w:tcPr>
            <w:tcW w:type="dxa" w:w="1440"/>
            <w:shd w:fill="FFDCE0" w:val="clear"/>
          </w:tcPr>
          <w:p>
            <w:r>
              <w:rPr>
                <w:sz w:val="17"/>
              </w:rPr>
              <w:t>J+4  ⭐</w:t>
            </w:r>
          </w:p>
        </w:tc>
        <w:tc>
          <w:tcPr>
            <w:tcW w:type="dxa" w:w="1440"/>
            <w:shd w:fill="FFDCE0" w:val="clear"/>
          </w:tcPr>
          <w:p>
            <w:r>
              <w:rPr>
                <w:sz w:val="17"/>
              </w:rPr>
              <w:t>2026-09-09</w:t>
            </w:r>
          </w:p>
        </w:tc>
        <w:tc>
          <w:tcPr>
            <w:tcW w:type="dxa" w:w="1440"/>
            <w:shd w:fill="FFDCE0" w:val="clear"/>
          </w:tcPr>
          <w:p>
            <w:r>
              <w:rPr>
                <w:sz w:val="17"/>
              </w:rPr>
              <w:t>19,232</w:t>
            </w:r>
          </w:p>
        </w:tc>
        <w:tc>
          <w:tcPr>
            <w:tcW w:type="dxa" w:w="1440"/>
            <w:shd w:fill="FFDCE0" w:val="clear"/>
          </w:tcPr>
          <w:p>
            <w:r>
              <w:rPr>
                <w:b/>
                <w:sz w:val="17"/>
              </w:rPr>
              <w:t>20,345</w:t>
            </w:r>
          </w:p>
        </w:tc>
        <w:tc>
          <w:tcPr>
            <w:tcW w:type="dxa" w:w="1440"/>
            <w:shd w:fill="FFDCE0" w:val="clear"/>
          </w:tcPr>
          <w:p>
            <w:r>
              <w:rPr>
                <w:sz w:val="17"/>
              </w:rPr>
              <w:t>21,457</w:t>
            </w:r>
          </w:p>
        </w:tc>
        <w:tc>
          <w:tcPr>
            <w:tcW w:type="dxa" w:w="1440"/>
            <w:shd w:fill="FFDCE0" w:val="clear"/>
          </w:tcPr>
          <w:p>
            <w:r>
              <w:rPr>
                <w:b/>
                <w:color w:val="C00000"/>
                <w:sz w:val="17"/>
              </w:rPr>
              <w:t>-3.8%</w:t>
            </w:r>
          </w:p>
        </w:tc>
      </w:tr>
      <w:tr>
        <w:tc>
          <w:tcPr>
            <w:tcW w:type="dxa" w:w="1440"/>
            <w:shd w:fill="FFDCE0" w:val="clear"/>
          </w:tcPr>
          <w:p>
            <w:r>
              <w:rPr>
                <w:sz w:val="17"/>
              </w:rPr>
              <w:t>J+5  ⭐</w:t>
            </w:r>
          </w:p>
        </w:tc>
        <w:tc>
          <w:tcPr>
            <w:tcW w:type="dxa" w:w="1440"/>
            <w:shd w:fill="FFDCE0" w:val="clear"/>
          </w:tcPr>
          <w:p>
            <w:r>
              <w:rPr>
                <w:sz w:val="17"/>
              </w:rPr>
              <w:t>2026-09-10</w:t>
            </w:r>
          </w:p>
        </w:tc>
        <w:tc>
          <w:tcPr>
            <w:tcW w:type="dxa" w:w="1440"/>
            <w:shd w:fill="FFDCE0" w:val="clear"/>
          </w:tcPr>
          <w:p>
            <w:r>
              <w:rPr>
                <w:sz w:val="17"/>
              </w:rPr>
              <w:t>18,975</w:t>
            </w:r>
          </w:p>
        </w:tc>
        <w:tc>
          <w:tcPr>
            <w:tcW w:type="dxa" w:w="1440"/>
            <w:shd w:fill="FFDCE0" w:val="clear"/>
          </w:tcPr>
          <w:p>
            <w:r>
              <w:rPr>
                <w:b/>
                <w:sz w:val="17"/>
              </w:rPr>
              <w:t>20,211</w:t>
            </w:r>
          </w:p>
        </w:tc>
        <w:tc>
          <w:tcPr>
            <w:tcW w:type="dxa" w:w="1440"/>
            <w:shd w:fill="FFDCE0" w:val="clear"/>
          </w:tcPr>
          <w:p>
            <w:r>
              <w:rPr>
                <w:sz w:val="17"/>
              </w:rPr>
              <w:t>21,446</w:t>
            </w:r>
          </w:p>
        </w:tc>
        <w:tc>
          <w:tcPr>
            <w:tcW w:type="dxa" w:w="1440"/>
            <w:shd w:fill="FFDCE0" w:val="clear"/>
          </w:tcPr>
          <w:p>
            <w:r>
              <w:rPr>
                <w:b/>
                <w:color w:val="C00000"/>
                <w:sz w:val="17"/>
              </w:rPr>
              <w:t>-4.5%</w:t>
            </w:r>
          </w:p>
        </w:tc>
      </w:tr>
      <w:tr>
        <w:tc>
          <w:tcPr>
            <w:tcW w:type="dxa" w:w="1440"/>
            <w:shd w:fill="FFDCE0" w:val="clear"/>
          </w:tcPr>
          <w:p>
            <w:r>
              <w:rPr>
                <w:sz w:val="17"/>
              </w:rPr>
              <w:t>J+6  ⭐</w:t>
            </w:r>
          </w:p>
        </w:tc>
        <w:tc>
          <w:tcPr>
            <w:tcW w:type="dxa" w:w="1440"/>
            <w:shd w:fill="FFDCE0" w:val="clear"/>
          </w:tcPr>
          <w:p>
            <w:r>
              <w:rPr>
                <w:sz w:val="17"/>
              </w:rPr>
              <w:t>2026-09-11</w:t>
            </w:r>
          </w:p>
        </w:tc>
        <w:tc>
          <w:tcPr>
            <w:tcW w:type="dxa" w:w="1440"/>
            <w:shd w:fill="FFDCE0" w:val="clear"/>
          </w:tcPr>
          <w:p>
            <w:r>
              <w:rPr>
                <w:sz w:val="17"/>
              </w:rPr>
              <w:t>18,737</w:t>
            </w:r>
          </w:p>
        </w:tc>
        <w:tc>
          <w:tcPr>
            <w:tcW w:type="dxa" w:w="1440"/>
            <w:shd w:fill="FFDCE0" w:val="clear"/>
          </w:tcPr>
          <w:p>
            <w:r>
              <w:rPr>
                <w:b/>
                <w:sz w:val="17"/>
              </w:rPr>
              <w:t>20,082</w:t>
            </w:r>
          </w:p>
        </w:tc>
        <w:tc>
          <w:tcPr>
            <w:tcW w:type="dxa" w:w="1440"/>
            <w:shd w:fill="FFDCE0" w:val="clear"/>
          </w:tcPr>
          <w:p>
            <w:r>
              <w:rPr>
                <w:sz w:val="17"/>
              </w:rPr>
              <w:t>21,427</w:t>
            </w:r>
          </w:p>
        </w:tc>
        <w:tc>
          <w:tcPr>
            <w:tcW w:type="dxa" w:w="1440"/>
            <w:shd w:fill="FFDCE0" w:val="clear"/>
          </w:tcPr>
          <w:p>
            <w:r>
              <w:rPr>
                <w:b/>
                <w:color w:val="C00000"/>
                <w:sz w:val="17"/>
              </w:rPr>
              <w:t>-5.1%</w:t>
            </w:r>
          </w:p>
        </w:tc>
      </w:tr>
      <w:tr>
        <w:tc>
          <w:tcPr>
            <w:tcW w:type="dxa" w:w="1440"/>
            <w:shd w:fill="FFDCE0" w:val="clear"/>
          </w:tcPr>
          <w:p>
            <w:r>
              <w:rPr>
                <w:sz w:val="17"/>
              </w:rPr>
              <w:t>J+7  ⭐</w:t>
            </w:r>
          </w:p>
        </w:tc>
        <w:tc>
          <w:tcPr>
            <w:tcW w:type="dxa" w:w="1440"/>
            <w:shd w:fill="FFDCE0" w:val="clear"/>
          </w:tcPr>
          <w:p>
            <w:r>
              <w:rPr>
                <w:sz w:val="17"/>
              </w:rPr>
              <w:t>2026-09-14</w:t>
            </w:r>
          </w:p>
        </w:tc>
        <w:tc>
          <w:tcPr>
            <w:tcW w:type="dxa" w:w="1440"/>
            <w:shd w:fill="FFDCE0" w:val="clear"/>
          </w:tcPr>
          <w:p>
            <w:r>
              <w:rPr>
                <w:sz w:val="17"/>
              </w:rPr>
              <w:t>18,514</w:t>
            </w:r>
          </w:p>
        </w:tc>
        <w:tc>
          <w:tcPr>
            <w:tcW w:type="dxa" w:w="1440"/>
            <w:shd w:fill="FFDCE0" w:val="clear"/>
          </w:tcPr>
          <w:p>
            <w:r>
              <w:rPr>
                <w:b/>
                <w:sz w:val="17"/>
              </w:rPr>
              <w:t>19,958</w:t>
            </w:r>
          </w:p>
        </w:tc>
        <w:tc>
          <w:tcPr>
            <w:tcW w:type="dxa" w:w="1440"/>
            <w:shd w:fill="FFDCE0" w:val="clear"/>
          </w:tcPr>
          <w:p>
            <w:r>
              <w:rPr>
                <w:sz w:val="17"/>
              </w:rPr>
              <w:t>21,401</w:t>
            </w:r>
          </w:p>
        </w:tc>
        <w:tc>
          <w:tcPr>
            <w:tcW w:type="dxa" w:w="1440"/>
            <w:shd w:fill="FFDCE0" w:val="clear"/>
          </w:tcPr>
          <w:p>
            <w:r>
              <w:rPr>
                <w:b/>
                <w:color w:val="C00000"/>
                <w:sz w:val="17"/>
              </w:rPr>
              <w:t>-5.7%</w:t>
            </w:r>
          </w:p>
        </w:tc>
      </w:tr>
      <w:tr>
        <w:tc>
          <w:tcPr>
            <w:tcW w:type="dxa" w:w="1440"/>
            <w:shd w:fill="FFDCE0" w:val="clear"/>
          </w:tcPr>
          <w:p>
            <w:r>
              <w:rPr>
                <w:sz w:val="17"/>
              </w:rPr>
              <w:t>J+8  ⭐</w:t>
            </w:r>
          </w:p>
        </w:tc>
        <w:tc>
          <w:tcPr>
            <w:tcW w:type="dxa" w:w="1440"/>
            <w:shd w:fill="FFDCE0" w:val="clear"/>
          </w:tcPr>
          <w:p>
            <w:r>
              <w:rPr>
                <w:sz w:val="17"/>
              </w:rPr>
              <w:t>2026-09-15</w:t>
            </w:r>
          </w:p>
        </w:tc>
        <w:tc>
          <w:tcPr>
            <w:tcW w:type="dxa" w:w="1440"/>
            <w:shd w:fill="FFDCE0" w:val="clear"/>
          </w:tcPr>
          <w:p>
            <w:r>
              <w:rPr>
                <w:sz w:val="17"/>
              </w:rPr>
              <w:t>18,304</w:t>
            </w:r>
          </w:p>
        </w:tc>
        <w:tc>
          <w:tcPr>
            <w:tcW w:type="dxa" w:w="1440"/>
            <w:shd w:fill="FFDCE0" w:val="clear"/>
          </w:tcPr>
          <w:p>
            <w:r>
              <w:rPr>
                <w:b/>
                <w:sz w:val="17"/>
              </w:rPr>
              <w:t>19,838</w:t>
            </w:r>
          </w:p>
        </w:tc>
        <w:tc>
          <w:tcPr>
            <w:tcW w:type="dxa" w:w="1440"/>
            <w:shd w:fill="FFDCE0" w:val="clear"/>
          </w:tcPr>
          <w:p>
            <w:r>
              <w:rPr>
                <w:sz w:val="17"/>
              </w:rPr>
              <w:t>21,372</w:t>
            </w:r>
          </w:p>
        </w:tc>
        <w:tc>
          <w:tcPr>
            <w:tcW w:type="dxa" w:w="1440"/>
            <w:shd w:fill="FFDCE0" w:val="clear"/>
          </w:tcPr>
          <w:p>
            <w:r>
              <w:rPr>
                <w:b/>
                <w:color w:val="C00000"/>
                <w:sz w:val="17"/>
              </w:rPr>
              <w:t>-6.2%</w:t>
            </w:r>
          </w:p>
        </w:tc>
      </w:tr>
      <w:tr>
        <w:tc>
          <w:tcPr>
            <w:tcW w:type="dxa" w:w="1440"/>
            <w:shd w:fill="FFDCE0" w:val="clear"/>
          </w:tcPr>
          <w:p>
            <w:r>
              <w:rPr>
                <w:sz w:val="17"/>
              </w:rPr>
              <w:t>J+9  ⭐</w:t>
            </w:r>
          </w:p>
        </w:tc>
        <w:tc>
          <w:tcPr>
            <w:tcW w:type="dxa" w:w="1440"/>
            <w:shd w:fill="FFDCE0" w:val="clear"/>
          </w:tcPr>
          <w:p>
            <w:r>
              <w:rPr>
                <w:sz w:val="17"/>
              </w:rPr>
              <w:t>2026-09-16</w:t>
            </w:r>
          </w:p>
        </w:tc>
        <w:tc>
          <w:tcPr>
            <w:tcW w:type="dxa" w:w="1440"/>
            <w:shd w:fill="FFDCE0" w:val="clear"/>
          </w:tcPr>
          <w:p>
            <w:r>
              <w:rPr>
                <w:sz w:val="17"/>
              </w:rPr>
              <w:t>18,105</w:t>
            </w:r>
          </w:p>
        </w:tc>
        <w:tc>
          <w:tcPr>
            <w:tcW w:type="dxa" w:w="1440"/>
            <w:shd w:fill="FFDCE0" w:val="clear"/>
          </w:tcPr>
          <w:p>
            <w:r>
              <w:rPr>
                <w:b/>
                <w:sz w:val="17"/>
              </w:rPr>
              <w:t>19,722</w:t>
            </w:r>
          </w:p>
        </w:tc>
        <w:tc>
          <w:tcPr>
            <w:tcW w:type="dxa" w:w="1440"/>
            <w:shd w:fill="FFDCE0" w:val="clear"/>
          </w:tcPr>
          <w:p>
            <w:r>
              <w:rPr>
                <w:sz w:val="17"/>
              </w:rPr>
              <w:t>21,340</w:t>
            </w:r>
          </w:p>
        </w:tc>
        <w:tc>
          <w:tcPr>
            <w:tcW w:type="dxa" w:w="1440"/>
            <w:shd w:fill="FFDCE0" w:val="clear"/>
          </w:tcPr>
          <w:p>
            <w:r>
              <w:rPr>
                <w:b/>
                <w:color w:val="C00000"/>
                <w:sz w:val="17"/>
              </w:rPr>
              <w:t>-6.8%</w:t>
            </w:r>
          </w:p>
        </w:tc>
      </w:tr>
      <w:tr>
        <w:tc>
          <w:tcPr>
            <w:tcW w:type="dxa" w:w="1440"/>
            <w:shd w:fill="FFDCE0" w:val="clear"/>
          </w:tcPr>
          <w:p>
            <w:r>
              <w:rPr>
                <w:sz w:val="17"/>
              </w:rPr>
              <w:t>J+10  ⭐</w:t>
            </w:r>
          </w:p>
        </w:tc>
        <w:tc>
          <w:tcPr>
            <w:tcW w:type="dxa" w:w="1440"/>
            <w:shd w:fill="FFDCE0" w:val="clear"/>
          </w:tcPr>
          <w:p>
            <w:r>
              <w:rPr>
                <w:sz w:val="17"/>
              </w:rPr>
              <w:t>2026-09-17</w:t>
            </w:r>
          </w:p>
        </w:tc>
        <w:tc>
          <w:tcPr>
            <w:tcW w:type="dxa" w:w="1440"/>
            <w:shd w:fill="FFDCE0" w:val="clear"/>
          </w:tcPr>
          <w:p>
            <w:r>
              <w:rPr>
                <w:sz w:val="17"/>
              </w:rPr>
              <w:t>17,916</w:t>
            </w:r>
          </w:p>
        </w:tc>
        <w:tc>
          <w:tcPr>
            <w:tcW w:type="dxa" w:w="1440"/>
            <w:shd w:fill="FFDCE0" w:val="clear"/>
          </w:tcPr>
          <w:p>
            <w:r>
              <w:rPr>
                <w:b/>
                <w:sz w:val="17"/>
              </w:rPr>
              <w:t>19,611</w:t>
            </w:r>
          </w:p>
        </w:tc>
        <w:tc>
          <w:tcPr>
            <w:tcW w:type="dxa" w:w="1440"/>
            <w:shd w:fill="FFDCE0" w:val="clear"/>
          </w:tcPr>
          <w:p>
            <w:r>
              <w:rPr>
                <w:sz w:val="17"/>
              </w:rPr>
              <w:t>21,307</w:t>
            </w:r>
          </w:p>
        </w:tc>
        <w:tc>
          <w:tcPr>
            <w:tcW w:type="dxa" w:w="1440"/>
            <w:shd w:fill="FFDCE0" w:val="clear"/>
          </w:tcPr>
          <w:p>
            <w:r>
              <w:rPr>
                <w:b/>
                <w:color w:val="C00000"/>
                <w:sz w:val="17"/>
              </w:rPr>
              <w:t>-7.3%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pPr>
      <w:r>
        <w:t>**RAPPORT D'ANALYSE FINANCIÈRE — ORAC (ORANGE CÔTE D'IVOIRE)**</w:t>
        <w:br/>
        <w:t>**Date :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d'ORAC s'établit à 3 187,11 milliards FCFA, un niveau qui en fait l'une des toutes premières capitalisations de la BRVM, conférant au titre un poids systémique dans l'indice. Avec un BPA de 1 114 FCFA, le PER de 19,0x est nettement supérieur à la moyenne historique de la place (~8-12x), indiquant que le marché intègre déjà des perspectives de croissance soutenues et une prime de qualité pour ce leader régional. Le P/B de 4,50x confirme cette prime, le marché valorisant fortement les actifs et la rentabilité de l'entreprise. Enfin, l'EV/EBITDA de 7,6x, dans une fourchette de 5 à 10x, suggère que la valorisation globale de l'entreprise (dette incluse) reste raisonnable par rapport à sa capacité bénéficiaire opérationnelle, tempérant le caractère exigeant des ratios boursiers.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ORAC a enregistré une progression spectaculaire de +40,10%, avec une dernière séance en hausse de +0,69% à 21 155 FCFA. Le titre a évolué dans un large intervalle de 14 650 FCFA (plus bas) à 21 500 FCFA (plus haut), démontrant une tendance haussière extrêmement forte. La moyenne du cours sur la période (16 567 FCFA) est supérieure à la médiane (16 075 FCFA), et le mode est à 16 000 FCFA, ce qui, combiné à un skewness positif de 1,595, indique une distribution asymétrique avec une concentration des prix vers le bas mais des épisodes de hausse violente. L'écart-type de 1 759 FCFA (CV=10,6%) montre une dispersion modérée, mais le kurtosis élevé de 1,772 signale un risque de mouvements extrêmes. La volatilité annualisée de 29,2% classe le titre dans la catégorie "élevée", reflétant un risque de marché significatif pour un rendement potentiel accru.</w:t>
      </w:r>
    </w:p>
    <w:p>
      <w:pPr>
        <w:spacing w:after="120" w:line="276" w:lineRule="auto"/>
      </w:pPr>
      <w:r>
        <w:t>---</w:t>
      </w:r>
    </w:p>
    <w:p>
      <w:pPr>
        <w:spacing w:after="120" w:line="276" w:lineRule="auto"/>
      </w:pPr>
      <w:r>
        <w:t>### PARTIE 2 : ANALYSE TECHNIQUE DÉTAILLÉE</w:t>
      </w:r>
    </w:p>
    <w:p>
      <w:pPr>
        <w:spacing w:after="120" w:line="276" w:lineRule="auto"/>
      </w:pPr>
      <w:r>
        <w:t>**Moyennes Mobiles**: Le cours actuel (21 155 FCFA) se situe nettement au-dessus de sa MM20 (19 460 FCFA) et de sa MM50 (17 663 FCFA). Cette configuration haussière, où les moyennes sont orientées à la hausse, confirme la vigueur de la tendance et justifie le signal d'achat.</w:t>
      </w:r>
    </w:p>
    <w:p>
      <w:pPr>
        <w:spacing w:after="120" w:line="276" w:lineRule="auto"/>
      </w:pPr>
      <w:r>
        <w:t>**Bandes de Bollinger**: Le prix évolue dans la partie supérieure du canal, proche de la borne haute (22 980 FCFA) et loin de la borne inférieure (15 940 FCFA). L'écart important entre les bornes traduit une volatilité élevée. La décision est neutre, car le titre n'est pas en situation de surachat extrême, mais la pression acheteuse reste dominante.</w:t>
      </w:r>
    </w:p>
    <w:p>
      <w:pPr>
        <w:spacing w:after="120" w:line="276" w:lineRule="auto"/>
      </w:pPr>
      <w:r>
        <w:t>**MACD**: La ligne MACD (1 177) est nettement au-dessus de sa ligne de signal (1 084), avec un histogramme positif. Cette configuration confirme un momentum haussier robuste et valide le signal d'achat, indiquant que la dynamique positive est toujours en place.</w:t>
      </w:r>
    </w:p>
    <w:p>
      <w:pPr>
        <w:spacing w:after="120" w:line="276" w:lineRule="auto"/>
      </w:pPr>
      <w:r>
        <w:t>**RSI**: Le RSI est à 77,5, une valeur qui entre en zone de surachat (&gt;70). Cela signifie que le titre a fortement monté et qu'un repli technique ou une consolidation est probable à court terme. La décision associée est donc une vente, signalant une prudence pour les nouveaux entrants à ce niveau de prix.</w:t>
      </w:r>
    </w:p>
    <w:p>
      <w:pPr>
        <w:spacing w:after="120" w:line="276" w:lineRule="auto"/>
      </w:pPr>
      <w:r>
        <w:t>**Stochastique**: Le %K (90,1) et le %D (92,0) sont tous deux à des niveaux de surachat très élevés. Cette configuration indique que le mouvement haussier est excessif à court terme et qu'un retour de bâton est statistiquement probable, justifiant le signal de vente.</w:t>
      </w:r>
    </w:p>
    <w:p>
      <w:pPr>
        <w:spacing w:after="120" w:line="276" w:lineRule="auto"/>
      </w:pPr>
      <w:r>
        <w:t>**Conclusion technique**: Les indicateurs de tendance (MM, MACD) sont résolument haussiers, mais les oscillateurs de momentum (RSI, Stochastique) crient à la surchauffe. Le titre est dans une phase de tendance haussière forte mais surachetée, suggérant une consolidation ou un léger repli avant la poursuite du mouvement. La prudence est de mise pour les achats à court terme.</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officielles, ORAC a réalisé un chiffre d'affaires de 1 197,1 milliards FCFA, en hausse de +10,4% par rapport à 2024, et un résultat net de 167,8 milliards FCFA. La rentabilité des fonds propres (ROE) est excellente à 23,7%, tandis que le ROA ressort à 6,6%. La marge opérationnelle est saine à 24,0%. Le BFR est négatif (-198 milliards FCFA), une situation favorable qui indique que l'entreprise finance son cycle d'exploitation grâce à ses fournisseurs (délai fournisseurs de 210 jours vs 52 jours pour les clients). L'endettement est maîtrisé avec une capacité de remboursement de moins d'un an (0,99). Les rapports annuels de 2025 (datés du 29 avril 2026) confirment ces chiffres et montrent une amélioration du résultat net part du groupe (+14,5% à 129,1 milliards FCFA). Le rapport du T1 2026 (publié en mai 2026) fait état d'une accélération spectaculaire avec un CA en hausse de +14,8% et un résultat net en progression de +25,2% à 48,3 milliards FCFA. Sur cette base, on estime que l'exercice 2026 pourrait voir le résultat net dépasser les 190 milliards FCFA, confirmant la dynamique positive. La politique de dividende reste généreuse avec 800 FCFA par action proposé pour 2025. Les fondamentaux sont donc très solides, portés par une croissance à deux chiffres et une rentabilité élevée.</w:t>
      </w:r>
    </w:p>
    <w:p>
      <w:pPr>
        <w:spacing w:after="120" w:line="276" w:lineRule="auto"/>
      </w:pPr>
      <w:r>
        <w:t>---</w:t>
      </w:r>
    </w:p>
    <w:p>
      <w:pPr>
        <w:spacing w:after="120" w:line="276" w:lineRule="auto"/>
      </w:pPr>
      <w:r>
        <w:t>### PARTIE 4 : CONCLUSION D'INVESTISSEMENT</w:t>
      </w:r>
    </w:p>
    <w:p>
      <w:pPr>
        <w:spacing w:after="120" w:line="276" w:lineRule="auto"/>
      </w:pPr>
      <w:r>
        <w:t>La valorisation boursière est exigeante (PER 19x, P/B 4,5x) mais justifiée par la qualité des actifs et la croissance. La tendance du cours est fortement haussière (+40% en 100 jours), mais les statistiques (kurtosis, skewness) et la volatilité élevée (29,2%) appellent à la vigilance. Les signaux techniques sont partagés : la tendance de fond (MM, MACD) est haussière, mais les indicateurs de momentum (RSI, Stochastique) signalent un surachat imminent, suggérant un risque de correction à court terme. Les fondamentaux sont excellents, avec une croissance soutenue du CA et du résultat net, une rentabilité (ROE) supérieure aux standards du marché et une structure financière saine. Les prédictions IA pour les 10 prochains jours (baisse de 21 155 à 20 211 FCFA) corroborent l'hypothèse d'un repli technique après la forte progression. En synthèse, la convergence entre les signaux de surachat technique, la valorisation élevée et les prédictions IA suggère une consolidation à court terme. Cependant, la solidité des fondamentaux et les perspectives de croissance à moyen terme restent intactes. Par conséquent, la recommandation est de **CONSERVER** le titre pour les investisseurs existants, avec un niveau de confiance **Moyen** et un risque global **Élevé** à court terme. L'horizon d'investissement optimal est le **moyen terme (3-12 mois)**, en attendant une meilleure opportunité d'entrée sur un repli du cours.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222.13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5,524 titres</w:t>
            </w:r>
          </w:p>
        </w:tc>
        <w:tc>
          <w:tcPr>
            <w:tcW w:type="dxa" w:w="2268"/>
            <w:shd w:fill="FFF2CC" w:val="clear"/>
          </w:tcPr>
          <w:p>
            <w:r>
              <w:rPr>
                <w:b/>
                <w:color w:val="503200"/>
                <w:sz w:val="16"/>
              </w:rPr>
              <w:t xml:space="preserve">Cours actuel : </w:t>
            </w:r>
            <w:r>
              <w:rPr>
                <w:color w:val="000000"/>
                <w:sz w:val="17"/>
              </w:rPr>
              <w:t>3,200 FCFA</w:t>
            </w:r>
          </w:p>
          <w:p>
            <w:r>
              <w:rPr>
                <w:b/>
                <w:color w:val="503200"/>
                <w:sz w:val="16"/>
              </w:rPr>
              <w:t xml:space="preserve">Var. 100 jours : </w:t>
            </w:r>
            <w:r>
              <w:rPr>
                <w:b/>
                <w:color w:val="B40000"/>
                <w:sz w:val="17"/>
              </w:rPr>
              <w:t>-12.33%</w:t>
            </w:r>
          </w:p>
          <w:p>
            <w:r>
              <w:rPr>
                <w:b/>
                <w:color w:val="503200"/>
                <w:sz w:val="16"/>
              </w:rPr>
              <w:t xml:space="preserve">Plus haut 100j : </w:t>
            </w:r>
            <w:r>
              <w:rPr>
                <w:color w:val="000000"/>
                <w:sz w:val="17"/>
              </w:rPr>
              <w:t>3,650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43.5%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9.96% (Moyenne) — μ=2,922 FCFA, σ=291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β=0.3275 (Défensif) — Cov=0.000012, Var(idx)=0.000036, ρ=0.071,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5,524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σ_j=2.74%/j (Stable) — Vol. annualisée≈43.5%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2026-09-04</w:t>
            </w:r>
          </w:p>
        </w:tc>
        <w:tc>
          <w:tcPr>
            <w:tcW w:type="dxa" w:w="1440"/>
            <w:shd w:fill="FAFAFA" w:val="clear"/>
          </w:tcPr>
          <w:p>
            <w:r>
              <w:rPr>
                <w:sz w:val="17"/>
              </w:rPr>
              <w:t>3,085</w:t>
            </w:r>
          </w:p>
        </w:tc>
        <w:tc>
          <w:tcPr>
            <w:tcW w:type="dxa" w:w="1440"/>
            <w:shd w:fill="FAFAFA" w:val="clear"/>
          </w:tcPr>
          <w:p>
            <w:r>
              <w:rPr>
                <w:b/>
                <w:sz w:val="17"/>
              </w:rPr>
              <w:t>3,181</w:t>
            </w:r>
          </w:p>
        </w:tc>
        <w:tc>
          <w:tcPr>
            <w:tcW w:type="dxa" w:w="1440"/>
            <w:shd w:fill="FAFAFA" w:val="clear"/>
          </w:tcPr>
          <w:p>
            <w:r>
              <w:rPr>
                <w:sz w:val="17"/>
              </w:rPr>
              <w:t>3,276</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2026-09-07</w:t>
            </w:r>
          </w:p>
        </w:tc>
        <w:tc>
          <w:tcPr>
            <w:tcW w:type="dxa" w:w="1440"/>
            <w:shd w:fill="FAFAFA" w:val="clear"/>
          </w:tcPr>
          <w:p>
            <w:r>
              <w:rPr>
                <w:sz w:val="17"/>
              </w:rPr>
              <w:t>3,043</w:t>
            </w:r>
          </w:p>
        </w:tc>
        <w:tc>
          <w:tcPr>
            <w:tcW w:type="dxa" w:w="1440"/>
            <w:shd w:fill="FAFAFA" w:val="clear"/>
          </w:tcPr>
          <w:p>
            <w:r>
              <w:rPr>
                <w:b/>
                <w:sz w:val="17"/>
              </w:rPr>
              <w:t>3,178</w:t>
            </w:r>
          </w:p>
        </w:tc>
        <w:tc>
          <w:tcPr>
            <w:tcW w:type="dxa" w:w="1440"/>
            <w:shd w:fill="FAFAFA" w:val="clear"/>
          </w:tcPr>
          <w:p>
            <w:r>
              <w:rPr>
                <w:sz w:val="17"/>
              </w:rPr>
              <w:t>3,313</w:t>
            </w:r>
          </w:p>
        </w:tc>
        <w:tc>
          <w:tcPr>
            <w:tcW w:type="dxa" w:w="1440"/>
            <w:shd w:fill="FAFAFA" w:val="clear"/>
          </w:tcPr>
          <w:p>
            <w:r>
              <w:rPr>
                <w:b/>
                <w:color w:val="C00000"/>
                <w:sz w:val="17"/>
              </w:rPr>
              <w:t>-0.7%</w:t>
            </w:r>
          </w:p>
        </w:tc>
      </w:tr>
      <w:tr>
        <w:tc>
          <w:tcPr>
            <w:tcW w:type="dxa" w:w="1440"/>
            <w:shd w:fill="FAFAFA" w:val="clear"/>
          </w:tcPr>
          <w:p>
            <w:r>
              <w:rPr>
                <w:sz w:val="17"/>
              </w:rPr>
              <w:t>J+3  ⭐⭐⭐</w:t>
            </w:r>
          </w:p>
        </w:tc>
        <w:tc>
          <w:tcPr>
            <w:tcW w:type="dxa" w:w="1440"/>
            <w:shd w:fill="FAFAFA" w:val="clear"/>
          </w:tcPr>
          <w:p>
            <w:r>
              <w:rPr>
                <w:sz w:val="17"/>
              </w:rPr>
              <w:t>2026-09-08</w:t>
            </w:r>
          </w:p>
        </w:tc>
        <w:tc>
          <w:tcPr>
            <w:tcW w:type="dxa" w:w="1440"/>
            <w:shd w:fill="FAFAFA" w:val="clear"/>
          </w:tcPr>
          <w:p>
            <w:r>
              <w:rPr>
                <w:sz w:val="17"/>
              </w:rPr>
              <w:t>3,009</w:t>
            </w:r>
          </w:p>
        </w:tc>
        <w:tc>
          <w:tcPr>
            <w:tcW w:type="dxa" w:w="1440"/>
            <w:shd w:fill="FAFAFA" w:val="clear"/>
          </w:tcPr>
          <w:p>
            <w:r>
              <w:rPr>
                <w:b/>
                <w:sz w:val="17"/>
              </w:rPr>
              <w:t>3,174</w:t>
            </w:r>
          </w:p>
        </w:tc>
        <w:tc>
          <w:tcPr>
            <w:tcW w:type="dxa" w:w="1440"/>
            <w:shd w:fill="FAFAFA" w:val="clear"/>
          </w:tcPr>
          <w:p>
            <w:r>
              <w:rPr>
                <w:sz w:val="17"/>
              </w:rPr>
              <w:t>3,339</w:t>
            </w:r>
          </w:p>
        </w:tc>
        <w:tc>
          <w:tcPr>
            <w:tcW w:type="dxa" w:w="1440"/>
            <w:shd w:fill="FAFAFA" w:val="clear"/>
          </w:tcPr>
          <w:p>
            <w:r>
              <w:rPr>
                <w:b/>
                <w:color w:val="C00000"/>
                <w:sz w:val="17"/>
              </w:rPr>
              <w:t>-0.8%</w:t>
            </w:r>
          </w:p>
        </w:tc>
      </w:tr>
      <w:tr>
        <w:tc>
          <w:tcPr>
            <w:tcW w:type="dxa" w:w="1440"/>
            <w:shd w:fill="FAFAFA" w:val="clear"/>
          </w:tcPr>
          <w:p>
            <w:r>
              <w:rPr>
                <w:sz w:val="17"/>
              </w:rPr>
              <w:t>J+4  Moyenne</w:t>
            </w:r>
          </w:p>
        </w:tc>
        <w:tc>
          <w:tcPr>
            <w:tcW w:type="dxa" w:w="1440"/>
            <w:shd w:fill="FAFAFA" w:val="clear"/>
          </w:tcPr>
          <w:p>
            <w:r>
              <w:rPr>
                <w:sz w:val="17"/>
              </w:rPr>
              <w:t>2026-09-09</w:t>
            </w:r>
          </w:p>
        </w:tc>
        <w:tc>
          <w:tcPr>
            <w:tcW w:type="dxa" w:w="1440"/>
            <w:shd w:fill="FAFAFA" w:val="clear"/>
          </w:tcPr>
          <w:p>
            <w:r>
              <w:rPr>
                <w:sz w:val="17"/>
              </w:rPr>
              <w:t>2,980</w:t>
            </w:r>
          </w:p>
        </w:tc>
        <w:tc>
          <w:tcPr>
            <w:tcW w:type="dxa" w:w="1440"/>
            <w:shd w:fill="FAFAFA" w:val="clear"/>
          </w:tcPr>
          <w:p>
            <w:r>
              <w:rPr>
                <w:b/>
                <w:sz w:val="17"/>
              </w:rPr>
              <w:t>3,171</w:t>
            </w:r>
          </w:p>
        </w:tc>
        <w:tc>
          <w:tcPr>
            <w:tcW w:type="dxa" w:w="1440"/>
            <w:shd w:fill="FAFAFA" w:val="clear"/>
          </w:tcPr>
          <w:p>
            <w:r>
              <w:rPr>
                <w:sz w:val="17"/>
              </w:rPr>
              <w:t>3,361</w:t>
            </w:r>
          </w:p>
        </w:tc>
        <w:tc>
          <w:tcPr>
            <w:tcW w:type="dxa" w:w="1440"/>
            <w:shd w:fill="FAFAFA" w:val="clear"/>
          </w:tcPr>
          <w:p>
            <w:r>
              <w:rPr>
                <w:b/>
                <w:color w:val="C00000"/>
                <w:sz w:val="17"/>
              </w:rPr>
              <w:t>-0.9%</w:t>
            </w:r>
          </w:p>
        </w:tc>
      </w:tr>
      <w:tr>
        <w:tc>
          <w:tcPr>
            <w:tcW w:type="dxa" w:w="1440"/>
            <w:shd w:fill="FAFAFA" w:val="clear"/>
          </w:tcPr>
          <w:p>
            <w:r>
              <w:rPr>
                <w:sz w:val="17"/>
              </w:rPr>
              <w:t>J+5  Moyenne</w:t>
            </w:r>
          </w:p>
        </w:tc>
        <w:tc>
          <w:tcPr>
            <w:tcW w:type="dxa" w:w="1440"/>
            <w:shd w:fill="FAFAFA" w:val="clear"/>
          </w:tcPr>
          <w:p>
            <w:r>
              <w:rPr>
                <w:sz w:val="17"/>
              </w:rPr>
              <w:t>2026-09-10</w:t>
            </w:r>
          </w:p>
        </w:tc>
        <w:tc>
          <w:tcPr>
            <w:tcW w:type="dxa" w:w="1440"/>
            <w:shd w:fill="FAFAFA" w:val="clear"/>
          </w:tcPr>
          <w:p>
            <w:r>
              <w:rPr>
                <w:sz w:val="17"/>
              </w:rPr>
              <w:t>2,955</w:t>
            </w:r>
          </w:p>
        </w:tc>
        <w:tc>
          <w:tcPr>
            <w:tcW w:type="dxa" w:w="1440"/>
            <w:shd w:fill="FAFAFA" w:val="clear"/>
          </w:tcPr>
          <w:p>
            <w:r>
              <w:rPr>
                <w:b/>
                <w:sz w:val="17"/>
              </w:rPr>
              <w:t>3,167</w:t>
            </w:r>
          </w:p>
        </w:tc>
        <w:tc>
          <w:tcPr>
            <w:tcW w:type="dxa" w:w="1440"/>
            <w:shd w:fill="FAFAFA" w:val="clear"/>
          </w:tcPr>
          <w:p>
            <w:r>
              <w:rPr>
                <w:sz w:val="17"/>
              </w:rPr>
              <w:t>3,380</w:t>
            </w:r>
          </w:p>
        </w:tc>
        <w:tc>
          <w:tcPr>
            <w:tcW w:type="dxa" w:w="1440"/>
            <w:shd w:fill="FAFAFA" w:val="clear"/>
          </w:tcPr>
          <w:p>
            <w:r>
              <w:rPr>
                <w:b/>
                <w:color w:val="C00000"/>
                <w:sz w:val="17"/>
              </w:rPr>
              <w:t>-1.0%</w:t>
            </w:r>
          </w:p>
        </w:tc>
      </w:tr>
      <w:tr>
        <w:tc>
          <w:tcPr>
            <w:tcW w:type="dxa" w:w="1440"/>
            <w:shd w:fill="FAFAFA" w:val="clear"/>
          </w:tcPr>
          <w:p>
            <w:r>
              <w:rPr>
                <w:sz w:val="17"/>
              </w:rPr>
              <w:t>J+6  Moyenne</w:t>
            </w:r>
          </w:p>
        </w:tc>
        <w:tc>
          <w:tcPr>
            <w:tcW w:type="dxa" w:w="1440"/>
            <w:shd w:fill="FAFAFA" w:val="clear"/>
          </w:tcPr>
          <w:p>
            <w:r>
              <w:rPr>
                <w:sz w:val="17"/>
              </w:rPr>
              <w:t>2026-09-11</w:t>
            </w:r>
          </w:p>
        </w:tc>
        <w:tc>
          <w:tcPr>
            <w:tcW w:type="dxa" w:w="1440"/>
            <w:shd w:fill="FAFAFA" w:val="clear"/>
          </w:tcPr>
          <w:p>
            <w:r>
              <w:rPr>
                <w:sz w:val="17"/>
              </w:rPr>
              <w:t>2,932</w:t>
            </w:r>
          </w:p>
        </w:tc>
        <w:tc>
          <w:tcPr>
            <w:tcW w:type="dxa" w:w="1440"/>
            <w:shd w:fill="FAFAFA" w:val="clear"/>
          </w:tcPr>
          <w:p>
            <w:r>
              <w:rPr>
                <w:b/>
                <w:sz w:val="17"/>
              </w:rPr>
              <w:t>3,164</w:t>
            </w:r>
          </w:p>
        </w:tc>
        <w:tc>
          <w:tcPr>
            <w:tcW w:type="dxa" w:w="1440"/>
            <w:shd w:fill="FAFAFA" w:val="clear"/>
          </w:tcPr>
          <w:p>
            <w:r>
              <w:rPr>
                <w:sz w:val="17"/>
              </w:rPr>
              <w:t>3,397</w:t>
            </w:r>
          </w:p>
        </w:tc>
        <w:tc>
          <w:tcPr>
            <w:tcW w:type="dxa" w:w="1440"/>
            <w:shd w:fill="FAFAFA" w:val="clear"/>
          </w:tcPr>
          <w:p>
            <w:r>
              <w:rPr>
                <w:b/>
                <w:color w:val="C00000"/>
                <w:sz w:val="17"/>
              </w:rPr>
              <w:t>-1.1%</w:t>
            </w:r>
          </w:p>
        </w:tc>
      </w:tr>
      <w:tr>
        <w:tc>
          <w:tcPr>
            <w:tcW w:type="dxa" w:w="1440"/>
            <w:shd w:fill="FAFAFA" w:val="clear"/>
          </w:tcPr>
          <w:p>
            <w:r>
              <w:rPr>
                <w:sz w:val="17"/>
              </w:rPr>
              <w:t>J+7  Moyenne</w:t>
            </w:r>
          </w:p>
        </w:tc>
        <w:tc>
          <w:tcPr>
            <w:tcW w:type="dxa" w:w="1440"/>
            <w:shd w:fill="FAFAFA" w:val="clear"/>
          </w:tcPr>
          <w:p>
            <w:r>
              <w:rPr>
                <w:sz w:val="17"/>
              </w:rPr>
              <w:t>2026-09-14</w:t>
            </w:r>
          </w:p>
        </w:tc>
        <w:tc>
          <w:tcPr>
            <w:tcW w:type="dxa" w:w="1440"/>
            <w:shd w:fill="FAFAFA" w:val="clear"/>
          </w:tcPr>
          <w:p>
            <w:r>
              <w:rPr>
                <w:sz w:val="17"/>
              </w:rPr>
              <w:t>2,910</w:t>
            </w:r>
          </w:p>
        </w:tc>
        <w:tc>
          <w:tcPr>
            <w:tcW w:type="dxa" w:w="1440"/>
            <w:shd w:fill="FAFAFA" w:val="clear"/>
          </w:tcPr>
          <w:p>
            <w:r>
              <w:rPr>
                <w:b/>
                <w:sz w:val="17"/>
              </w:rPr>
              <w:t>3,162</w:t>
            </w:r>
          </w:p>
        </w:tc>
        <w:tc>
          <w:tcPr>
            <w:tcW w:type="dxa" w:w="1440"/>
            <w:shd w:fill="FAFAFA" w:val="clear"/>
          </w:tcPr>
          <w:p>
            <w:r>
              <w:rPr>
                <w:sz w:val="17"/>
              </w:rPr>
              <w:t>3,413</w:t>
            </w:r>
          </w:p>
        </w:tc>
        <w:tc>
          <w:tcPr>
            <w:tcW w:type="dxa" w:w="1440"/>
            <w:shd w:fill="FAFAFA" w:val="clear"/>
          </w:tcPr>
          <w:p>
            <w:r>
              <w:rPr>
                <w:b/>
                <w:color w:val="C00000"/>
                <w:sz w:val="17"/>
              </w:rPr>
              <w:t>-1.2%</w:t>
            </w:r>
          </w:p>
        </w:tc>
      </w:tr>
      <w:tr>
        <w:tc>
          <w:tcPr>
            <w:tcW w:type="dxa" w:w="1440"/>
            <w:shd w:fill="FAFAFA" w:val="clear"/>
          </w:tcPr>
          <w:p>
            <w:r>
              <w:rPr>
                <w:sz w:val="17"/>
              </w:rPr>
              <w:t>J+8  Moyenne</w:t>
            </w:r>
          </w:p>
        </w:tc>
        <w:tc>
          <w:tcPr>
            <w:tcW w:type="dxa" w:w="1440"/>
            <w:shd w:fill="FAFAFA" w:val="clear"/>
          </w:tcPr>
          <w:p>
            <w:r>
              <w:rPr>
                <w:sz w:val="17"/>
              </w:rPr>
              <w:t>2026-09-15</w:t>
            </w:r>
          </w:p>
        </w:tc>
        <w:tc>
          <w:tcPr>
            <w:tcW w:type="dxa" w:w="1440"/>
            <w:shd w:fill="FAFAFA" w:val="clear"/>
          </w:tcPr>
          <w:p>
            <w:r>
              <w:rPr>
                <w:sz w:val="17"/>
              </w:rPr>
              <w:t>2,890</w:t>
            </w:r>
          </w:p>
        </w:tc>
        <w:tc>
          <w:tcPr>
            <w:tcW w:type="dxa" w:w="1440"/>
            <w:shd w:fill="FAFAFA" w:val="clear"/>
          </w:tcPr>
          <w:p>
            <w:r>
              <w:rPr>
                <w:b/>
                <w:sz w:val="17"/>
              </w:rPr>
              <w:t>3,159</w:t>
            </w:r>
          </w:p>
        </w:tc>
        <w:tc>
          <w:tcPr>
            <w:tcW w:type="dxa" w:w="1440"/>
            <w:shd w:fill="FAFAFA" w:val="clear"/>
          </w:tcPr>
          <w:p>
            <w:r>
              <w:rPr>
                <w:sz w:val="17"/>
              </w:rPr>
              <w:t>3,427</w:t>
            </w:r>
          </w:p>
        </w:tc>
        <w:tc>
          <w:tcPr>
            <w:tcW w:type="dxa" w:w="1440"/>
            <w:shd w:fill="FAFAFA" w:val="clear"/>
          </w:tcPr>
          <w:p>
            <w:r>
              <w:rPr>
                <w:b/>
                <w:color w:val="C00000"/>
                <w:sz w:val="17"/>
              </w:rPr>
              <w:t>-1.3%</w:t>
            </w:r>
          </w:p>
        </w:tc>
      </w:tr>
      <w:tr>
        <w:tc>
          <w:tcPr>
            <w:tcW w:type="dxa" w:w="1440"/>
            <w:shd w:fill="FAFAFA" w:val="clear"/>
          </w:tcPr>
          <w:p>
            <w:r>
              <w:rPr>
                <w:sz w:val="17"/>
              </w:rPr>
              <w:t>J+9  Moyenne</w:t>
            </w:r>
          </w:p>
        </w:tc>
        <w:tc>
          <w:tcPr>
            <w:tcW w:type="dxa" w:w="1440"/>
            <w:shd w:fill="FAFAFA" w:val="clear"/>
          </w:tcPr>
          <w:p>
            <w:r>
              <w:rPr>
                <w:sz w:val="17"/>
              </w:rPr>
              <w:t>2026-09-16</w:t>
            </w:r>
          </w:p>
        </w:tc>
        <w:tc>
          <w:tcPr>
            <w:tcW w:type="dxa" w:w="1440"/>
            <w:shd w:fill="FAFAFA" w:val="clear"/>
          </w:tcPr>
          <w:p>
            <w:r>
              <w:rPr>
                <w:sz w:val="17"/>
              </w:rPr>
              <w:t>2,872</w:t>
            </w:r>
          </w:p>
        </w:tc>
        <w:tc>
          <w:tcPr>
            <w:tcW w:type="dxa" w:w="1440"/>
            <w:shd w:fill="FAFAFA" w:val="clear"/>
          </w:tcPr>
          <w:p>
            <w:r>
              <w:rPr>
                <w:b/>
                <w:sz w:val="17"/>
              </w:rPr>
              <w:t>3,156</w:t>
            </w:r>
          </w:p>
        </w:tc>
        <w:tc>
          <w:tcPr>
            <w:tcW w:type="dxa" w:w="1440"/>
            <w:shd w:fill="FAFAFA" w:val="clear"/>
          </w:tcPr>
          <w:p>
            <w:r>
              <w:rPr>
                <w:sz w:val="17"/>
              </w:rPr>
              <w:t>3,440</w:t>
            </w:r>
          </w:p>
        </w:tc>
        <w:tc>
          <w:tcPr>
            <w:tcW w:type="dxa" w:w="1440"/>
            <w:shd w:fill="FAFAFA" w:val="clear"/>
          </w:tcPr>
          <w:p>
            <w:r>
              <w:rPr>
                <w:b/>
                <w:color w:val="C00000"/>
                <w:sz w:val="17"/>
              </w:rPr>
              <w:t>-1.4%</w:t>
            </w:r>
          </w:p>
        </w:tc>
      </w:tr>
      <w:tr>
        <w:tc>
          <w:tcPr>
            <w:tcW w:type="dxa" w:w="1440"/>
            <w:shd w:fill="FAFAFA" w:val="clear"/>
          </w:tcPr>
          <w:p>
            <w:r>
              <w:rPr>
                <w:sz w:val="17"/>
              </w:rPr>
              <w:t>J+10  Moyenne</w:t>
            </w:r>
          </w:p>
        </w:tc>
        <w:tc>
          <w:tcPr>
            <w:tcW w:type="dxa" w:w="1440"/>
            <w:shd w:fill="FAFAFA" w:val="clear"/>
          </w:tcPr>
          <w:p>
            <w:r>
              <w:rPr>
                <w:sz w:val="17"/>
              </w:rPr>
              <w:t>2026-09-17</w:t>
            </w:r>
          </w:p>
        </w:tc>
        <w:tc>
          <w:tcPr>
            <w:tcW w:type="dxa" w:w="1440"/>
            <w:shd w:fill="FAFAFA" w:val="clear"/>
          </w:tcPr>
          <w:p>
            <w:r>
              <w:rPr>
                <w:sz w:val="17"/>
              </w:rPr>
              <w:t>2,854</w:t>
            </w:r>
          </w:p>
        </w:tc>
        <w:tc>
          <w:tcPr>
            <w:tcW w:type="dxa" w:w="1440"/>
            <w:shd w:fill="FAFAFA" w:val="clear"/>
          </w:tcPr>
          <w:p>
            <w:r>
              <w:rPr>
                <w:b/>
                <w:sz w:val="17"/>
              </w:rPr>
              <w:t>3,153</w:t>
            </w:r>
          </w:p>
        </w:tc>
        <w:tc>
          <w:tcPr>
            <w:tcW w:type="dxa" w:w="1440"/>
            <w:shd w:fill="FAFAFA" w:val="clear"/>
          </w:tcPr>
          <w:p>
            <w:r>
              <w:rPr>
                <w:sz w:val="17"/>
              </w:rPr>
              <w:t>3,452</w:t>
            </w:r>
          </w:p>
        </w:tc>
        <w:tc>
          <w:tcPr>
            <w:tcW w:type="dxa" w:w="1440"/>
            <w:shd w:fill="FAFAFA" w:val="clear"/>
          </w:tcPr>
          <w:p>
            <w:r>
              <w:rPr>
                <w:b/>
                <w:color w:val="C00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**RAPPORT D'ANALYSE FINANCIÈRE — ORGT (ORAGROUP)**</w:t>
        <w:br/>
        <w:t>**Date de l'analyse :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d'ORGT s'établit à 222,13 milliards FCFA, un niveau significatif qui la positionne parmi les valeurs moyennes à grandes capitalisations de la BRVM, reflétant l'importance systémique du groupe bancaire dans la zone UEMOA. Le BPA de 312 FCFA indique que chaque action génère un bénéfice substantiel, justifiant un PER de 10,3x, en ligne avec la moyenne historique du marché (8-12x), ce qui suggère une valorisation raisonnable sans prime excessive. Le P/B de 1,96x indique que le marché valorise la société à près de deux fois ses fonds propres comptables, un niveau modéré qui traduit une confiance mesurée dans la qualité du bilan. En revanche, l'EV/EBITDA de 20,1x apparaît très exigeant, signalant que la valeur d'entreprise intègre une prime significative par rapport à la capacité bénéficiaire opérationnelle, ce qui pourrait refléter des anticipations de croissance future ou une prime de contrôle.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la période de 100 jours, le titre ORGT a enregistré une variation totale de -12,33%, avec une légère reprise de +0,47% lors de la dernière séance, indiquant une tentative de stabilisation après un mouvement baissier marqué. Le cours a évolué dans une fourchette large de 2 435 FCFA (plus bas) à 3 650 FCFA (plus haut), démontrant une amplitude de trading considérable de près de 50% entre les extrêmes. La moyenne de 2 922 FCFA, inférieure à la médiane de 2 780 FCFA, révèle une asymétrie positive avec un skewness de 0,527, signifiant que le cours a passé plus de journées sous la moyenne, typique d'une distribution avec des épisodes de hausse concentrés. L'écart-type de 292 FCFA (CV=10%) indique une dispersion modérée autour de la moyenne, tandis que le kurtosis de -0,782 (mésokurtique) suggère l'absence de risques extrêmes de pics ou de krachs soudains. La volatilité annualisée de 43,5% classe le titre dans la catégorie des valeurs à forte volatilité (&gt;30%), ce qui implique un risque élevé mais aussi un potentiel de rendement substantiel pour les investisseurs aguerris.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3 200 FCFA se positionne au-dessus de la MM20 (3 133,25 FCFA) et nettement au-dessus de la MM50 (2 907,4 FCFA), configurant une structure haussière à court et moyen terme. Le signal d'achat généré par ces moyennes mobiles confirme que la tendance de fond reste positive malgré le repli récent, avec un écart croissant entre les deux moyennes indiquant une accélération du momentum haussier.</w:t>
      </w:r>
    </w:p>
    <w:p>
      <w:pPr>
        <w:spacing w:after="120" w:line="276" w:lineRule="auto"/>
      </w:pPr>
      <w:r>
        <w:t>**Bandes de Bollinger** : Le prix évolue à 3 200 FCFA, proche de la borne supérieure (3 237,29 FCFA) et nettement au-dessus de la borne inférieure (3 029,21 FCFA), suggérant une pression acheteuse soutenue. La largeur des bandes reflète une volatilité modérée, et le signal neutre indique que le titre n'est pas encore en zone de surachat extrême, laissant potentiellement de la place pour une poursuite de la hausse.</w:t>
      </w:r>
    </w:p>
    <w:p>
      <w:pPr>
        <w:spacing w:after="120" w:line="276" w:lineRule="auto"/>
      </w:pPr>
      <w:r>
        <w:t>**MACD** : La valeur du MACD (76,91) reste positive mais inférieure à sa ligne de signal (83,83), générant un signal de vente à court terme. Cette configuration suggère un ralentissement du momentum haussier, bien que le niveau positif du MACD indique que la dynamique sous-jacente demeure constructive. Un croisement haussier serait nécessaire pour confirmer la reprise.</w:t>
      </w:r>
    </w:p>
    <w:p>
      <w:pPr>
        <w:spacing w:after="120" w:line="276" w:lineRule="auto"/>
      </w:pPr>
      <w:r>
        <w:t>**RSI** : À 67,53, le RSI se situe en zone neutre-haute, proche du seuil de surachat de 70 sans l'atteindre. Cette lecture indique que la pression acheteuse reste dominante mais que le titre approche d'une zone où une correction technique pourrait survenir. Le signal neutre suggère que les investisseurs attendent une clarification directionnelle.</w:t>
      </w:r>
    </w:p>
    <w:p>
      <w:pPr>
        <w:spacing w:after="120" w:line="276" w:lineRule="auto"/>
      </w:pPr>
      <w:r>
        <w:t>**Stochastique** : Avec %K à 100,0 et %D à 95,83, l'oscillateur stochastique est en zone de surachat extrême, générant un signal de vente clair. Cette configuration indique que le titre a fortement progressé récemment et qu'une consolidation technique est probable à très court terme, même si la tendance de fond reste haussière.</w:t>
      </w:r>
    </w:p>
    <w:p>
      <w:pPr>
        <w:spacing w:after="120" w:line="276" w:lineRule="auto"/>
      </w:pPr>
      <w:r>
        <w:t>**Conclusion technique** : La convergence des indicateurs est mitigée : les moyennes mobiles et les bandes de Bollinger suggèrent une tendance haussière intacte, tandis que le MACD, le RSI et surtout le stochastique signalent un essoufflement à court terme. Cette divergence entre la tendance de fond et les oscillateurs de momentum suggère une phase de consolidation probable avant la poursuite du mouvement haussier, avec un risque de repli technique vers la zone des 3 100-3 150 FCFA.</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officielles révèlent un PNB de 186,609 milliards FCFA, en recul de -4,5% par rapport à 2024, mais un résultat net consolidé de 21,643 milliards FCFA, marquant un retour spectaculaire à la rentabilité après la perte de -44,363 milliards en 2024. Le ROE de 19,13% est excellent (&gt;15%), démontrant une utilisation efficace des capitaux propres de 113,165 milliards FCFA, tandis que le ROA de 0,54% reste modeste, typique du secteur bancaire. Le coefficient d'exploitation de 42,85% est remarquable (&lt;50%), attestant d'une gestion rigoureuse des charges, et le coût du risque de 3,74% s'est considérablement amélioré, reflétant la normalisation de la qualité du portefeuille de crédits (1 523,765 milliards FCFA) financé par des dépôts clientèle massifs de 3 088,698 milliards FCFA. Les rapports trimestriels 2025 confirment cette trajectoire : le T1 affiche un bénéfice de 4,8 milliards (+259%), le S1 atteint 18,3 milliards (+232%), et le T3 cumulé 19,6 milliards (+248%), démontrant une amélioration progressive. Le rapport T1 2026 (publié en 2026) montre une poursuite du redressement avec un résultat net de 6,555 milliards (+37%), malgré un PNB en léger repli de -2% à 50,124 milliards, et une progression des dépôts de +14% à 3 343 milliards FCFA. On estime que l'exercice 2026 pourrait voir un résultat net annuel compris entre 24 et 27 milliards FCFA si la tendance semestrielle se maintient, avec une stabilisation du PNB attendue au second semestre. La solidité financière est confortée par une solvabilité générale de 102,9% et un renforcement des capitaux propres de +17% en 2025, bien que l'autonomie financière de 2,82% reste faible, traduisant une dépendance structurelle aux dépôts clientèle. La recommandation fondamentale est **CONSERVER**, car le redressement est réel et durable, mais la baisse du PNB et l'absence de dividende (perte sociale de -8 milliards au niveau de la holding) limitent l'attractivité du titre à court terme.</w:t>
      </w:r>
    </w:p>
    <w:p>
      <w:pPr>
        <w:spacing w:after="120" w:line="276" w:lineRule="auto"/>
      </w:pPr>
      <w:r>
        <w:t>---</w:t>
      </w:r>
    </w:p>
    <w:p>
      <w:pPr>
        <w:spacing w:after="120" w:line="276" w:lineRule="auto"/>
      </w:pPr>
      <w:r>
        <w:t>### PARTIE 4 : CONCLUSION D'INVESTISSEMENT</w:t>
      </w:r>
    </w:p>
    <w:p>
      <w:pPr>
        <w:spacing w:after="120" w:line="276" w:lineRule="auto"/>
      </w:pPr>
      <w:r>
        <w:t>La synthèse globale révèle des signaux contrastés pour ORGT. La valorisation (PER 10,3x, P/B 1,96x) apparaît raisonnable sans être attractive, tandis que l'EV/EBITDA de 20,1x suggère une certaine cherté relative. Le comportement du cours sur 100 jours (-12,33%) avec une volatilité élevée de 43,5% et une asymétrie positive indique un titre en phase de consolidation après un mouvement haussier, avec des statistiques excluant les risques extrêmes. Les signaux techniques sont partagés : tendance haussière confirmée par les moyennes mobiles mais essoufflement à court terme signalé par le MACD, le RSI et le stochastique en surachat. Les fondamentaux sont solidement orientés à la hausse avec un ROE de 19,1%, un coefficient d'exploitation excellent de 42,9% et un coût du risque maîtrisé, bien que la contraction du PNB demeure une faiblesse structurelle. Les prédictions IA (3 181 à 3 167 FCFA sur J+1 à J+10) suggèrent une légère correction technique, cohérente avec les signaux de surachat, mais sans remettre en cause la tendance de fond. La convergence entre les fondamentaux solides, la valorisation modérée et la trajectoire de redressement plaide pour une recommandation **CONSERVER**, avec un niveau de confiance **Moyen** et un risque global **Élevé** compte tenu de la volatilité. L'horizon d'investissement optimal serait le **moyen terme (3-12 mois)**, permettant d'absorber la volatilité à court terme tout en bénéficiant de la poursuite attendue du redressement opérationnel et d'une possible reprise de la distribution de dividendes en 2027.</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142.23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3,594 titres</w:t>
            </w:r>
          </w:p>
        </w:tc>
        <w:tc>
          <w:tcPr>
            <w:tcW w:type="dxa" w:w="2268"/>
            <w:shd w:fill="FFF2CC" w:val="clear"/>
          </w:tcPr>
          <w:p>
            <w:r>
              <w:rPr>
                <w:b/>
                <w:color w:val="503200"/>
                <w:sz w:val="16"/>
              </w:rPr>
              <w:t xml:space="preserve">Cours actuel : </w:t>
            </w:r>
            <w:r>
              <w:rPr>
                <w:color w:val="000000"/>
                <w:sz w:val="17"/>
              </w:rPr>
              <w:t>9,200 FCFA</w:t>
            </w:r>
          </w:p>
          <w:p>
            <w:r>
              <w:rPr>
                <w:b/>
                <w:color w:val="503200"/>
                <w:sz w:val="16"/>
              </w:rPr>
              <w:t xml:space="preserve">Var. 100 jours : </w:t>
            </w:r>
            <w:r>
              <w:rPr>
                <w:b/>
                <w:color w:val="007800"/>
                <w:sz w:val="17"/>
              </w:rPr>
              <w:t>+5.75%</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37.0%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6.70% (Moyenne) — μ=8,525 FCFA, σ=571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β=-0.2911 (Contre-cyclique) — Cov=-0.000011, Var(idx)=0.000036, ρ=-0.075,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3,594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σ_j=2.33%/j (Stable) — Vol. annualisée≈37.0%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2026-09-04</w:t>
            </w:r>
          </w:p>
        </w:tc>
        <w:tc>
          <w:tcPr>
            <w:tcW w:type="dxa" w:w="1440"/>
            <w:shd w:fill="FAFAFA" w:val="clear"/>
          </w:tcPr>
          <w:p>
            <w:r>
              <w:rPr>
                <w:sz w:val="17"/>
              </w:rPr>
              <w:t>8,913</w:t>
            </w:r>
          </w:p>
        </w:tc>
        <w:tc>
          <w:tcPr>
            <w:tcW w:type="dxa" w:w="1440"/>
            <w:shd w:fill="FAFAFA" w:val="clear"/>
          </w:tcPr>
          <w:p>
            <w:r>
              <w:rPr>
                <w:b/>
                <w:sz w:val="17"/>
              </w:rPr>
              <w:t>9,202</w:t>
            </w:r>
          </w:p>
        </w:tc>
        <w:tc>
          <w:tcPr>
            <w:tcW w:type="dxa" w:w="1440"/>
            <w:shd w:fill="FAFAFA" w:val="clear"/>
          </w:tcPr>
          <w:p>
            <w:r>
              <w:rPr>
                <w:sz w:val="17"/>
              </w:rPr>
              <w:t>9,491</w:t>
            </w:r>
          </w:p>
        </w:tc>
        <w:tc>
          <w:tcPr>
            <w:tcW w:type="dxa" w:w="1440"/>
            <w:shd w:fill="FAFAFA" w:val="clear"/>
          </w:tcPr>
          <w:p>
            <w:r>
              <w:rPr>
                <w:b/>
                <w:color w:val="008000"/>
                <w:sz w:val="17"/>
              </w:rPr>
              <w:t>+0.0%</w:t>
            </w:r>
          </w:p>
        </w:tc>
      </w:tr>
      <w:tr>
        <w:tc>
          <w:tcPr>
            <w:tcW w:type="dxa" w:w="1440"/>
            <w:shd w:fill="FAFAFA" w:val="clear"/>
          </w:tcPr>
          <w:p>
            <w:r>
              <w:rPr>
                <w:sz w:val="17"/>
              </w:rPr>
              <w:t>J+2  ⭐⭐⭐</w:t>
            </w:r>
          </w:p>
        </w:tc>
        <w:tc>
          <w:tcPr>
            <w:tcW w:type="dxa" w:w="1440"/>
            <w:shd w:fill="FAFAFA" w:val="clear"/>
          </w:tcPr>
          <w:p>
            <w:r>
              <w:rPr>
                <w:sz w:val="17"/>
              </w:rPr>
              <w:t>2026-09-07</w:t>
            </w:r>
          </w:p>
        </w:tc>
        <w:tc>
          <w:tcPr>
            <w:tcW w:type="dxa" w:w="1440"/>
            <w:shd w:fill="FAFAFA" w:val="clear"/>
          </w:tcPr>
          <w:p>
            <w:r>
              <w:rPr>
                <w:sz w:val="17"/>
              </w:rPr>
              <w:t>8,818</w:t>
            </w:r>
          </w:p>
        </w:tc>
        <w:tc>
          <w:tcPr>
            <w:tcW w:type="dxa" w:w="1440"/>
            <w:shd w:fill="FAFAFA" w:val="clear"/>
          </w:tcPr>
          <w:p>
            <w:r>
              <w:rPr>
                <w:b/>
                <w:sz w:val="17"/>
              </w:rPr>
              <w:t>9,228</w:t>
            </w:r>
          </w:p>
        </w:tc>
        <w:tc>
          <w:tcPr>
            <w:tcW w:type="dxa" w:w="1440"/>
            <w:shd w:fill="FAFAFA" w:val="clear"/>
          </w:tcPr>
          <w:p>
            <w:r>
              <w:rPr>
                <w:sz w:val="17"/>
              </w:rPr>
              <w:t>9,638</w:t>
            </w:r>
          </w:p>
        </w:tc>
        <w:tc>
          <w:tcPr>
            <w:tcW w:type="dxa" w:w="1440"/>
            <w:shd w:fill="FAFAFA" w:val="clear"/>
          </w:tcPr>
          <w:p>
            <w:r>
              <w:rPr>
                <w:b/>
                <w:color w:val="008000"/>
                <w:sz w:val="17"/>
              </w:rPr>
              <w:t>+0.3%</w:t>
            </w:r>
          </w:p>
        </w:tc>
      </w:tr>
      <w:tr>
        <w:tc>
          <w:tcPr>
            <w:tcW w:type="dxa" w:w="1440"/>
            <w:shd w:fill="FAFAFA" w:val="clear"/>
          </w:tcPr>
          <w:p>
            <w:r>
              <w:rPr>
                <w:sz w:val="17"/>
              </w:rPr>
              <w:t>J+3  ⭐⭐⭐</w:t>
            </w:r>
          </w:p>
        </w:tc>
        <w:tc>
          <w:tcPr>
            <w:tcW w:type="dxa" w:w="1440"/>
            <w:shd w:fill="FAFAFA" w:val="clear"/>
          </w:tcPr>
          <w:p>
            <w:r>
              <w:rPr>
                <w:sz w:val="17"/>
              </w:rPr>
              <w:t>2026-09-08</w:t>
            </w:r>
          </w:p>
        </w:tc>
        <w:tc>
          <w:tcPr>
            <w:tcW w:type="dxa" w:w="1440"/>
            <w:shd w:fill="FAFAFA" w:val="clear"/>
          </w:tcPr>
          <w:p>
            <w:r>
              <w:rPr>
                <w:sz w:val="17"/>
              </w:rPr>
              <w:t>8,752</w:t>
            </w:r>
          </w:p>
        </w:tc>
        <w:tc>
          <w:tcPr>
            <w:tcW w:type="dxa" w:w="1440"/>
            <w:shd w:fill="FAFAFA" w:val="clear"/>
          </w:tcPr>
          <w:p>
            <w:r>
              <w:rPr>
                <w:b/>
                <w:sz w:val="17"/>
              </w:rPr>
              <w:t>9,256</w:t>
            </w:r>
          </w:p>
        </w:tc>
        <w:tc>
          <w:tcPr>
            <w:tcW w:type="dxa" w:w="1440"/>
            <w:shd w:fill="FAFAFA" w:val="clear"/>
          </w:tcPr>
          <w:p>
            <w:r>
              <w:rPr>
                <w:sz w:val="17"/>
              </w:rPr>
              <w:t>9,760</w:t>
            </w:r>
          </w:p>
        </w:tc>
        <w:tc>
          <w:tcPr>
            <w:tcW w:type="dxa" w:w="1440"/>
            <w:shd w:fill="FAFAFA" w:val="clear"/>
          </w:tcPr>
          <w:p>
            <w:r>
              <w:rPr>
                <w:b/>
                <w:color w:val="008000"/>
                <w:sz w:val="17"/>
              </w:rPr>
              <w:t>+0.6%</w:t>
            </w:r>
          </w:p>
        </w:tc>
      </w:tr>
      <w:tr>
        <w:tc>
          <w:tcPr>
            <w:tcW w:type="dxa" w:w="1440"/>
            <w:shd w:fill="FAFAFA" w:val="clear"/>
          </w:tcPr>
          <w:p>
            <w:r>
              <w:rPr>
                <w:sz w:val="17"/>
              </w:rPr>
              <w:t>J+4  Moyenne</w:t>
            </w:r>
          </w:p>
        </w:tc>
        <w:tc>
          <w:tcPr>
            <w:tcW w:type="dxa" w:w="1440"/>
            <w:shd w:fill="FAFAFA" w:val="clear"/>
          </w:tcPr>
          <w:p>
            <w:r>
              <w:rPr>
                <w:sz w:val="17"/>
              </w:rPr>
              <w:t>2026-09-09</w:t>
            </w:r>
          </w:p>
        </w:tc>
        <w:tc>
          <w:tcPr>
            <w:tcW w:type="dxa" w:w="1440"/>
            <w:shd w:fill="FAFAFA" w:val="clear"/>
          </w:tcPr>
          <w:p>
            <w:r>
              <w:rPr>
                <w:sz w:val="17"/>
              </w:rPr>
              <w:t>8,699</w:t>
            </w:r>
          </w:p>
        </w:tc>
        <w:tc>
          <w:tcPr>
            <w:tcW w:type="dxa" w:w="1440"/>
            <w:shd w:fill="FAFAFA" w:val="clear"/>
          </w:tcPr>
          <w:p>
            <w:r>
              <w:rPr>
                <w:b/>
                <w:sz w:val="17"/>
              </w:rPr>
              <w:t>9,282</w:t>
            </w:r>
          </w:p>
        </w:tc>
        <w:tc>
          <w:tcPr>
            <w:tcW w:type="dxa" w:w="1440"/>
            <w:shd w:fill="FAFAFA" w:val="clear"/>
          </w:tcPr>
          <w:p>
            <w:r>
              <w:rPr>
                <w:sz w:val="17"/>
              </w:rPr>
              <w:t>9,866</w:t>
            </w:r>
          </w:p>
        </w:tc>
        <w:tc>
          <w:tcPr>
            <w:tcW w:type="dxa" w:w="1440"/>
            <w:shd w:fill="FAFAFA" w:val="clear"/>
          </w:tcPr>
          <w:p>
            <w:r>
              <w:rPr>
                <w:b/>
                <w:color w:val="008000"/>
                <w:sz w:val="17"/>
              </w:rPr>
              <w:t>+0.9%</w:t>
            </w:r>
          </w:p>
        </w:tc>
      </w:tr>
      <w:tr>
        <w:tc>
          <w:tcPr>
            <w:tcW w:type="dxa" w:w="1440"/>
            <w:shd w:fill="FAFAFA" w:val="clear"/>
          </w:tcPr>
          <w:p>
            <w:r>
              <w:rPr>
                <w:sz w:val="17"/>
              </w:rPr>
              <w:t>J+5  Moyenne</w:t>
            </w:r>
          </w:p>
        </w:tc>
        <w:tc>
          <w:tcPr>
            <w:tcW w:type="dxa" w:w="1440"/>
            <w:shd w:fill="FAFAFA" w:val="clear"/>
          </w:tcPr>
          <w:p>
            <w:r>
              <w:rPr>
                <w:sz w:val="17"/>
              </w:rPr>
              <w:t>2026-09-10</w:t>
            </w:r>
          </w:p>
        </w:tc>
        <w:tc>
          <w:tcPr>
            <w:tcW w:type="dxa" w:w="1440"/>
            <w:shd w:fill="FAFAFA" w:val="clear"/>
          </w:tcPr>
          <w:p>
            <w:r>
              <w:rPr>
                <w:sz w:val="17"/>
              </w:rPr>
              <w:t>8,654</w:t>
            </w:r>
          </w:p>
        </w:tc>
        <w:tc>
          <w:tcPr>
            <w:tcW w:type="dxa" w:w="1440"/>
            <w:shd w:fill="FAFAFA" w:val="clear"/>
          </w:tcPr>
          <w:p>
            <w:r>
              <w:rPr>
                <w:b/>
                <w:sz w:val="17"/>
              </w:rPr>
              <w:t>9,308</w:t>
            </w:r>
          </w:p>
        </w:tc>
        <w:tc>
          <w:tcPr>
            <w:tcW w:type="dxa" w:w="1440"/>
            <w:shd w:fill="FAFAFA" w:val="clear"/>
          </w:tcPr>
          <w:p>
            <w:r>
              <w:rPr>
                <w:sz w:val="17"/>
              </w:rPr>
              <w:t>9,962</w:t>
            </w:r>
          </w:p>
        </w:tc>
        <w:tc>
          <w:tcPr>
            <w:tcW w:type="dxa" w:w="1440"/>
            <w:shd w:fill="FAFAFA" w:val="clear"/>
          </w:tcPr>
          <w:p>
            <w:r>
              <w:rPr>
                <w:b/>
                <w:color w:val="008000"/>
                <w:sz w:val="17"/>
              </w:rPr>
              <w:t>+1.2%</w:t>
            </w:r>
          </w:p>
        </w:tc>
      </w:tr>
      <w:tr>
        <w:tc>
          <w:tcPr>
            <w:tcW w:type="dxa" w:w="1440"/>
            <w:shd w:fill="FAFAFA" w:val="clear"/>
          </w:tcPr>
          <w:p>
            <w:r>
              <w:rPr>
                <w:sz w:val="17"/>
              </w:rPr>
              <w:t>J+6  Moyenne</w:t>
            </w:r>
          </w:p>
        </w:tc>
        <w:tc>
          <w:tcPr>
            <w:tcW w:type="dxa" w:w="1440"/>
            <w:shd w:fill="FAFAFA" w:val="clear"/>
          </w:tcPr>
          <w:p>
            <w:r>
              <w:rPr>
                <w:sz w:val="17"/>
              </w:rPr>
              <w:t>2026-09-11</w:t>
            </w:r>
          </w:p>
        </w:tc>
        <w:tc>
          <w:tcPr>
            <w:tcW w:type="dxa" w:w="1440"/>
            <w:shd w:fill="FAFAFA" w:val="clear"/>
          </w:tcPr>
          <w:p>
            <w:r>
              <w:rPr>
                <w:sz w:val="17"/>
              </w:rPr>
              <w:t>8,616</w:t>
            </w:r>
          </w:p>
        </w:tc>
        <w:tc>
          <w:tcPr>
            <w:tcW w:type="dxa" w:w="1440"/>
            <w:shd w:fill="FAFAFA" w:val="clear"/>
          </w:tcPr>
          <w:p>
            <w:r>
              <w:rPr>
                <w:b/>
                <w:sz w:val="17"/>
              </w:rPr>
              <w:t>9,334</w:t>
            </w:r>
          </w:p>
        </w:tc>
        <w:tc>
          <w:tcPr>
            <w:tcW w:type="dxa" w:w="1440"/>
            <w:shd w:fill="FAFAFA" w:val="clear"/>
          </w:tcPr>
          <w:p>
            <w:r>
              <w:rPr>
                <w:sz w:val="17"/>
              </w:rPr>
              <w:t>10,053</w:t>
            </w:r>
          </w:p>
        </w:tc>
        <w:tc>
          <w:tcPr>
            <w:tcW w:type="dxa" w:w="1440"/>
            <w:shd w:fill="FAFAFA" w:val="clear"/>
          </w:tcPr>
          <w:p>
            <w:r>
              <w:rPr>
                <w:b/>
                <w:color w:val="008000"/>
                <w:sz w:val="17"/>
              </w:rPr>
              <w:t>+1.5%</w:t>
            </w:r>
          </w:p>
        </w:tc>
      </w:tr>
      <w:tr>
        <w:tc>
          <w:tcPr>
            <w:tcW w:type="dxa" w:w="1440"/>
            <w:shd w:fill="FAFAFA" w:val="clear"/>
          </w:tcPr>
          <w:p>
            <w:r>
              <w:rPr>
                <w:sz w:val="17"/>
              </w:rPr>
              <w:t>J+7  Moyenne</w:t>
            </w:r>
          </w:p>
        </w:tc>
        <w:tc>
          <w:tcPr>
            <w:tcW w:type="dxa" w:w="1440"/>
            <w:shd w:fill="FAFAFA" w:val="clear"/>
          </w:tcPr>
          <w:p>
            <w:r>
              <w:rPr>
                <w:sz w:val="17"/>
              </w:rPr>
              <w:t>2026-09-14</w:t>
            </w:r>
          </w:p>
        </w:tc>
        <w:tc>
          <w:tcPr>
            <w:tcW w:type="dxa" w:w="1440"/>
            <w:shd w:fill="FAFAFA" w:val="clear"/>
          </w:tcPr>
          <w:p>
            <w:r>
              <w:rPr>
                <w:sz w:val="17"/>
              </w:rPr>
              <w:t>8,582</w:t>
            </w:r>
          </w:p>
        </w:tc>
        <w:tc>
          <w:tcPr>
            <w:tcW w:type="dxa" w:w="1440"/>
            <w:shd w:fill="FAFAFA" w:val="clear"/>
          </w:tcPr>
          <w:p>
            <w:r>
              <w:rPr>
                <w:b/>
                <w:sz w:val="17"/>
              </w:rPr>
              <w:t>9,360</w:t>
            </w:r>
          </w:p>
        </w:tc>
        <w:tc>
          <w:tcPr>
            <w:tcW w:type="dxa" w:w="1440"/>
            <w:shd w:fill="FAFAFA" w:val="clear"/>
          </w:tcPr>
          <w:p>
            <w:r>
              <w:rPr>
                <w:sz w:val="17"/>
              </w:rPr>
              <w:t>10,139</w:t>
            </w:r>
          </w:p>
        </w:tc>
        <w:tc>
          <w:tcPr>
            <w:tcW w:type="dxa" w:w="1440"/>
            <w:shd w:fill="FAFAFA" w:val="clear"/>
          </w:tcPr>
          <w:p>
            <w:r>
              <w:rPr>
                <w:b/>
                <w:color w:val="008000"/>
                <w:sz w:val="17"/>
              </w:rPr>
              <w:t>+1.7%</w:t>
            </w:r>
          </w:p>
        </w:tc>
      </w:tr>
      <w:tr>
        <w:tc>
          <w:tcPr>
            <w:tcW w:type="dxa" w:w="1440"/>
            <w:shd w:fill="C6EFCE" w:val="clear"/>
          </w:tcPr>
          <w:p>
            <w:r>
              <w:rPr>
                <w:sz w:val="17"/>
              </w:rPr>
              <w:t>J+8  Moyenne</w:t>
            </w:r>
          </w:p>
        </w:tc>
        <w:tc>
          <w:tcPr>
            <w:tcW w:type="dxa" w:w="1440"/>
            <w:shd w:fill="C6EFCE" w:val="clear"/>
          </w:tcPr>
          <w:p>
            <w:r>
              <w:rPr>
                <w:sz w:val="17"/>
              </w:rPr>
              <w:t>2026-09-15</w:t>
            </w:r>
          </w:p>
        </w:tc>
        <w:tc>
          <w:tcPr>
            <w:tcW w:type="dxa" w:w="1440"/>
            <w:shd w:fill="C6EFCE" w:val="clear"/>
          </w:tcPr>
          <w:p>
            <w:r>
              <w:rPr>
                <w:sz w:val="17"/>
              </w:rPr>
              <w:t>8,552</w:t>
            </w:r>
          </w:p>
        </w:tc>
        <w:tc>
          <w:tcPr>
            <w:tcW w:type="dxa" w:w="1440"/>
            <w:shd w:fill="C6EFCE" w:val="clear"/>
          </w:tcPr>
          <w:p>
            <w:r>
              <w:rPr>
                <w:b/>
                <w:sz w:val="17"/>
              </w:rPr>
              <w:t>9,386</w:t>
            </w:r>
          </w:p>
        </w:tc>
        <w:tc>
          <w:tcPr>
            <w:tcW w:type="dxa" w:w="1440"/>
            <w:shd w:fill="C6EFCE" w:val="clear"/>
          </w:tcPr>
          <w:p>
            <w:r>
              <w:rPr>
                <w:sz w:val="17"/>
              </w:rPr>
              <w:t>10,221</w:t>
            </w:r>
          </w:p>
        </w:tc>
        <w:tc>
          <w:tcPr>
            <w:tcW w:type="dxa" w:w="1440"/>
            <w:shd w:fill="C6EFCE" w:val="clear"/>
          </w:tcPr>
          <w:p>
            <w:r>
              <w:rPr>
                <w:b/>
                <w:color w:val="008000"/>
                <w:sz w:val="17"/>
              </w:rPr>
              <w:t>+2.0%</w:t>
            </w:r>
          </w:p>
        </w:tc>
      </w:tr>
      <w:tr>
        <w:tc>
          <w:tcPr>
            <w:tcW w:type="dxa" w:w="1440"/>
            <w:shd w:fill="C6EFCE" w:val="clear"/>
          </w:tcPr>
          <w:p>
            <w:r>
              <w:rPr>
                <w:sz w:val="17"/>
              </w:rPr>
              <w:t>J+9  Moyenne</w:t>
            </w:r>
          </w:p>
        </w:tc>
        <w:tc>
          <w:tcPr>
            <w:tcW w:type="dxa" w:w="1440"/>
            <w:shd w:fill="C6EFCE" w:val="clear"/>
          </w:tcPr>
          <w:p>
            <w:r>
              <w:rPr>
                <w:sz w:val="17"/>
              </w:rPr>
              <w:t>2026-09-16</w:t>
            </w:r>
          </w:p>
        </w:tc>
        <w:tc>
          <w:tcPr>
            <w:tcW w:type="dxa" w:w="1440"/>
            <w:shd w:fill="C6EFCE" w:val="clear"/>
          </w:tcPr>
          <w:p>
            <w:r>
              <w:rPr>
                <w:sz w:val="17"/>
              </w:rPr>
              <w:t>8,525</w:t>
            </w:r>
          </w:p>
        </w:tc>
        <w:tc>
          <w:tcPr>
            <w:tcW w:type="dxa" w:w="1440"/>
            <w:shd w:fill="C6EFCE" w:val="clear"/>
          </w:tcPr>
          <w:p>
            <w:r>
              <w:rPr>
                <w:b/>
                <w:sz w:val="17"/>
              </w:rPr>
              <w:t>9,412</w:t>
            </w:r>
          </w:p>
        </w:tc>
        <w:tc>
          <w:tcPr>
            <w:tcW w:type="dxa" w:w="1440"/>
            <w:shd w:fill="C6EFCE" w:val="clear"/>
          </w:tcPr>
          <w:p>
            <w:r>
              <w:rPr>
                <w:sz w:val="17"/>
              </w:rPr>
              <w:t>10,300</w:t>
            </w:r>
          </w:p>
        </w:tc>
        <w:tc>
          <w:tcPr>
            <w:tcW w:type="dxa" w:w="1440"/>
            <w:shd w:fill="C6EFCE" w:val="clear"/>
          </w:tcPr>
          <w:p>
            <w:r>
              <w:rPr>
                <w:b/>
                <w:color w:val="008000"/>
                <w:sz w:val="17"/>
              </w:rPr>
              <w:t>+2.3%</w:t>
            </w:r>
          </w:p>
        </w:tc>
      </w:tr>
      <w:tr>
        <w:tc>
          <w:tcPr>
            <w:tcW w:type="dxa" w:w="1440"/>
            <w:shd w:fill="C6EFCE" w:val="clear"/>
          </w:tcPr>
          <w:p>
            <w:r>
              <w:rPr>
                <w:sz w:val="17"/>
              </w:rPr>
              <w:t>J+10  Moyenne</w:t>
            </w:r>
          </w:p>
        </w:tc>
        <w:tc>
          <w:tcPr>
            <w:tcW w:type="dxa" w:w="1440"/>
            <w:shd w:fill="C6EFCE" w:val="clear"/>
          </w:tcPr>
          <w:p>
            <w:r>
              <w:rPr>
                <w:sz w:val="17"/>
              </w:rPr>
              <w:t>2026-09-17</w:t>
            </w:r>
          </w:p>
        </w:tc>
        <w:tc>
          <w:tcPr>
            <w:tcW w:type="dxa" w:w="1440"/>
            <w:shd w:fill="C6EFCE" w:val="clear"/>
          </w:tcPr>
          <w:p>
            <w:r>
              <w:rPr>
                <w:sz w:val="17"/>
              </w:rPr>
              <w:t>8,501</w:t>
            </w:r>
          </w:p>
        </w:tc>
        <w:tc>
          <w:tcPr>
            <w:tcW w:type="dxa" w:w="1440"/>
            <w:shd w:fill="C6EFCE" w:val="clear"/>
          </w:tcPr>
          <w:p>
            <w:r>
              <w:rPr>
                <w:b/>
                <w:sz w:val="17"/>
              </w:rPr>
              <w:t>9,438</w:t>
            </w:r>
          </w:p>
        </w:tc>
        <w:tc>
          <w:tcPr>
            <w:tcW w:type="dxa" w:w="1440"/>
            <w:shd w:fill="C6EFCE" w:val="clear"/>
          </w:tcPr>
          <w:p>
            <w:r>
              <w:rPr>
                <w:sz w:val="17"/>
              </w:rPr>
              <w:t>10,376</w:t>
            </w:r>
          </w:p>
        </w:tc>
        <w:tc>
          <w:tcPr>
            <w:tcW w:type="dxa" w:w="1440"/>
            <w:shd w:fill="C6EFCE" w:val="clear"/>
          </w:tcPr>
          <w:p>
            <w:r>
              <w:rPr>
                <w:b/>
                <w:color w:val="008000"/>
                <w:sz w:val="17"/>
              </w:rPr>
              <w:t>+2.6%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PALC s'établit à 142,23 milliards FCFA, ce qui en fait une valeur de taille moyenne sur la BRVM, représentative du secteur agro-industriel ivoirien. Avec un BPA de 1 003 FCFA, chaque action génère un bénéfice substantiel. Le PER de 9,2x est inférieur à la moyenne historique de la BRVM (8-12x), se situant dans la fourchette basse, ce qui suggère que le marché ne surpaye pas les bénéfices de l'entreprise. Le P/B de 1,00x est particulièrement intéressant : le marché valorise le titre exactement à sa valeur comptable, indiquant une décote potentielle par rapport aux actifs nets. Enfin, l'EV/EBITDA de 4,5x, nettement sous le seuil de 5x, confirme une valorisation très attractive de la capacité opérationnelle de l'entreprise, renforçant la thèse d'une sous-évaluation relative sur le marché.</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PALC a enregistré une progression totale de +5,75%, avec une dynamique récente soutenue (+2,05% lors de la dernière séance), portant le cours à 9 200 FCFA. Le titre a évolué dans une fourchette de 7 000 FCFA (plus bas) à 9 640 FCFA (plus haut), démontrant une amplitude de trading significative de 37,7%. La moyenne du cours sur la période (8 525 FCFA) est inférieure à la médiane (8 688 FCFA), et le mode est à 7 800 FCFA, indiquant une distribution légèrement asymétrique où les valeurs extrêmes basses ont été plus fréquentes en début de période avant un rattrapage haussier. L'écart-type de 574 FCFA (CV=6,7%) révèle une dispersion modérée des prix autour de la moyenne. Le kurtosis de -0,572 (mésokurtique) indique une distribution proche de la normale, sans risque de variations extrêmes soudaines. Le skewness de -0,319 suggère une asymétrie négative légère, signe que les baisses passées ont été plus marquées que les hausses. La volatilité annualisée de 37,0% classe le titre comme très volatil (&gt;30%), ce qui implique un risque élevé mais aussi un potentiel de rendement important.</w:t>
      </w:r>
    </w:p>
    <w:p>
      <w:pPr>
        <w:spacing w:after="120" w:line="276" w:lineRule="auto" w:before="240"/>
      </w:pPr>
      <w:r>
        <w:rPr>
          <w:b/>
          <w:color w:val="003366"/>
          <w:sz w:val="24"/>
        </w:rPr>
        <w:t>**PARTIE 2 : ANALYSE TECHNIQUE DÉTAILLÉE**</w:t>
      </w:r>
    </w:p>
    <w:p>
      <w:pPr>
        <w:spacing w:after="120" w:line="276" w:lineRule="auto"/>
      </w:pPr>
      <w:r>
        <w:t>**Moyennes Mobiles** : Le cours actuel de 9 200 FCFA se positionne au-dessus de la MM50 (8 954,2 FCFA) mais en dessous de la MM20 (9 246,75 FCFA). Cette configuration indique une tendance de fond haussière à moyen terme, avec un léger repli à court terme. La décision globale est un "Achat", car le titre reste dans une dynamique ascendante structurelle, soutenue par la MM50 qui agit comme un support solide.</w:t>
      </w:r>
    </w:p>
    <w:p>
      <w:pPr>
        <w:spacing w:after="120" w:line="276" w:lineRule="auto"/>
      </w:pPr>
      <w:r>
        <w:t>**Bandes de Bollinger** : Le prix se situe à 9 200 FCFA, entre la borne inférieure (8 793,768 FCFA) et la borne supérieure (9 699,732 FCFA), plus près du milieu de la bande. Cette position neutre suggère une volatilité modérée sans pression directionnelle forte. La décision "Neutre" est cohérente, le titre n'étant ni suracheté ni survendu selon cet indicateur.</w:t>
      </w:r>
    </w:p>
    <w:p>
      <w:pPr>
        <w:spacing w:after="120" w:line="276" w:lineRule="auto"/>
      </w:pPr>
      <w:r>
        <w:t>**MACD** : La valeur du MACD (90,807) est inférieure à son signal (135,558), indiquant un momentum baissier à court terme. Cette configuration technique, bien que la décision soit "Vente", doit être relativisée : les valeurs restent positives, ce qui signifie que la tendance de fond n'est pas remise en cause, mais qu'une consolidation est en cours.</w:t>
      </w:r>
    </w:p>
    <w:p>
      <w:pPr>
        <w:spacing w:after="120" w:line="276" w:lineRule="auto"/>
      </w:pPr>
      <w:r>
        <w:t>**RSI** : À 54,878, le RSI se situe en zone neutre (30-70), sans signal de surachat ni de survente. Cette valeur indique un équilibre entre les forces acheteuses et vendeuses, laissant place à une évolution directionnelle sans pression excessive. La décision "Neutre" est justifiée.</w:t>
      </w:r>
    </w:p>
    <w:p>
      <w:pPr>
        <w:spacing w:after="120" w:line="276" w:lineRule="auto"/>
      </w:pPr>
      <w:r>
        <w:t>**Stochastique** : Le %K (29,6) est supérieur au %D (24,19), suggérant un croisement haussier potentiel en zone de survente. Cette configuration, bien que classée "Neutre", pourrait annoncer un rebond technique à court terme, les deux lignes évoluant sous le seuil des 30.</w:t>
      </w:r>
    </w:p>
    <w:p>
      <w:pPr>
        <w:spacing w:after="120" w:line="276" w:lineRule="auto"/>
      </w:pPr>
      <w:r>
        <w:t>**Conclusion technique** : Les indicateurs techniques sont mitigés, avec une divergence entre les moyennes mobiles (Achat) et le MACD (Vente). Cependant, la position du cours au-dessus de la MM50, le RSI neutre et le croisement haussier du stochastique suggèrent une consolidation saine avant une possible reprise de la tendance haussière. Le signal global penche vers une stabilisation avec un biais légèrement positif à moyen terme.</w:t>
      </w:r>
    </w:p>
    <w:p>
      <w:pPr>
        <w:spacing w:after="120" w:line="276" w:lineRule="auto" w:before="240"/>
      </w:pPr>
      <w:r>
        <w:rPr>
          <w:b/>
          <w:color w:val="003366"/>
          <w:sz w:val="24"/>
        </w:rPr>
        <w:t>**PARTIE 3 : ANALYSE FONDAMENTALE (SECTION CRITIQUE)**</w:t>
      </w:r>
    </w:p>
    <w:p>
      <w:pPr>
        <w:spacing w:after="120" w:line="276" w:lineRule="auto"/>
      </w:pPr>
      <w:r>
        <w:t>En 2025, PALC affiche un chiffre d'affaires de 197,630 milliards FCFA, en croissance de +14,8% par rapport à 2024, avec un résultat net de 15,509 milliards FCFA. La marge nette s'établit à 7,85%, le ROE à 10,87% et le ROA à 7,79%. La structure financière est solide avec une autonomie financière de 71,64% et une dette financière très faible (796,56 millions FCFA). Le BFR de 44,623 milliards FCFA est positif, ce qui est défavorable pour une entreprise, et le délai clients de 142,58 jours est élevé, indiquant un risque de trésorerie. L'EBE de 33,027 milliards FCFA et le free cash flow de 19,053 milliards FCFA démontrent une bonne génération de cash malgré des investissements importants (-19,687 milliards FCFA). Les rapports trimestriels 2025 montrent une forte dynamique au T1 (CA +32%, RN +65% à 11,6 milliards) et au S1 (CA 134,8 milliards, RN 22,9 milliards, +37%), mais un ralentissement au T3 (RN cumulé 18,0 milliards sur 9 mois). Le rapport annuel 2024 (publié en 2025) confirme la baisse d'activité de -17% à 172,2 milliards FCFA avec un RN de 15,9 milliards. Cependant, le rapport T1 2026 (publié en 2026) est alarmant : CA en baisse de -27% à 49,4 milliards et RN effondré de -86% à 1,6 milliard FCFA, bien que la direction évoque un décalage temporel des ventes. Sur la base de ce T1 2026, on estime que l'exercice 2026 pourrait être difficile, avec un RN potentiel inférieur à 10 milliards FCFA si la tendance ne s'inverse pas au S1. La recommandation fondamentale est de conserver le titre, la solidité bilancielle et la capacité de rebond historique de PALC compensant les risques conjoncturels.</w:t>
      </w:r>
    </w:p>
    <w:p>
      <w:pPr>
        <w:spacing w:after="120" w:line="276" w:lineRule="auto" w:before="240"/>
      </w:pPr>
      <w:r>
        <w:rPr>
          <w:b/>
          <w:color w:val="003366"/>
          <w:sz w:val="24"/>
        </w:rPr>
        <w:t>**PARTIE 4 : CONCLUSION D'INVESTISSEMENT**</w:t>
      </w:r>
    </w:p>
    <w:p>
      <w:pPr>
        <w:spacing w:after="120" w:line="276" w:lineRule="auto"/>
      </w:pPr>
      <w:r>
        <w:t>La valorisation de PALC est attractive avec un PER de 9,2x, un P/B de 1,00x et un EV/EBITDA de 4,5x, indiquant une sous-évaluation relative sur la BRVM. Le comportement du cours sur 100 jours montre une tendance haussière modérée (+5,75%) avec une volatilité élevée (37%), mais une distribution statistique normale sans risque extrême. Les signaux techniques sont mitigés, avec une convergence positive des moyennes mobiles mais un MACD vendeur, suggérant une consolidation avant reprise. Les fondamentaux 2025 sont solides (CA +14,8%, ROE 10,87%, dette quasi nulle), mais les estimations basées sur le T1 2026 (RN -86%) indiquent une année 2026 potentiellement difficile, même si la direction parle de décalage temporel. Les prédictions IA (9 202 à 9 308 FCFA sur 10 jours) confirment une trajectoire légèrement haussière à court terme, en cohérence avec la tendance de fond. La synthèse globale suggère une recommandation **CONSERVER** avec un niveau de confiance **Moyen** et un risque global **Élevé** (volatilité du cours et incertitudes sur les résultats 2026). L'horizon d'investissement optimal est le **moyen terme (3-12 mois)**, en attendant la publication des résultats semestriels 2026 pour valider ou infirmer le redressement annoncé par la direction.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45.06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841 titres</w:t>
            </w:r>
          </w:p>
        </w:tc>
        <w:tc>
          <w:tcPr>
            <w:tcW w:type="dxa" w:w="2268"/>
            <w:shd w:fill="FFF2CC" w:val="clear"/>
          </w:tcPr>
          <w:p>
            <w:r>
              <w:rPr>
                <w:b/>
                <w:color w:val="503200"/>
                <w:sz w:val="16"/>
              </w:rPr>
              <w:t xml:space="preserve">Cours actuel : </w:t>
            </w:r>
            <w:r>
              <w:rPr>
                <w:color w:val="000000"/>
                <w:sz w:val="17"/>
              </w:rPr>
              <w:t>4,400 FCFA</w:t>
            </w:r>
          </w:p>
          <w:p>
            <w:r>
              <w:rPr>
                <w:b/>
                <w:color w:val="503200"/>
                <w:sz w:val="16"/>
              </w:rPr>
              <w:t xml:space="preserve">Var. 100 jours : </w:t>
            </w:r>
            <w:r>
              <w:rPr>
                <w:b/>
                <w:color w:val="B40000"/>
                <w:sz w:val="17"/>
              </w:rPr>
              <w:t>-11.11%</w:t>
            </w:r>
          </w:p>
          <w:p>
            <w:r>
              <w:rPr>
                <w:b/>
                <w:color w:val="503200"/>
                <w:sz w:val="16"/>
              </w:rPr>
              <w:t xml:space="preserve">Plus haut 100j : </w:t>
            </w:r>
            <w:r>
              <w:rPr>
                <w:color w:val="000000"/>
                <w:sz w:val="17"/>
              </w:rPr>
              <w:t>5,050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39.0%</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23.3/100 → Moyen</w:t>
      </w:r>
    </w:p>
    <w:p>
      <w:pPr>
        <w:spacing w:before="40" w:after="80"/>
      </w:pPr>
      <w:r>
        <w:rPr>
          <w:rFonts w:ascii="Courier New" w:hAnsi="Courier New"/>
          <w:color w:val="825A00"/>
          <w:sz w:val="18"/>
        </w:rPr>
        <w:t>████░░░░░░░░░░░░░░░░  23.3/100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7.50% (Moyenne) — μ=4,426 FCFA, σ=332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β=-0.1798 (Contre-cyclique) — Cov=-0.000007, Var(idx)=0.000036, ρ=-0.044,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841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σ_j=2.46%/j (Stable) — Vol. annualisée≈39.0%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63/100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2026-09-04</w:t>
            </w:r>
          </w:p>
        </w:tc>
        <w:tc>
          <w:tcPr>
            <w:tcW w:type="dxa" w:w="1440"/>
            <w:shd w:fill="FAFAFA" w:val="clear"/>
          </w:tcPr>
          <w:p>
            <w:r>
              <w:rPr>
                <w:sz w:val="17"/>
              </w:rPr>
              <w:t>4,295</w:t>
            </w:r>
          </w:p>
        </w:tc>
        <w:tc>
          <w:tcPr>
            <w:tcW w:type="dxa" w:w="1440"/>
            <w:shd w:fill="FAFAFA" w:val="clear"/>
          </w:tcPr>
          <w:p>
            <w:r>
              <w:rPr>
                <w:b/>
                <w:sz w:val="17"/>
              </w:rPr>
              <w:t>4,376</w:t>
            </w:r>
          </w:p>
        </w:tc>
        <w:tc>
          <w:tcPr>
            <w:tcW w:type="dxa" w:w="1440"/>
            <w:shd w:fill="FAFAFA" w:val="clear"/>
          </w:tcPr>
          <w:p>
            <w:r>
              <w:rPr>
                <w:sz w:val="17"/>
              </w:rPr>
              <w:t>4,456</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2026-09-07</w:t>
            </w:r>
          </w:p>
        </w:tc>
        <w:tc>
          <w:tcPr>
            <w:tcW w:type="dxa" w:w="1440"/>
            <w:shd w:fill="FAFAFA" w:val="clear"/>
          </w:tcPr>
          <w:p>
            <w:r>
              <w:rPr>
                <w:sz w:val="17"/>
              </w:rPr>
              <w:t>4,241</w:t>
            </w:r>
          </w:p>
        </w:tc>
        <w:tc>
          <w:tcPr>
            <w:tcW w:type="dxa" w:w="1440"/>
            <w:shd w:fill="FAFAFA" w:val="clear"/>
          </w:tcPr>
          <w:p>
            <w:r>
              <w:rPr>
                <w:b/>
                <w:sz w:val="17"/>
              </w:rPr>
              <w:t>4,354</w:t>
            </w:r>
          </w:p>
        </w:tc>
        <w:tc>
          <w:tcPr>
            <w:tcW w:type="dxa" w:w="1440"/>
            <w:shd w:fill="FAFAFA" w:val="clear"/>
          </w:tcPr>
          <w:p>
            <w:r>
              <w:rPr>
                <w:sz w:val="17"/>
              </w:rPr>
              <w:t>4,468</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2026-09-08</w:t>
            </w:r>
          </w:p>
        </w:tc>
        <w:tc>
          <w:tcPr>
            <w:tcW w:type="dxa" w:w="1440"/>
            <w:shd w:fill="FAFAFA" w:val="clear"/>
          </w:tcPr>
          <w:p>
            <w:r>
              <w:rPr>
                <w:sz w:val="17"/>
              </w:rPr>
              <w:t>4,195</w:t>
            </w:r>
          </w:p>
        </w:tc>
        <w:tc>
          <w:tcPr>
            <w:tcW w:type="dxa" w:w="1440"/>
            <w:shd w:fill="FAFAFA" w:val="clear"/>
          </w:tcPr>
          <w:p>
            <w:r>
              <w:rPr>
                <w:b/>
                <w:sz w:val="17"/>
              </w:rPr>
              <w:t>4,334</w:t>
            </w:r>
          </w:p>
        </w:tc>
        <w:tc>
          <w:tcPr>
            <w:tcW w:type="dxa" w:w="1440"/>
            <w:shd w:fill="FAFAFA" w:val="clear"/>
          </w:tcPr>
          <w:p>
            <w:r>
              <w:rPr>
                <w:sz w:val="17"/>
              </w:rPr>
              <w:t>4,472</w:t>
            </w:r>
          </w:p>
        </w:tc>
        <w:tc>
          <w:tcPr>
            <w:tcW w:type="dxa" w:w="1440"/>
            <w:shd w:fill="FAFAFA" w:val="clear"/>
          </w:tcPr>
          <w:p>
            <w:r>
              <w:rPr>
                <w:b/>
                <w:color w:val="C00000"/>
                <w:sz w:val="17"/>
              </w:rPr>
              <w:t>-1.5%</w:t>
            </w:r>
          </w:p>
        </w:tc>
      </w:tr>
      <w:tr>
        <w:tc>
          <w:tcPr>
            <w:tcW w:type="dxa" w:w="1440"/>
            <w:shd w:fill="FAFAFA" w:val="clear"/>
          </w:tcPr>
          <w:p>
            <w:r>
              <w:rPr>
                <w:sz w:val="17"/>
              </w:rPr>
              <w:t>J+4  Moyenne</w:t>
            </w:r>
          </w:p>
        </w:tc>
        <w:tc>
          <w:tcPr>
            <w:tcW w:type="dxa" w:w="1440"/>
            <w:shd w:fill="FAFAFA" w:val="clear"/>
          </w:tcPr>
          <w:p>
            <w:r>
              <w:rPr>
                <w:sz w:val="17"/>
              </w:rPr>
              <w:t>2026-09-09</w:t>
            </w:r>
          </w:p>
        </w:tc>
        <w:tc>
          <w:tcPr>
            <w:tcW w:type="dxa" w:w="1440"/>
            <w:shd w:fill="FAFAFA" w:val="clear"/>
          </w:tcPr>
          <w:p>
            <w:r>
              <w:rPr>
                <w:sz w:val="17"/>
              </w:rPr>
              <w:t>4,155</w:t>
            </w:r>
          </w:p>
        </w:tc>
        <w:tc>
          <w:tcPr>
            <w:tcW w:type="dxa" w:w="1440"/>
            <w:shd w:fill="FAFAFA" w:val="clear"/>
          </w:tcPr>
          <w:p>
            <w:r>
              <w:rPr>
                <w:b/>
                <w:sz w:val="17"/>
              </w:rPr>
              <w:t>4,314</w:t>
            </w:r>
          </w:p>
        </w:tc>
        <w:tc>
          <w:tcPr>
            <w:tcW w:type="dxa" w:w="1440"/>
            <w:shd w:fill="FAFAFA" w:val="clear"/>
          </w:tcPr>
          <w:p>
            <w:r>
              <w:rPr>
                <w:sz w:val="17"/>
              </w:rPr>
              <w:t>4,473</w:t>
            </w:r>
          </w:p>
        </w:tc>
        <w:tc>
          <w:tcPr>
            <w:tcW w:type="dxa" w:w="1440"/>
            <w:shd w:fill="FAFAFA" w:val="clear"/>
          </w:tcPr>
          <w:p>
            <w:r>
              <w:rPr>
                <w:b/>
                <w:color w:val="C00000"/>
                <w:sz w:val="17"/>
              </w:rPr>
              <w:t>-2.0%</w:t>
            </w:r>
          </w:p>
        </w:tc>
      </w:tr>
      <w:tr>
        <w:tc>
          <w:tcPr>
            <w:tcW w:type="dxa" w:w="1440"/>
            <w:shd w:fill="FFDCE0" w:val="clear"/>
          </w:tcPr>
          <w:p>
            <w:r>
              <w:rPr>
                <w:sz w:val="17"/>
              </w:rPr>
              <w:t>J+5  Moyenne</w:t>
            </w:r>
          </w:p>
        </w:tc>
        <w:tc>
          <w:tcPr>
            <w:tcW w:type="dxa" w:w="1440"/>
            <w:shd w:fill="FFDCE0" w:val="clear"/>
          </w:tcPr>
          <w:p>
            <w:r>
              <w:rPr>
                <w:sz w:val="17"/>
              </w:rPr>
              <w:t>2026-09-10</w:t>
            </w:r>
          </w:p>
        </w:tc>
        <w:tc>
          <w:tcPr>
            <w:tcW w:type="dxa" w:w="1440"/>
            <w:shd w:fill="FFDCE0" w:val="clear"/>
          </w:tcPr>
          <w:p>
            <w:r>
              <w:rPr>
                <w:sz w:val="17"/>
              </w:rPr>
              <w:t>4,117</w:t>
            </w:r>
          </w:p>
        </w:tc>
        <w:tc>
          <w:tcPr>
            <w:tcW w:type="dxa" w:w="1440"/>
            <w:shd w:fill="FFDCE0" w:val="clear"/>
          </w:tcPr>
          <w:p>
            <w:r>
              <w:rPr>
                <w:b/>
                <w:sz w:val="17"/>
              </w:rPr>
              <w:t>4,294</w:t>
            </w:r>
          </w:p>
        </w:tc>
        <w:tc>
          <w:tcPr>
            <w:tcW w:type="dxa" w:w="1440"/>
            <w:shd w:fill="FFDCE0" w:val="clear"/>
          </w:tcPr>
          <w:p>
            <w:r>
              <w:rPr>
                <w:sz w:val="17"/>
              </w:rPr>
              <w:t>4,471</w:t>
            </w:r>
          </w:p>
        </w:tc>
        <w:tc>
          <w:tcPr>
            <w:tcW w:type="dxa" w:w="1440"/>
            <w:shd w:fill="FFDCE0" w:val="clear"/>
          </w:tcPr>
          <w:p>
            <w:r>
              <w:rPr>
                <w:b/>
                <w:color w:val="C00000"/>
                <w:sz w:val="17"/>
              </w:rPr>
              <w:t>-2.4%</w:t>
            </w:r>
          </w:p>
        </w:tc>
      </w:tr>
      <w:tr>
        <w:tc>
          <w:tcPr>
            <w:tcW w:type="dxa" w:w="1440"/>
            <w:shd w:fill="FFDCE0" w:val="clear"/>
          </w:tcPr>
          <w:p>
            <w:r>
              <w:rPr>
                <w:sz w:val="17"/>
              </w:rPr>
              <w:t>J+6  Moyenne</w:t>
            </w:r>
          </w:p>
        </w:tc>
        <w:tc>
          <w:tcPr>
            <w:tcW w:type="dxa" w:w="1440"/>
            <w:shd w:fill="FFDCE0" w:val="clear"/>
          </w:tcPr>
          <w:p>
            <w:r>
              <w:rPr>
                <w:sz w:val="17"/>
              </w:rPr>
              <w:t>2026-09-11</w:t>
            </w:r>
          </w:p>
        </w:tc>
        <w:tc>
          <w:tcPr>
            <w:tcW w:type="dxa" w:w="1440"/>
            <w:shd w:fill="FFDCE0" w:val="clear"/>
          </w:tcPr>
          <w:p>
            <w:r>
              <w:rPr>
                <w:sz w:val="17"/>
              </w:rPr>
              <w:t>4,081</w:t>
            </w:r>
          </w:p>
        </w:tc>
        <w:tc>
          <w:tcPr>
            <w:tcW w:type="dxa" w:w="1440"/>
            <w:shd w:fill="FFDCE0" w:val="clear"/>
          </w:tcPr>
          <w:p>
            <w:r>
              <w:rPr>
                <w:b/>
                <w:sz w:val="17"/>
              </w:rPr>
              <w:t>4,275</w:t>
            </w:r>
          </w:p>
        </w:tc>
        <w:tc>
          <w:tcPr>
            <w:tcW w:type="dxa" w:w="1440"/>
            <w:shd w:fill="FFDCE0" w:val="clear"/>
          </w:tcPr>
          <w:p>
            <w:r>
              <w:rPr>
                <w:sz w:val="17"/>
              </w:rPr>
              <w:t>4,468</w:t>
            </w:r>
          </w:p>
        </w:tc>
        <w:tc>
          <w:tcPr>
            <w:tcW w:type="dxa" w:w="1440"/>
            <w:shd w:fill="FFDCE0" w:val="clear"/>
          </w:tcPr>
          <w:p>
            <w:r>
              <w:rPr>
                <w:b/>
                <w:color w:val="C00000"/>
                <w:sz w:val="17"/>
              </w:rPr>
              <w:t>-2.8%</w:t>
            </w:r>
          </w:p>
        </w:tc>
      </w:tr>
      <w:tr>
        <w:tc>
          <w:tcPr>
            <w:tcW w:type="dxa" w:w="1440"/>
            <w:shd w:fill="FFDCE0" w:val="clear"/>
          </w:tcPr>
          <w:p>
            <w:r>
              <w:rPr>
                <w:sz w:val="17"/>
              </w:rPr>
              <w:t>J+7  Moyenne</w:t>
            </w:r>
          </w:p>
        </w:tc>
        <w:tc>
          <w:tcPr>
            <w:tcW w:type="dxa" w:w="1440"/>
            <w:shd w:fill="FFDCE0" w:val="clear"/>
          </w:tcPr>
          <w:p>
            <w:r>
              <w:rPr>
                <w:sz w:val="17"/>
              </w:rPr>
              <w:t>2026-09-14</w:t>
            </w:r>
          </w:p>
        </w:tc>
        <w:tc>
          <w:tcPr>
            <w:tcW w:type="dxa" w:w="1440"/>
            <w:shd w:fill="FFDCE0" w:val="clear"/>
          </w:tcPr>
          <w:p>
            <w:r>
              <w:rPr>
                <w:sz w:val="17"/>
              </w:rPr>
              <w:t>4,048</w:t>
            </w:r>
          </w:p>
        </w:tc>
        <w:tc>
          <w:tcPr>
            <w:tcW w:type="dxa" w:w="1440"/>
            <w:shd w:fill="FFDCE0" w:val="clear"/>
          </w:tcPr>
          <w:p>
            <w:r>
              <w:rPr>
                <w:b/>
                <w:sz w:val="17"/>
              </w:rPr>
              <w:t>4,256</w:t>
            </w:r>
          </w:p>
        </w:tc>
        <w:tc>
          <w:tcPr>
            <w:tcW w:type="dxa" w:w="1440"/>
            <w:shd w:fill="FFDCE0" w:val="clear"/>
          </w:tcPr>
          <w:p>
            <w:r>
              <w:rPr>
                <w:sz w:val="17"/>
              </w:rPr>
              <w:t>4,463</w:t>
            </w:r>
          </w:p>
        </w:tc>
        <w:tc>
          <w:tcPr>
            <w:tcW w:type="dxa" w:w="1440"/>
            <w:shd w:fill="FFDCE0" w:val="clear"/>
          </w:tcPr>
          <w:p>
            <w:r>
              <w:rPr>
                <w:b/>
                <w:color w:val="C00000"/>
                <w:sz w:val="17"/>
              </w:rPr>
              <w:t>-3.3%</w:t>
            </w:r>
          </w:p>
        </w:tc>
      </w:tr>
      <w:tr>
        <w:tc>
          <w:tcPr>
            <w:tcW w:type="dxa" w:w="1440"/>
            <w:shd w:fill="FFDCE0" w:val="clear"/>
          </w:tcPr>
          <w:p>
            <w:r>
              <w:rPr>
                <w:sz w:val="17"/>
              </w:rPr>
              <w:t>J+8  Moyenne</w:t>
            </w:r>
          </w:p>
        </w:tc>
        <w:tc>
          <w:tcPr>
            <w:tcW w:type="dxa" w:w="1440"/>
            <w:shd w:fill="FFDCE0" w:val="clear"/>
          </w:tcPr>
          <w:p>
            <w:r>
              <w:rPr>
                <w:sz w:val="17"/>
              </w:rPr>
              <w:t>2026-09-15</w:t>
            </w:r>
          </w:p>
        </w:tc>
        <w:tc>
          <w:tcPr>
            <w:tcW w:type="dxa" w:w="1440"/>
            <w:shd w:fill="FFDCE0" w:val="clear"/>
          </w:tcPr>
          <w:p>
            <w:r>
              <w:rPr>
                <w:sz w:val="17"/>
              </w:rPr>
              <w:t>4,016</w:t>
            </w:r>
          </w:p>
        </w:tc>
        <w:tc>
          <w:tcPr>
            <w:tcW w:type="dxa" w:w="1440"/>
            <w:shd w:fill="FFDCE0" w:val="clear"/>
          </w:tcPr>
          <w:p>
            <w:r>
              <w:rPr>
                <w:b/>
                <w:sz w:val="17"/>
              </w:rPr>
              <w:t>4,237</w:t>
            </w:r>
          </w:p>
        </w:tc>
        <w:tc>
          <w:tcPr>
            <w:tcW w:type="dxa" w:w="1440"/>
            <w:shd w:fill="FFDCE0" w:val="clear"/>
          </w:tcPr>
          <w:p>
            <w:r>
              <w:rPr>
                <w:sz w:val="17"/>
              </w:rPr>
              <w:t>4,458</w:t>
            </w:r>
          </w:p>
        </w:tc>
        <w:tc>
          <w:tcPr>
            <w:tcW w:type="dxa" w:w="1440"/>
            <w:shd w:fill="FFDCE0" w:val="clear"/>
          </w:tcPr>
          <w:p>
            <w:r>
              <w:rPr>
                <w:b/>
                <w:color w:val="C00000"/>
                <w:sz w:val="17"/>
              </w:rPr>
              <w:t>-3.7%</w:t>
            </w:r>
          </w:p>
        </w:tc>
      </w:tr>
      <w:tr>
        <w:tc>
          <w:tcPr>
            <w:tcW w:type="dxa" w:w="1440"/>
            <w:shd w:fill="FFDCE0" w:val="clear"/>
          </w:tcPr>
          <w:p>
            <w:r>
              <w:rPr>
                <w:sz w:val="17"/>
              </w:rPr>
              <w:t>J+9  Moyenne</w:t>
            </w:r>
          </w:p>
        </w:tc>
        <w:tc>
          <w:tcPr>
            <w:tcW w:type="dxa" w:w="1440"/>
            <w:shd w:fill="FFDCE0" w:val="clear"/>
          </w:tcPr>
          <w:p>
            <w:r>
              <w:rPr>
                <w:sz w:val="17"/>
              </w:rPr>
              <w:t>2026-09-16</w:t>
            </w:r>
          </w:p>
        </w:tc>
        <w:tc>
          <w:tcPr>
            <w:tcW w:type="dxa" w:w="1440"/>
            <w:shd w:fill="FFDCE0" w:val="clear"/>
          </w:tcPr>
          <w:p>
            <w:r>
              <w:rPr>
                <w:sz w:val="17"/>
              </w:rPr>
              <w:t>3,985</w:t>
            </w:r>
          </w:p>
        </w:tc>
        <w:tc>
          <w:tcPr>
            <w:tcW w:type="dxa" w:w="1440"/>
            <w:shd w:fill="FFDCE0" w:val="clear"/>
          </w:tcPr>
          <w:p>
            <w:r>
              <w:rPr>
                <w:b/>
                <w:sz w:val="17"/>
              </w:rPr>
              <w:t>4,219</w:t>
            </w:r>
          </w:p>
        </w:tc>
        <w:tc>
          <w:tcPr>
            <w:tcW w:type="dxa" w:w="1440"/>
            <w:shd w:fill="FFDCE0" w:val="clear"/>
          </w:tcPr>
          <w:p>
            <w:r>
              <w:rPr>
                <w:sz w:val="17"/>
              </w:rPr>
              <w:t>4,452</w:t>
            </w:r>
          </w:p>
        </w:tc>
        <w:tc>
          <w:tcPr>
            <w:tcW w:type="dxa" w:w="1440"/>
            <w:shd w:fill="FFDCE0" w:val="clear"/>
          </w:tcPr>
          <w:p>
            <w:r>
              <w:rPr>
                <w:b/>
                <w:color w:val="C00000"/>
                <w:sz w:val="17"/>
              </w:rPr>
              <w:t>-4.1%</w:t>
            </w:r>
          </w:p>
        </w:tc>
      </w:tr>
      <w:tr>
        <w:tc>
          <w:tcPr>
            <w:tcW w:type="dxa" w:w="1440"/>
            <w:shd w:fill="FFDCE0" w:val="clear"/>
          </w:tcPr>
          <w:p>
            <w:r>
              <w:rPr>
                <w:sz w:val="17"/>
              </w:rPr>
              <w:t>J+10  Moyenne</w:t>
            </w:r>
          </w:p>
        </w:tc>
        <w:tc>
          <w:tcPr>
            <w:tcW w:type="dxa" w:w="1440"/>
            <w:shd w:fill="FFDCE0" w:val="clear"/>
          </w:tcPr>
          <w:p>
            <w:r>
              <w:rPr>
                <w:sz w:val="17"/>
              </w:rPr>
              <w:t>2026-09-17</w:t>
            </w:r>
          </w:p>
        </w:tc>
        <w:tc>
          <w:tcPr>
            <w:tcW w:type="dxa" w:w="1440"/>
            <w:shd w:fill="FFDCE0" w:val="clear"/>
          </w:tcPr>
          <w:p>
            <w:r>
              <w:rPr>
                <w:sz w:val="17"/>
              </w:rPr>
              <w:t>3,956</w:t>
            </w:r>
          </w:p>
        </w:tc>
        <w:tc>
          <w:tcPr>
            <w:tcW w:type="dxa" w:w="1440"/>
            <w:shd w:fill="FFDCE0" w:val="clear"/>
          </w:tcPr>
          <w:p>
            <w:r>
              <w:rPr>
                <w:b/>
                <w:sz w:val="17"/>
              </w:rPr>
              <w:t>4,201</w:t>
            </w:r>
          </w:p>
        </w:tc>
        <w:tc>
          <w:tcPr>
            <w:tcW w:type="dxa" w:w="1440"/>
            <w:shd w:fill="FFDCE0" w:val="clear"/>
          </w:tcPr>
          <w:p>
            <w:r>
              <w:rPr>
                <w:sz w:val="17"/>
              </w:rPr>
              <w:t>4,446</w:t>
            </w:r>
          </w:p>
        </w:tc>
        <w:tc>
          <w:tcPr>
            <w:tcW w:type="dxa" w:w="1440"/>
            <w:shd w:fill="FFDCE0" w:val="clear"/>
          </w:tcPr>
          <w:p>
            <w:r>
              <w:rPr>
                <w:b/>
                <w:color w:val="C00000"/>
                <w:sz w:val="17"/>
              </w:rPr>
              <w:t>-4.5%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(TRACTAFRIC MOTORS CI)**</w:t>
        <w:br/>
        <w:t>**Date de l'analyse : 03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PRSC s'établit à 45,06 milliards FCFA, un niveau qui la positionne comme une valeur de taille moyenne sur la BRVM. Avec un BPA de 231 FCFA, le titre se négocie à un PER de 19,0x. Ce ratio est nettement supérieur à la moyenne historique de la BRVM (8-12x), indiquant que les investisseurs paient une prime substantielle pour les bénéfices de la société. Cette prime est confirmée par le P/B de 3,91x, qui valorise l'actif net comptable près de 4 fois, suggérant une forte confiance dans la croissance future et la rentabilité des actifs. Enfin, un EV/EBITDA de 9,7x reste dans une zone jugée raisonnable (5-10x), indiquant que la valeur d'entreprise par rapport à la rentabilité opérationnelle n'est pas excessive. Globalement, la valorisation actuelle intègre des attentes de croissance et de redressement des marges, ce qui laisse peu de marge d'erreur en cas de déception.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PRSC a enregistré une baisse significative de -11,11%, avec un cours actuel de 4 400 FCFA, en stagnation lors de la dernière séance. Le titre a évolué dans une fourchette large de 3 620 FCFA (plus bas) à 5 050 FCFA (plus haut), illustrant une volatilité marquée sur la période. La moyenne (4 426 FCFA) est inférieure à la médiane (4 478 FCFA), et le skewness négatif (-0.749) confirme une asymétrie avec des épisodes de fortes baisses plus fréquents que les fortes hausses, tirant le cours vers le bas. L'écart-type de 334 FCFA (CV=7,5%) montre une dispersion modérée autour de la moyenne, tandis que le kurtosis de 0.412 (mésokurtique) indique une distribution des rendements proche de la normale, sans risque de variations extrêmes particulier. La volatilité annualisée de 39,0% classe le titre comme très volatil (&gt;30%), reflétant un risque élevé. La tendance générale est donc clairement baissière, marquée par une forte correction depuis les plus hauts.</w:t>
      </w:r>
    </w:p>
    <w:p>
      <w:pPr>
        <w:spacing w:after="120" w:line="276" w:lineRule="auto"/>
      </w:pPr>
      <w:r>
        <w:t>---</w:t>
      </w:r>
    </w:p>
    <w:p>
      <w:pPr>
        <w:spacing w:after="120" w:line="276" w:lineRule="auto"/>
      </w:pPr>
      <w:r>
        <w:t>### PARTIE 2 : ANALYSE TECHNIQUE DÉTAILLÉE</w:t>
      </w:r>
    </w:p>
    <w:p>
      <w:pPr>
        <w:spacing w:after="120" w:line="276" w:lineRule="auto"/>
      </w:pPr>
      <w:r>
        <w:t>**Moyennes Mobiles**: Le cours actuel (4 400 FCFA) se situe en dessous de la MM20 (4 459,5 FCFA) et de la MM50 (4 492,5 FCFA). Cette configuration, où les moyennes agissent comme des résistances dynamiques, confirme une tendance baissière à court et moyen terme. La décision de "Vente" est justifiée par cette structure baissière.</w:t>
      </w:r>
    </w:p>
    <w:p>
      <w:pPr>
        <w:spacing w:after="120" w:line="276" w:lineRule="auto"/>
      </w:pPr>
      <w:r>
        <w:t>**Bandes de Bollinger**: Le prix se trouve à l'intérieur des bandes, proche de la borne inférieure (4 365,1 FCFA), sans la toucher. Cela indique une pression vendeuse persistante mais sans condition de survente extrême. La décision "Neutre" est cohérente avec une volatilité qui n'explose pas, mais le biais reste négatif.</w:t>
      </w:r>
    </w:p>
    <w:p>
      <w:pPr>
        <w:spacing w:after="120" w:line="276" w:lineRule="auto"/>
      </w:pPr>
      <w:r>
        <w:t>**MACD**: Le MACD (-9.8) est négatif et se situe sous sa ligne de signal (-3.9). Cette divergence baissière indique un momentum négatif qui, bien que ralentissant, ne montre pas encore de signe de retournement haussier. La décision de "Vente" est donc maintenue.</w:t>
      </w:r>
    </w:p>
    <w:p>
      <w:pPr>
        <w:spacing w:after="120" w:line="276" w:lineRule="auto"/>
      </w:pPr>
      <w:r>
        <w:t>**RSI**: Le RSI à 40,6 est en zone neutre (30-70), mais proche de la zone de survente. Cela suggère que la pression vendeuse s'essouffle sans qu'un signal d'achat fort ne soit encore déclenché. La décision "Neutre" est appropriée, mais une cassure sous 30 pourrait signaler une opportunité d'achat.</w:t>
      </w:r>
    </w:p>
    <w:p>
      <w:pPr>
        <w:spacing w:after="120" w:line="276" w:lineRule="auto"/>
      </w:pPr>
      <w:r>
        <w:t>**Stochastique**: Le %K est à 0,0 et le %D à 20,0, indiquant que le titre est en territoire de survente extrême. Bien que le croisement haussier ne soit pas encore intervenu, cette configuration suggère un potentiel de rebond technique à très court terme. La décision "Achat" est un signal précoce de retournement possible.</w:t>
      </w:r>
    </w:p>
    <w:p>
      <w:pPr>
        <w:spacing w:after="120" w:line="276" w:lineRule="auto"/>
      </w:pPr>
      <w:r>
        <w:t>**Conclusion technique**: Les indicateurs de tendance (MM, MACD) sont baissiers, tandis que les oscillateurs (RSI, Stochastique) montrent des signes de survente. Cette divergence suggère que la tendance baissière pourrait perdre de l'ampleur, mais un signal d'achat fiable nécessiterait une confirmation par un retour au-dessus des moyennes mobiles. La prudence reste de mise.</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officielles, PRSC a réalisé un chiffre d'affaires de 81,127 milliards FCFA, en croissance de 9,5% par rapport à 2024 (74,45 Mds FCFA), qui avait connu une baisse de 4,15%. Le résultat net 2025 s'établit à 2,367 milliards FCFA, en légère hausse par rapport aux 2,177 milliards de 2024, démontrant une stabilisation de la rentabilité. La marge nette reste faible à 2,9%, mais le ROE est excellent à 20,5%, grâce à des capitaux propres renforcés à 11,531 milliards FCFA. Le ROA de 4,9% est plus modéré. En tant qu'entreprise de distribution automobile, l'analyse du BFR est cruciale : il est élevé à 11,267 milliards FCFA, avec des délais clients de 46 jours et une durée de stockage de 150 jours, ce qui immobilise du capital. Cependant, le délai fournisseurs de 103 jours est un point positif, offrant un financement naturel. Le rapport d'activité du S1 2025 (30/06/2025) montrait une performance exceptionnelle avec un CA en hausse de +15,1% et un résultat net multiplié par 28, mais la direction anticipait un ralentissement au S2 dû au contexte électoral. Les rapports de 2023 et 2024 recommandaient de "Conserver" avec vigilance, une position qui semble toujours valide. Le dividende proposé pour 2025 est de 209 FCFA par action, offrant un rendement modeste mais un signal positif. La structure financière reste fragile avec une trésorerie nette négative de -4,092 milliards FCFA, bien que la capacité de remboursement soit rapide (1,83 an).</w:t>
      </w:r>
    </w:p>
    <w:p>
      <w:pPr>
        <w:spacing w:after="120" w:line="276" w:lineRule="auto"/>
      </w:pPr>
      <w:r>
        <w:t>---</w:t>
      </w:r>
    </w:p>
    <w:p>
      <w:pPr>
        <w:spacing w:after="120" w:line="276" w:lineRule="auto"/>
      </w:pPr>
      <w:r>
        <w:t>### PARTIE 4 : CONCLUSION D'INVESTISSEMENT</w:t>
      </w:r>
    </w:p>
    <w:p>
      <w:pPr>
        <w:spacing w:after="120" w:line="276" w:lineRule="auto"/>
      </w:pPr>
      <w:r>
        <w:t>La valorisation actuelle de PRSC (PER 19x, P/B 3,9x) est exigeante et ne reflète pas la faiblesse des marges, suggérant une possible surévaluation relative. Le comportement du cours sur 100 jours est baissier avec une volatilité élevée, et les statistiques (skewness négatif) confirment un biais défavorable. Les signaux techniques sont partagés : la tendance de fond (MM, MACD) reste vendeuse, mais les oscillateurs (RSI, Stochastique) indiquent une survente, laissant présager un rebond technique. Les fondamentaux montrent une amélioration de la croissance du CA en 2025 (+9,5%) et un ROE élevé, mais la rentabilité nette reste structurellement faible et la trésorerie est sous pression. Les prédictions IA sur 10 jours (4 376 à 4 294 FCFA) confirment une poursuite de la baisse, en ligne avec la tendance technique. En synthèse, les signaux sont globalement baissiers à court terme, malgré des fondamentaux stabilisés. La recommandation est donc de **CONSERVER** pour les actionnaires actuels, mais de ne pas initier de position. Le niveau de confiance est **Moyen**, le risque est **Élevé** en raison de la volatilité et de la pression sur la trésorerie. L'horizon d'investissement optimal serait de **moyen terme (3-12 mois)**, en attendant une amélioration durable des marges et une clarification de la stratégie de gestion du BFR.</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47.09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7,645 titres</w:t>
            </w:r>
          </w:p>
        </w:tc>
        <w:tc>
          <w:tcPr>
            <w:tcW w:type="dxa" w:w="2268"/>
            <w:shd w:fill="FFF2CC" w:val="clear"/>
          </w:tcPr>
          <w:p>
            <w:r>
              <w:rPr>
                <w:b/>
                <w:color w:val="503200"/>
                <w:sz w:val="16"/>
              </w:rPr>
              <w:t xml:space="preserve">Cours actuel : </w:t>
            </w:r>
            <w:r>
              <w:rPr>
                <w:color w:val="000000"/>
                <w:sz w:val="17"/>
              </w:rPr>
              <w:t>5,800 FCFA</w:t>
            </w:r>
          </w:p>
          <w:p>
            <w:r>
              <w:rPr>
                <w:b/>
                <w:color w:val="503200"/>
                <w:sz w:val="16"/>
              </w:rPr>
              <w:t xml:space="preserve">Var. 100 jours : </w:t>
            </w:r>
            <w:r>
              <w:rPr>
                <w:b/>
                <w:color w:val="B40000"/>
                <w:sz w:val="17"/>
              </w:rPr>
              <w:t>-17.14%</w:t>
            </w:r>
          </w:p>
          <w:p>
            <w:r>
              <w:rPr>
                <w:b/>
                <w:color w:val="503200"/>
                <w:sz w:val="16"/>
              </w:rPr>
              <w:t xml:space="preserve">Plus haut 100j : </w:t>
            </w:r>
            <w:r>
              <w:rPr>
                <w:color w:val="000000"/>
                <w:sz w:val="17"/>
              </w:rPr>
              <w:t>7,435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82.5%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30.1/100 → Moyen</w:t>
      </w:r>
    </w:p>
    <w:p>
      <w:pPr>
        <w:spacing w:before="40" w:after="80"/>
      </w:pPr>
      <w:r>
        <w:rPr>
          <w:rFonts w:ascii="Courier New" w:hAnsi="Courier New"/>
          <w:color w:val="825A00"/>
          <w:sz w:val="18"/>
        </w:rPr>
        <w:t>██████░░░░░░░░░░░░░░  30.1/100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20.23% (Élevée) — μ=4,685 FCFA, σ=948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β=0.4322 (Défensif) — Cov=0.000016, Var(idx)=0.000036, ρ=0.050,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7,645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σ_j=5.20%/j (Instable) — Vol. annualisée≈82.5%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2026-09-04</w:t>
            </w:r>
          </w:p>
        </w:tc>
        <w:tc>
          <w:tcPr>
            <w:tcW w:type="dxa" w:w="1440"/>
            <w:shd w:fill="FFDCE0" w:val="clear"/>
          </w:tcPr>
          <w:p>
            <w:r>
              <w:rPr>
                <w:sz w:val="17"/>
              </w:rPr>
              <w:t>5,050</w:t>
            </w:r>
          </w:p>
        </w:tc>
        <w:tc>
          <w:tcPr>
            <w:tcW w:type="dxa" w:w="1440"/>
            <w:shd w:fill="FFDCE0" w:val="clear"/>
          </w:tcPr>
          <w:p>
            <w:r>
              <w:rPr>
                <w:b/>
                <w:sz w:val="17"/>
              </w:rPr>
              <w:t>5,365</w:t>
            </w:r>
          </w:p>
        </w:tc>
        <w:tc>
          <w:tcPr>
            <w:tcW w:type="dxa" w:w="1440"/>
            <w:shd w:fill="FFDCE0" w:val="clear"/>
          </w:tcPr>
          <w:p>
            <w:r>
              <w:rPr>
                <w:sz w:val="17"/>
              </w:rPr>
              <w:t>5,680</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2026-09-07</w:t>
            </w:r>
          </w:p>
        </w:tc>
        <w:tc>
          <w:tcPr>
            <w:tcW w:type="dxa" w:w="1440"/>
            <w:shd w:fill="FFDCE0" w:val="clear"/>
          </w:tcPr>
          <w:p>
            <w:r>
              <w:rPr>
                <w:sz w:val="17"/>
              </w:rPr>
              <w:t>4,550</w:t>
            </w:r>
          </w:p>
        </w:tc>
        <w:tc>
          <w:tcPr>
            <w:tcW w:type="dxa" w:w="1440"/>
            <w:shd w:fill="FFDCE0" w:val="clear"/>
          </w:tcPr>
          <w:p>
            <w:r>
              <w:rPr>
                <w:b/>
                <w:sz w:val="17"/>
              </w:rPr>
              <w:t>4,963</w:t>
            </w:r>
          </w:p>
        </w:tc>
        <w:tc>
          <w:tcPr>
            <w:tcW w:type="dxa" w:w="1440"/>
            <w:shd w:fill="FFDCE0" w:val="clear"/>
          </w:tcPr>
          <w:p>
            <w:r>
              <w:rPr>
                <w:sz w:val="17"/>
              </w:rPr>
              <w:t>5,375</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2026-09-08</w:t>
            </w:r>
          </w:p>
        </w:tc>
        <w:tc>
          <w:tcPr>
            <w:tcW w:type="dxa" w:w="1440"/>
            <w:shd w:fill="FFDCE0" w:val="clear"/>
          </w:tcPr>
          <w:p>
            <w:r>
              <w:rPr>
                <w:sz w:val="17"/>
              </w:rPr>
              <w:t>4,123</w:t>
            </w:r>
          </w:p>
        </w:tc>
        <w:tc>
          <w:tcPr>
            <w:tcW w:type="dxa" w:w="1440"/>
            <w:shd w:fill="FFDCE0" w:val="clear"/>
          </w:tcPr>
          <w:p>
            <w:r>
              <w:rPr>
                <w:b/>
                <w:sz w:val="17"/>
              </w:rPr>
              <w:t>4,590</w:t>
            </w:r>
          </w:p>
        </w:tc>
        <w:tc>
          <w:tcPr>
            <w:tcW w:type="dxa" w:w="1440"/>
            <w:shd w:fill="FFDCE0" w:val="clear"/>
          </w:tcPr>
          <w:p>
            <w:r>
              <w:rPr>
                <w:sz w:val="17"/>
              </w:rPr>
              <w:t>5,058</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2026-09-09</w:t>
            </w:r>
          </w:p>
        </w:tc>
        <w:tc>
          <w:tcPr>
            <w:tcW w:type="dxa" w:w="1440"/>
            <w:shd w:fill="FFDCE0" w:val="clear"/>
          </w:tcPr>
          <w:p>
            <w:r>
              <w:rPr>
                <w:sz w:val="17"/>
              </w:rPr>
              <w:t>3,747</w:t>
            </w:r>
          </w:p>
        </w:tc>
        <w:tc>
          <w:tcPr>
            <w:tcW w:type="dxa" w:w="1440"/>
            <w:shd w:fill="FFDCE0" w:val="clear"/>
          </w:tcPr>
          <w:p>
            <w:r>
              <w:rPr>
                <w:b/>
                <w:sz w:val="17"/>
              </w:rPr>
              <w:t>4,246</w:t>
            </w:r>
          </w:p>
        </w:tc>
        <w:tc>
          <w:tcPr>
            <w:tcW w:type="dxa" w:w="1440"/>
            <w:shd w:fill="FFDCE0" w:val="clear"/>
          </w:tcPr>
          <w:p>
            <w:r>
              <w:rPr>
                <w:sz w:val="17"/>
              </w:rPr>
              <w:t>4,746</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2026-09-10</w:t>
            </w:r>
          </w:p>
        </w:tc>
        <w:tc>
          <w:tcPr>
            <w:tcW w:type="dxa" w:w="1440"/>
            <w:shd w:fill="FFDCE0" w:val="clear"/>
          </w:tcPr>
          <w:p>
            <w:r>
              <w:rPr>
                <w:sz w:val="17"/>
              </w:rPr>
              <w:t>3,411</w:t>
            </w:r>
          </w:p>
        </w:tc>
        <w:tc>
          <w:tcPr>
            <w:tcW w:type="dxa" w:w="1440"/>
            <w:shd w:fill="FFDCE0" w:val="clear"/>
          </w:tcPr>
          <w:p>
            <w:r>
              <w:rPr>
                <w:b/>
                <w:sz w:val="17"/>
              </w:rPr>
              <w:t>3,928</w:t>
            </w:r>
          </w:p>
        </w:tc>
        <w:tc>
          <w:tcPr>
            <w:tcW w:type="dxa" w:w="1440"/>
            <w:shd w:fill="FFDCE0" w:val="clear"/>
          </w:tcPr>
          <w:p>
            <w:r>
              <w:rPr>
                <w:sz w:val="17"/>
              </w:rPr>
              <w:t>4,444</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2026-09-11</w:t>
            </w:r>
          </w:p>
        </w:tc>
        <w:tc>
          <w:tcPr>
            <w:tcW w:type="dxa" w:w="1440"/>
            <w:shd w:fill="FFDCE0" w:val="clear"/>
          </w:tcPr>
          <w:p>
            <w:r>
              <w:rPr>
                <w:sz w:val="17"/>
              </w:rPr>
              <w:t>3,110</w:t>
            </w:r>
          </w:p>
        </w:tc>
        <w:tc>
          <w:tcPr>
            <w:tcW w:type="dxa" w:w="1440"/>
            <w:shd w:fill="FFDCE0" w:val="clear"/>
          </w:tcPr>
          <w:p>
            <w:r>
              <w:rPr>
                <w:b/>
                <w:sz w:val="17"/>
              </w:rPr>
              <w:t>3,633</w:t>
            </w:r>
          </w:p>
        </w:tc>
        <w:tc>
          <w:tcPr>
            <w:tcW w:type="dxa" w:w="1440"/>
            <w:shd w:fill="FFDCE0" w:val="clear"/>
          </w:tcPr>
          <w:p>
            <w:r>
              <w:rPr>
                <w:sz w:val="17"/>
              </w:rPr>
              <w:t>4,156</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2026-09-14</w:t>
            </w:r>
          </w:p>
        </w:tc>
        <w:tc>
          <w:tcPr>
            <w:tcW w:type="dxa" w:w="1440"/>
            <w:shd w:fill="FFDCE0" w:val="clear"/>
          </w:tcPr>
          <w:p>
            <w:r>
              <w:rPr>
                <w:sz w:val="17"/>
              </w:rPr>
              <w:t>2,838</w:t>
            </w:r>
          </w:p>
        </w:tc>
        <w:tc>
          <w:tcPr>
            <w:tcW w:type="dxa" w:w="1440"/>
            <w:shd w:fill="FFDCE0" w:val="clear"/>
          </w:tcPr>
          <w:p>
            <w:r>
              <w:rPr>
                <w:b/>
                <w:sz w:val="17"/>
              </w:rPr>
              <w:t>3,361</w:t>
            </w:r>
          </w:p>
        </w:tc>
        <w:tc>
          <w:tcPr>
            <w:tcW w:type="dxa" w:w="1440"/>
            <w:shd w:fill="FFDCE0" w:val="clear"/>
          </w:tcPr>
          <w:p>
            <w:r>
              <w:rPr>
                <w:sz w:val="17"/>
              </w:rPr>
              <w:t>3,883</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2026-09-15</w:t>
            </w:r>
          </w:p>
        </w:tc>
        <w:tc>
          <w:tcPr>
            <w:tcW w:type="dxa" w:w="1440"/>
            <w:shd w:fill="FFDCE0" w:val="clear"/>
          </w:tcPr>
          <w:p>
            <w:r>
              <w:rPr>
                <w:sz w:val="17"/>
              </w:rPr>
              <w:t>2,592</w:t>
            </w:r>
          </w:p>
        </w:tc>
        <w:tc>
          <w:tcPr>
            <w:tcW w:type="dxa" w:w="1440"/>
            <w:shd w:fill="FFDCE0" w:val="clear"/>
          </w:tcPr>
          <w:p>
            <w:r>
              <w:rPr>
                <w:b/>
                <w:sz w:val="17"/>
              </w:rPr>
              <w:t>3,109</w:t>
            </w:r>
          </w:p>
        </w:tc>
        <w:tc>
          <w:tcPr>
            <w:tcW w:type="dxa" w:w="1440"/>
            <w:shd w:fill="FFDCE0" w:val="clear"/>
          </w:tcPr>
          <w:p>
            <w:r>
              <w:rPr>
                <w:sz w:val="17"/>
              </w:rPr>
              <w:t>3,626</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2026-09-16</w:t>
            </w:r>
          </w:p>
        </w:tc>
        <w:tc>
          <w:tcPr>
            <w:tcW w:type="dxa" w:w="1440"/>
            <w:shd w:fill="FFDCE0" w:val="clear"/>
          </w:tcPr>
          <w:p>
            <w:r>
              <w:rPr>
                <w:sz w:val="17"/>
              </w:rPr>
              <w:t>2,368</w:t>
            </w:r>
          </w:p>
        </w:tc>
        <w:tc>
          <w:tcPr>
            <w:tcW w:type="dxa" w:w="1440"/>
            <w:shd w:fill="FFDCE0" w:val="clear"/>
          </w:tcPr>
          <w:p>
            <w:r>
              <w:rPr>
                <w:b/>
                <w:sz w:val="17"/>
              </w:rPr>
              <w:t>2,875</w:t>
            </w:r>
          </w:p>
        </w:tc>
        <w:tc>
          <w:tcPr>
            <w:tcW w:type="dxa" w:w="1440"/>
            <w:shd w:fill="FFDCE0" w:val="clear"/>
          </w:tcPr>
          <w:p>
            <w:r>
              <w:rPr>
                <w:sz w:val="17"/>
              </w:rPr>
              <w:t>3,383</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2026-09-17</w:t>
            </w:r>
          </w:p>
        </w:tc>
        <w:tc>
          <w:tcPr>
            <w:tcW w:type="dxa" w:w="1440"/>
            <w:shd w:fill="FFDCE0" w:val="clear"/>
          </w:tcPr>
          <w:p>
            <w:r>
              <w:rPr>
                <w:sz w:val="17"/>
              </w:rPr>
              <w:t>2,165</w:t>
            </w:r>
          </w:p>
        </w:tc>
        <w:tc>
          <w:tcPr>
            <w:tcW w:type="dxa" w:w="1440"/>
            <w:shd w:fill="FFDCE0" w:val="clear"/>
          </w:tcPr>
          <w:p>
            <w:r>
              <w:rPr>
                <w:b/>
                <w:sz w:val="17"/>
              </w:rPr>
              <w:t>2,660</w:t>
            </w:r>
          </w:p>
        </w:tc>
        <w:tc>
          <w:tcPr>
            <w:tcW w:type="dxa" w:w="1440"/>
            <w:shd w:fill="FFDCE0" w:val="clear"/>
          </w:tcPr>
          <w:p>
            <w:r>
              <w:rPr>
                <w:sz w:val="17"/>
              </w:rPr>
              <w:t>3,154</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SAFC s'établit à 47,09 milliards FCFA, un niveau modeste dans l'écosystème BRVM qui la positionne comme une valeur de petite capitalisation. Le BPA de 86 FCFA par action indique un bénéfice net par titre relativement faible, ce qui explique un PER de 67,2x, très largement supérieur à la moyenne historique du marché qui se situe entre 8 et 12x. Cette valorisation extrêmement exigeante signifie que les investisseurs paient un prix très élevé pour chaque franc de bénéfice généré, anticipant probablement une forte croissance future. Le P/B de 7,96x confirme cette prime, le marché valorisant le titre près de 8 fois sa valeur comptable, ce qui est considérablement au-dessus du seuil de 4x considéré comme déjà exigeant. Enfin, l'EV/EBITDA de 81,5x, très supérieur au seuil de 15x, indique que la valeur totale de l'entreprise (capitalisation plus dette nette) est démesurément élevée par rapport à sa capacité opérationnelle brute, signalant une valorisation qui intègre des hypothèses de redressement très optimistes.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SAFC affiche une variation totale de -17,14%, avec une chute de -3,41% lors de la dernière séance, témoignant d'une pression vendeuse persistante. Le cours actuel de 5 800 FCFA se situe nettement en dessous du plus haut de 7 435 FCFA mais très au-dessus du plus bas de 3 340 FCFA, illustrant une amplitude de trading considérable de plus de 4 000 FCFA. La moyenne de 4 685 FCFA est supérieure à la médiane de 4 505 FCFA, et le mode de 3 700 FCFA est nettement inférieur aux deux, ce qui, combiné au skewness positif de 0,780, révèle que le cours a passé davantage de journées sous sa moyenne, avec des épisodes de hausse ponctuels qui tirent la moyenne vers le haut. L'écart-type de 953 FCFA représente un coefficient de variation de 20,3%, indiquant une dispersion modérée autour de la moyenne, tandis que le kurtosis de -0,012 suggère une distribution mésokurtique, proche de la normale, sans risque de pics extrêmes particulier. La volatilité annualisée de 82,5% est extrêmement élevée, bien au-delà du seuil de 30% considéré comme élevé, positionnant SAFC comme un titre très spéculatif où les mouvements de prix peuvent être brutaux et imprévisibles.</w:t>
      </w:r>
    </w:p>
    <w:p>
      <w:pPr>
        <w:spacing w:after="120" w:line="276" w:lineRule="auto" w:before="240"/>
      </w:pPr>
      <w:r>
        <w:rPr>
          <w:b/>
          <w:color w:val="003366"/>
          <w:sz w:val="24"/>
        </w:rPr>
        <w:t>**PARTIE 2 : ANALYSE TECHNIQUE DÉTAILLÉE**</w:t>
      </w:r>
    </w:p>
    <w:p>
      <w:pPr>
        <w:spacing w:after="120" w:line="276" w:lineRule="auto"/>
      </w:pPr>
      <w:r>
        <w:t>**Moyennes Mobiles** : Le cours actuel de 5 800 FCFA se positionne au-dessus de la MM20 (5 618,75 FCFA) et nettement au-dessus de la MM50 (5 022,5 FCFA), configuration qui génère une décision d'Achat. Cette structure haussière à court et moyen terme suggère que la tendance de fond reste positive malgré la récente correction, le titre évoluant dans une dynamique de progression soutenue par ses moyennes mobiles.</w:t>
      </w:r>
    </w:p>
    <w:p>
      <w:pPr>
        <w:spacing w:after="120" w:line="276" w:lineRule="auto"/>
      </w:pPr>
      <w:r>
        <w:t>**Bandes de Bollinger** : Le prix se situe à 5 800 FCFA, entre la borne supérieure à 6 369,88 FCFA et la borne inférieure à 4 867,62 FCFA, positionné légèrement au-dessus de la zone médiane. La décision Neutre reflète un cours qui évolue dans la partie haute de l'enveloppe sans toutefois toucher les bornes extrêmes, indiquant une volatilité modérée sans signal de surachat ou de survente imminent.</w:t>
      </w:r>
    </w:p>
    <w:p>
      <w:pPr>
        <w:spacing w:after="120" w:line="276" w:lineRule="auto"/>
      </w:pPr>
      <w:r>
        <w:t>**MACD** : La valeur du MACD à 294,53 est inférieure à son signal à 304,50, générant une décision de Vente. Cette configuration baissière, bien que les deux indicateurs restent en territoire positif, suggère un ralentissement du momentum haussier et une possible correction à venir, les lignes se rapprochant dangereusement l'une de l'autre.</w:t>
      </w:r>
    </w:p>
    <w:p>
      <w:pPr>
        <w:spacing w:after="120" w:line="276" w:lineRule="auto"/>
      </w:pPr>
      <w:r>
        <w:t>**RSI** : À 57,63, le RSI se situe dans la zone neutre (30-70), indiquant un équilibre relatif entre pression acheteuse et vendeuse. La décision Neutre est cohérente avec cette valeur, le titre ne présentant ni surachat ni survente, laissant place à une certaine indécision quant à la direction future du mouvement.</w:t>
      </w:r>
    </w:p>
    <w:p>
      <w:pPr>
        <w:spacing w:after="120" w:line="276" w:lineRule="auto"/>
      </w:pPr>
      <w:r>
        <w:t>**Stochastique** : Le %K à 32,20 est nettement inférieur au %D à 67,32, configuration baissière classique où la ligne rapide est passée sous la ligne lente. La décision Neutre tempère toutefois ce signal, le %K n'étant pas encore en zone de survente (&lt;20), mais la dynamique suggère une poursuite possible du mouvement correctif.</w:t>
      </w:r>
    </w:p>
    <w:p>
      <w:pPr>
        <w:spacing w:after="120" w:line="276" w:lineRule="auto"/>
      </w:pPr>
      <w:r>
        <w:t>**Conclusion technique** : La synthèse des indicateurs techniques est mitigée, avec une polarisation entre les moyennes mobiles qui restent haussières et le MACD qui donne un signal de vente. La récente chute de -3,41% sur la dernière séance, combinée au croisement baissier du stochastique, suggère une correction en cours dans une tendance de fond qui demeure positive. Les bandes de Bollinger et le RSI neutres indiquent que le marché n'est pas encore dans une configuration extrême, laissant présager une poursuite du mouvement correctif avant une éventuelle stabilisation.</w:t>
      </w:r>
    </w:p>
    <w:p>
      <w:pPr>
        <w:spacing w:after="120" w:line="276" w:lineRule="auto" w:before="240"/>
      </w:pPr>
      <w:r>
        <w:rPr>
          <w:b/>
          <w:color w:val="003366"/>
          <w:sz w:val="24"/>
        </w:rPr>
        <w:t>**PARTIE 3 : ANALYSE FONDAMENTALE (SECTION CRITIQUE)**</w:t>
      </w:r>
    </w:p>
    <w:p>
      <w:pPr>
        <w:spacing w:after="120" w:line="276" w:lineRule="auto"/>
      </w:pPr>
      <w:r>
        <w:t>En 2025, SAFC affiche un Produit Net Bancaire de 5,735 milliards FCFA, en hausse spectaculaire de 44,1% par rapport à 2024 (3,980 milliards FCFA), et un résultat net bénéficiaire de 701 millions FCFA, marquant un retournement historique après huit années consécutives de pertes. Le ROE s'établit à 11,85% et le ROA à 0,88%, des niveaux encore modestes mais en nette amélioration. Le coefficient d'exploitation de 77,63% reste élevé, indiquant une efficacité opérationnelle perfectible, tandis que le coût du risque de 6,57% demeure significatif, signalant une qualité de portefeuille encore fragile. Les capitaux propres de 5,916 milliards FCFA restent faibles au regard d'un total bilan de 79,555 milliards FCFA, avec une autonomie financière de seulement 7,44%. Les rapports trimestriels 2026 confirment cette dynamique positive : le T1 2026 (rapport DeepSeek du 10 juin 2026) montre un PNB de 1,395 milliard FCFA (+29%) et un résultat net de 151 millions FCFA (+1062%), tandis que le S1 2026 (rapport DeepSeek du 4 septembre 2026) affiche un PNB de 2,907 milliards FCFA (+37%) et un résultat net de 731 millions FCFA (+231%), avec une marge nette de 25,1%. Sur la base de ces données semestrielles, on estime que l'exercice 2026 pourrait dépasser largement les performances de 2025, avec un PNB annuel potentiel de 5,8 à 6 milliards FCFA et un résultat net qui pourrait atteindre 1,2 à 1,5 milliard FCFA, sous réserve de la maîtrise du coût du risque. L'augmentation de capital de 1,5 milliard FCFA réalisée en avril 2026 (6 actions nouvelles pour 13 anciennes au prix de 400 FCFA) avec l'entrée de CREDAF Group comme actionnaire principal renforce la structure financière et témoigne de la confiance des nouveaux actionnaires dans le redressement de l'établissement.</w:t>
      </w:r>
    </w:p>
    <w:p>
      <w:pPr>
        <w:spacing w:after="120" w:line="276" w:lineRule="auto" w:before="240"/>
      </w:pPr>
      <w:r>
        <w:rPr>
          <w:b/>
          <w:color w:val="003366"/>
          <w:sz w:val="24"/>
        </w:rPr>
        <w:t>**PARTIE 4 : CONCLUSION D'INVESTISSEMENT**</w:t>
      </w:r>
    </w:p>
    <w:p>
      <w:pPr>
        <w:spacing w:after="120" w:line="276" w:lineRule="auto"/>
      </w:pPr>
      <w:r>
        <w:t>La synthèse globale fait apparaître des contradictions majeures entre les différentes dimensions de l'analyse. La valorisation boursière (PER de 67,2x, P/B de 7,96x, EV/EBITDA de 81,5x) est extrêmement exigeante, intégrant des hypothèses de croissance très optimistes qui semblent déconnectées des fondamentaux actuels, malgré le redressement spectaculaire de 2025 et les excellentes performances semestrielles 2026. Le comportement du cours sur 100 jours montre une tendance baissière de -17,14% avec une volatilité annualisée de 82,5%, signalant une instabilité préoccupante et un profil spéculatif marqué. Les signaux techniques sont mitigés, partagés entre des moyennes mobiles haussières et un MACD vendeur, tandis que la chute récente de -3,41% suggère une correction en cours. Les fondamentaux, bien qu'en amélioration nette avec un retour à la rentabilité et une croissance soutenue du PNB, restent fragiles avec des capitaux propres insuffisants et un coût du risque élevé. Les prédictions IA pour les 10 prochains jours ouvrables indiquent une trajectoire baissière continue, avec un cours qui pourrait chuter de 5 365 FCFA à 3 928 FCFA, soit une dépréciation potentielle de plus de 32%, confirmant les signaux techniques vendeurs. Cette convergence entre la correction technique et les prédictions IA, contrastant avec l'amélioration fondamentale, suggère que le marché avait surévalué le titre lors de son pic à 7 435 FCFA et procède désormais à un ajustement. La recommandation finale est **VENTE** pour les investisseurs à court et moyen terme, avec un niveau de confiance **Moyen** et un risque global **Élevé**. Pour les investisseurs long terme (&gt;1 an), une position de surveillance active est recommandée, le titre pouvant représenter une opportunité si le cours se stabilise autour de 3 500-4 000 FCFA, en ligne avec les fondamentaux redressés et les perspectives de croissance portées par CREDAF Group.</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de la rentabilit\u00e9 et la forte r\u00e9duction du co\u00fbt du risque d\u00e9montrent une gestion efficace et un potentiel de croissance. Le renforcement des fonds propres positionne bien SAFCA pour la reprise du march\u00e9 automobile."}</w:t>
      </w:r>
    </w:p>
    <w:p>
      <w:pPr>
        <w:spacing w:before="40"/>
        <w:ind w:left="400"/>
      </w:pPr>
      <w:r>
        <w:rPr>
          <w:sz w:val="18"/>
        </w:rPr>
        <w:t>SAFCA CI (Société Africaine de Crédit Automobile) a réalisé un remarquable redressement en 2020 avec un résultat net positif de 1,640 milliards FCFA contre une perte de 211 millions FCFA en 2019. Le Produit Net Bancaire s'est amélioré à 3,574 milliards FCFA (+4,7%) malgré un environnement difficile. La maîtrise des coûts du risque (-192 millions en 2020 vs -1,135 milliards en 2019) a été déterminante dans cette performance. Le bilan reste solide avec un total actif de 63,371 milliards FCFA et des capitaux propres reconstitués à 6,798 milliards FCFA. Cette performance confirme la résilience du modèle de crédit automobile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'-192 millions FCFA', 'creances_clientele': '45,046 milliards FCFA', 'produit_net_bancaire': '3,574 milliards FCFA', 'ratio_capitaux_propres': '10,7%'}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63,371 milliards FCFA</w:t>
            </w:r>
          </w:p>
        </w:tc>
      </w:tr>
      <w:tr>
        <w:tc>
          <w:tcPr>
            <w:tcW w:type="dxa" w:w="2160"/>
          </w:tcPr>
          <w:p>
            <w:r/>
            <w:r>
              <w:rPr>
                <w:b/>
                <w:sz w:val="16"/>
              </w:rPr>
              <w:t>resultat_net</w:t>
              <w:br/>
            </w:r>
            <w:r>
              <w:rPr>
                <w:sz w:val="18"/>
              </w:rPr>
              <w:t>1,640 milliards FCFA</w:t>
            </w:r>
          </w:p>
        </w:tc>
        <w:tc>
          <w:tcPr>
            <w:tcW w:type="dxa" w:w="2160"/>
          </w:tcPr>
          <w:p>
            <w:r/>
            <w:r>
              <w:rPr>
                <w:b/>
                <w:sz w:val="16"/>
              </w:rPr>
              <w:t>capitaux_propres</w:t>
              <w:br/>
            </w:r>
            <w:r>
              <w:rPr>
                <w:sz w:val="18"/>
              </w:rPr>
              <w:t>6,798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Retour spectaculaire à la rentabilité avec 1,640 milliards FCFA de résultat net en 2020</w:t>
      </w:r>
    </w:p>
    <w:p>
      <w:pPr>
        <w:pStyle w:val="ListBullet"/>
        <w:spacing w:before="20" w:after="20"/>
        <w:ind w:left="700"/>
      </w:pPr>
      <w:r>
        <w:rPr>
          <w:sz w:val="18"/>
        </w:rPr>
        <w:t>Forte réduction du coût du risque de 83% (de -1,135 à -192 millions FCFA)</w:t>
      </w:r>
    </w:p>
    <w:p>
      <w:pPr>
        <w:pStyle w:val="ListBullet"/>
        <w:spacing w:before="20" w:after="20"/>
        <w:ind w:left="700"/>
      </w:pPr>
      <w:r>
        <w:rPr>
          <w:sz w:val="18"/>
        </w:rPr>
        <w:t>Croissance du PNB de 4,7% à 3,574 milliards FCFA malgré le contexte COVID</w:t>
      </w:r>
    </w:p>
    <w:p>
      <w:pPr>
        <w:pStyle w:val="ListBullet"/>
        <w:spacing w:before="20" w:after="20"/>
        <w:ind w:left="700"/>
      </w:pPr>
      <w:r>
        <w:rPr>
          <w:sz w:val="18"/>
        </w:rPr>
        <w:t>Reconstitution des capitaux propres à 6,798 milliards FCFA contre 8,438 milliards en 2019</w:t>
      </w:r>
    </w:p>
    <w:p>
      <w:pPr>
        <w:pStyle w:val="ListBullet"/>
        <w:spacing w:before="20" w:after="20"/>
        <w:ind w:left="700"/>
      </w:pPr>
      <w:r>
        <w:rPr>
          <w:sz w:val="18"/>
        </w:rPr>
        <w:t>Légère baisse des créances sur la clientèle de 48,889 à 45,046 milliards FCFA</w:t>
      </w:r>
    </w:p>
    <w:p>
      <w:pPr>
        <w:pStyle w:val="ListBullet"/>
        <w:spacing w:before="20" w:after="20"/>
        <w:ind w:left="700"/>
      </w:pPr>
      <w:r>
        <w:rPr>
          <w:sz w:val="18"/>
        </w:rPr>
        <w:t>Amélioration significative du résultat d'exploitation qui devient positif</w:t>
      </w:r>
    </w:p>
    <w:p>
      <w:pPr>
        <w:spacing w:before="40"/>
        <w:ind w:left="400"/>
      </w:pPr>
      <w:r>
        <w:rPr>
          <w:b/>
          <w:color w:val="C05000"/>
          <w:sz w:val="18"/>
        </w:rPr>
        <w:t xml:space="preserve">⚠️ Risques : </w:t>
      </w:r>
      <w:r>
        <w:rPr>
          <w:sz w:val="18"/>
        </w:rPr>
        <w:t>["Exposition au secteur automobile sensible aux cycles \u00e9conomiques", "Niveau encore \u00e9lev\u00e9 des engagements hors bilan (1,020 milliards FCFA)", "D\u00e9pendance aux financements interbancaires qui ont augment\u00e9 significativement"]</w:t>
      </w:r>
    </w:p>
    <w:p>
      <w:pPr>
        <w:spacing w:before="40"/>
        <w:ind w:left="400"/>
      </w:pPr>
      <w:r>
        <w:rPr>
          <w:b/>
          <w:color w:val="0064A0"/>
          <w:sz w:val="18"/>
        </w:rPr>
        <w:t xml:space="preserve">🔮 Perspectives : </w:t>
      </w:r>
      <w:r>
        <w:rPr>
          <w:sz w:val="18"/>
        </w:rPr>
        <w:t>Les perspectives sont positives avec la normalisation progressive du marché automobile post-COVID et la solidité financière retrouvée. La société devrait bénéficier de la reprise économique en Côte d'Ivoire et de sa position de leader sur le crédit automobile. Le renforcement continu des fonds propr</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69.97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11,692 titres</w:t>
            </w:r>
          </w:p>
        </w:tc>
        <w:tc>
          <w:tcPr>
            <w:tcW w:type="dxa" w:w="2268"/>
            <w:shd w:fill="FFF2CC" w:val="clear"/>
          </w:tcPr>
          <w:p>
            <w:r>
              <w:rPr>
                <w:b/>
                <w:color w:val="503200"/>
                <w:sz w:val="16"/>
              </w:rPr>
              <w:t xml:space="preserve">Cours actuel : </w:t>
            </w:r>
            <w:r>
              <w:rPr>
                <w:color w:val="000000"/>
                <w:sz w:val="17"/>
              </w:rPr>
              <w:t>3,570 FCFA</w:t>
            </w:r>
          </w:p>
          <w:p>
            <w:r>
              <w:rPr>
                <w:b/>
                <w:color w:val="503200"/>
                <w:sz w:val="16"/>
              </w:rPr>
              <w:t xml:space="preserve">Var. 100 jours : </w:t>
            </w:r>
            <w:r>
              <w:rPr>
                <w:b/>
                <w:color w:val="007800"/>
                <w:sz w:val="17"/>
              </w:rPr>
              <w:t>+68.00%</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1,990 FCFA</w:t>
            </w:r>
          </w:p>
          <w:p>
            <w:r>
              <w:rPr>
                <w:b/>
                <w:color w:val="503200"/>
                <w:sz w:val="16"/>
              </w:rPr>
              <w:t xml:space="preserve">Volatilité ann. : </w:t>
            </w:r>
            <w:r>
              <w:rPr>
                <w:color w:val="000000"/>
                <w:sz w:val="17"/>
              </w:rPr>
              <w:t>54.0%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24.0/100 → Moyen</w:t>
      </w:r>
    </w:p>
    <w:p>
      <w:pPr>
        <w:spacing w:before="40" w:after="80"/>
      </w:pPr>
      <w:r>
        <w:rPr>
          <w:rFonts w:ascii="Courier New" w:hAnsi="Courier New"/>
          <w:color w:val="825A00"/>
          <w:sz w:val="18"/>
        </w:rPr>
        <w:t>████░░░░░░░░░░░░░░░░  24.0/100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20.73% (Élevée) — μ=2,994 FCFA, σ=621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β=0.4721 (Défensif) — Cov=0.000017, Var(idx)=0.000036, ρ=0.083,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11,692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σ_j=3.40%/j (Modérée) — Vol. annualisée≈54.0%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2026-09-04</w:t>
            </w:r>
          </w:p>
        </w:tc>
        <w:tc>
          <w:tcPr>
            <w:tcW w:type="dxa" w:w="1440"/>
            <w:shd w:fill="FFDCE0" w:val="clear"/>
          </w:tcPr>
          <w:p>
            <w:r>
              <w:rPr>
                <w:sz w:val="17"/>
              </w:rPr>
              <w:t>3,178</w:t>
            </w:r>
          </w:p>
        </w:tc>
        <w:tc>
          <w:tcPr>
            <w:tcW w:type="dxa" w:w="1440"/>
            <w:shd w:fill="FFDCE0" w:val="clear"/>
          </w:tcPr>
          <w:p>
            <w:r>
              <w:rPr>
                <w:b/>
                <w:sz w:val="17"/>
              </w:rPr>
              <w:t>3,302</w:t>
            </w:r>
          </w:p>
        </w:tc>
        <w:tc>
          <w:tcPr>
            <w:tcW w:type="dxa" w:w="1440"/>
            <w:shd w:fill="FFDCE0" w:val="clear"/>
          </w:tcPr>
          <w:p>
            <w:r>
              <w:rPr>
                <w:sz w:val="17"/>
              </w:rPr>
              <w:t>3,426</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2026-09-07</w:t>
            </w:r>
          </w:p>
        </w:tc>
        <w:tc>
          <w:tcPr>
            <w:tcW w:type="dxa" w:w="1440"/>
            <w:shd w:fill="FFDCE0" w:val="clear"/>
          </w:tcPr>
          <w:p>
            <w:r>
              <w:rPr>
                <w:sz w:val="17"/>
              </w:rPr>
              <w:t>2,892</w:t>
            </w:r>
          </w:p>
        </w:tc>
        <w:tc>
          <w:tcPr>
            <w:tcW w:type="dxa" w:w="1440"/>
            <w:shd w:fill="FFDCE0" w:val="clear"/>
          </w:tcPr>
          <w:p>
            <w:r>
              <w:rPr>
                <w:b/>
                <w:sz w:val="17"/>
              </w:rPr>
              <w:t>3,055</w:t>
            </w:r>
          </w:p>
        </w:tc>
        <w:tc>
          <w:tcPr>
            <w:tcW w:type="dxa" w:w="1440"/>
            <w:shd w:fill="FFDCE0" w:val="clear"/>
          </w:tcPr>
          <w:p>
            <w:r>
              <w:rPr>
                <w:sz w:val="17"/>
              </w:rPr>
              <w:t>3,217</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2026-09-08</w:t>
            </w:r>
          </w:p>
        </w:tc>
        <w:tc>
          <w:tcPr>
            <w:tcW w:type="dxa" w:w="1440"/>
            <w:shd w:fill="FFDCE0" w:val="clear"/>
          </w:tcPr>
          <w:p>
            <w:r>
              <w:rPr>
                <w:sz w:val="17"/>
              </w:rPr>
              <w:t>2,641</w:t>
            </w:r>
          </w:p>
        </w:tc>
        <w:tc>
          <w:tcPr>
            <w:tcW w:type="dxa" w:w="1440"/>
            <w:shd w:fill="FFDCE0" w:val="clear"/>
          </w:tcPr>
          <w:p>
            <w:r>
              <w:rPr>
                <w:b/>
                <w:sz w:val="17"/>
              </w:rPr>
              <w:t>2,825</w:t>
            </w:r>
          </w:p>
        </w:tc>
        <w:tc>
          <w:tcPr>
            <w:tcW w:type="dxa" w:w="1440"/>
            <w:shd w:fill="FFDCE0" w:val="clear"/>
          </w:tcPr>
          <w:p>
            <w:r>
              <w:rPr>
                <w:sz w:val="17"/>
              </w:rPr>
              <w:t>3,010</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2026-09-09</w:t>
            </w:r>
          </w:p>
        </w:tc>
        <w:tc>
          <w:tcPr>
            <w:tcW w:type="dxa" w:w="1440"/>
            <w:shd w:fill="FFDCE0" w:val="clear"/>
          </w:tcPr>
          <w:p>
            <w:r>
              <w:rPr>
                <w:sz w:val="17"/>
              </w:rPr>
              <w:t>2,417</w:t>
            </w:r>
          </w:p>
        </w:tc>
        <w:tc>
          <w:tcPr>
            <w:tcW w:type="dxa" w:w="1440"/>
            <w:shd w:fill="FFDCE0" w:val="clear"/>
          </w:tcPr>
          <w:p>
            <w:r>
              <w:rPr>
                <w:b/>
                <w:sz w:val="17"/>
              </w:rPr>
              <w:t>2,614</w:t>
            </w:r>
          </w:p>
        </w:tc>
        <w:tc>
          <w:tcPr>
            <w:tcW w:type="dxa" w:w="1440"/>
            <w:shd w:fill="FFDCE0" w:val="clear"/>
          </w:tcPr>
          <w:p>
            <w:r>
              <w:rPr>
                <w:sz w:val="17"/>
              </w:rPr>
              <w:t>2,810</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2026-09-10</w:t>
            </w:r>
          </w:p>
        </w:tc>
        <w:tc>
          <w:tcPr>
            <w:tcW w:type="dxa" w:w="1440"/>
            <w:shd w:fill="FFDCE0" w:val="clear"/>
          </w:tcPr>
          <w:p>
            <w:r>
              <w:rPr>
                <w:sz w:val="17"/>
              </w:rPr>
              <w:t>2,214</w:t>
            </w:r>
          </w:p>
        </w:tc>
        <w:tc>
          <w:tcPr>
            <w:tcW w:type="dxa" w:w="1440"/>
            <w:shd w:fill="FFDCE0" w:val="clear"/>
          </w:tcPr>
          <w:p>
            <w:r>
              <w:rPr>
                <w:b/>
                <w:sz w:val="17"/>
              </w:rPr>
              <w:t>2,418</w:t>
            </w:r>
          </w:p>
        </w:tc>
        <w:tc>
          <w:tcPr>
            <w:tcW w:type="dxa" w:w="1440"/>
            <w:shd w:fill="FFDCE0" w:val="clear"/>
          </w:tcPr>
          <w:p>
            <w:r>
              <w:rPr>
                <w:sz w:val="17"/>
              </w:rPr>
              <w:t>2,621</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2026-09-11</w:t>
            </w:r>
          </w:p>
        </w:tc>
        <w:tc>
          <w:tcPr>
            <w:tcW w:type="dxa" w:w="1440"/>
            <w:shd w:fill="FFDCE0" w:val="clear"/>
          </w:tcPr>
          <w:p>
            <w:r>
              <w:rPr>
                <w:sz w:val="17"/>
              </w:rPr>
              <w:t>2,030</w:t>
            </w:r>
          </w:p>
        </w:tc>
        <w:tc>
          <w:tcPr>
            <w:tcW w:type="dxa" w:w="1440"/>
            <w:shd w:fill="FFDCE0" w:val="clear"/>
          </w:tcPr>
          <w:p>
            <w:r>
              <w:rPr>
                <w:b/>
                <w:sz w:val="17"/>
              </w:rPr>
              <w:t>2,236</w:t>
            </w:r>
          </w:p>
        </w:tc>
        <w:tc>
          <w:tcPr>
            <w:tcW w:type="dxa" w:w="1440"/>
            <w:shd w:fill="FFDCE0" w:val="clear"/>
          </w:tcPr>
          <w:p>
            <w:r>
              <w:rPr>
                <w:sz w:val="17"/>
              </w:rPr>
              <w:t>2,442</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2026-09-14</w:t>
            </w:r>
          </w:p>
        </w:tc>
        <w:tc>
          <w:tcPr>
            <w:tcW w:type="dxa" w:w="1440"/>
            <w:shd w:fill="FFDCE0" w:val="clear"/>
          </w:tcPr>
          <w:p>
            <w:r>
              <w:rPr>
                <w:sz w:val="17"/>
              </w:rPr>
              <w:t>1,863</w:t>
            </w:r>
          </w:p>
        </w:tc>
        <w:tc>
          <w:tcPr>
            <w:tcW w:type="dxa" w:w="1440"/>
            <w:shd w:fill="FFDCE0" w:val="clear"/>
          </w:tcPr>
          <w:p>
            <w:r>
              <w:rPr>
                <w:b/>
                <w:sz w:val="17"/>
              </w:rPr>
              <w:t>2,069</w:t>
            </w:r>
          </w:p>
        </w:tc>
        <w:tc>
          <w:tcPr>
            <w:tcW w:type="dxa" w:w="1440"/>
            <w:shd w:fill="FFDCE0" w:val="clear"/>
          </w:tcPr>
          <w:p>
            <w:r>
              <w:rPr>
                <w:sz w:val="17"/>
              </w:rPr>
              <w:t>2,274</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2026-09-15</w:t>
            </w:r>
          </w:p>
        </w:tc>
        <w:tc>
          <w:tcPr>
            <w:tcW w:type="dxa" w:w="1440"/>
            <w:shd w:fill="FFDCE0" w:val="clear"/>
          </w:tcPr>
          <w:p>
            <w:r>
              <w:rPr>
                <w:sz w:val="17"/>
              </w:rPr>
              <w:t>1,710</w:t>
            </w:r>
          </w:p>
        </w:tc>
        <w:tc>
          <w:tcPr>
            <w:tcW w:type="dxa" w:w="1440"/>
            <w:shd w:fill="FFDCE0" w:val="clear"/>
          </w:tcPr>
          <w:p>
            <w:r>
              <w:rPr>
                <w:b/>
                <w:sz w:val="17"/>
              </w:rPr>
              <w:t>1,913</w:t>
            </w:r>
          </w:p>
        </w:tc>
        <w:tc>
          <w:tcPr>
            <w:tcW w:type="dxa" w:w="1440"/>
            <w:shd w:fill="FFDCE0" w:val="clear"/>
          </w:tcPr>
          <w:p>
            <w:r>
              <w:rPr>
                <w:sz w:val="17"/>
              </w:rPr>
              <w:t>2,117</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2026-09-16</w:t>
            </w:r>
          </w:p>
        </w:tc>
        <w:tc>
          <w:tcPr>
            <w:tcW w:type="dxa" w:w="1440"/>
            <w:shd w:fill="FFDCE0" w:val="clear"/>
          </w:tcPr>
          <w:p>
            <w:r>
              <w:rPr>
                <w:sz w:val="17"/>
              </w:rPr>
              <w:t>1,570</w:t>
            </w:r>
          </w:p>
        </w:tc>
        <w:tc>
          <w:tcPr>
            <w:tcW w:type="dxa" w:w="1440"/>
            <w:shd w:fill="FFDCE0" w:val="clear"/>
          </w:tcPr>
          <w:p>
            <w:r>
              <w:rPr>
                <w:b/>
                <w:sz w:val="17"/>
              </w:rPr>
              <w:t>1,770</w:t>
            </w:r>
          </w:p>
        </w:tc>
        <w:tc>
          <w:tcPr>
            <w:tcW w:type="dxa" w:w="1440"/>
            <w:shd w:fill="FFDCE0" w:val="clear"/>
          </w:tcPr>
          <w:p>
            <w:r>
              <w:rPr>
                <w:sz w:val="17"/>
              </w:rPr>
              <w:t>1,970</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2026-09-17</w:t>
            </w:r>
          </w:p>
        </w:tc>
        <w:tc>
          <w:tcPr>
            <w:tcW w:type="dxa" w:w="1440"/>
            <w:shd w:fill="FFDCE0" w:val="clear"/>
          </w:tcPr>
          <w:p>
            <w:r>
              <w:rPr>
                <w:sz w:val="17"/>
              </w:rPr>
              <w:t>1,442</w:t>
            </w:r>
          </w:p>
        </w:tc>
        <w:tc>
          <w:tcPr>
            <w:tcW w:type="dxa" w:w="1440"/>
            <w:shd w:fill="FFDCE0" w:val="clear"/>
          </w:tcPr>
          <w:p>
            <w:r>
              <w:rPr>
                <w:b/>
                <w:sz w:val="17"/>
              </w:rPr>
              <w:t>1,637</w:t>
            </w:r>
          </w:p>
        </w:tc>
        <w:tc>
          <w:tcPr>
            <w:tcW w:type="dxa" w:w="1440"/>
            <w:shd w:fill="FFDCE0" w:val="clear"/>
          </w:tcPr>
          <w:p>
            <w:r>
              <w:rPr>
                <w:sz w:val="17"/>
              </w:rPr>
              <w:t>1,832</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la SCRC s'établit à environ 70 milliards FCFA, un niveau significatif sur la BRVM qui la place parmi les valeurs de taille moyenne. Le BPA est négatif à -406 FCFA, ce qui reflète la perte nette de l'exercice 2025. Le PER est donc négatif (-8,8x), indiquant que les investisseurs ne peuvent pas valoriser la société sur ses bénéfices actuels, un signal d'alerte majeur. Le P/B de 4,06x est particulièrement élevé, signifiant que le marché valorise l'actif net de la société plus de quatre fois sa valeur comptable, une prime substantielle qui semble difficile à justifier au regard des fondamentaux dégradés. Enfin, l'EV/EBITDA de 10,9x, bien que dans une fourchette de valorisation élevée, suggère que le marché intègre une capacité de redressement opérationnel futur, mais à un coût d'entrée exigeant pour l'investisseur.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SCRC a enregistré une progression spectaculaire de +68%, passant d'un plus bas de 1 990 FCFA à un plus haut de 3 920 FCFA, avant de clôturer à 3 570 FCFA. La dernière séance montre un léger repli de -0,97%, suggérant une possible consolidation après une forte hausse. La moyenne du cours sur la période (2 994 FCFA) est inférieure à la médiane (3 128 FCFA), indiquant une distribution légèrement asymétrique avec des valeurs extrêmes basses en début de période. L'écart-type de 624 FCFA (CV de 20,8%) témoigne d'une dispersion modérée. Le kurtosis négatif (-1,315) révèle une distribution platykurtique, avec moins de pics extrêmes que la normale, tandis que le skewness de -0,434 indique une asymétrie négative, avec une queue de distribution vers les valeurs basses. La volatilité annualisée de 54% est très élevée, classant ce titre comme extrêmement risqué pour un investisseur cherchant la stabilité.</w:t>
      </w:r>
    </w:p>
    <w:p>
      <w:pPr>
        <w:spacing w:after="120" w:line="276" w:lineRule="auto" w:before="240"/>
      </w:pPr>
      <w:r>
        <w:rPr>
          <w:b/>
          <w:color w:val="003366"/>
          <w:sz w:val="24"/>
        </w:rPr>
        <w:t>**PARTIE 2 : ANALYSE TECHNIQUE DÉTAILLÉE**</w:t>
      </w:r>
    </w:p>
    <w:p>
      <w:pPr>
        <w:spacing w:after="120" w:line="276" w:lineRule="auto"/>
      </w:pPr>
      <w:r>
        <w:t>**Moyennes Mobiles** : Les MM20 (3 530,5 FCFA) et MM50 (3 528,6 FCFA) sont très proches l'une de l'autre et légèrement inférieures au cours actuel de 3 570 FCFA. Cette configuration haussière, où le prix évolue au-dessus de ses moyennes mobiles clés, génère un signal d'achat. La convergence des deux moyennes suggère une consolidation après une tendance haussière marquée, mais le maintien au-dessus de ces supports dynamiques est un signe de force relative.</w:t>
      </w:r>
    </w:p>
    <w:p>
      <w:pPr>
        <w:spacing w:after="120" w:line="276" w:lineRule="auto"/>
      </w:pPr>
      <w:r>
        <w:t>**Bandes de Bollinger** : Le cours se situe à 3 570 FCFA, entre la borne inférieure (3 297,6 FCFA) et la borne supérieure (3 763,4 FCFA), plus près de la borne supérieure. La largeur des bandes indique une volatilité encore élevée. La décision est neutre, le prix n'étant pas en situation de surachat ou de survente extrême, mais la proximité de la borne supérieure pourrait signaler une résistance à court terme.</w:t>
      </w:r>
    </w:p>
    <w:p>
      <w:pPr>
        <w:spacing w:after="120" w:line="276" w:lineRule="auto"/>
      </w:pPr>
      <w:r>
        <w:t>**MACD** : La valeur du MACD (1,742) est positive et nettement supérieure à sa ligne de signal (-4,833), formant un croisement haussier. Ce signal d'achat indique un momentum positif en cours de construction. L'écart important entre les deux lignes suggère une dynamique haussière soutenue qui pourrait se poursuivre à court terme.</w:t>
      </w:r>
    </w:p>
    <w:p>
      <w:pPr>
        <w:spacing w:after="120" w:line="276" w:lineRule="auto"/>
      </w:pPr>
      <w:r>
        <w:t>**RSI** : À 41,6, le RSI se situe en zone neutre, entre 30 et 70. Il n'indique ni surachat ni survente, laissant une marge de manœuvre avant d'atteindre des niveaux extrêmes. Cette valeur suggère que le potentiel haussier n'est pas épuisé, mais que la pression acheteuse n'est pas non plus dominante.</w:t>
      </w:r>
    </w:p>
    <w:p>
      <w:pPr>
        <w:spacing w:after="120" w:line="276" w:lineRule="auto"/>
      </w:pPr>
      <w:r>
        <w:t>**Stochastique** : Le %K (70,97) et le %D (71,48) sont proches et évoluent en zone élevée, approchant le seuil de surachat de 80. Leur convergence sans croisement baissier maintient une décision neutre, mais suggère une possible consolidation après une phase d'accumulation.</w:t>
      </w:r>
    </w:p>
    <w:p>
      <w:pPr>
        <w:spacing w:after="120" w:line="276" w:lineRule="auto"/>
      </w:pPr>
      <w:r>
        <w:t>**Conclusion technique** : Les indicateurs techniques sont globalement positifs, avec des signaux d'achat sur les moyennes mobiles et le MACD, mais des signaux neutres sur les bandes de Bollinger, le RSI et le stochastique. Cette configuration suggère une tendance haussière en cours, mais avec un essoufflement potentiel à court terme. La prudence est de mise, car le titre pourrait consolider avant de poursuivre sa progression.</w:t>
      </w:r>
    </w:p>
    <w:p>
      <w:pPr>
        <w:spacing w:after="120" w:line="276" w:lineRule="auto" w:before="240"/>
      </w:pPr>
      <w:r>
        <w:rPr>
          <w:b/>
          <w:color w:val="003366"/>
          <w:sz w:val="24"/>
        </w:rPr>
        <w:t>**PARTIE 3 : ANALYSE FONDAMENTALE (SECTION CRITIQUE)**</w:t>
      </w:r>
    </w:p>
    <w:p>
      <w:pPr>
        <w:spacing w:after="120" w:line="276" w:lineRule="auto"/>
      </w:pPr>
      <w:r>
        <w:t>En 2025, la SCRC (SUCRIVOIRE) présente des états financiers annuels très dégradés. Le chiffre d'affaires s'établit à 80,57 milliards FCFA, en baisse de 7,6% par rapport à 2024 (87,22 milliards FCFA). Le résultat net est une perte massive de 7,95 milliards FCFA, contre un bénéfice de 2,47 milliards FCFA en 2024, soit une dégradation de 421%. La marge nette est négative à -9,9%, et le ROE s'effondre à -46,1%, tandis que le ROA est de -5,1%. L'endettement financier total atteint 84,87 milliards FCFA, avec des charges financières qui explosent à 6,79 milliards FCFA (+262%). Le BFR est positif à 6,53 milliards FCFA, et les délais de paiement fournisseurs (366 jours) et de stockage (361 jours) sont extrêmement longs, reflétant des difficultés de trésorerie. Les rapports trimestriels de 2025 confirment cette tendance : le S1 2025 affiche une perte de 6,71 milliards FCFA, et le T1 2025 un bénéfice de 3,21 milliards FCFA, montrant une forte volatilité. Le rapport annuel 2024 (publié en 2025) indiquait un redressement avec un bénéfice de 2,59 milliards FCFA, mais cette amélioration n'a pas été durable. Les rapports de 2025 recommandent tous la vente, soulignant une crise financière majeure avec un risque de défaut élevé. La structure financière est très fragile, avec des capitaux propres de 17,24 milliards FCFA seulement pour 84,87 milliards de dettes financières.</w:t>
      </w:r>
    </w:p>
    <w:p>
      <w:pPr>
        <w:spacing w:after="120" w:line="276" w:lineRule="auto" w:before="240"/>
      </w:pPr>
      <w:r>
        <w:rPr>
          <w:b/>
          <w:color w:val="003366"/>
          <w:sz w:val="24"/>
        </w:rPr>
        <w:t>**PARTIE 4 : CONCLUSION D'INVESTISSEMENT**</w:t>
      </w:r>
    </w:p>
    <w:p>
      <w:pPr>
        <w:spacing w:after="120" w:line="276" w:lineRule="auto"/>
      </w:pPr>
      <w:r>
        <w:t>La valorisation boursière de la SCRC est extrêmement exigeante, avec un P/B de 4,06x et un PER négatif, ce qui indique une forte surévaluation par rapport aux fondamentaux actuels. Le comportement du cours sur 100 jours montre une hausse spectaculaire de +68%, mais avec une volatilité annualisée de 54% et une distribution statistique (kurtosis négatif, skewness négatif) qui suggère un risque de retournement brutal. Les signaux techniques sont mitigés : positifs sur les moyennes mobiles et le MACD, mais neutres sur le RSI et le stochastique, indiquant un essoufflement possible. Les fondamentaux sont très préoccupants : perte nette massive de 7,95 milliards FCFA en 2025, endettement explosif, charges financières insoutenables et chiffre d'affaires en baisse. Les prédictions IA pour les 10 prochains jours prévoient une chute brutale du cours, passant de 3 302 FCFA à 2 418 FCFA, ce qui contredit fortement la tendance haussière récente et suggère une correction imminente. La convergence entre la surévaluation, la dégradation fondamentale et les prédictions baissières est frappante. **Recommandation finale : VENTE FORTE**. Le niveau de confiance est Élevé, le risque global est Élevé, et l'horizon d'investissement optimal est à court terme (&lt;3 mois) pour les investisseurs détenant le titre, avec une forte probabilité de dépréciation significative.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121.50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1,114 titres</w:t>
            </w:r>
          </w:p>
        </w:tc>
        <w:tc>
          <w:tcPr>
            <w:tcW w:type="dxa" w:w="2268"/>
            <w:shd w:fill="FFF2CC" w:val="clear"/>
          </w:tcPr>
          <w:p>
            <w:r>
              <w:rPr>
                <w:b/>
                <w:color w:val="503200"/>
                <w:sz w:val="16"/>
              </w:rPr>
              <w:t xml:space="preserve">Cours actuel : </w:t>
            </w:r>
            <w:r>
              <w:rPr>
                <w:color w:val="000000"/>
                <w:sz w:val="17"/>
              </w:rPr>
              <w:t>13,500 FCFA</w:t>
            </w:r>
          </w:p>
          <w:p>
            <w:r>
              <w:rPr>
                <w:b/>
                <w:color w:val="503200"/>
                <w:sz w:val="16"/>
              </w:rPr>
              <w:t xml:space="preserve">Var. 100 jours : </w:t>
            </w:r>
            <w:r>
              <w:rPr>
                <w:b/>
                <w:color w:val="007800"/>
                <w:sz w:val="17"/>
              </w:rPr>
              <w:t>+87.50%</w:t>
            </w:r>
          </w:p>
          <w:p>
            <w:r>
              <w:rPr>
                <w:b/>
                <w:color w:val="503200"/>
                <w:sz w:val="16"/>
              </w:rPr>
              <w:t xml:space="preserve">Plus haut 100j : </w:t>
            </w:r>
            <w:r>
              <w:rPr>
                <w:color w:val="000000"/>
                <w:sz w:val="17"/>
              </w:rPr>
              <w:t>13,500 FCFA</w:t>
            </w:r>
          </w:p>
          <w:p>
            <w:r>
              <w:rPr>
                <w:b/>
                <w:color w:val="503200"/>
                <w:sz w:val="16"/>
              </w:rPr>
              <w:t xml:space="preserve">Plus bas 100j : </w:t>
            </w:r>
            <w:r>
              <w:rPr>
                <w:color w:val="000000"/>
                <w:sz w:val="17"/>
              </w:rPr>
              <w:t>7,140 FCFA</w:t>
            </w:r>
          </w:p>
          <w:p>
            <w:r>
              <w:rPr>
                <w:b/>
                <w:color w:val="503200"/>
                <w:sz w:val="16"/>
              </w:rPr>
              <w:t xml:space="preserve">Volatilité ann. : </w:t>
            </w:r>
            <w:r>
              <w:rPr>
                <w:color w:val="000000"/>
                <w:sz w:val="17"/>
              </w:rPr>
              <w:t>36.6%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31.1/100 → Moyen</w:t>
      </w:r>
    </w:p>
    <w:p>
      <w:pPr>
        <w:spacing w:before="40" w:after="80"/>
      </w:pPr>
      <w:r>
        <w:rPr>
          <w:rFonts w:ascii="Courier New" w:hAnsi="Courier New"/>
          <w:color w:val="825A00"/>
          <w:sz w:val="18"/>
        </w:rPr>
        <w:t>██████░░░░░░░░░░░░░░  31.1/100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16.01% (Élevée) — μ=10,895 FCFA, σ=1,744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β=-0.0259 (Contre-cyclique) — Cov=-0.000001, Var(idx)=0.000036, ρ=-0.007,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1,114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σ_j=2.30%/j (Stable) — Vol. annualisée≈36.6%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319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2026-09-04</w:t>
            </w:r>
          </w:p>
        </w:tc>
        <w:tc>
          <w:tcPr>
            <w:tcW w:type="dxa" w:w="1440"/>
            <w:shd w:fill="FFDCE0" w:val="clear"/>
          </w:tcPr>
          <w:p>
            <w:r>
              <w:rPr>
                <w:sz w:val="17"/>
              </w:rPr>
              <w:t>12,230</w:t>
            </w:r>
          </w:p>
        </w:tc>
        <w:tc>
          <w:tcPr>
            <w:tcW w:type="dxa" w:w="1440"/>
            <w:shd w:fill="FFDCE0" w:val="clear"/>
          </w:tcPr>
          <w:p>
            <w:r>
              <w:rPr>
                <w:b/>
                <w:sz w:val="17"/>
              </w:rPr>
              <w:t>12,629</w:t>
            </w:r>
          </w:p>
        </w:tc>
        <w:tc>
          <w:tcPr>
            <w:tcW w:type="dxa" w:w="1440"/>
            <w:shd w:fill="FFDCE0" w:val="clear"/>
          </w:tcPr>
          <w:p>
            <w:r>
              <w:rPr>
                <w:sz w:val="17"/>
              </w:rPr>
              <w:t>13,028</w:t>
            </w:r>
          </w:p>
        </w:tc>
        <w:tc>
          <w:tcPr>
            <w:tcW w:type="dxa" w:w="1440"/>
            <w:shd w:fill="FFDCE0" w:val="clear"/>
          </w:tcPr>
          <w:p>
            <w:r>
              <w:rPr>
                <w:b/>
                <w:color w:val="C00000"/>
                <w:sz w:val="17"/>
              </w:rPr>
              <w:t>-6.5%</w:t>
            </w:r>
          </w:p>
        </w:tc>
      </w:tr>
      <w:tr>
        <w:tc>
          <w:tcPr>
            <w:tcW w:type="dxa" w:w="1440"/>
            <w:shd w:fill="FFDCE0" w:val="clear"/>
          </w:tcPr>
          <w:p>
            <w:r>
              <w:rPr>
                <w:sz w:val="17"/>
              </w:rPr>
              <w:t>J+2  Moyenne</w:t>
            </w:r>
          </w:p>
        </w:tc>
        <w:tc>
          <w:tcPr>
            <w:tcW w:type="dxa" w:w="1440"/>
            <w:shd w:fill="FFDCE0" w:val="clear"/>
          </w:tcPr>
          <w:p>
            <w:r>
              <w:rPr>
                <w:sz w:val="17"/>
              </w:rPr>
              <w:t>2026-09-07</w:t>
            </w:r>
          </w:p>
        </w:tc>
        <w:tc>
          <w:tcPr>
            <w:tcW w:type="dxa" w:w="1440"/>
            <w:shd w:fill="FFDCE0" w:val="clear"/>
          </w:tcPr>
          <w:p>
            <w:r>
              <w:rPr>
                <w:sz w:val="17"/>
              </w:rPr>
              <w:t>11,873</w:t>
            </w:r>
          </w:p>
        </w:tc>
        <w:tc>
          <w:tcPr>
            <w:tcW w:type="dxa" w:w="1440"/>
            <w:shd w:fill="FFDCE0" w:val="clear"/>
          </w:tcPr>
          <w:p>
            <w:r>
              <w:rPr>
                <w:b/>
                <w:sz w:val="17"/>
              </w:rPr>
              <w:t>12,429</w:t>
            </w:r>
          </w:p>
        </w:tc>
        <w:tc>
          <w:tcPr>
            <w:tcW w:type="dxa" w:w="1440"/>
            <w:shd w:fill="FFDCE0" w:val="clear"/>
          </w:tcPr>
          <w:p>
            <w:r>
              <w:rPr>
                <w:sz w:val="17"/>
              </w:rPr>
              <w:t>12,985</w:t>
            </w:r>
          </w:p>
        </w:tc>
        <w:tc>
          <w:tcPr>
            <w:tcW w:type="dxa" w:w="1440"/>
            <w:shd w:fill="FFDCE0" w:val="clear"/>
          </w:tcPr>
          <w:p>
            <w:r>
              <w:rPr>
                <w:b/>
                <w:color w:val="C00000"/>
                <w:sz w:val="17"/>
              </w:rPr>
              <w:t>-7.9%</w:t>
            </w:r>
          </w:p>
        </w:tc>
      </w:tr>
      <w:tr>
        <w:tc>
          <w:tcPr>
            <w:tcW w:type="dxa" w:w="1440"/>
            <w:shd w:fill="FFDCE0" w:val="clear"/>
          </w:tcPr>
          <w:p>
            <w:r>
              <w:rPr>
                <w:sz w:val="17"/>
              </w:rPr>
              <w:t>J+3  ⭐</w:t>
            </w:r>
          </w:p>
        </w:tc>
        <w:tc>
          <w:tcPr>
            <w:tcW w:type="dxa" w:w="1440"/>
            <w:shd w:fill="FFDCE0" w:val="clear"/>
          </w:tcPr>
          <w:p>
            <w:r>
              <w:rPr>
                <w:sz w:val="17"/>
              </w:rPr>
              <w:t>2026-09-08</w:t>
            </w:r>
          </w:p>
        </w:tc>
        <w:tc>
          <w:tcPr>
            <w:tcW w:type="dxa" w:w="1440"/>
            <w:shd w:fill="FFDCE0" w:val="clear"/>
          </w:tcPr>
          <w:p>
            <w:r>
              <w:rPr>
                <w:sz w:val="17"/>
              </w:rPr>
              <w:t>11,573</w:t>
            </w:r>
          </w:p>
        </w:tc>
        <w:tc>
          <w:tcPr>
            <w:tcW w:type="dxa" w:w="1440"/>
            <w:shd w:fill="FFDCE0" w:val="clear"/>
          </w:tcPr>
          <w:p>
            <w:r>
              <w:rPr>
                <w:b/>
                <w:sz w:val="17"/>
              </w:rPr>
              <w:t>12,243</w:t>
            </w:r>
          </w:p>
        </w:tc>
        <w:tc>
          <w:tcPr>
            <w:tcW w:type="dxa" w:w="1440"/>
            <w:shd w:fill="FFDCE0" w:val="clear"/>
          </w:tcPr>
          <w:p>
            <w:r>
              <w:rPr>
                <w:sz w:val="17"/>
              </w:rPr>
              <w:t>12,914</w:t>
            </w:r>
          </w:p>
        </w:tc>
        <w:tc>
          <w:tcPr>
            <w:tcW w:type="dxa" w:w="1440"/>
            <w:shd w:fill="FFDCE0" w:val="clear"/>
          </w:tcPr>
          <w:p>
            <w:r>
              <w:rPr>
                <w:b/>
                <w:color w:val="C00000"/>
                <w:sz w:val="17"/>
              </w:rPr>
              <w:t>-9.3%</w:t>
            </w:r>
          </w:p>
        </w:tc>
      </w:tr>
      <w:tr>
        <w:tc>
          <w:tcPr>
            <w:tcW w:type="dxa" w:w="1440"/>
            <w:shd w:fill="FFDCE0" w:val="clear"/>
          </w:tcPr>
          <w:p>
            <w:r>
              <w:rPr>
                <w:sz w:val="17"/>
              </w:rPr>
              <w:t>J+4  ⭐</w:t>
            </w:r>
          </w:p>
        </w:tc>
        <w:tc>
          <w:tcPr>
            <w:tcW w:type="dxa" w:w="1440"/>
            <w:shd w:fill="FFDCE0" w:val="clear"/>
          </w:tcPr>
          <w:p>
            <w:r>
              <w:rPr>
                <w:sz w:val="17"/>
              </w:rPr>
              <w:t>2026-09-09</w:t>
            </w:r>
          </w:p>
        </w:tc>
        <w:tc>
          <w:tcPr>
            <w:tcW w:type="dxa" w:w="1440"/>
            <w:shd w:fill="FFDCE0" w:val="clear"/>
          </w:tcPr>
          <w:p>
            <w:r>
              <w:rPr>
                <w:sz w:val="17"/>
              </w:rPr>
              <w:t>11,311</w:t>
            </w:r>
          </w:p>
        </w:tc>
        <w:tc>
          <w:tcPr>
            <w:tcW w:type="dxa" w:w="1440"/>
            <w:shd w:fill="FFDCE0" w:val="clear"/>
          </w:tcPr>
          <w:p>
            <w:r>
              <w:rPr>
                <w:b/>
                <w:sz w:val="17"/>
              </w:rPr>
              <w:t>12,074</w:t>
            </w:r>
          </w:p>
        </w:tc>
        <w:tc>
          <w:tcPr>
            <w:tcW w:type="dxa" w:w="1440"/>
            <w:shd w:fill="FFDCE0" w:val="clear"/>
          </w:tcPr>
          <w:p>
            <w:r>
              <w:rPr>
                <w:sz w:val="17"/>
              </w:rPr>
              <w:t>12,838</w:t>
            </w:r>
          </w:p>
        </w:tc>
        <w:tc>
          <w:tcPr>
            <w:tcW w:type="dxa" w:w="1440"/>
            <w:shd w:fill="FFDCE0" w:val="clear"/>
          </w:tcPr>
          <w:p>
            <w:r>
              <w:rPr>
                <w:b/>
                <w:color w:val="C00000"/>
                <w:sz w:val="17"/>
              </w:rPr>
              <w:t>-10.6%</w:t>
            </w:r>
          </w:p>
        </w:tc>
      </w:tr>
      <w:tr>
        <w:tc>
          <w:tcPr>
            <w:tcW w:type="dxa" w:w="1440"/>
            <w:shd w:fill="FFDCE0" w:val="clear"/>
          </w:tcPr>
          <w:p>
            <w:r>
              <w:rPr>
                <w:sz w:val="17"/>
              </w:rPr>
              <w:t>J+5  ⭐</w:t>
            </w:r>
          </w:p>
        </w:tc>
        <w:tc>
          <w:tcPr>
            <w:tcW w:type="dxa" w:w="1440"/>
            <w:shd w:fill="FFDCE0" w:val="clear"/>
          </w:tcPr>
          <w:p>
            <w:r>
              <w:rPr>
                <w:sz w:val="17"/>
              </w:rPr>
              <w:t>2026-09-10</w:t>
            </w:r>
          </w:p>
        </w:tc>
        <w:tc>
          <w:tcPr>
            <w:tcW w:type="dxa" w:w="1440"/>
            <w:shd w:fill="FFDCE0" w:val="clear"/>
          </w:tcPr>
          <w:p>
            <w:r>
              <w:rPr>
                <w:sz w:val="17"/>
              </w:rPr>
              <w:t>11,080</w:t>
            </w:r>
          </w:p>
        </w:tc>
        <w:tc>
          <w:tcPr>
            <w:tcW w:type="dxa" w:w="1440"/>
            <w:shd w:fill="FFDCE0" w:val="clear"/>
          </w:tcPr>
          <w:p>
            <w:r>
              <w:rPr>
                <w:b/>
                <w:sz w:val="17"/>
              </w:rPr>
              <w:t>11,923</w:t>
            </w:r>
          </w:p>
        </w:tc>
        <w:tc>
          <w:tcPr>
            <w:tcW w:type="dxa" w:w="1440"/>
            <w:shd w:fill="FFDCE0" w:val="clear"/>
          </w:tcPr>
          <w:p>
            <w:r>
              <w:rPr>
                <w:sz w:val="17"/>
              </w:rPr>
              <w:t>12,766</w:t>
            </w:r>
          </w:p>
        </w:tc>
        <w:tc>
          <w:tcPr>
            <w:tcW w:type="dxa" w:w="1440"/>
            <w:shd w:fill="FFDCE0" w:val="clear"/>
          </w:tcPr>
          <w:p>
            <w:r>
              <w:rPr>
                <w:b/>
                <w:color w:val="C00000"/>
                <w:sz w:val="17"/>
              </w:rPr>
              <w:t>-11.7%</w:t>
            </w:r>
          </w:p>
        </w:tc>
      </w:tr>
      <w:tr>
        <w:tc>
          <w:tcPr>
            <w:tcW w:type="dxa" w:w="1440"/>
            <w:shd w:fill="FFDCE0" w:val="clear"/>
          </w:tcPr>
          <w:p>
            <w:r>
              <w:rPr>
                <w:sz w:val="17"/>
              </w:rPr>
              <w:t>J+6  ⭐</w:t>
            </w:r>
          </w:p>
        </w:tc>
        <w:tc>
          <w:tcPr>
            <w:tcW w:type="dxa" w:w="1440"/>
            <w:shd w:fill="FFDCE0" w:val="clear"/>
          </w:tcPr>
          <w:p>
            <w:r>
              <w:rPr>
                <w:sz w:val="17"/>
              </w:rPr>
              <w:t>2026-09-11</w:t>
            </w:r>
          </w:p>
        </w:tc>
        <w:tc>
          <w:tcPr>
            <w:tcW w:type="dxa" w:w="1440"/>
            <w:shd w:fill="FFDCE0" w:val="clear"/>
          </w:tcPr>
          <w:p>
            <w:r>
              <w:rPr>
                <w:sz w:val="17"/>
              </w:rPr>
              <w:t>10,873</w:t>
            </w:r>
          </w:p>
        </w:tc>
        <w:tc>
          <w:tcPr>
            <w:tcW w:type="dxa" w:w="1440"/>
            <w:shd w:fill="FFDCE0" w:val="clear"/>
          </w:tcPr>
          <w:p>
            <w:r>
              <w:rPr>
                <w:b/>
                <w:sz w:val="17"/>
              </w:rPr>
              <w:t>11,786</w:t>
            </w:r>
          </w:p>
        </w:tc>
        <w:tc>
          <w:tcPr>
            <w:tcW w:type="dxa" w:w="1440"/>
            <w:shd w:fill="FFDCE0" w:val="clear"/>
          </w:tcPr>
          <w:p>
            <w:r>
              <w:rPr>
                <w:sz w:val="17"/>
              </w:rPr>
              <w:t>12,699</w:t>
            </w:r>
          </w:p>
        </w:tc>
        <w:tc>
          <w:tcPr>
            <w:tcW w:type="dxa" w:w="1440"/>
            <w:shd w:fill="FFDCE0" w:val="clear"/>
          </w:tcPr>
          <w:p>
            <w:r>
              <w:rPr>
                <w:b/>
                <w:color w:val="C00000"/>
                <w:sz w:val="17"/>
              </w:rPr>
              <w:t>-12.7%</w:t>
            </w:r>
          </w:p>
        </w:tc>
      </w:tr>
      <w:tr>
        <w:tc>
          <w:tcPr>
            <w:tcW w:type="dxa" w:w="1440"/>
            <w:shd w:fill="FFDCE0" w:val="clear"/>
          </w:tcPr>
          <w:p>
            <w:r>
              <w:rPr>
                <w:sz w:val="17"/>
              </w:rPr>
              <w:t>J+7  ⭐</w:t>
            </w:r>
          </w:p>
        </w:tc>
        <w:tc>
          <w:tcPr>
            <w:tcW w:type="dxa" w:w="1440"/>
            <w:shd w:fill="FFDCE0" w:val="clear"/>
          </w:tcPr>
          <w:p>
            <w:r>
              <w:rPr>
                <w:sz w:val="17"/>
              </w:rPr>
              <w:t>2026-09-14</w:t>
            </w:r>
          </w:p>
        </w:tc>
        <w:tc>
          <w:tcPr>
            <w:tcW w:type="dxa" w:w="1440"/>
            <w:shd w:fill="FFDCE0" w:val="clear"/>
          </w:tcPr>
          <w:p>
            <w:r>
              <w:rPr>
                <w:sz w:val="17"/>
              </w:rPr>
              <w:t>10,687</w:t>
            </w:r>
          </w:p>
        </w:tc>
        <w:tc>
          <w:tcPr>
            <w:tcW w:type="dxa" w:w="1440"/>
            <w:shd w:fill="FFDCE0" w:val="clear"/>
          </w:tcPr>
          <w:p>
            <w:r>
              <w:rPr>
                <w:b/>
                <w:sz w:val="17"/>
              </w:rPr>
              <w:t>11,662</w:t>
            </w:r>
          </w:p>
        </w:tc>
        <w:tc>
          <w:tcPr>
            <w:tcW w:type="dxa" w:w="1440"/>
            <w:shd w:fill="FFDCE0" w:val="clear"/>
          </w:tcPr>
          <w:p>
            <w:r>
              <w:rPr>
                <w:sz w:val="17"/>
              </w:rPr>
              <w:t>12,638</w:t>
            </w:r>
          </w:p>
        </w:tc>
        <w:tc>
          <w:tcPr>
            <w:tcW w:type="dxa" w:w="1440"/>
            <w:shd w:fill="FFDCE0" w:val="clear"/>
          </w:tcPr>
          <w:p>
            <w:r>
              <w:rPr>
                <w:b/>
                <w:color w:val="C00000"/>
                <w:sz w:val="17"/>
              </w:rPr>
              <w:t>-13.6%</w:t>
            </w:r>
          </w:p>
        </w:tc>
      </w:tr>
      <w:tr>
        <w:tc>
          <w:tcPr>
            <w:tcW w:type="dxa" w:w="1440"/>
            <w:shd w:fill="FFDCE0" w:val="clear"/>
          </w:tcPr>
          <w:p>
            <w:r>
              <w:rPr>
                <w:sz w:val="17"/>
              </w:rPr>
              <w:t>J+8  ⭐</w:t>
            </w:r>
          </w:p>
        </w:tc>
        <w:tc>
          <w:tcPr>
            <w:tcW w:type="dxa" w:w="1440"/>
            <w:shd w:fill="FFDCE0" w:val="clear"/>
          </w:tcPr>
          <w:p>
            <w:r>
              <w:rPr>
                <w:sz w:val="17"/>
              </w:rPr>
              <w:t>2026-09-15</w:t>
            </w:r>
          </w:p>
        </w:tc>
        <w:tc>
          <w:tcPr>
            <w:tcW w:type="dxa" w:w="1440"/>
            <w:shd w:fill="FFDCE0" w:val="clear"/>
          </w:tcPr>
          <w:p>
            <w:r>
              <w:rPr>
                <w:sz w:val="17"/>
              </w:rPr>
              <w:t>10,515</w:t>
            </w:r>
          </w:p>
        </w:tc>
        <w:tc>
          <w:tcPr>
            <w:tcW w:type="dxa" w:w="1440"/>
            <w:shd w:fill="FFDCE0" w:val="clear"/>
          </w:tcPr>
          <w:p>
            <w:r>
              <w:rPr>
                <w:b/>
                <w:sz w:val="17"/>
              </w:rPr>
              <w:t>11,548</w:t>
            </w:r>
          </w:p>
        </w:tc>
        <w:tc>
          <w:tcPr>
            <w:tcW w:type="dxa" w:w="1440"/>
            <w:shd w:fill="FFDCE0" w:val="clear"/>
          </w:tcPr>
          <w:p>
            <w:r>
              <w:rPr>
                <w:sz w:val="17"/>
              </w:rPr>
              <w:t>12,581</w:t>
            </w:r>
          </w:p>
        </w:tc>
        <w:tc>
          <w:tcPr>
            <w:tcW w:type="dxa" w:w="1440"/>
            <w:shd w:fill="FFDCE0" w:val="clear"/>
          </w:tcPr>
          <w:p>
            <w:r>
              <w:rPr>
                <w:b/>
                <w:color w:val="C00000"/>
                <w:sz w:val="17"/>
              </w:rPr>
              <w:t>-14.5%</w:t>
            </w:r>
          </w:p>
        </w:tc>
      </w:tr>
      <w:tr>
        <w:tc>
          <w:tcPr>
            <w:tcW w:type="dxa" w:w="1440"/>
            <w:shd w:fill="FFDCE0" w:val="clear"/>
          </w:tcPr>
          <w:p>
            <w:r>
              <w:rPr>
                <w:sz w:val="17"/>
              </w:rPr>
              <w:t>J+9  ⭐</w:t>
            </w:r>
          </w:p>
        </w:tc>
        <w:tc>
          <w:tcPr>
            <w:tcW w:type="dxa" w:w="1440"/>
            <w:shd w:fill="FFDCE0" w:val="clear"/>
          </w:tcPr>
          <w:p>
            <w:r>
              <w:rPr>
                <w:sz w:val="17"/>
              </w:rPr>
              <w:t>2026-09-16</w:t>
            </w:r>
          </w:p>
        </w:tc>
        <w:tc>
          <w:tcPr>
            <w:tcW w:type="dxa" w:w="1440"/>
            <w:shd w:fill="FFDCE0" w:val="clear"/>
          </w:tcPr>
          <w:p>
            <w:r>
              <w:rPr>
                <w:sz w:val="17"/>
              </w:rPr>
              <w:t>10,358</w:t>
            </w:r>
          </w:p>
        </w:tc>
        <w:tc>
          <w:tcPr>
            <w:tcW w:type="dxa" w:w="1440"/>
            <w:shd w:fill="FFDCE0" w:val="clear"/>
          </w:tcPr>
          <w:p>
            <w:r>
              <w:rPr>
                <w:b/>
                <w:sz w:val="17"/>
              </w:rPr>
              <w:t>11,443</w:t>
            </w:r>
          </w:p>
        </w:tc>
        <w:tc>
          <w:tcPr>
            <w:tcW w:type="dxa" w:w="1440"/>
            <w:shd w:fill="FFDCE0" w:val="clear"/>
          </w:tcPr>
          <w:p>
            <w:r>
              <w:rPr>
                <w:sz w:val="17"/>
              </w:rPr>
              <w:t>12,529</w:t>
            </w:r>
          </w:p>
        </w:tc>
        <w:tc>
          <w:tcPr>
            <w:tcW w:type="dxa" w:w="1440"/>
            <w:shd w:fill="FFDCE0" w:val="clear"/>
          </w:tcPr>
          <w:p>
            <w:r>
              <w:rPr>
                <w:b/>
                <w:color w:val="C00000"/>
                <w:sz w:val="17"/>
              </w:rPr>
              <w:t>-15.2%</w:t>
            </w:r>
          </w:p>
        </w:tc>
      </w:tr>
      <w:tr>
        <w:tc>
          <w:tcPr>
            <w:tcW w:type="dxa" w:w="1440"/>
            <w:shd w:fill="FFDCE0" w:val="clear"/>
          </w:tcPr>
          <w:p>
            <w:r>
              <w:rPr>
                <w:sz w:val="17"/>
              </w:rPr>
              <w:t>J+10  ⭐</w:t>
            </w:r>
          </w:p>
        </w:tc>
        <w:tc>
          <w:tcPr>
            <w:tcW w:type="dxa" w:w="1440"/>
            <w:shd w:fill="FFDCE0" w:val="clear"/>
          </w:tcPr>
          <w:p>
            <w:r>
              <w:rPr>
                <w:sz w:val="17"/>
              </w:rPr>
              <w:t>2026-09-17</w:t>
            </w:r>
          </w:p>
        </w:tc>
        <w:tc>
          <w:tcPr>
            <w:tcW w:type="dxa" w:w="1440"/>
            <w:shd w:fill="FFDCE0" w:val="clear"/>
          </w:tcPr>
          <w:p>
            <w:r>
              <w:rPr>
                <w:sz w:val="17"/>
              </w:rPr>
              <w:t>10,212</w:t>
            </w:r>
          </w:p>
        </w:tc>
        <w:tc>
          <w:tcPr>
            <w:tcW w:type="dxa" w:w="1440"/>
            <w:shd w:fill="FFDCE0" w:val="clear"/>
          </w:tcPr>
          <w:p>
            <w:r>
              <w:rPr>
                <w:b/>
                <w:sz w:val="17"/>
              </w:rPr>
              <w:t>11,347</w:t>
            </w:r>
          </w:p>
        </w:tc>
        <w:tc>
          <w:tcPr>
            <w:tcW w:type="dxa" w:w="1440"/>
            <w:shd w:fill="FFDCE0" w:val="clear"/>
          </w:tcPr>
          <w:p>
            <w:r>
              <w:rPr>
                <w:sz w:val="17"/>
              </w:rPr>
              <w:t>12,481</w:t>
            </w:r>
          </w:p>
        </w:tc>
        <w:tc>
          <w:tcPr>
            <w:tcW w:type="dxa" w:w="1440"/>
            <w:shd w:fill="FFDCE0" w:val="clear"/>
          </w:tcPr>
          <w:p>
            <w:r>
              <w:rPr>
                <w:b/>
                <w:color w:val="C00000"/>
                <w:sz w:val="17"/>
              </w:rPr>
              <w:t>-16.0%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SDCC (SODECI)**</w:t>
        <w:br/>
        <w:t>**Date : 3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SDCC s'établit à 121,50 milliards FCFA, un niveau significatif qui confirme le statut de valeur de premier plan du compartiment A de la BRVM. Le BPA de 518 FCFA indique que chaque action a généré un bénéfice net de 518 FCFA sur l'exercice 2025. Le PER de 26,1x est nettement supérieur à la moyenne historique de la BRVM (8-12x), ce qui traduit une anticipation de croissance future ou une possible surévaluation du titre ; les investisseurs paient donc plus de 26 fois les bénéfices annuels pour acquérir le titre. Le P/B de 6,16x est également très élevé, signifiant que le marché valorise l'action plus de six fois sa valeur comptable, une prime considérable qui reflète des attentes de rentabilité future importantes. Enfin, l'EV/EBITDA de 15,1x confirme cette valorisation exigeante, la valeur d'entreprise représentant plus de 15 fois la capacité opérationnelle de la société.</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SDCC a enregistré une progression spectaculaire de +87,50%, avec une dernière séance en hausse de +5,06%, portant le cours à 13 500 FCFA. Le titre a évolué dans une fourchette très large, allant d'un plus bas de 7 140 FCFA à un plus haut de 13 500 FCFA, démontrant une dynamique haussière extrêmement forte. La moyenne du cours sur la période est de 10 895 FCFA, tandis que la médiane s'établit à 11 750 FCFA ; l'écart entre ces deux valeurs, la moyenne étant inférieure à la médiane, indique une distribution asymétrique avec une concentration des cours vers le haut de la fourchette. Le skewness négatif de -1,159 confirme cette asymétrie, avec davantage de journées au-dessus de la moyenne, tandis que le kurtosis de -0,011 indique une distribution mésokurtique, proche de la normale, sans risque de pics extrêmes. L'écart-type de 1 753 FCFA (CV de 16,1%) reflète une dispersion modérée, mais la volatilité annualisée de 36,6% classe le titre comme très volatil, un niveau élevé qui implique un risque substantiel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de 13 500 FCFA se situe nettement au-dessus de la MM20 (12 209,75 FCFA) et de la MM50 (11 991,8 FCFA), confirmant une tendance haussière solide à court et moyen terme. La configuration des moyennes mobiles, avec la MM20 au-dessus de la MM50, génère un signal d'achat cohérent avec la dynamique positive du titre.</w:t>
      </w:r>
    </w:p>
    <w:p>
      <w:pPr>
        <w:spacing w:after="120" w:line="276" w:lineRule="auto"/>
      </w:pPr>
      <w:r>
        <w:t>**Bandes de Bollinger** : Le prix évolue au-dessus de la borne supérieure des bandes de Bollinger (13 370,705 FCFA), ce qui indique une condition de surachat extrême. Cette sortie de canal signale une volatilité accrue et un écart inhabituel par rapport à la moyenne mobile, justifiant la décision de vente pour un éventuel retour vers la moyenne.</w:t>
      </w:r>
    </w:p>
    <w:p>
      <w:pPr>
        <w:spacing w:after="120" w:line="276" w:lineRule="auto"/>
      </w:pPr>
      <w:r>
        <w:t>**MACD** : Le MACD (343,476) est nettement supérieur à sa ligne de signal (216,184), avec un écart positif important qui confirme un momentum haussier robuste. La décision d'achat est justifiée par cette divergence positive, bien que l'amplitude de l'écart puisse suggérer une certaine exubérance du marché.</w:t>
      </w:r>
    </w:p>
    <w:p>
      <w:pPr>
        <w:spacing w:after="120" w:line="276" w:lineRule="auto"/>
      </w:pPr>
      <w:r>
        <w:t>**RSI** : Le RSI s'établit à 83,871, un niveau largement au-dessus du seuil de surachat de 70. Cette valeur extrême indique que le titre est fortement suracheté, avec une pression acheteuse excessive qui pourrait précéder une correction technique. La décision de vente est donc parfaitement justifiée.</w:t>
      </w:r>
    </w:p>
    <w:p>
      <w:pPr>
        <w:spacing w:after="120" w:line="276" w:lineRule="auto"/>
      </w:pPr>
      <w:r>
        <w:t>**Stochastique** : Le %K à 100,0 et le %D à 90,429 confirment la zone de surachat extrême, avec le %K au maximum absolu. Cette configuration signale un épuisement potentiel de la dynamique haussière à court terme, justifiant la décision de vente.</w:t>
      </w:r>
    </w:p>
    <w:p>
      <w:pPr>
        <w:spacing w:after="120" w:line="276" w:lineRule="auto"/>
      </w:pPr>
      <w:r>
        <w:t>**Conclusion technique** : Les indicateurs techniques sont fortement divergents : les moyennes mobiles et le MACD signalent une tendance haussière intacte, tandis que le RSI, le Stochastique et les Bandes de Bollinger indiquent des conditions de surachat extrême. Cette configuration suggère qu'une consolidation ou un repli technique est probable à court terme, mais que la tendance de fond reste positive.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les données structurées officielles font état d'un chiffre d'affaires de 189,430 milliards FCFA, en croissance de 9,98%, et d'un résultat net de 4,663 milliards FCFA, soit une marge nette de 2,46%. Le ROE s'établit à 23,65%, un niveau excellent qui témoigne d'une bonne rentabilité des capitaux propres, tandis que le ROA de 0,99% reflète la lourdeur du bilan (472,672 milliards FCFA). Le rapport annuel 2025 (analysé en 2026) confirme cette dynamique avec un EBE en hausse de 21% à 21,8 milliards FCFA et un résultat d'exploitation en progression de 34% à 9,1 milliards FCFA. Cependant, l'entreprise présente un BFR négatif de 104,748 milliards FCFA, ce qui est favorable, mais un délai de recouvrement des créances clients de 749 jours, extrêmement élevé, constitue un risque majeur de trésorerie. Le rapport du S1 2025 (30/06/2025) montrait un résultat net en baisse de 24% à 1,355 milliard FCFA, mais le rapport du T1 2026 révèle une amélioration spectaculaire avec un résultat net en hausse de 118% à 1,318 milliard FCFA, grâce à une meilleure maîtrise des charges opérationnelles. Sur la base de ce T1 2026, on estime que l'exercice 2026 pourrait dépasser les performances de 2025, avec un résultat net annuel potentiel de 5,2 à 5,5 milliards FCFA. Le dividende proposé pour 2025 est de 525 FCFA par action, offrant un rendement d'environ 3,9% au cours actuel. La structure financière reste fragile avec un ratio d'endettement de 95,83% et une trésorerie nette négative de -61,710 milliards FCFA, malgré une amélioration de la capacité de remboursement à 8,18 ans.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SDCC apparaît clairement surévaluée au regard des ratios PER (26,1x), P/B (6,16x) et EV/EBITDA (15,1x), nettement supérieurs aux moyennes du marché BRVM. Le comportement du cours, avec une hausse de 87,5% en 100 jours et une volatilité annualisée de 36,6%, témoigne d'un enthousiasme spéculatif marqué, renforcé par des statistiques descriptives montrant une asymétrie négative (skewness -1,159) et des conditions de surachat extrême sur les indicateurs techniques (RSI à 83,9, Stochastique à 100). Les fondamentaux, bien qu'en amélioration avec un ROE de 23,65% et une croissance du CA de 10% en 2025, restent fragiles avec une trésorerie nette négative de -61,7 milliards FCFA et un délai de recouvrement des créances de 749 jours. Les prédictions IA pour les 10 prochains jours indiquent une correction progressive de 13 500 à 11 923 FCFA (-11,7%), confirmant les signaux techniques de surachat. La convergence entre la surévaluation, les signaux techniques de vente et les prédictions IA suggère une correction imminente. **Recommandation finale : VENTE** pour les investisseurs à court terme souhaitant réaliser des profits, avec un niveau de confiance **Élevé** et un risque global **Élevé**. Pour les investisseurs à long terme, une stratégie de conservation avec un horizon supérieur à 12 mois reste envisageable compte tenu des fondamentaux opérationnels solides et des perspectives de croissance sectorielle, mais une réduction de la position est conseillée pour les nouveaux entrants.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168.75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18,221 titres</w:t>
            </w:r>
          </w:p>
        </w:tc>
        <w:tc>
          <w:tcPr>
            <w:tcW w:type="dxa" w:w="2268"/>
            <w:shd w:fill="FFF2CC" w:val="clear"/>
          </w:tcPr>
          <w:p>
            <w:r>
              <w:rPr>
                <w:b/>
                <w:color w:val="503200"/>
                <w:sz w:val="16"/>
              </w:rPr>
              <w:t xml:space="preserve">Cours actuel : </w:t>
            </w:r>
            <w:r>
              <w:rPr>
                <w:color w:val="000000"/>
                <w:sz w:val="17"/>
              </w:rPr>
              <w:t>3,100 FCFA</w:t>
            </w:r>
          </w:p>
          <w:p>
            <w:r>
              <w:rPr>
                <w:b/>
                <w:color w:val="503200"/>
                <w:sz w:val="16"/>
              </w:rPr>
              <w:t xml:space="preserve">Var. 100 jours : </w:t>
            </w:r>
            <w:r>
              <w:rPr>
                <w:b/>
                <w:color w:val="007800"/>
                <w:sz w:val="17"/>
              </w:rPr>
              <w:t>+63.16%</w:t>
            </w:r>
          </w:p>
          <w:p>
            <w:r>
              <w:rPr>
                <w:b/>
                <w:color w:val="503200"/>
                <w:sz w:val="16"/>
              </w:rPr>
              <w:t xml:space="preserve">Plus haut 100j : </w:t>
            </w:r>
            <w:r>
              <w:rPr>
                <w:color w:val="000000"/>
                <w:sz w:val="17"/>
              </w:rPr>
              <w:t>3,100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50.9%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27.6/100 → Moyen</w:t>
      </w:r>
    </w:p>
    <w:p>
      <w:pPr>
        <w:spacing w:before="40" w:after="80"/>
      </w:pPr>
      <w:r>
        <w:rPr>
          <w:rFonts w:ascii="Courier New" w:hAnsi="Courier New"/>
          <w:color w:val="825A00"/>
          <w:sz w:val="18"/>
        </w:rPr>
        <w:t>█████░░░░░░░░░░░░░░░  27.6/100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18.21% (Élevée) — μ=2,255 FCFA, σ=411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β=0.6184 (Défensif) — Cov=0.000022, Var(idx)=0.000036, ρ=0.117,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18,221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σ_j=3.20%/j (Modérée) — Vol. annualisée≈50.9%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1928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2026-09-04</w:t>
            </w:r>
          </w:p>
        </w:tc>
        <w:tc>
          <w:tcPr>
            <w:tcW w:type="dxa" w:w="1440"/>
            <w:shd w:fill="FFDCE0" w:val="clear"/>
          </w:tcPr>
          <w:p>
            <w:r>
              <w:rPr>
                <w:sz w:val="17"/>
              </w:rPr>
              <w:t>2,847</w:t>
            </w:r>
          </w:p>
        </w:tc>
        <w:tc>
          <w:tcPr>
            <w:tcW w:type="dxa" w:w="1440"/>
            <w:shd w:fill="FFDCE0" w:val="clear"/>
          </w:tcPr>
          <w:p>
            <w:r>
              <w:rPr>
                <w:b/>
                <w:sz w:val="17"/>
              </w:rPr>
              <w:t>3,021</w:t>
            </w:r>
          </w:p>
        </w:tc>
        <w:tc>
          <w:tcPr>
            <w:tcW w:type="dxa" w:w="1440"/>
            <w:shd w:fill="FFDCE0" w:val="clear"/>
          </w:tcPr>
          <w:p>
            <w:r>
              <w:rPr>
                <w:sz w:val="17"/>
              </w:rPr>
              <w:t>3,196</w:t>
            </w:r>
          </w:p>
        </w:tc>
        <w:tc>
          <w:tcPr>
            <w:tcW w:type="dxa" w:w="1440"/>
            <w:shd w:fill="FFDCE0" w:val="clear"/>
          </w:tcPr>
          <w:p>
            <w:r>
              <w:rPr>
                <w:b/>
                <w:color w:val="C00000"/>
                <w:sz w:val="17"/>
              </w:rPr>
              <w:t>-2.5%</w:t>
            </w:r>
          </w:p>
        </w:tc>
      </w:tr>
      <w:tr>
        <w:tc>
          <w:tcPr>
            <w:tcW w:type="dxa" w:w="1440"/>
            <w:shd w:fill="FFDCE0" w:val="clear"/>
          </w:tcPr>
          <w:p>
            <w:r>
              <w:rPr>
                <w:sz w:val="17"/>
              </w:rPr>
              <w:t>J+2  Moyenne</w:t>
            </w:r>
          </w:p>
        </w:tc>
        <w:tc>
          <w:tcPr>
            <w:tcW w:type="dxa" w:w="1440"/>
            <w:shd w:fill="FFDCE0" w:val="clear"/>
          </w:tcPr>
          <w:p>
            <w:r>
              <w:rPr>
                <w:sz w:val="17"/>
              </w:rPr>
              <w:t>2026-09-07</w:t>
            </w:r>
          </w:p>
        </w:tc>
        <w:tc>
          <w:tcPr>
            <w:tcW w:type="dxa" w:w="1440"/>
            <w:shd w:fill="FFDCE0" w:val="clear"/>
          </w:tcPr>
          <w:p>
            <w:r>
              <w:rPr>
                <w:sz w:val="17"/>
              </w:rPr>
              <w:t>2,703</w:t>
            </w:r>
          </w:p>
        </w:tc>
        <w:tc>
          <w:tcPr>
            <w:tcW w:type="dxa" w:w="1440"/>
            <w:shd w:fill="FFDCE0" w:val="clear"/>
          </w:tcPr>
          <w:p>
            <w:r>
              <w:rPr>
                <w:b/>
                <w:sz w:val="17"/>
              </w:rPr>
              <w:t>2,943</w:t>
            </w:r>
          </w:p>
        </w:tc>
        <w:tc>
          <w:tcPr>
            <w:tcW w:type="dxa" w:w="1440"/>
            <w:shd w:fill="FFDCE0" w:val="clear"/>
          </w:tcPr>
          <w:p>
            <w:r>
              <w:rPr>
                <w:sz w:val="17"/>
              </w:rPr>
              <w:t>3,184</w:t>
            </w:r>
          </w:p>
        </w:tc>
        <w:tc>
          <w:tcPr>
            <w:tcW w:type="dxa" w:w="1440"/>
            <w:shd w:fill="FFDCE0" w:val="clear"/>
          </w:tcPr>
          <w:p>
            <w:r>
              <w:rPr>
                <w:b/>
                <w:color w:val="C00000"/>
                <w:sz w:val="17"/>
              </w:rPr>
              <w:t>-5.0%</w:t>
            </w:r>
          </w:p>
        </w:tc>
      </w:tr>
      <w:tr>
        <w:tc>
          <w:tcPr>
            <w:tcW w:type="dxa" w:w="1440"/>
            <w:shd w:fill="FFDCE0" w:val="clear"/>
          </w:tcPr>
          <w:p>
            <w:r>
              <w:rPr>
                <w:sz w:val="17"/>
              </w:rPr>
              <w:t>J+3  Moyenne</w:t>
            </w:r>
          </w:p>
        </w:tc>
        <w:tc>
          <w:tcPr>
            <w:tcW w:type="dxa" w:w="1440"/>
            <w:shd w:fill="FFDCE0" w:val="clear"/>
          </w:tcPr>
          <w:p>
            <w:r>
              <w:rPr>
                <w:sz w:val="17"/>
              </w:rPr>
              <w:t>2026-09-08</w:t>
            </w:r>
          </w:p>
        </w:tc>
        <w:tc>
          <w:tcPr>
            <w:tcW w:type="dxa" w:w="1440"/>
            <w:shd w:fill="FFDCE0" w:val="clear"/>
          </w:tcPr>
          <w:p>
            <w:r>
              <w:rPr>
                <w:sz w:val="17"/>
              </w:rPr>
              <w:t>2,601</w:t>
            </w:r>
          </w:p>
        </w:tc>
        <w:tc>
          <w:tcPr>
            <w:tcW w:type="dxa" w:w="1440"/>
            <w:shd w:fill="FFDCE0" w:val="clear"/>
          </w:tcPr>
          <w:p>
            <w:r>
              <w:rPr>
                <w:b/>
                <w:sz w:val="17"/>
              </w:rPr>
              <w:t>2,890</w:t>
            </w:r>
          </w:p>
        </w:tc>
        <w:tc>
          <w:tcPr>
            <w:tcW w:type="dxa" w:w="1440"/>
            <w:shd w:fill="FFDCE0" w:val="clear"/>
          </w:tcPr>
          <w:p>
            <w:r>
              <w:rPr>
                <w:sz w:val="17"/>
              </w:rPr>
              <w:t>3,179</w:t>
            </w:r>
          </w:p>
        </w:tc>
        <w:tc>
          <w:tcPr>
            <w:tcW w:type="dxa" w:w="1440"/>
            <w:shd w:fill="FFDCE0" w:val="clear"/>
          </w:tcPr>
          <w:p>
            <w:r>
              <w:rPr>
                <w:b/>
                <w:color w:val="C00000"/>
                <w:sz w:val="17"/>
              </w:rPr>
              <w:t>-6.8%</w:t>
            </w:r>
          </w:p>
        </w:tc>
      </w:tr>
      <w:tr>
        <w:tc>
          <w:tcPr>
            <w:tcW w:type="dxa" w:w="1440"/>
            <w:shd w:fill="FFDCE0" w:val="clear"/>
          </w:tcPr>
          <w:p>
            <w:r>
              <w:rPr>
                <w:sz w:val="17"/>
              </w:rPr>
              <w:t>J+4  ⭐</w:t>
            </w:r>
          </w:p>
        </w:tc>
        <w:tc>
          <w:tcPr>
            <w:tcW w:type="dxa" w:w="1440"/>
            <w:shd w:fill="FFDCE0" w:val="clear"/>
          </w:tcPr>
          <w:p>
            <w:r>
              <w:rPr>
                <w:sz w:val="17"/>
              </w:rPr>
              <w:t>2026-09-09</w:t>
            </w:r>
          </w:p>
        </w:tc>
        <w:tc>
          <w:tcPr>
            <w:tcW w:type="dxa" w:w="1440"/>
            <w:shd w:fill="FFDCE0" w:val="clear"/>
          </w:tcPr>
          <w:p>
            <w:r>
              <w:rPr>
                <w:sz w:val="17"/>
              </w:rPr>
              <w:t>2,523</w:t>
            </w:r>
          </w:p>
        </w:tc>
        <w:tc>
          <w:tcPr>
            <w:tcW w:type="dxa" w:w="1440"/>
            <w:shd w:fill="FFDCE0" w:val="clear"/>
          </w:tcPr>
          <w:p>
            <w:r>
              <w:rPr>
                <w:b/>
                <w:sz w:val="17"/>
              </w:rPr>
              <w:t>2,853</w:t>
            </w:r>
          </w:p>
        </w:tc>
        <w:tc>
          <w:tcPr>
            <w:tcW w:type="dxa" w:w="1440"/>
            <w:shd w:fill="FFDCE0" w:val="clear"/>
          </w:tcPr>
          <w:p>
            <w:r>
              <w:rPr>
                <w:sz w:val="17"/>
              </w:rPr>
              <w:t>3,182</w:t>
            </w:r>
          </w:p>
        </w:tc>
        <w:tc>
          <w:tcPr>
            <w:tcW w:type="dxa" w:w="1440"/>
            <w:shd w:fill="FFDCE0" w:val="clear"/>
          </w:tcPr>
          <w:p>
            <w:r>
              <w:rPr>
                <w:b/>
                <w:color w:val="C00000"/>
                <w:sz w:val="17"/>
              </w:rPr>
              <w:t>-8.0%</w:t>
            </w:r>
          </w:p>
        </w:tc>
      </w:tr>
      <w:tr>
        <w:tc>
          <w:tcPr>
            <w:tcW w:type="dxa" w:w="1440"/>
            <w:shd w:fill="FFDCE0" w:val="clear"/>
          </w:tcPr>
          <w:p>
            <w:r>
              <w:rPr>
                <w:sz w:val="17"/>
              </w:rPr>
              <w:t>J+5  ⭐</w:t>
            </w:r>
          </w:p>
        </w:tc>
        <w:tc>
          <w:tcPr>
            <w:tcW w:type="dxa" w:w="1440"/>
            <w:shd w:fill="FFDCE0" w:val="clear"/>
          </w:tcPr>
          <w:p>
            <w:r>
              <w:rPr>
                <w:sz w:val="17"/>
              </w:rPr>
              <w:t>2026-09-10</w:t>
            </w:r>
          </w:p>
        </w:tc>
        <w:tc>
          <w:tcPr>
            <w:tcW w:type="dxa" w:w="1440"/>
            <w:shd w:fill="FFDCE0" w:val="clear"/>
          </w:tcPr>
          <w:p>
            <w:r>
              <w:rPr>
                <w:sz w:val="17"/>
              </w:rPr>
              <w:t>2,458</w:t>
            </w:r>
          </w:p>
        </w:tc>
        <w:tc>
          <w:tcPr>
            <w:tcW w:type="dxa" w:w="1440"/>
            <w:shd w:fill="FFDCE0" w:val="clear"/>
          </w:tcPr>
          <w:p>
            <w:r>
              <w:rPr>
                <w:b/>
                <w:sz w:val="17"/>
              </w:rPr>
              <w:t>2,822</w:t>
            </w:r>
          </w:p>
        </w:tc>
        <w:tc>
          <w:tcPr>
            <w:tcW w:type="dxa" w:w="1440"/>
            <w:shd w:fill="FFDCE0" w:val="clear"/>
          </w:tcPr>
          <w:p>
            <w:r>
              <w:rPr>
                <w:sz w:val="17"/>
              </w:rPr>
              <w:t>3,187</w:t>
            </w:r>
          </w:p>
        </w:tc>
        <w:tc>
          <w:tcPr>
            <w:tcW w:type="dxa" w:w="1440"/>
            <w:shd w:fill="FFDCE0" w:val="clear"/>
          </w:tcPr>
          <w:p>
            <w:r>
              <w:rPr>
                <w:b/>
                <w:color w:val="C00000"/>
                <w:sz w:val="17"/>
              </w:rPr>
              <w:t>-9.0%</w:t>
            </w:r>
          </w:p>
        </w:tc>
      </w:tr>
      <w:tr>
        <w:tc>
          <w:tcPr>
            <w:tcW w:type="dxa" w:w="1440"/>
            <w:shd w:fill="FFDCE0" w:val="clear"/>
          </w:tcPr>
          <w:p>
            <w:r>
              <w:rPr>
                <w:sz w:val="17"/>
              </w:rPr>
              <w:t>J+6  ⭐</w:t>
            </w:r>
          </w:p>
        </w:tc>
        <w:tc>
          <w:tcPr>
            <w:tcW w:type="dxa" w:w="1440"/>
            <w:shd w:fill="FFDCE0" w:val="clear"/>
          </w:tcPr>
          <w:p>
            <w:r>
              <w:rPr>
                <w:sz w:val="17"/>
              </w:rPr>
              <w:t>2026-09-11</w:t>
            </w:r>
          </w:p>
        </w:tc>
        <w:tc>
          <w:tcPr>
            <w:tcW w:type="dxa" w:w="1440"/>
            <w:shd w:fill="FFDCE0" w:val="clear"/>
          </w:tcPr>
          <w:p>
            <w:r>
              <w:rPr>
                <w:sz w:val="17"/>
              </w:rPr>
              <w:t>2,401</w:t>
            </w:r>
          </w:p>
        </w:tc>
        <w:tc>
          <w:tcPr>
            <w:tcW w:type="dxa" w:w="1440"/>
            <w:shd w:fill="FFDCE0" w:val="clear"/>
          </w:tcPr>
          <w:p>
            <w:r>
              <w:rPr>
                <w:b/>
                <w:sz w:val="17"/>
              </w:rPr>
              <w:t>2,796</w:t>
            </w:r>
          </w:p>
        </w:tc>
        <w:tc>
          <w:tcPr>
            <w:tcW w:type="dxa" w:w="1440"/>
            <w:shd w:fill="FFDCE0" w:val="clear"/>
          </w:tcPr>
          <w:p>
            <w:r>
              <w:rPr>
                <w:sz w:val="17"/>
              </w:rPr>
              <w:t>3,191</w:t>
            </w:r>
          </w:p>
        </w:tc>
        <w:tc>
          <w:tcPr>
            <w:tcW w:type="dxa" w:w="1440"/>
            <w:shd w:fill="FFDCE0" w:val="clear"/>
          </w:tcPr>
          <w:p>
            <w:r>
              <w:rPr>
                <w:b/>
                <w:color w:val="C00000"/>
                <w:sz w:val="17"/>
              </w:rPr>
              <w:t>-9.8%</w:t>
            </w:r>
          </w:p>
        </w:tc>
      </w:tr>
      <w:tr>
        <w:tc>
          <w:tcPr>
            <w:tcW w:type="dxa" w:w="1440"/>
            <w:shd w:fill="FFDCE0" w:val="clear"/>
          </w:tcPr>
          <w:p>
            <w:r>
              <w:rPr>
                <w:sz w:val="17"/>
              </w:rPr>
              <w:t>J+7  ⭐</w:t>
            </w:r>
          </w:p>
        </w:tc>
        <w:tc>
          <w:tcPr>
            <w:tcW w:type="dxa" w:w="1440"/>
            <w:shd w:fill="FFDCE0" w:val="clear"/>
          </w:tcPr>
          <w:p>
            <w:r>
              <w:rPr>
                <w:sz w:val="17"/>
              </w:rPr>
              <w:t>2026-09-14</w:t>
            </w:r>
          </w:p>
        </w:tc>
        <w:tc>
          <w:tcPr>
            <w:tcW w:type="dxa" w:w="1440"/>
            <w:shd w:fill="FFDCE0" w:val="clear"/>
          </w:tcPr>
          <w:p>
            <w:r>
              <w:rPr>
                <w:sz w:val="17"/>
              </w:rPr>
              <w:t>2,348</w:t>
            </w:r>
          </w:p>
        </w:tc>
        <w:tc>
          <w:tcPr>
            <w:tcW w:type="dxa" w:w="1440"/>
            <w:shd w:fill="FFDCE0" w:val="clear"/>
          </w:tcPr>
          <w:p>
            <w:r>
              <w:rPr>
                <w:b/>
                <w:sz w:val="17"/>
              </w:rPr>
              <w:t>2,771</w:t>
            </w:r>
          </w:p>
        </w:tc>
        <w:tc>
          <w:tcPr>
            <w:tcW w:type="dxa" w:w="1440"/>
            <w:shd w:fill="FFDCE0" w:val="clear"/>
          </w:tcPr>
          <w:p>
            <w:r>
              <w:rPr>
                <w:sz w:val="17"/>
              </w:rPr>
              <w:t>3,194</w:t>
            </w:r>
          </w:p>
        </w:tc>
        <w:tc>
          <w:tcPr>
            <w:tcW w:type="dxa" w:w="1440"/>
            <w:shd w:fill="FFDCE0" w:val="clear"/>
          </w:tcPr>
          <w:p>
            <w:r>
              <w:rPr>
                <w:b/>
                <w:color w:val="C00000"/>
                <w:sz w:val="17"/>
              </w:rPr>
              <w:t>-10.6%</w:t>
            </w:r>
          </w:p>
        </w:tc>
      </w:tr>
      <w:tr>
        <w:tc>
          <w:tcPr>
            <w:tcW w:type="dxa" w:w="1440"/>
            <w:shd w:fill="FFDCE0" w:val="clear"/>
          </w:tcPr>
          <w:p>
            <w:r>
              <w:rPr>
                <w:sz w:val="17"/>
              </w:rPr>
              <w:t>J+8  ⭐</w:t>
            </w:r>
          </w:p>
        </w:tc>
        <w:tc>
          <w:tcPr>
            <w:tcW w:type="dxa" w:w="1440"/>
            <w:shd w:fill="FFDCE0" w:val="clear"/>
          </w:tcPr>
          <w:p>
            <w:r>
              <w:rPr>
                <w:sz w:val="17"/>
              </w:rPr>
              <w:t>2026-09-15</w:t>
            </w:r>
          </w:p>
        </w:tc>
        <w:tc>
          <w:tcPr>
            <w:tcW w:type="dxa" w:w="1440"/>
            <w:shd w:fill="FFDCE0" w:val="clear"/>
          </w:tcPr>
          <w:p>
            <w:r>
              <w:rPr>
                <w:sz w:val="17"/>
              </w:rPr>
              <w:t>2,300</w:t>
            </w:r>
          </w:p>
        </w:tc>
        <w:tc>
          <w:tcPr>
            <w:tcW w:type="dxa" w:w="1440"/>
            <w:shd w:fill="FFDCE0" w:val="clear"/>
          </w:tcPr>
          <w:p>
            <w:r>
              <w:rPr>
                <w:b/>
                <w:sz w:val="17"/>
              </w:rPr>
              <w:t>2,748</w:t>
            </w:r>
          </w:p>
        </w:tc>
        <w:tc>
          <w:tcPr>
            <w:tcW w:type="dxa" w:w="1440"/>
            <w:shd w:fill="FFDCE0" w:val="clear"/>
          </w:tcPr>
          <w:p>
            <w:r>
              <w:rPr>
                <w:sz w:val="17"/>
              </w:rPr>
              <w:t>3,197</w:t>
            </w:r>
          </w:p>
        </w:tc>
        <w:tc>
          <w:tcPr>
            <w:tcW w:type="dxa" w:w="1440"/>
            <w:shd w:fill="FFDCE0" w:val="clear"/>
          </w:tcPr>
          <w:p>
            <w:r>
              <w:rPr>
                <w:b/>
                <w:color w:val="C00000"/>
                <w:sz w:val="17"/>
              </w:rPr>
              <w:t>-11.4%</w:t>
            </w:r>
          </w:p>
        </w:tc>
      </w:tr>
      <w:tr>
        <w:tc>
          <w:tcPr>
            <w:tcW w:type="dxa" w:w="1440"/>
            <w:shd w:fill="FFDCE0" w:val="clear"/>
          </w:tcPr>
          <w:p>
            <w:r>
              <w:rPr>
                <w:sz w:val="17"/>
              </w:rPr>
              <w:t>J+9  ⭐</w:t>
            </w:r>
          </w:p>
        </w:tc>
        <w:tc>
          <w:tcPr>
            <w:tcW w:type="dxa" w:w="1440"/>
            <w:shd w:fill="FFDCE0" w:val="clear"/>
          </w:tcPr>
          <w:p>
            <w:r>
              <w:rPr>
                <w:sz w:val="17"/>
              </w:rPr>
              <w:t>2026-09-16</w:t>
            </w:r>
          </w:p>
        </w:tc>
        <w:tc>
          <w:tcPr>
            <w:tcW w:type="dxa" w:w="1440"/>
            <w:shd w:fill="FFDCE0" w:val="clear"/>
          </w:tcPr>
          <w:p>
            <w:r>
              <w:rPr>
                <w:sz w:val="17"/>
              </w:rPr>
              <w:t>2,254</w:t>
            </w:r>
          </w:p>
        </w:tc>
        <w:tc>
          <w:tcPr>
            <w:tcW w:type="dxa" w:w="1440"/>
            <w:shd w:fill="FFDCE0" w:val="clear"/>
          </w:tcPr>
          <w:p>
            <w:r>
              <w:rPr>
                <w:b/>
                <w:sz w:val="17"/>
              </w:rPr>
              <w:t>2,726</w:t>
            </w:r>
          </w:p>
        </w:tc>
        <w:tc>
          <w:tcPr>
            <w:tcW w:type="dxa" w:w="1440"/>
            <w:shd w:fill="FFDCE0" w:val="clear"/>
          </w:tcPr>
          <w:p>
            <w:r>
              <w:rPr>
                <w:sz w:val="17"/>
              </w:rPr>
              <w:t>3,198</w:t>
            </w:r>
          </w:p>
        </w:tc>
        <w:tc>
          <w:tcPr>
            <w:tcW w:type="dxa" w:w="1440"/>
            <w:shd w:fill="FFDCE0" w:val="clear"/>
          </w:tcPr>
          <w:p>
            <w:r>
              <w:rPr>
                <w:b/>
                <w:color w:val="C00000"/>
                <w:sz w:val="17"/>
              </w:rPr>
              <w:t>-12.1%</w:t>
            </w:r>
          </w:p>
        </w:tc>
      </w:tr>
      <w:tr>
        <w:tc>
          <w:tcPr>
            <w:tcW w:type="dxa" w:w="1440"/>
            <w:shd w:fill="FFDCE0" w:val="clear"/>
          </w:tcPr>
          <w:p>
            <w:r>
              <w:rPr>
                <w:sz w:val="17"/>
              </w:rPr>
              <w:t>J+10  ⭐</w:t>
            </w:r>
          </w:p>
        </w:tc>
        <w:tc>
          <w:tcPr>
            <w:tcW w:type="dxa" w:w="1440"/>
            <w:shd w:fill="FFDCE0" w:val="clear"/>
          </w:tcPr>
          <w:p>
            <w:r>
              <w:rPr>
                <w:sz w:val="17"/>
              </w:rPr>
              <w:t>2026-09-17</w:t>
            </w:r>
          </w:p>
        </w:tc>
        <w:tc>
          <w:tcPr>
            <w:tcW w:type="dxa" w:w="1440"/>
            <w:shd w:fill="FFDCE0" w:val="clear"/>
          </w:tcPr>
          <w:p>
            <w:r>
              <w:rPr>
                <w:sz w:val="17"/>
              </w:rPr>
              <w:t>2,211</w:t>
            </w:r>
          </w:p>
        </w:tc>
        <w:tc>
          <w:tcPr>
            <w:tcW w:type="dxa" w:w="1440"/>
            <w:shd w:fill="FFDCE0" w:val="clear"/>
          </w:tcPr>
          <w:p>
            <w:r>
              <w:rPr>
                <w:b/>
                <w:sz w:val="17"/>
              </w:rPr>
              <w:t>2,705</w:t>
            </w:r>
          </w:p>
        </w:tc>
        <w:tc>
          <w:tcPr>
            <w:tcW w:type="dxa" w:w="1440"/>
            <w:shd w:fill="FFDCE0" w:val="clear"/>
          </w:tcPr>
          <w:p>
            <w:r>
              <w:rPr>
                <w:sz w:val="17"/>
              </w:rPr>
              <w:t>3,199</w:t>
            </w:r>
          </w:p>
        </w:tc>
        <w:tc>
          <w:tcPr>
            <w:tcW w:type="dxa" w:w="1440"/>
            <w:shd w:fill="FFDCE0" w:val="clear"/>
          </w:tcPr>
          <w:p>
            <w:r>
              <w:rPr>
                <w:b/>
                <w:color w:val="C00000"/>
                <w:sz w:val="17"/>
              </w:rPr>
              <w:t>-12.7%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SDSC s'établit à 168,75 milliards FCFA, un niveau significatif qui la positionne parmi les valeurs moyennes à grandes capitalisations de la BRVM. Avec un BPA de 387 FCFA, chaque action génère un bénéfice substantiel, ce qui explique un PER de 8,0x, inférieur à la moyenne du marché (8-12x), suggérant une sous-évaluation relative du titre par rapport à ses bénéfices historiques. Le P/B de 2,17x indique que le marché valorise l'entreprise à plus du double de sa valeur comptable, traduisant une prime de croissance accordée par les investisseurs. En revanche, l'EV/EBITDA de 36,4x apparaît extrêmement exigeant, signalant que la valeur totale de l'entreprise (capitalisation plus dette nette) est très élevée par rapport à sa capacité opérationnelle brute, ce qui introduit une dissonance notable avec le PER et mérite une attention particulière.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SDSC a enregistré une progression spectaculaire de +63,16%, avec une accélération marquée lors de la dernière séance (+5,62%), portant le cours à 3 100 FCFA, son plus haut niveau sur la période, contre un plus bas de 1 650 FCFA. Cette tendance fortement haussière s'accompagne de statistiques descriptives révélatrices : la moyenne (2 255 FCFA) est inférieure à la médiane (2 315 FCFA), indiquant une asymétrie positive récente où les valeurs hautes dominent la fin de période. L'écart-type de 413 FCFA (CV=18,3%) témoigne d'une dispersion modérée, tandis que le kurtosis de -1,466 (platykurtique) suggère une distribution aplatie avec peu de valeurs extrêmes, et le skewness de 0,025 confirme une symétrie globale. La volatilité annualisée de 50,9% classe le titre comme très volatil (&gt;30%), un niveau élevé qui reflète l'ampleur des mouvements observés et implique un risque substantiel pour les investisseurs malgré la performance impressionnante.</w:t>
      </w:r>
    </w:p>
    <w:p>
      <w:pPr>
        <w:spacing w:after="120" w:line="276" w:lineRule="auto" w:before="240"/>
      </w:pPr>
      <w:r>
        <w:rPr>
          <w:b/>
          <w:color w:val="003366"/>
          <w:sz w:val="24"/>
        </w:rPr>
        <w:t>**PARTIE 2 : ANALYSE TECHNIQUE DÉTAILLÉE**</w:t>
      </w:r>
    </w:p>
    <w:p>
      <w:pPr>
        <w:spacing w:after="120" w:line="276" w:lineRule="auto"/>
      </w:pPr>
      <w:r>
        <w:t>Les **Moyennes Mobiles** (MM20=2 716,75 et MM50=2 618,0) sont toutes deux largement dépassées par le cours actuel de 3 100 FCFA, confirmant une dynamique haussière robuste à court et moyen terme. L'écart positif entre le prix et les moyennes, ainsi que la configuration où MM20 &gt; MM50, valident la tendance ascendante et justifient la décision d'Achat, bien que l'éloignement du cours par rapport à ces moyennes puisse signaler une extension excessive.</w:t>
      </w:r>
    </w:p>
    <w:p>
      <w:pPr>
        <w:spacing w:after="120" w:line="276" w:lineRule="auto"/>
      </w:pPr>
      <w:r>
        <w:t>Les **Bandes de Bollinger** montrent un cours (3 100 FCFA) qui franchit la borne supérieure (3 039 FCFA), indiquant une pression acheteuse extrême et une volatilité accrue. Ce dépassement de la bande supérieure est classiquement interprété comme un signal de surachat temporaire, d'où la décision de Vente suggérée par cet indicateur, qui anticipe un possible retour vers la moyenne (2 716 FCFA) à court terme.</w:t>
      </w:r>
    </w:p>
    <w:p>
      <w:pPr>
        <w:spacing w:after="120" w:line="276" w:lineRule="auto"/>
      </w:pPr>
      <w:r>
        <w:t>Le **MACD** affiche une valeur de 92,94 nettement supérieure à son signal (62,52), avec un écart positif croissant qui traduit un momentum haussier puissant. Cette configuration, où la ligne MACD évolue au-dessus du signal, confirme la vigueur de la tendance et justifie la décision d'Achat, indiquant que la dynamique positive reste intacte malgré la maturité du mouvement.</w:t>
      </w:r>
    </w:p>
    <w:p>
      <w:pPr>
        <w:spacing w:after="120" w:line="276" w:lineRule="auto"/>
      </w:pPr>
      <w:r>
        <w:t>Le **RSI** à 63,44 se situe en zone neutre (30-70), mais proche de la zone de surachat (70), suggérant que le titre conserve un potentiel haussier tout en approchant d'un niveau où une correction pourrait survenir. La décision Neutre reflète cet équilibre précaire entre momentum positif et risque de retournement.</w:t>
      </w:r>
    </w:p>
    <w:p>
      <w:pPr>
        <w:spacing w:after="120" w:line="276" w:lineRule="auto"/>
      </w:pPr>
      <w:r>
        <w:t>Le **Stochastique** avec %K=100 et %D=100 est extrêmement suracheté, les deux lignes étant à leur niveau maximal, ce qui signale une condition de surachat sévère et imminent un repli technique. La décision de Vente est justifiée par cette configuration extrême qui précède souvent une consolidation ou un retracement.</w:t>
      </w:r>
    </w:p>
    <w:p>
      <w:pPr>
        <w:spacing w:after="120" w:line="276" w:lineRule="auto"/>
      </w:pPr>
      <w:r>
        <w:t>En conclusion technique, les indicateurs de tendance (MM, MACD) restent positifs et confirment la dynamique haussière, mais les oscillateurs de momentum (Bollinger, Stochastique) atteignent des niveaux extrêmes de surachat. Cette divergence entre la force de la tendance et la saturation des oscillateurs suggère qu'un repli technique est probable à court terme, bien que la tendance de fond demeure haussière.</w:t>
      </w:r>
    </w:p>
    <w:p>
      <w:pPr>
        <w:spacing w:after="120" w:line="276" w:lineRule="auto" w:before="240"/>
      </w:pPr>
      <w:r>
        <w:rPr>
          <w:b/>
          <w:color w:val="003366"/>
          <w:sz w:val="24"/>
        </w:rPr>
        <w:t>**PARTIE 3 : ANALYSE FONDAMENTALE (SECTION CRITIQUE)**</w:t>
      </w:r>
    </w:p>
    <w:p>
      <w:pPr>
        <w:spacing w:after="120" w:line="276" w:lineRule="auto"/>
      </w:pPr>
      <w:r>
        <w:t>En 2024, SDSC a réalisé un chiffre d'affaires de 85,643 milliards FCFA, en croissance de 3,65%, avec un résultat net de 21,069 milliards FCFA, soit une marge nette exceptionnelle de 24,6%. Les ratios de rentabilité étaient excellents avec un ROE de 27,08% et un ROA de 11,20%, témoignant d'une gestion performante. La structure financière saine (autonomie financière à 41,36%, solvabilité générale à 170,53%) était toutefois tempérée par un délai clients très élevé de 466,94 jours, indiquant un risque de trésorerie significatif, et un BFR de 17,874 milliards FCFA. Les rapports trimestriels 2025 montrent une dégradation marquée : le T1 2025 affiche un résultat net de -193 millions FCFA (amélioré de 54% vs T1 2024), le S1 2025 creuse la perte à -427 millions FCFA, et le T3 2025 enregistre un résultat net de 4,341 milliards FCFA, en chute de 77% sur un an. Les états financiers provisoires 2025 (rapport du 31/12/2025) confirment cette tendance avec un CA en hausse de 7,43% à 92,004 milliards FCFA mais un résultat net effondré à 784,97 millions FCFA (marge nette de 0,85%), un résultat d'exploitation négatif de -2,271 milliards FCFA, et une chute drastique du dividende proposé à 544 millions FCFA (-89%). On estime que l'exercice 2026 pourrait bénéficier de la trésorerie abondante (74,78 milliards FCFA) et de la croissance du CA, mais la restauration des marges opérationnelles reste incertaine, dépendante de la maîtrise des charges et du redressement des revenus financiers des filiales.</w:t>
      </w:r>
    </w:p>
    <w:p>
      <w:pPr>
        <w:spacing w:after="120" w:line="276" w:lineRule="auto" w:before="240"/>
      </w:pPr>
      <w:r>
        <w:rPr>
          <w:b/>
          <w:color w:val="003366"/>
          <w:sz w:val="24"/>
        </w:rPr>
        <w:t>**PARTIE 4 : CONCLUSION D'INVESTISSEMENT**</w:t>
      </w:r>
    </w:p>
    <w:p>
      <w:pPr>
        <w:spacing w:after="120" w:line="276" w:lineRule="auto"/>
      </w:pPr>
      <w:r>
        <w:t>La valorisation de SDSC présente un tableau contrasté : le PER de 8,0x suggère une sous-évaluation relative, mais l'EV/EBITDA de 36,4x et le P/B de 2,17x indiquent une valorisation exigeante, reflétant des bénéfices 2024 exceptionnels qui ne se sont pas reproduits en 2025. Le comportement du cours (+63,16% sur 100 jours) est spectaculairement haussier mais s'accompagne d'une volatilité très élevée (50,9%) et de statistiques (kurtosis platykurtique, skewness symétrique) qui suggèrent un mouvement potentiellement spéculatif. Les signaux techniques sont mitigés : les indicateurs de tendance (MM, MACD) restent positifs, mais les oscillateurs (Bollinger, Stochastique) sont en surachat extrême, annonçant probablement une correction. Les fondamentaux se sont nettement dégradés entre 2024 (résultat net de 21 milliards FCFA) et 2025 (résultat net de 0,78 milliard FCFA), malgré une croissance du CA de 7,4%, avec une rentabilité opérationnelle devenue négative. Les prédictions IA (baisse progressive de 3 021 à 2 822 FCFA sur 10 jours) confirment l'anticipation d'un repli technique. La convergence entre les signaux techniques de surachat, la dégradation fondamentale et les prédictions IA conduit à une recommandation de **VENTE** à court terme, avec un niveau de confiance **Moyen** et un risque global **Élevé**. L'horizon d'investissement optimal serait le **court terme (&lt;3 mois)** pour les investisseurs cherchant à sécuriser les gains, tandis qu'un réinvestissement pourrait être envisagé après correction autour de 2 400-2 600 FCFA si les fondamentaux opérationnels se redressent.</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op\u00e9rationnelle spectaculaire d'AGL avec une multiplication par 18 du r\u00e9sultat net d\u00e9montre une efficacit\u00e9 retrouv\u00e9e et un potentiel de croissance exceptionnel. Le rebranding et la diversification des activit\u00e9s logistiques positionnent favorablement l'entreprise sur le march\u00e9 africain en expansion."}</w:t>
      </w:r>
    </w:p>
    <w:p>
      <w:pPr>
        <w:spacing w:before="40"/>
        <w:ind w:left="400"/>
      </w:pPr>
      <w:r>
        <w:rPr>
          <w:sz w:val="18"/>
        </w:rPr>
        <w:t>Africa Global Logistics Côte d'Ivoire (AGL) affiche une performance exceptionnelle au premier trimestre 2023 avec une croissance modeste du chiffre d'affaires de 0,7% à 23,47 milliards FCFA. Le résultat des activités ordinaires explose de 111,3% à 1,22 milliard FCFA, témoignant d'une amélioration drastique de l'efficacité opérationnelle. Le résultat net bondit spectaculairement de 1726,8% pour atteindre 611,98 millions FCFA contre seulement 33,5 millions FCFA l'année précédente. Cette performance remarquable résulte de l'amélioration des activités logistiques (entreposage, transit aérien) et maritimes, compensant la baisse des dépôts de conteneurs vides. La société a récemment procédé au reb</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'+0,7%', 'capital_social': '10 887 060 000 FCFA', 'croissance_resultat_net': '+1726,8%', 'resultat_activites_ordinaires': '1 220 863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611 980 milliers FCFA (T1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23 470 387 milliers FCFA (T1 2023)</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de +1726,8% au T1 2023 (611,98 millions FCFA vs 33,5 millions FCFA)</w:t>
      </w:r>
    </w:p>
    <w:p>
      <w:pPr>
        <w:pStyle w:val="ListBullet"/>
        <w:spacing w:before="20" w:after="20"/>
        <w:ind w:left="700"/>
      </w:pPr>
      <w:r>
        <w:rPr>
          <w:sz w:val="18"/>
        </w:rPr>
        <w:t>Forte amélioration du résultat des activités ordinaires (+111,3% à 1,22 milliard FCFA)</w:t>
      </w:r>
    </w:p>
    <w:p>
      <w:pPr>
        <w:pStyle w:val="ListBullet"/>
        <w:spacing w:before="20" w:after="20"/>
        <w:ind w:left="700"/>
      </w:pPr>
      <w:r>
        <w:rPr>
          <w:sz w:val="18"/>
        </w:rPr>
        <w:t>Croissance modérée mais stable du chiffre d'affaires (+0,7% à 23,47 milliards FCFA)</w:t>
      </w:r>
    </w:p>
    <w:p>
      <w:pPr>
        <w:pStyle w:val="ListBullet"/>
        <w:spacing w:before="20" w:after="20"/>
        <w:ind w:left="700"/>
      </w:pPr>
      <w:r>
        <w:rPr>
          <w:sz w:val="18"/>
        </w:rPr>
        <w:t>Amélioration significative des activités logistiques (entreposage et transit aérien)</w:t>
      </w:r>
    </w:p>
    <w:p>
      <w:pPr>
        <w:pStyle w:val="ListBullet"/>
        <w:spacing w:before="20" w:after="20"/>
        <w:ind w:left="700"/>
      </w:pPr>
      <w:r>
        <w:rPr>
          <w:sz w:val="18"/>
        </w:rPr>
        <w:t>Compensation réussie de la baisse d'activité des dépôts de conteneurs vides par les activités maritimes</w:t>
      </w:r>
    </w:p>
    <w:p>
      <w:pPr>
        <w:pStyle w:val="ListBullet"/>
        <w:spacing w:before="20" w:after="20"/>
        <w:ind w:left="700"/>
      </w:pPr>
      <w:r>
        <w:rPr>
          <w:sz w:val="18"/>
        </w:rPr>
        <w:t>Rebranding de Bolloré Logistics vers Africa Global Logistics effectué en mars 2023</w:t>
      </w:r>
    </w:p>
    <w:p>
      <w:pPr>
        <w:spacing w:before="40"/>
        <w:ind w:left="400"/>
      </w:pPr>
      <w:r>
        <w:rPr>
          <w:b/>
          <w:color w:val="C05000"/>
          <w:sz w:val="18"/>
        </w:rPr>
        <w:t xml:space="preserve">⚠️ Risques : </w:t>
      </w:r>
      <w:r>
        <w:rPr>
          <w:sz w:val="18"/>
        </w:rPr>
        <w:t>["D\u00e9pendance aux activit\u00e9s de transit et d'entreposage sensibles aux fluctuations \u00e9conomiques r\u00e9gionales", "Impact potentiel de la volatilit\u00e9 des volumes de conteneurs sur la rentabilit\u00e9", "Risques li\u00e9s \u00e0 l'int\u00e9gration post-rebranding et aux changements o</w:t>
      </w:r>
    </w:p>
    <w:p>
      <w:pPr>
        <w:spacing w:before="40"/>
        <w:ind w:left="400"/>
      </w:pPr>
      <w:r>
        <w:rPr>
          <w:b/>
          <w:color w:val="0064A0"/>
          <w:sz w:val="18"/>
        </w:rPr>
        <w:t xml:space="preserve">🔮 Perspectives : </w:t>
      </w:r>
      <w:r>
        <w:rPr>
          <w:sz w:val="18"/>
        </w:rPr>
        <w:t>AGL bénéficie d'un momentum exceptionnel avec sa nouvelle identité Africa Global Logistics et sa performance opérationnelle remarquable au T1 2023. L'entreprise semble bien positionnée pour capitaliser sur la croissance du commerce intra-africain et maintenir sa trajectoire de rentabilité améliorée.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une rentabilit\u00e9 correcte gr\u00e2ce \u00e0 ses revenus financiers et conserve des positions solides sur ses march\u00e9s. Les perspectives de reprise du trafic a\u00e9rien et p\u00e9trolier sont encourageantes."}</w:t>
      </w:r>
    </w:p>
    <w:p>
      <w:pPr>
        <w:spacing w:before="40"/>
        <w:ind w:left="400"/>
      </w:pPr>
      <w:r>
        <w:rPr>
          <w:sz w:val="18"/>
        </w:rPr>
        <w:t>Bolloré Transport &amp; Logistics Côte d'Ivoire (BTLCI) affiche des résultats mitigés au premier semestre 2022 avec un chiffre d'affaires en légère baisse de 1% à 44,98 milliards FCFA. Le résultat d'exploitation chute drastiquement de 90% à 212,5 millions FCFA, impactant négativement la rentabilité opérationnelle. Malgré cette faiblesse opérationnelle, le résultat financier reste solide à 12,5 milliards FCFA (+2%). Le résultat net régresse de 8% à 11,89 milliards FCFA, reflétant les difficultés d'exploitation compensées partiellement par les revenus financiers. La société maintient une activité soutenue dans le maritime et la logistique malgré un contexte d'affaires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'-889,7 millions FCFA', 'resultat_financier': '12,5 milliards FCFA', 'resultat_exploitation': '212,5 millions FCFA', 'resultat_activites_ordinaires': '12,7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11,89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44,98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44,98 milliards FCFA (-1%)</w:t>
      </w:r>
    </w:p>
    <w:p>
      <w:pPr>
        <w:pStyle w:val="ListBullet"/>
        <w:spacing w:before="20" w:after="20"/>
        <w:ind w:left="700"/>
      </w:pPr>
      <w:r>
        <w:rPr>
          <w:sz w:val="18"/>
        </w:rPr>
        <w:t>Effondrement du résultat d'exploitation de 90% à 212,5 millions FCFA</w:t>
      </w:r>
    </w:p>
    <w:p>
      <w:pPr>
        <w:pStyle w:val="ListBullet"/>
        <w:spacing w:before="20" w:after="20"/>
        <w:ind w:left="700"/>
      </w:pPr>
      <w:r>
        <w:rPr>
          <w:sz w:val="18"/>
        </w:rPr>
        <w:t>Maintien d'un résultat financier solide à 12,5 milliards FCFA (+2%)</w:t>
      </w:r>
    </w:p>
    <w:p>
      <w:pPr>
        <w:pStyle w:val="ListBullet"/>
        <w:spacing w:before="20" w:after="20"/>
        <w:ind w:left="700"/>
      </w:pPr>
      <w:r>
        <w:rPr>
          <w:sz w:val="18"/>
        </w:rPr>
        <w:t>Résultat net en baisse de 8% à 11,89 milliards FCFA</w:t>
      </w:r>
    </w:p>
    <w:p>
      <w:pPr>
        <w:pStyle w:val="ListBullet"/>
        <w:spacing w:before="20" w:after="20"/>
        <w:ind w:left="700"/>
      </w:pPr>
      <w:r>
        <w:rPr>
          <w:sz w:val="18"/>
        </w:rPr>
        <w:t>Bonne activité maritime avec volumes soutenus en manutention conventionnelle</w:t>
      </w:r>
    </w:p>
    <w:p>
      <w:pPr>
        <w:pStyle w:val="ListBullet"/>
        <w:spacing w:before="20" w:after="20"/>
        <w:ind w:left="700"/>
      </w:pPr>
      <w:r>
        <w:rPr>
          <w:sz w:val="18"/>
        </w:rPr>
        <w:t>Impact négatif de la baisse d'activité sur les métiers à forte rentabilité</w:t>
      </w:r>
    </w:p>
    <w:p>
      <w:pPr>
        <w:spacing w:before="40"/>
        <w:ind w:left="400"/>
      </w:pPr>
      <w:r>
        <w:rPr>
          <w:b/>
          <w:color w:val="C05000"/>
          <w:sz w:val="18"/>
        </w:rPr>
        <w:t xml:space="preserve">⚠️ Risques : </w:t>
      </w:r>
      <w:r>
        <w:rPr>
          <w:sz w:val="18"/>
        </w:rPr>
        <w:t>["Forte d\u00e9pendance aux revenus financiers pour compenser la faiblesse op\u00e9rationnelle", "Volatilit\u00e9 des activit\u00e9s li\u00e9es au transport et \u00e0 la logistique dans un contexte \u00e9conomique incertain", "Impact des fluctuations des volumes de marchandises sur la rentabilit\u00</w:t>
      </w:r>
    </w:p>
    <w:p>
      <w:pPr>
        <w:spacing w:before="40"/>
        <w:ind w:left="400"/>
      </w:pPr>
      <w:r>
        <w:rPr>
          <w:b/>
          <w:color w:val="0064A0"/>
          <w:sz w:val="18"/>
        </w:rPr>
        <w:t xml:space="preserve">🔮 Perspectives : </w:t>
      </w:r>
      <w:r>
        <w:rPr>
          <w:sz w:val="18"/>
        </w:rPr>
        <w:t>La reprise progressive du trafic aérien et des activités pétrolières devrait soutenir l'amélioration des performances opérationnelles. L'accent mis sur les métiers à plus forte rentabilité pourrait permettre une amélioration graduelle du résultat d'exploitation.</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37.78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5,860 titres</w:t>
            </w:r>
          </w:p>
        </w:tc>
        <w:tc>
          <w:tcPr>
            <w:tcW w:type="dxa" w:w="2268"/>
            <w:shd w:fill="FFF2CC" w:val="clear"/>
          </w:tcPr>
          <w:p>
            <w:r>
              <w:rPr>
                <w:b/>
                <w:color w:val="503200"/>
                <w:sz w:val="16"/>
              </w:rPr>
              <w:t xml:space="preserve">Cours actuel : </w:t>
            </w:r>
            <w:r>
              <w:rPr>
                <w:color w:val="000000"/>
                <w:sz w:val="17"/>
              </w:rPr>
              <w:t>1,500 FCFA</w:t>
            </w:r>
          </w:p>
          <w:p>
            <w:r>
              <w:rPr>
                <w:b/>
                <w:color w:val="503200"/>
                <w:sz w:val="16"/>
              </w:rPr>
              <w:t xml:space="preserve">Var. 100 jours : </w:t>
            </w:r>
            <w:r>
              <w:rPr>
                <w:b/>
                <w:color w:val="B40000"/>
                <w:sz w:val="17"/>
              </w:rPr>
              <w:t>-21.88%</w:t>
            </w:r>
          </w:p>
          <w:p>
            <w:r>
              <w:rPr>
                <w:b/>
                <w:color w:val="503200"/>
                <w:sz w:val="16"/>
              </w:rPr>
              <w:t xml:space="preserve">Plus haut 100j : </w:t>
            </w:r>
            <w:r>
              <w:rPr>
                <w:color w:val="000000"/>
                <w:sz w:val="17"/>
              </w:rPr>
              <w:t>1,940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49.8%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23.8/100 → Moyen</w:t>
      </w:r>
    </w:p>
    <w:p>
      <w:pPr>
        <w:spacing w:before="40" w:after="80"/>
      </w:pPr>
      <w:r>
        <w:rPr>
          <w:rFonts w:ascii="Courier New" w:hAnsi="Courier New"/>
          <w:color w:val="825A00"/>
          <w:sz w:val="18"/>
        </w:rPr>
        <w:t>████░░░░░░░░░░░░░░░░  23.8/100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7.29% (Moyenne) — μ=1,550 FCFA, σ=113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β=1.4020 (Agressif) — Cov=0.000051, Var(idx)=0.000036, ρ=0.268,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5,860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σ_j=3.14%/j (Modérée) — Vol. annualisée≈49.8%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2026-09-04</w:t>
            </w:r>
          </w:p>
        </w:tc>
        <w:tc>
          <w:tcPr>
            <w:tcW w:type="dxa" w:w="1440"/>
            <w:shd w:fill="FAFAFA" w:val="clear"/>
          </w:tcPr>
          <w:p>
            <w:r>
              <w:rPr>
                <w:sz w:val="17"/>
              </w:rPr>
              <w:t>1,410</w:t>
            </w:r>
          </w:p>
        </w:tc>
        <w:tc>
          <w:tcPr>
            <w:tcW w:type="dxa" w:w="1440"/>
            <w:shd w:fill="FAFAFA" w:val="clear"/>
          </w:tcPr>
          <w:p>
            <w:r>
              <w:rPr>
                <w:b/>
                <w:sz w:val="17"/>
              </w:rPr>
              <w:t>1,479</w:t>
            </w:r>
          </w:p>
        </w:tc>
        <w:tc>
          <w:tcPr>
            <w:tcW w:type="dxa" w:w="1440"/>
            <w:shd w:fill="FAFAFA" w:val="clear"/>
          </w:tcPr>
          <w:p>
            <w:r>
              <w:rPr>
                <w:sz w:val="17"/>
              </w:rPr>
              <w:t>1,547</w:t>
            </w:r>
          </w:p>
        </w:tc>
        <w:tc>
          <w:tcPr>
            <w:tcW w:type="dxa" w:w="1440"/>
            <w:shd w:fill="FAFAFA" w:val="clear"/>
          </w:tcPr>
          <w:p>
            <w:r>
              <w:rPr>
                <w:b/>
                <w:color w:val="C00000"/>
                <w:sz w:val="17"/>
              </w:rPr>
              <w:t>-1.4%</w:t>
            </w:r>
          </w:p>
        </w:tc>
      </w:tr>
      <w:tr>
        <w:tc>
          <w:tcPr>
            <w:tcW w:type="dxa" w:w="1440"/>
            <w:shd w:fill="FFDCE0" w:val="clear"/>
          </w:tcPr>
          <w:p>
            <w:r>
              <w:rPr>
                <w:sz w:val="17"/>
              </w:rPr>
              <w:t>J+2  Moyenne</w:t>
            </w:r>
          </w:p>
        </w:tc>
        <w:tc>
          <w:tcPr>
            <w:tcW w:type="dxa" w:w="1440"/>
            <w:shd w:fill="FFDCE0" w:val="clear"/>
          </w:tcPr>
          <w:p>
            <w:r>
              <w:rPr>
                <w:sz w:val="17"/>
              </w:rPr>
              <w:t>2026-09-07</w:t>
            </w:r>
          </w:p>
        </w:tc>
        <w:tc>
          <w:tcPr>
            <w:tcW w:type="dxa" w:w="1440"/>
            <w:shd w:fill="FFDCE0" w:val="clear"/>
          </w:tcPr>
          <w:p>
            <w:r>
              <w:rPr>
                <w:sz w:val="17"/>
              </w:rPr>
              <w:t>1,370</w:t>
            </w:r>
          </w:p>
        </w:tc>
        <w:tc>
          <w:tcPr>
            <w:tcW w:type="dxa" w:w="1440"/>
            <w:shd w:fill="FFDCE0" w:val="clear"/>
          </w:tcPr>
          <w:p>
            <w:r>
              <w:rPr>
                <w:b/>
                <w:sz w:val="17"/>
              </w:rPr>
              <w:t>1,466</w:t>
            </w:r>
          </w:p>
        </w:tc>
        <w:tc>
          <w:tcPr>
            <w:tcW w:type="dxa" w:w="1440"/>
            <w:shd w:fill="FFDCE0" w:val="clear"/>
          </w:tcPr>
          <w:p>
            <w:r>
              <w:rPr>
                <w:sz w:val="17"/>
              </w:rPr>
              <w:t>1,562</w:t>
            </w:r>
          </w:p>
        </w:tc>
        <w:tc>
          <w:tcPr>
            <w:tcW w:type="dxa" w:w="1440"/>
            <w:shd w:fill="FFDCE0" w:val="clear"/>
          </w:tcPr>
          <w:p>
            <w:r>
              <w:rPr>
                <w:b/>
                <w:color w:val="C00000"/>
                <w:sz w:val="17"/>
              </w:rPr>
              <w:t>-2.3%</w:t>
            </w:r>
          </w:p>
        </w:tc>
      </w:tr>
      <w:tr>
        <w:tc>
          <w:tcPr>
            <w:tcW w:type="dxa" w:w="1440"/>
            <w:shd w:fill="FFDCE0" w:val="clear"/>
          </w:tcPr>
          <w:p>
            <w:r>
              <w:rPr>
                <w:sz w:val="17"/>
              </w:rPr>
              <w:t>J+3  Moyenne</w:t>
            </w:r>
          </w:p>
        </w:tc>
        <w:tc>
          <w:tcPr>
            <w:tcW w:type="dxa" w:w="1440"/>
            <w:shd w:fill="FFDCE0" w:val="clear"/>
          </w:tcPr>
          <w:p>
            <w:r>
              <w:rPr>
                <w:sz w:val="17"/>
              </w:rPr>
              <w:t>2026-09-08</w:t>
            </w:r>
          </w:p>
        </w:tc>
        <w:tc>
          <w:tcPr>
            <w:tcW w:type="dxa" w:w="1440"/>
            <w:shd w:fill="FFDCE0" w:val="clear"/>
          </w:tcPr>
          <w:p>
            <w:r>
              <w:rPr>
                <w:sz w:val="17"/>
              </w:rPr>
              <w:t>1,335</w:t>
            </w:r>
          </w:p>
        </w:tc>
        <w:tc>
          <w:tcPr>
            <w:tcW w:type="dxa" w:w="1440"/>
            <w:shd w:fill="FFDCE0" w:val="clear"/>
          </w:tcPr>
          <w:p>
            <w:r>
              <w:rPr>
                <w:b/>
                <w:sz w:val="17"/>
              </w:rPr>
              <w:t>1,452</w:t>
            </w:r>
          </w:p>
        </w:tc>
        <w:tc>
          <w:tcPr>
            <w:tcW w:type="dxa" w:w="1440"/>
            <w:shd w:fill="FFDCE0" w:val="clear"/>
          </w:tcPr>
          <w:p>
            <w:r>
              <w:rPr>
                <w:sz w:val="17"/>
              </w:rPr>
              <w:t>1,568</w:t>
            </w:r>
          </w:p>
        </w:tc>
        <w:tc>
          <w:tcPr>
            <w:tcW w:type="dxa" w:w="1440"/>
            <w:shd w:fill="FFDCE0" w:val="clear"/>
          </w:tcPr>
          <w:p>
            <w:r>
              <w:rPr>
                <w:b/>
                <w:color w:val="C00000"/>
                <w:sz w:val="17"/>
              </w:rPr>
              <w:t>-3.2%</w:t>
            </w:r>
          </w:p>
        </w:tc>
      </w:tr>
      <w:tr>
        <w:tc>
          <w:tcPr>
            <w:tcW w:type="dxa" w:w="1440"/>
            <w:shd w:fill="FFDCE0" w:val="clear"/>
          </w:tcPr>
          <w:p>
            <w:r>
              <w:rPr>
                <w:sz w:val="17"/>
              </w:rPr>
              <w:t>J+4  ⭐</w:t>
            </w:r>
          </w:p>
        </w:tc>
        <w:tc>
          <w:tcPr>
            <w:tcW w:type="dxa" w:w="1440"/>
            <w:shd w:fill="FFDCE0" w:val="clear"/>
          </w:tcPr>
          <w:p>
            <w:r>
              <w:rPr>
                <w:sz w:val="17"/>
              </w:rPr>
              <w:t>2026-09-09</w:t>
            </w:r>
          </w:p>
        </w:tc>
        <w:tc>
          <w:tcPr>
            <w:tcW w:type="dxa" w:w="1440"/>
            <w:shd w:fill="FFDCE0" w:val="clear"/>
          </w:tcPr>
          <w:p>
            <w:r>
              <w:rPr>
                <w:sz w:val="17"/>
              </w:rPr>
              <w:t>1,304</w:t>
            </w:r>
          </w:p>
        </w:tc>
        <w:tc>
          <w:tcPr>
            <w:tcW w:type="dxa" w:w="1440"/>
            <w:shd w:fill="FFDCE0" w:val="clear"/>
          </w:tcPr>
          <w:p>
            <w:r>
              <w:rPr>
                <w:b/>
                <w:sz w:val="17"/>
              </w:rPr>
              <w:t>1,437</w:t>
            </w:r>
          </w:p>
        </w:tc>
        <w:tc>
          <w:tcPr>
            <w:tcW w:type="dxa" w:w="1440"/>
            <w:shd w:fill="FFDCE0" w:val="clear"/>
          </w:tcPr>
          <w:p>
            <w:r>
              <w:rPr>
                <w:sz w:val="17"/>
              </w:rPr>
              <w:t>1,570</w:t>
            </w:r>
          </w:p>
        </w:tc>
        <w:tc>
          <w:tcPr>
            <w:tcW w:type="dxa" w:w="1440"/>
            <w:shd w:fill="FFDCE0" w:val="clear"/>
          </w:tcPr>
          <w:p>
            <w:r>
              <w:rPr>
                <w:b/>
                <w:color w:val="C00000"/>
                <w:sz w:val="17"/>
              </w:rPr>
              <w:t>-4.2%</w:t>
            </w:r>
          </w:p>
        </w:tc>
      </w:tr>
      <w:tr>
        <w:tc>
          <w:tcPr>
            <w:tcW w:type="dxa" w:w="1440"/>
            <w:shd w:fill="FFDCE0" w:val="clear"/>
          </w:tcPr>
          <w:p>
            <w:r>
              <w:rPr>
                <w:sz w:val="17"/>
              </w:rPr>
              <w:t>J+5  ⭐</w:t>
            </w:r>
          </w:p>
        </w:tc>
        <w:tc>
          <w:tcPr>
            <w:tcW w:type="dxa" w:w="1440"/>
            <w:shd w:fill="FFDCE0" w:val="clear"/>
          </w:tcPr>
          <w:p>
            <w:r>
              <w:rPr>
                <w:sz w:val="17"/>
              </w:rPr>
              <w:t>2026-09-10</w:t>
            </w:r>
          </w:p>
        </w:tc>
        <w:tc>
          <w:tcPr>
            <w:tcW w:type="dxa" w:w="1440"/>
            <w:shd w:fill="FFDCE0" w:val="clear"/>
          </w:tcPr>
          <w:p>
            <w:r>
              <w:rPr>
                <w:sz w:val="17"/>
              </w:rPr>
              <w:t>1,276</w:t>
            </w:r>
          </w:p>
        </w:tc>
        <w:tc>
          <w:tcPr>
            <w:tcW w:type="dxa" w:w="1440"/>
            <w:shd w:fill="FFDCE0" w:val="clear"/>
          </w:tcPr>
          <w:p>
            <w:r>
              <w:rPr>
                <w:b/>
                <w:sz w:val="17"/>
              </w:rPr>
              <w:t>1,423</w:t>
            </w:r>
          </w:p>
        </w:tc>
        <w:tc>
          <w:tcPr>
            <w:tcW w:type="dxa" w:w="1440"/>
            <w:shd w:fill="FFDCE0" w:val="clear"/>
          </w:tcPr>
          <w:p>
            <w:r>
              <w:rPr>
                <w:sz w:val="17"/>
              </w:rPr>
              <w:t>1,570</w:t>
            </w:r>
          </w:p>
        </w:tc>
        <w:tc>
          <w:tcPr>
            <w:tcW w:type="dxa" w:w="1440"/>
            <w:shd w:fill="FFDCE0" w:val="clear"/>
          </w:tcPr>
          <w:p>
            <w:r>
              <w:rPr>
                <w:b/>
                <w:color w:val="C00000"/>
                <w:sz w:val="17"/>
              </w:rPr>
              <w:t>-5.2%</w:t>
            </w:r>
          </w:p>
        </w:tc>
      </w:tr>
      <w:tr>
        <w:tc>
          <w:tcPr>
            <w:tcW w:type="dxa" w:w="1440"/>
            <w:shd w:fill="FFDCE0" w:val="clear"/>
          </w:tcPr>
          <w:p>
            <w:r>
              <w:rPr>
                <w:sz w:val="17"/>
              </w:rPr>
              <w:t>J+6  ⭐</w:t>
            </w:r>
          </w:p>
        </w:tc>
        <w:tc>
          <w:tcPr>
            <w:tcW w:type="dxa" w:w="1440"/>
            <w:shd w:fill="FFDCE0" w:val="clear"/>
          </w:tcPr>
          <w:p>
            <w:r>
              <w:rPr>
                <w:sz w:val="17"/>
              </w:rPr>
              <w:t>2026-09-11</w:t>
            </w:r>
          </w:p>
        </w:tc>
        <w:tc>
          <w:tcPr>
            <w:tcW w:type="dxa" w:w="1440"/>
            <w:shd w:fill="FFDCE0" w:val="clear"/>
          </w:tcPr>
          <w:p>
            <w:r>
              <w:rPr>
                <w:sz w:val="17"/>
              </w:rPr>
              <w:t>1,249</w:t>
            </w:r>
          </w:p>
        </w:tc>
        <w:tc>
          <w:tcPr>
            <w:tcW w:type="dxa" w:w="1440"/>
            <w:shd w:fill="FFDCE0" w:val="clear"/>
          </w:tcPr>
          <w:p>
            <w:r>
              <w:rPr>
                <w:b/>
                <w:sz w:val="17"/>
              </w:rPr>
              <w:t>1,409</w:t>
            </w:r>
          </w:p>
        </w:tc>
        <w:tc>
          <w:tcPr>
            <w:tcW w:type="dxa" w:w="1440"/>
            <w:shd w:fill="FFDCE0" w:val="clear"/>
          </w:tcPr>
          <w:p>
            <w:r>
              <w:rPr>
                <w:sz w:val="17"/>
              </w:rPr>
              <w:t>1,568</w:t>
            </w:r>
          </w:p>
        </w:tc>
        <w:tc>
          <w:tcPr>
            <w:tcW w:type="dxa" w:w="1440"/>
            <w:shd w:fill="FFDCE0" w:val="clear"/>
          </w:tcPr>
          <w:p>
            <w:r>
              <w:rPr>
                <w:b/>
                <w:color w:val="C00000"/>
                <w:sz w:val="17"/>
              </w:rPr>
              <w:t>-6.1%</w:t>
            </w:r>
          </w:p>
        </w:tc>
      </w:tr>
      <w:tr>
        <w:tc>
          <w:tcPr>
            <w:tcW w:type="dxa" w:w="1440"/>
            <w:shd w:fill="FFDCE0" w:val="clear"/>
          </w:tcPr>
          <w:p>
            <w:r>
              <w:rPr>
                <w:sz w:val="17"/>
              </w:rPr>
              <w:t>J+7  ⭐</w:t>
            </w:r>
          </w:p>
        </w:tc>
        <w:tc>
          <w:tcPr>
            <w:tcW w:type="dxa" w:w="1440"/>
            <w:shd w:fill="FFDCE0" w:val="clear"/>
          </w:tcPr>
          <w:p>
            <w:r>
              <w:rPr>
                <w:sz w:val="17"/>
              </w:rPr>
              <w:t>2026-09-14</w:t>
            </w:r>
          </w:p>
        </w:tc>
        <w:tc>
          <w:tcPr>
            <w:tcW w:type="dxa" w:w="1440"/>
            <w:shd w:fill="FFDCE0" w:val="clear"/>
          </w:tcPr>
          <w:p>
            <w:r>
              <w:rPr>
                <w:sz w:val="17"/>
              </w:rPr>
              <w:t>1,224</w:t>
            </w:r>
          </w:p>
        </w:tc>
        <w:tc>
          <w:tcPr>
            <w:tcW w:type="dxa" w:w="1440"/>
            <w:shd w:fill="FFDCE0" w:val="clear"/>
          </w:tcPr>
          <w:p>
            <w:r>
              <w:rPr>
                <w:b/>
                <w:sz w:val="17"/>
              </w:rPr>
              <w:t>1,395</w:t>
            </w:r>
          </w:p>
        </w:tc>
        <w:tc>
          <w:tcPr>
            <w:tcW w:type="dxa" w:w="1440"/>
            <w:shd w:fill="FFDCE0" w:val="clear"/>
          </w:tcPr>
          <w:p>
            <w:r>
              <w:rPr>
                <w:sz w:val="17"/>
              </w:rPr>
              <w:t>1,566</w:t>
            </w:r>
          </w:p>
        </w:tc>
        <w:tc>
          <w:tcPr>
            <w:tcW w:type="dxa" w:w="1440"/>
            <w:shd w:fill="FFDCE0" w:val="clear"/>
          </w:tcPr>
          <w:p>
            <w:r>
              <w:rPr>
                <w:b/>
                <w:color w:val="C00000"/>
                <w:sz w:val="17"/>
              </w:rPr>
              <w:t>-7.0%</w:t>
            </w:r>
          </w:p>
        </w:tc>
      </w:tr>
      <w:tr>
        <w:tc>
          <w:tcPr>
            <w:tcW w:type="dxa" w:w="1440"/>
            <w:shd w:fill="FFDCE0" w:val="clear"/>
          </w:tcPr>
          <w:p>
            <w:r>
              <w:rPr>
                <w:sz w:val="17"/>
              </w:rPr>
              <w:t>J+8  ⭐</w:t>
            </w:r>
          </w:p>
        </w:tc>
        <w:tc>
          <w:tcPr>
            <w:tcW w:type="dxa" w:w="1440"/>
            <w:shd w:fill="FFDCE0" w:val="clear"/>
          </w:tcPr>
          <w:p>
            <w:r>
              <w:rPr>
                <w:sz w:val="17"/>
              </w:rPr>
              <w:t>2026-09-15</w:t>
            </w:r>
          </w:p>
        </w:tc>
        <w:tc>
          <w:tcPr>
            <w:tcW w:type="dxa" w:w="1440"/>
            <w:shd w:fill="FFDCE0" w:val="clear"/>
          </w:tcPr>
          <w:p>
            <w:r>
              <w:rPr>
                <w:sz w:val="17"/>
              </w:rPr>
              <w:t>1,201</w:t>
            </w:r>
          </w:p>
        </w:tc>
        <w:tc>
          <w:tcPr>
            <w:tcW w:type="dxa" w:w="1440"/>
            <w:shd w:fill="FFDCE0" w:val="clear"/>
          </w:tcPr>
          <w:p>
            <w:r>
              <w:rPr>
                <w:b/>
                <w:sz w:val="17"/>
              </w:rPr>
              <w:t>1,382</w:t>
            </w:r>
          </w:p>
        </w:tc>
        <w:tc>
          <w:tcPr>
            <w:tcW w:type="dxa" w:w="1440"/>
            <w:shd w:fill="FFDCE0" w:val="clear"/>
          </w:tcPr>
          <w:p>
            <w:r>
              <w:rPr>
                <w:sz w:val="17"/>
              </w:rPr>
              <w:t>1,562</w:t>
            </w:r>
          </w:p>
        </w:tc>
        <w:tc>
          <w:tcPr>
            <w:tcW w:type="dxa" w:w="1440"/>
            <w:shd w:fill="FFDCE0" w:val="clear"/>
          </w:tcPr>
          <w:p>
            <w:r>
              <w:rPr>
                <w:b/>
                <w:color w:val="C00000"/>
                <w:sz w:val="17"/>
              </w:rPr>
              <w:t>-7.9%</w:t>
            </w:r>
          </w:p>
        </w:tc>
      </w:tr>
      <w:tr>
        <w:tc>
          <w:tcPr>
            <w:tcW w:type="dxa" w:w="1440"/>
            <w:shd w:fill="FFDCE0" w:val="clear"/>
          </w:tcPr>
          <w:p>
            <w:r>
              <w:rPr>
                <w:sz w:val="17"/>
              </w:rPr>
              <w:t>J+9  ⭐</w:t>
            </w:r>
          </w:p>
        </w:tc>
        <w:tc>
          <w:tcPr>
            <w:tcW w:type="dxa" w:w="1440"/>
            <w:shd w:fill="FFDCE0" w:val="clear"/>
          </w:tcPr>
          <w:p>
            <w:r>
              <w:rPr>
                <w:sz w:val="17"/>
              </w:rPr>
              <w:t>2026-09-16</w:t>
            </w:r>
          </w:p>
        </w:tc>
        <w:tc>
          <w:tcPr>
            <w:tcW w:type="dxa" w:w="1440"/>
            <w:shd w:fill="FFDCE0" w:val="clear"/>
          </w:tcPr>
          <w:p>
            <w:r>
              <w:rPr>
                <w:sz w:val="17"/>
              </w:rPr>
              <w:t>1,179</w:t>
            </w:r>
          </w:p>
        </w:tc>
        <w:tc>
          <w:tcPr>
            <w:tcW w:type="dxa" w:w="1440"/>
            <w:shd w:fill="FFDCE0" w:val="clear"/>
          </w:tcPr>
          <w:p>
            <w:r>
              <w:rPr>
                <w:b/>
                <w:sz w:val="17"/>
              </w:rPr>
              <w:t>1,368</w:t>
            </w:r>
          </w:p>
        </w:tc>
        <w:tc>
          <w:tcPr>
            <w:tcW w:type="dxa" w:w="1440"/>
            <w:shd w:fill="FFDCE0" w:val="clear"/>
          </w:tcPr>
          <w:p>
            <w:r>
              <w:rPr>
                <w:sz w:val="17"/>
              </w:rPr>
              <w:t>1,558</w:t>
            </w:r>
          </w:p>
        </w:tc>
        <w:tc>
          <w:tcPr>
            <w:tcW w:type="dxa" w:w="1440"/>
            <w:shd w:fill="FFDCE0" w:val="clear"/>
          </w:tcPr>
          <w:p>
            <w:r>
              <w:rPr>
                <w:b/>
                <w:color w:val="C00000"/>
                <w:sz w:val="17"/>
              </w:rPr>
              <w:t>-8.8%</w:t>
            </w:r>
          </w:p>
        </w:tc>
      </w:tr>
      <w:tr>
        <w:tc>
          <w:tcPr>
            <w:tcW w:type="dxa" w:w="1440"/>
            <w:shd w:fill="FFDCE0" w:val="clear"/>
          </w:tcPr>
          <w:p>
            <w:r>
              <w:rPr>
                <w:sz w:val="17"/>
              </w:rPr>
              <w:t>J+10  ⭐</w:t>
            </w:r>
          </w:p>
        </w:tc>
        <w:tc>
          <w:tcPr>
            <w:tcW w:type="dxa" w:w="1440"/>
            <w:shd w:fill="FFDCE0" w:val="clear"/>
          </w:tcPr>
          <w:p>
            <w:r>
              <w:rPr>
                <w:sz w:val="17"/>
              </w:rPr>
              <w:t>2026-09-17</w:t>
            </w:r>
          </w:p>
        </w:tc>
        <w:tc>
          <w:tcPr>
            <w:tcW w:type="dxa" w:w="1440"/>
            <w:shd w:fill="FFDCE0" w:val="clear"/>
          </w:tcPr>
          <w:p>
            <w:r>
              <w:rPr>
                <w:sz w:val="17"/>
              </w:rPr>
              <w:t>1,158</w:t>
            </w:r>
          </w:p>
        </w:tc>
        <w:tc>
          <w:tcPr>
            <w:tcW w:type="dxa" w:w="1440"/>
            <w:shd w:fill="FFDCE0" w:val="clear"/>
          </w:tcPr>
          <w:p>
            <w:r>
              <w:rPr>
                <w:b/>
                <w:sz w:val="17"/>
              </w:rPr>
              <w:t>1,356</w:t>
            </w:r>
          </w:p>
        </w:tc>
        <w:tc>
          <w:tcPr>
            <w:tcW w:type="dxa" w:w="1440"/>
            <w:shd w:fill="FFDCE0" w:val="clear"/>
          </w:tcPr>
          <w:p>
            <w:r>
              <w:rPr>
                <w:sz w:val="17"/>
              </w:rPr>
              <w:t>1,554</w:t>
            </w:r>
          </w:p>
        </w:tc>
        <w:tc>
          <w:tcPr>
            <w:tcW w:type="dxa" w:w="1440"/>
            <w:shd w:fill="FFDCE0" w:val="clear"/>
          </w:tcPr>
          <w:p>
            <w:r>
              <w:rPr>
                <w:b/>
                <w:color w:val="C00000"/>
                <w:sz w:val="17"/>
              </w:rPr>
              <w:t>-9.6%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37,78 milliards FCFA, ce qui la positionne parmi les valeurs de taille moyenne sur la BRVM, un niveau modeste qui reflète la suspension de cotation passée et la liquidité limitée du titre. Les ratios de valorisation (BPA, PER, P/B, EV/EBITDA) ne sont pas calculables en raison de l'absence de données financières structurées dans la base, ce qui constitue une limite importante pour l'évaluation relative du titre. Néanmoins, sur la base des rapports disponibles, le résultat net 2023 de 1,01 milliard FCFA pour 25,19 millions d'actions impliquerait un BPA d'environ 40 FCFA et un PER de 37,5x, très supérieur à la moyenne BRVM de 8-12x. Cette situation suggère que le marché intègre déjà un fort potentiel de rebond post-rachat par Sonoco, mais elle expose également à un risque de correction si les résultats 2024 déçoivent. L'absence de dividendes depuis 2022 renforce la dimension spéculative du dossier.</w:t>
      </w:r>
    </w:p>
    <w:p>
      <w:pPr>
        <w:spacing w:after="120" w:line="276" w:lineRule="auto" w:before="240"/>
      </w:pPr>
      <w:r>
        <w:rPr>
          <w:b/>
          <w:color w:val="003366"/>
          <w:sz w:val="24"/>
        </w:rPr>
        <w:t>**PARTIE 1 : ANALYSE DU COURS — STATISTIQUES ET ÉVOLUTION (100 derniers jours)**</w:t>
      </w:r>
    </w:p>
    <w:p>
      <w:pPr>
        <w:spacing w:after="120" w:line="276" w:lineRule="auto"/>
      </w:pPr>
      <w:r>
        <w:t>Sur la période de 100 jours, le titre SEMC affiche une performance négative de -21,88%, avec une dernière séance en baisse de -0,99% à 1 500 FCFA, s'inscrivant dans une tendance baissière marquée depuis le plus haut de 1 940 FCFA jusqu'au plus bas de 1 350 FCFA. La moyenne de 1 550 FCFA, supérieure à la médiane de 1 520 FCFA, révèle une asymétrie positive confirmée par le skewness de 1,699, indiquant que les journées de baisse ont été plus fréquentes mais que quelques fortes hausses ont tiré la moyenne vers le haut. L'écart-type de 114 FCFA (CV de 7,3%) témoigne d'une dispersion modérée autour de la moyenne, mais le kurtosis de 3,371 signale un risque de mouvements extrêmes, avec des queues de distribution épaisses. La volatilité annualisée de 49,8% classe SEMC parmi les titres à très haute volatilité, un niveau qui reflète l'incertitude entourant la restructuration actionnariale et la suspension de cotation passée. Cette configuration statistique suggère un titre en phase de recherche d'équilibre après une période de forte turbulence.</w:t>
      </w:r>
    </w:p>
    <w:p>
      <w:pPr>
        <w:spacing w:after="120" w:line="276" w:lineRule="auto" w:before="240"/>
      </w:pPr>
      <w:r>
        <w:rPr>
          <w:b/>
          <w:color w:val="003366"/>
          <w:sz w:val="24"/>
        </w:rPr>
        <w:t>**PARTIE 2 : ANALYSE TECHNIQUE DÉTAILLÉE**</w:t>
      </w:r>
    </w:p>
    <w:p>
      <w:pPr>
        <w:spacing w:after="120" w:line="276" w:lineRule="auto"/>
      </w:pPr>
      <w:r>
        <w:t>Les moyennes mobiles MM20 à 1 516 FCFA et MM50 à 1 497,4 FCFA sont toutes deux inférieures au cours actuel de 1 500 FCFA, le prix se situant juste au-dessus de la MM50, ce qui indique une stabilisation après la phase baissière. La configuration haussière des MM (MM20 &gt; MM50) et le cours au-dessus de la MM50 génèrent un signal d'achat, bien que la proximité du cours avec ces moyennes suggère une dynamique fragile nécessitant confirmation.</w:t>
      </w:r>
    </w:p>
    <w:p>
      <w:pPr>
        <w:spacing w:after="120" w:line="276" w:lineRule="auto"/>
      </w:pPr>
      <w:r>
        <w:t>Les bandes de Bollinger, avec une borne supérieure à 1 610,3 FCFA et une borne inférieure à 1 421,7 FCFA, encadrent un cours positionné légèrement sous le milieu de la bande, indiquant une volatilité modérée après la contraction récente. La largeur des bandes reflète la forte volatilité historique du titre, mais le prix évoluant dans la moitié inférieure de la bande suggère une pression vendeuse résiduelle, d'où la décision neutre.</w:t>
      </w:r>
    </w:p>
    <w:p>
      <w:pPr>
        <w:spacing w:after="120" w:line="276" w:lineRule="auto"/>
      </w:pPr>
      <w:r>
        <w:t>Le MACD affiche une valeur de 7,765 inférieure à son signal de 10,051, indiquant un momentum baissier à court terme malgré des valeurs positives. Cette configuration, où le MACD reste au-dessus de zéro mais sous son signal, traduit un ralentissement de la dynamique haussière récente, justifiant la décision de vente.</w:t>
      </w:r>
    </w:p>
    <w:p>
      <w:pPr>
        <w:spacing w:after="120" w:line="276" w:lineRule="auto"/>
      </w:pPr>
      <w:r>
        <w:t>Le RSI à 50,526 se situe exactement dans la zone neutre, indiquant un équilibre entre pressions acheteuses et vendeuses après la correction. Cette valeur, ni surachetée ni survendue, laisse place à une évolution dans les deux sens, d'où la décision neutre.</w:t>
      </w:r>
    </w:p>
    <w:p>
      <w:pPr>
        <w:spacing w:after="120" w:line="276" w:lineRule="auto"/>
      </w:pPr>
      <w:r>
        <w:t>Le stochastique avec %K à 33,333 sous %D à 52,222 suggère une dynamique baissière à court terme, le %K étant passé sous le %D, indiquant une perte de momentum haussier. La décision neutre reflète toutefois l'absence de conditions de survente extrême qui pourraient déclencher un rebond technique.</w:t>
      </w:r>
    </w:p>
    <w:p>
      <w:pPr>
        <w:spacing w:after="120" w:line="276" w:lineRule="auto"/>
      </w:pPr>
      <w:r>
        <w:t>La convergence des indicateurs techniques dessine un tableau contrasté : les moyennes mobiles suggèrent un potentiel haussier, tandis que le MACD et le stochastique indiquent un momentum baissier à court terme. Le RSI neutre et les bandes de Bollinger sans signal directionnel fort confirment une phase de consolidation post-correction, avec un biais légèrement négatif à très court terme.</w:t>
      </w:r>
    </w:p>
    <w:p>
      <w:pPr>
        <w:spacing w:after="120" w:line="276" w:lineRule="auto" w:before="240"/>
      </w:pPr>
      <w:r>
        <w:rPr>
          <w:b/>
          <w:color w:val="003366"/>
          <w:sz w:val="24"/>
        </w:rPr>
        <w:t>**PARTIE 3 : ANALYSE FONDAMENTALE (SECTION CRITIQUE)**</w:t>
      </w:r>
    </w:p>
    <w:p>
      <w:pPr>
        <w:spacing w:after="120" w:line="276" w:lineRule="auto"/>
      </w:pPr>
      <w:r>
        <w:t>Les rapports fondamentaux disponibles, datant du 31 décembre 2024 (analysés en mars 2026), couvrent l'exercice 2023 et présentent des données contrastées selon les sources. Le rapport principal indique un chiffre d'affaires de 27,88 milliards FCFA en 2023, en baisse de 6% par rapport à 2022 (29,60 milliards FCFA), avec un résultat net de 1,01 milliard FCFA, en chute de 74% par rapport aux 3,86 milliards FCFA de 2022. La marge nette s'est effondrée de 13,0% à 3,6%, tandis que la marge d'exploitation est passée de 11,0% à 6,9%, illustrant un effet ciseau défavorable. Les rapports trimestriels du premier trimestre 2023 faisaient état d'un CA de 7,65 milliards FCFA (+16,5%) et d'un bénéfice net de 855,65 millions FCFA (+37,9%), suggérant une amélioration en début d'année qui ne s'est pas confirmée sur l'ensemble de l'exercice. La politique de dividende est restée à zéro pour 2022 et 2023, la société privilégiant la conservation de trésorerie (3,35 milliards FCFA) pour financer sa relance. Le rachat par Sonoco Products Company, finalisé en décembre 2024, constitue un tournant stratégique majeur, avec un objectif de CA de 32 milliards FCFA pour 2024 (+18%), porté par les bouchons couronnes (+15,8%) et les exportations. Les risques identifiés incluent la dépendance aux clients clés (AIRONE représentait 40% du CA Poisson en 2022), la concurrence des emballages alternatifs et la suspension de cotation BRVM depuis janvier 2024. La solidité financière reste précaire avec un endettement fournisseurs de 16,7 milliards FCFA, mais les perspectives de rebond et les synergies potentielles avec Sonoco justifient une recommandation de conservation avec vigilance.</w:t>
      </w:r>
    </w:p>
    <w:p>
      <w:pPr>
        <w:spacing w:after="120" w:line="276" w:lineRule="auto" w:before="240"/>
      </w:pPr>
      <w:r>
        <w:rPr>
          <w:b/>
          <w:color w:val="003366"/>
          <w:sz w:val="24"/>
        </w:rPr>
        <w:t>**PARTIE 4 : CONCLUSION D'INVESTISSEMENT**</w:t>
      </w:r>
    </w:p>
    <w:p>
      <w:pPr>
        <w:spacing w:after="120" w:line="276" w:lineRule="auto"/>
      </w:pPr>
      <w:r>
        <w:t>La synthèse des quatre dimensions d'analyse révèle des signaux contradictoires pour le titre SEMC. La valorisation, bien que non calculable précisément, suggère un PER implicite élevé par rapport aux bénéfices 2023, indiquant une anticipation optimiste du marché. Le comportement du cours sur 100 jours est préoccupant avec une baisse de -21,88%, une volatilité annualisée de 49,8% et un kurtosis élevé signalant un risque de mouvements extrêmes, bien que le skewness positif et la stabilisation récente autour de 1 500 FCFA suggèrent un potentiel de rebond. Les signaux techniques sont mitigés : les moyennes mobiles indiquent un achat, mais le MACD et le stochastique pointent vers une faiblesse à court terme, le RSI neutre ne fournissant pas de direction claire. Les fondamentaux montrent une dégradation sévère en 2023 (marge nette à 3,6%) mais des perspectives de redressement avec l'objectif de CA de 32 milliards FCFA en 2024 et le soutien de Sonoco. Les prédictions IA sur 10 jours (1 479 à 1 423 FCFA) confirment la tendance baissière à court terme, anticipant une poursuite de la correction. Cette convergence entre signaux techniques baissiers et prédictions IA, contrastant avec des fondamentaux en amélioration potentielle, justifie une recommandation de **CONSERVER** avec un niveau de confiance **Moyen**. Le risque global est **Élevé** compte tenu de la volatilité extrême et des incertitudes sur la levée de la suspension BRVM. L'horizon d'investissement optimal est le **moyen terme (3-12 mois)**, permettant de capturer le potentiel de rebond post-restructuration tout en évitant la volatilité à court terme.</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1197.78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5,316 titres</w:t>
            </w:r>
          </w:p>
        </w:tc>
        <w:tc>
          <w:tcPr>
            <w:tcW w:type="dxa" w:w="2268"/>
            <w:shd w:fill="FFF2CC" w:val="clear"/>
          </w:tcPr>
          <w:p>
            <w:r>
              <w:rPr>
                <w:b/>
                <w:color w:val="503200"/>
                <w:sz w:val="16"/>
              </w:rPr>
              <w:t xml:space="preserve">Cours actuel : </w:t>
            </w:r>
            <w:r>
              <w:rPr>
                <w:color w:val="000000"/>
                <w:sz w:val="17"/>
              </w:rPr>
              <w:t>38,500 FCFA</w:t>
            </w:r>
          </w:p>
          <w:p>
            <w:r>
              <w:rPr>
                <w:b/>
                <w:color w:val="503200"/>
                <w:sz w:val="16"/>
              </w:rPr>
              <w:t xml:space="preserve">Var. 100 jours : </w:t>
            </w:r>
            <w:r>
              <w:rPr>
                <w:b/>
                <w:color w:val="007800"/>
                <w:sz w:val="17"/>
              </w:rPr>
              <w:t>+13.30%</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32,800 FCFA</w:t>
            </w:r>
          </w:p>
          <w:p>
            <w:r>
              <w:rPr>
                <w:b/>
                <w:color w:val="503200"/>
                <w:sz w:val="16"/>
              </w:rPr>
              <w:t xml:space="preserve">Volatilité ann. : </w:t>
            </w:r>
            <w:r>
              <w:rPr>
                <w:color w:val="000000"/>
                <w:sz w:val="17"/>
              </w:rPr>
              <w:t>24.1%</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5.39% (Moyenne) — μ=37,192 FCFA, σ=2,004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β=0.6145 (Défensif) — Cov=0.000022, Var(idx)=0.000036, ρ=0.242,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5,316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σ_j=1.52%/j (Stable) — Vol. annualisée≈24.1%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319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2026-09-04</w:t>
            </w:r>
          </w:p>
        </w:tc>
        <w:tc>
          <w:tcPr>
            <w:tcW w:type="dxa" w:w="1440"/>
            <w:shd w:fill="FAFAFA" w:val="clear"/>
          </w:tcPr>
          <w:p>
            <w:r>
              <w:rPr>
                <w:sz w:val="17"/>
              </w:rPr>
              <w:t>37,124</w:t>
            </w:r>
          </w:p>
        </w:tc>
        <w:tc>
          <w:tcPr>
            <w:tcW w:type="dxa" w:w="1440"/>
            <w:shd w:fill="FAFAFA" w:val="clear"/>
          </w:tcPr>
          <w:p>
            <w:r>
              <w:rPr>
                <w:b/>
                <w:sz w:val="17"/>
              </w:rPr>
              <w:t>37,985</w:t>
            </w:r>
          </w:p>
        </w:tc>
        <w:tc>
          <w:tcPr>
            <w:tcW w:type="dxa" w:w="1440"/>
            <w:shd w:fill="FAFAFA" w:val="clear"/>
          </w:tcPr>
          <w:p>
            <w:r>
              <w:rPr>
                <w:sz w:val="17"/>
              </w:rPr>
              <w:t>38,846</w:t>
            </w:r>
          </w:p>
        </w:tc>
        <w:tc>
          <w:tcPr>
            <w:tcW w:type="dxa" w:w="1440"/>
            <w:shd w:fill="FAFAFA" w:val="clear"/>
          </w:tcPr>
          <w:p>
            <w:r>
              <w:rPr>
                <w:b/>
                <w:color w:val="C00000"/>
                <w:sz w:val="17"/>
              </w:rPr>
              <w:t>-1.3%</w:t>
            </w:r>
          </w:p>
        </w:tc>
      </w:tr>
      <w:tr>
        <w:tc>
          <w:tcPr>
            <w:tcW w:type="dxa" w:w="1440"/>
            <w:shd w:fill="FAFAFA" w:val="clear"/>
          </w:tcPr>
          <w:p>
            <w:r>
              <w:rPr>
                <w:sz w:val="17"/>
              </w:rPr>
              <w:t>J+2  ⭐⭐⭐</w:t>
            </w:r>
          </w:p>
        </w:tc>
        <w:tc>
          <w:tcPr>
            <w:tcW w:type="dxa" w:w="1440"/>
            <w:shd w:fill="FAFAFA" w:val="clear"/>
          </w:tcPr>
          <w:p>
            <w:r>
              <w:rPr>
                <w:sz w:val="17"/>
              </w:rPr>
              <w:t>2026-09-07</w:t>
            </w:r>
          </w:p>
        </w:tc>
        <w:tc>
          <w:tcPr>
            <w:tcW w:type="dxa" w:w="1440"/>
            <w:shd w:fill="FAFAFA" w:val="clear"/>
          </w:tcPr>
          <w:p>
            <w:r>
              <w:rPr>
                <w:sz w:val="17"/>
              </w:rPr>
              <w:t>36,699</w:t>
            </w:r>
          </w:p>
        </w:tc>
        <w:tc>
          <w:tcPr>
            <w:tcW w:type="dxa" w:w="1440"/>
            <w:shd w:fill="FAFAFA" w:val="clear"/>
          </w:tcPr>
          <w:p>
            <w:r>
              <w:rPr>
                <w:b/>
                <w:sz w:val="17"/>
              </w:rPr>
              <w:t>37,915</w:t>
            </w:r>
          </w:p>
        </w:tc>
        <w:tc>
          <w:tcPr>
            <w:tcW w:type="dxa" w:w="1440"/>
            <w:shd w:fill="FAFAFA" w:val="clear"/>
          </w:tcPr>
          <w:p>
            <w:r>
              <w:rPr>
                <w:sz w:val="17"/>
              </w:rPr>
              <w:t>39,130</w:t>
            </w:r>
          </w:p>
        </w:tc>
        <w:tc>
          <w:tcPr>
            <w:tcW w:type="dxa" w:w="1440"/>
            <w:shd w:fill="FAFAFA" w:val="clear"/>
          </w:tcPr>
          <w:p>
            <w:r>
              <w:rPr>
                <w:b/>
                <w:color w:val="C00000"/>
                <w:sz w:val="17"/>
              </w:rPr>
              <w:t>-1.5%</w:t>
            </w:r>
          </w:p>
        </w:tc>
      </w:tr>
      <w:tr>
        <w:tc>
          <w:tcPr>
            <w:tcW w:type="dxa" w:w="1440"/>
            <w:shd w:fill="FAFAFA" w:val="clear"/>
          </w:tcPr>
          <w:p>
            <w:r>
              <w:rPr>
                <w:sz w:val="17"/>
              </w:rPr>
              <w:t>J+3  ⭐⭐⭐</w:t>
            </w:r>
          </w:p>
        </w:tc>
        <w:tc>
          <w:tcPr>
            <w:tcW w:type="dxa" w:w="1440"/>
            <w:shd w:fill="FAFAFA" w:val="clear"/>
          </w:tcPr>
          <w:p>
            <w:r>
              <w:rPr>
                <w:sz w:val="17"/>
              </w:rPr>
              <w:t>2026-09-08</w:t>
            </w:r>
          </w:p>
        </w:tc>
        <w:tc>
          <w:tcPr>
            <w:tcW w:type="dxa" w:w="1440"/>
            <w:shd w:fill="FAFAFA" w:val="clear"/>
          </w:tcPr>
          <w:p>
            <w:r>
              <w:rPr>
                <w:sz w:val="17"/>
              </w:rPr>
              <w:t>36,344</w:t>
            </w:r>
          </w:p>
        </w:tc>
        <w:tc>
          <w:tcPr>
            <w:tcW w:type="dxa" w:w="1440"/>
            <w:shd w:fill="FAFAFA" w:val="clear"/>
          </w:tcPr>
          <w:p>
            <w:r>
              <w:rPr>
                <w:b/>
                <w:sz w:val="17"/>
              </w:rPr>
              <w:t>37,829</w:t>
            </w:r>
          </w:p>
        </w:tc>
        <w:tc>
          <w:tcPr>
            <w:tcW w:type="dxa" w:w="1440"/>
            <w:shd w:fill="FAFAFA" w:val="clear"/>
          </w:tcPr>
          <w:p>
            <w:r>
              <w:rPr>
                <w:sz w:val="17"/>
              </w:rPr>
              <w:t>39,314</w:t>
            </w:r>
          </w:p>
        </w:tc>
        <w:tc>
          <w:tcPr>
            <w:tcW w:type="dxa" w:w="1440"/>
            <w:shd w:fill="FAFAFA" w:val="clear"/>
          </w:tcPr>
          <w:p>
            <w:r>
              <w:rPr>
                <w:b/>
                <w:color w:val="C00000"/>
                <w:sz w:val="17"/>
              </w:rPr>
              <w:t>-1.7%</w:t>
            </w:r>
          </w:p>
        </w:tc>
      </w:tr>
      <w:tr>
        <w:tc>
          <w:tcPr>
            <w:tcW w:type="dxa" w:w="1440"/>
            <w:shd w:fill="FAFAFA" w:val="clear"/>
          </w:tcPr>
          <w:p>
            <w:r>
              <w:rPr>
                <w:sz w:val="17"/>
              </w:rPr>
              <w:t>J+4  Moyenne</w:t>
            </w:r>
          </w:p>
        </w:tc>
        <w:tc>
          <w:tcPr>
            <w:tcW w:type="dxa" w:w="1440"/>
            <w:shd w:fill="FAFAFA" w:val="clear"/>
          </w:tcPr>
          <w:p>
            <w:r>
              <w:rPr>
                <w:sz w:val="17"/>
              </w:rPr>
              <w:t>2026-09-09</w:t>
            </w:r>
          </w:p>
        </w:tc>
        <w:tc>
          <w:tcPr>
            <w:tcW w:type="dxa" w:w="1440"/>
            <w:shd w:fill="FAFAFA" w:val="clear"/>
          </w:tcPr>
          <w:p>
            <w:r>
              <w:rPr>
                <w:sz w:val="17"/>
              </w:rPr>
              <w:t>36,034</w:t>
            </w:r>
          </w:p>
        </w:tc>
        <w:tc>
          <w:tcPr>
            <w:tcW w:type="dxa" w:w="1440"/>
            <w:shd w:fill="FAFAFA" w:val="clear"/>
          </w:tcPr>
          <w:p>
            <w:r>
              <w:rPr>
                <w:b/>
                <w:sz w:val="17"/>
              </w:rPr>
              <w:t>37,745</w:t>
            </w:r>
          </w:p>
        </w:tc>
        <w:tc>
          <w:tcPr>
            <w:tcW w:type="dxa" w:w="1440"/>
            <w:shd w:fill="FAFAFA" w:val="clear"/>
          </w:tcPr>
          <w:p>
            <w:r>
              <w:rPr>
                <w:sz w:val="17"/>
              </w:rPr>
              <w:t>39,456</w:t>
            </w:r>
          </w:p>
        </w:tc>
        <w:tc>
          <w:tcPr>
            <w:tcW w:type="dxa" w:w="1440"/>
            <w:shd w:fill="FAFAFA" w:val="clear"/>
          </w:tcPr>
          <w:p>
            <w:r>
              <w:rPr>
                <w:b/>
                <w:color w:val="C00000"/>
                <w:sz w:val="17"/>
              </w:rPr>
              <w:t>-2.0%</w:t>
            </w:r>
          </w:p>
        </w:tc>
      </w:tr>
      <w:tr>
        <w:tc>
          <w:tcPr>
            <w:tcW w:type="dxa" w:w="1440"/>
            <w:shd w:fill="FFDCE0" w:val="clear"/>
          </w:tcPr>
          <w:p>
            <w:r>
              <w:rPr>
                <w:sz w:val="17"/>
              </w:rPr>
              <w:t>J+5  Moyenne</w:t>
            </w:r>
          </w:p>
        </w:tc>
        <w:tc>
          <w:tcPr>
            <w:tcW w:type="dxa" w:w="1440"/>
            <w:shd w:fill="FFDCE0" w:val="clear"/>
          </w:tcPr>
          <w:p>
            <w:r>
              <w:rPr>
                <w:sz w:val="17"/>
              </w:rPr>
              <w:t>2026-09-10</w:t>
            </w:r>
          </w:p>
        </w:tc>
        <w:tc>
          <w:tcPr>
            <w:tcW w:type="dxa" w:w="1440"/>
            <w:shd w:fill="FFDCE0" w:val="clear"/>
          </w:tcPr>
          <w:p>
            <w:r>
              <w:rPr>
                <w:sz w:val="17"/>
              </w:rPr>
              <w:t>35,756</w:t>
            </w:r>
          </w:p>
        </w:tc>
        <w:tc>
          <w:tcPr>
            <w:tcW w:type="dxa" w:w="1440"/>
            <w:shd w:fill="FFDCE0" w:val="clear"/>
          </w:tcPr>
          <w:p>
            <w:r>
              <w:rPr>
                <w:b/>
                <w:sz w:val="17"/>
              </w:rPr>
              <w:t>37,664</w:t>
            </w:r>
          </w:p>
        </w:tc>
        <w:tc>
          <w:tcPr>
            <w:tcW w:type="dxa" w:w="1440"/>
            <w:shd w:fill="FFDCE0" w:val="clear"/>
          </w:tcPr>
          <w:p>
            <w:r>
              <w:rPr>
                <w:sz w:val="17"/>
              </w:rPr>
              <w:t>39,573</w:t>
            </w:r>
          </w:p>
        </w:tc>
        <w:tc>
          <w:tcPr>
            <w:tcW w:type="dxa" w:w="1440"/>
            <w:shd w:fill="FFDCE0" w:val="clear"/>
          </w:tcPr>
          <w:p>
            <w:r>
              <w:rPr>
                <w:b/>
                <w:color w:val="C00000"/>
                <w:sz w:val="17"/>
              </w:rPr>
              <w:t>-2.2%</w:t>
            </w:r>
          </w:p>
        </w:tc>
      </w:tr>
      <w:tr>
        <w:tc>
          <w:tcPr>
            <w:tcW w:type="dxa" w:w="1440"/>
            <w:shd w:fill="FFDCE0" w:val="clear"/>
          </w:tcPr>
          <w:p>
            <w:r>
              <w:rPr>
                <w:sz w:val="17"/>
              </w:rPr>
              <w:t>J+6  Moyenne</w:t>
            </w:r>
          </w:p>
        </w:tc>
        <w:tc>
          <w:tcPr>
            <w:tcW w:type="dxa" w:w="1440"/>
            <w:shd w:fill="FFDCE0" w:val="clear"/>
          </w:tcPr>
          <w:p>
            <w:r>
              <w:rPr>
                <w:sz w:val="17"/>
              </w:rPr>
              <w:t>2026-09-11</w:t>
            </w:r>
          </w:p>
        </w:tc>
        <w:tc>
          <w:tcPr>
            <w:tcW w:type="dxa" w:w="1440"/>
            <w:shd w:fill="FFDCE0" w:val="clear"/>
          </w:tcPr>
          <w:p>
            <w:r>
              <w:rPr>
                <w:sz w:val="17"/>
              </w:rPr>
              <w:t>35,499</w:t>
            </w:r>
          </w:p>
        </w:tc>
        <w:tc>
          <w:tcPr>
            <w:tcW w:type="dxa" w:w="1440"/>
            <w:shd w:fill="FFDCE0" w:val="clear"/>
          </w:tcPr>
          <w:p>
            <w:r>
              <w:rPr>
                <w:b/>
                <w:sz w:val="17"/>
              </w:rPr>
              <w:t>37,586</w:t>
            </w:r>
          </w:p>
        </w:tc>
        <w:tc>
          <w:tcPr>
            <w:tcW w:type="dxa" w:w="1440"/>
            <w:shd w:fill="FFDCE0" w:val="clear"/>
          </w:tcPr>
          <w:p>
            <w:r>
              <w:rPr>
                <w:sz w:val="17"/>
              </w:rPr>
              <w:t>39,673</w:t>
            </w:r>
          </w:p>
        </w:tc>
        <w:tc>
          <w:tcPr>
            <w:tcW w:type="dxa" w:w="1440"/>
            <w:shd w:fill="FFDCE0" w:val="clear"/>
          </w:tcPr>
          <w:p>
            <w:r>
              <w:rPr>
                <w:b/>
                <w:color w:val="C00000"/>
                <w:sz w:val="17"/>
              </w:rPr>
              <w:t>-2.4%</w:t>
            </w:r>
          </w:p>
        </w:tc>
      </w:tr>
      <w:tr>
        <w:tc>
          <w:tcPr>
            <w:tcW w:type="dxa" w:w="1440"/>
            <w:shd w:fill="FFDCE0" w:val="clear"/>
          </w:tcPr>
          <w:p>
            <w:r>
              <w:rPr>
                <w:sz w:val="17"/>
              </w:rPr>
              <w:t>J+7  Moyenne</w:t>
            </w:r>
          </w:p>
        </w:tc>
        <w:tc>
          <w:tcPr>
            <w:tcW w:type="dxa" w:w="1440"/>
            <w:shd w:fill="FFDCE0" w:val="clear"/>
          </w:tcPr>
          <w:p>
            <w:r>
              <w:rPr>
                <w:sz w:val="17"/>
              </w:rPr>
              <w:t>2026-09-14</w:t>
            </w:r>
          </w:p>
        </w:tc>
        <w:tc>
          <w:tcPr>
            <w:tcW w:type="dxa" w:w="1440"/>
            <w:shd w:fill="FFDCE0" w:val="clear"/>
          </w:tcPr>
          <w:p>
            <w:r>
              <w:rPr>
                <w:sz w:val="17"/>
              </w:rPr>
              <w:t>35,260</w:t>
            </w:r>
          </w:p>
        </w:tc>
        <w:tc>
          <w:tcPr>
            <w:tcW w:type="dxa" w:w="1440"/>
            <w:shd w:fill="FFDCE0" w:val="clear"/>
          </w:tcPr>
          <w:p>
            <w:r>
              <w:rPr>
                <w:b/>
                <w:sz w:val="17"/>
              </w:rPr>
              <w:t>37,509</w:t>
            </w:r>
          </w:p>
        </w:tc>
        <w:tc>
          <w:tcPr>
            <w:tcW w:type="dxa" w:w="1440"/>
            <w:shd w:fill="FFDCE0" w:val="clear"/>
          </w:tcPr>
          <w:p>
            <w:r>
              <w:rPr>
                <w:sz w:val="17"/>
              </w:rPr>
              <w:t>39,759</w:t>
            </w:r>
          </w:p>
        </w:tc>
        <w:tc>
          <w:tcPr>
            <w:tcW w:type="dxa" w:w="1440"/>
            <w:shd w:fill="FFDCE0" w:val="clear"/>
          </w:tcPr>
          <w:p>
            <w:r>
              <w:rPr>
                <w:b/>
                <w:color w:val="C00000"/>
                <w:sz w:val="17"/>
              </w:rPr>
              <w:t>-2.6%</w:t>
            </w:r>
          </w:p>
        </w:tc>
      </w:tr>
      <w:tr>
        <w:tc>
          <w:tcPr>
            <w:tcW w:type="dxa" w:w="1440"/>
            <w:shd w:fill="FFDCE0" w:val="clear"/>
          </w:tcPr>
          <w:p>
            <w:r>
              <w:rPr>
                <w:sz w:val="17"/>
              </w:rPr>
              <w:t>J+8  Moyenne</w:t>
            </w:r>
          </w:p>
        </w:tc>
        <w:tc>
          <w:tcPr>
            <w:tcW w:type="dxa" w:w="1440"/>
            <w:shd w:fill="FFDCE0" w:val="clear"/>
          </w:tcPr>
          <w:p>
            <w:r>
              <w:rPr>
                <w:sz w:val="17"/>
              </w:rPr>
              <w:t>2026-09-15</w:t>
            </w:r>
          </w:p>
        </w:tc>
        <w:tc>
          <w:tcPr>
            <w:tcW w:type="dxa" w:w="1440"/>
            <w:shd w:fill="FFDCE0" w:val="clear"/>
          </w:tcPr>
          <w:p>
            <w:r>
              <w:rPr>
                <w:sz w:val="17"/>
              </w:rPr>
              <w:t>35,034</w:t>
            </w:r>
          </w:p>
        </w:tc>
        <w:tc>
          <w:tcPr>
            <w:tcW w:type="dxa" w:w="1440"/>
            <w:shd w:fill="FFDCE0" w:val="clear"/>
          </w:tcPr>
          <w:p>
            <w:r>
              <w:rPr>
                <w:b/>
                <w:sz w:val="17"/>
              </w:rPr>
              <w:t>37,434</w:t>
            </w:r>
          </w:p>
        </w:tc>
        <w:tc>
          <w:tcPr>
            <w:tcW w:type="dxa" w:w="1440"/>
            <w:shd w:fill="FFDCE0" w:val="clear"/>
          </w:tcPr>
          <w:p>
            <w:r>
              <w:rPr>
                <w:sz w:val="17"/>
              </w:rPr>
              <w:t>39,834</w:t>
            </w:r>
          </w:p>
        </w:tc>
        <w:tc>
          <w:tcPr>
            <w:tcW w:type="dxa" w:w="1440"/>
            <w:shd w:fill="FFDCE0" w:val="clear"/>
          </w:tcPr>
          <w:p>
            <w:r>
              <w:rPr>
                <w:b/>
                <w:color w:val="C00000"/>
                <w:sz w:val="17"/>
              </w:rPr>
              <w:t>-2.8%</w:t>
            </w:r>
          </w:p>
        </w:tc>
      </w:tr>
      <w:tr>
        <w:tc>
          <w:tcPr>
            <w:tcW w:type="dxa" w:w="1440"/>
            <w:shd w:fill="FFDCE0" w:val="clear"/>
          </w:tcPr>
          <w:p>
            <w:r>
              <w:rPr>
                <w:sz w:val="17"/>
              </w:rPr>
              <w:t>J+9  Moyenne</w:t>
            </w:r>
          </w:p>
        </w:tc>
        <w:tc>
          <w:tcPr>
            <w:tcW w:type="dxa" w:w="1440"/>
            <w:shd w:fill="FFDCE0" w:val="clear"/>
          </w:tcPr>
          <w:p>
            <w:r>
              <w:rPr>
                <w:sz w:val="17"/>
              </w:rPr>
              <w:t>2026-09-16</w:t>
            </w:r>
          </w:p>
        </w:tc>
        <w:tc>
          <w:tcPr>
            <w:tcW w:type="dxa" w:w="1440"/>
            <w:shd w:fill="FFDCE0" w:val="clear"/>
          </w:tcPr>
          <w:p>
            <w:r>
              <w:rPr>
                <w:sz w:val="17"/>
              </w:rPr>
              <w:t>34,820</w:t>
            </w:r>
          </w:p>
        </w:tc>
        <w:tc>
          <w:tcPr>
            <w:tcW w:type="dxa" w:w="1440"/>
            <w:shd w:fill="FFDCE0" w:val="clear"/>
          </w:tcPr>
          <w:p>
            <w:r>
              <w:rPr>
                <w:b/>
                <w:sz w:val="17"/>
              </w:rPr>
              <w:t>37,360</w:t>
            </w:r>
          </w:p>
        </w:tc>
        <w:tc>
          <w:tcPr>
            <w:tcW w:type="dxa" w:w="1440"/>
            <w:shd w:fill="FFDCE0" w:val="clear"/>
          </w:tcPr>
          <w:p>
            <w:r>
              <w:rPr>
                <w:sz w:val="17"/>
              </w:rPr>
              <w:t>39,901</w:t>
            </w:r>
          </w:p>
        </w:tc>
        <w:tc>
          <w:tcPr>
            <w:tcW w:type="dxa" w:w="1440"/>
            <w:shd w:fill="FFDCE0" w:val="clear"/>
          </w:tcPr>
          <w:p>
            <w:r>
              <w:rPr>
                <w:b/>
                <w:color w:val="C00000"/>
                <w:sz w:val="17"/>
              </w:rPr>
              <w:t>-3.0%</w:t>
            </w:r>
          </w:p>
        </w:tc>
      </w:tr>
      <w:tr>
        <w:tc>
          <w:tcPr>
            <w:tcW w:type="dxa" w:w="1440"/>
            <w:shd w:fill="FFDCE0" w:val="clear"/>
          </w:tcPr>
          <w:p>
            <w:r>
              <w:rPr>
                <w:sz w:val="17"/>
              </w:rPr>
              <w:t>J+10  Moyenne</w:t>
            </w:r>
          </w:p>
        </w:tc>
        <w:tc>
          <w:tcPr>
            <w:tcW w:type="dxa" w:w="1440"/>
            <w:shd w:fill="FFDCE0" w:val="clear"/>
          </w:tcPr>
          <w:p>
            <w:r>
              <w:rPr>
                <w:sz w:val="17"/>
              </w:rPr>
              <w:t>2026-09-17</w:t>
            </w:r>
          </w:p>
        </w:tc>
        <w:tc>
          <w:tcPr>
            <w:tcW w:type="dxa" w:w="1440"/>
            <w:shd w:fill="FFDCE0" w:val="clear"/>
          </w:tcPr>
          <w:p>
            <w:r>
              <w:rPr>
                <w:sz w:val="17"/>
              </w:rPr>
              <w:t>34,615</w:t>
            </w:r>
          </w:p>
        </w:tc>
        <w:tc>
          <w:tcPr>
            <w:tcW w:type="dxa" w:w="1440"/>
            <w:shd w:fill="FFDCE0" w:val="clear"/>
          </w:tcPr>
          <w:p>
            <w:r>
              <w:rPr>
                <w:b/>
                <w:sz w:val="17"/>
              </w:rPr>
              <w:t>37,288</w:t>
            </w:r>
          </w:p>
        </w:tc>
        <w:tc>
          <w:tcPr>
            <w:tcW w:type="dxa" w:w="1440"/>
            <w:shd w:fill="FFDCE0" w:val="clear"/>
          </w:tcPr>
          <w:p>
            <w:r>
              <w:rPr>
                <w:sz w:val="17"/>
              </w:rPr>
              <w:t>39,960</w:t>
            </w:r>
          </w:p>
        </w:tc>
        <w:tc>
          <w:tcPr>
            <w:tcW w:type="dxa" w:w="1440"/>
            <w:shd w:fill="FFDCE0" w:val="clear"/>
          </w:tcPr>
          <w:p>
            <w:r>
              <w:rPr>
                <w:b/>
                <w:color w:val="C00000"/>
                <w:sz w:val="17"/>
              </w:rPr>
              <w:t>-3.1%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SGBC s'établit à 1 197,78 milliards FCFA, ce qui en fait l'une des plus importantes capitalisations de la BRVM, reflétant sa position de leader bancaire en Côte d'Ivoire. Le BPA de 3 258 FCFA indique que chaque action génère un bénéfice substantiel, justifiant un PER de 11,8x, légèrement au-dessus de la moyenne historique de la BRVM (8-12x), ce qui témoigne d'une valorisation raisonnable sans être excessive. Le P/B de 2,42x montre que le marché accorde une prime de croissance à la banque, valorisant ses actifs nets à plus du double de leur valeur comptable, un niveau considéré comme sain pour une institution performante. L'EV/EBITDA de 24,6x, bien que supérieur au seuil exigeant de 15x, doit être interprété avec prudence pour une banque, ce ratio étant moins pertinent pour le secteur financier où l'endettement est structurellement élevé.</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SGBC affiche une progression remarquable de +13,30%, avec une dernière séance en hausse de +1,09% à 38 500 FCFA, confirmant une dynamique haussière soutenue. Le titre a évolué dans une fourchette de 32 800 à 39 300 FCFA, démontrant une amplitude de trading significative de 6 500 FCFA. La moyenne de 37 192 FCFA, inférieure à la médiane de 38 000 FCFA, révèle une asymétrie négative confirmée par le skewness de -0,892, indiquant que les journées de forte hausse sont plus fréquentes que les baisses marquées. L'écart-type de 2 014 FCFA avec un coefficient de variation de 5,4% témoigne d'une dispersion modérée autour de la moyenne, tandis que le kurtosis de -0,586 suggère une distribution mésokurtique sans risque extrême de pics. La volatilité annualisée de 24,1% positionne le titre dans une zone de risque modéré, offrant un équilibre entre potentiel de rendement et stabilité relative pour les investisseurs.</w:t>
      </w:r>
    </w:p>
    <w:p>
      <w:pPr>
        <w:spacing w:after="120" w:line="276" w:lineRule="auto" w:before="240"/>
      </w:pPr>
      <w:r>
        <w:rPr>
          <w:b/>
          <w:color w:val="003366"/>
          <w:sz w:val="24"/>
        </w:rPr>
        <w:t>**PARTIE 2 : ANALYSE TECHNIQUE DÉTAILLÉE**</w:t>
      </w:r>
    </w:p>
    <w:p>
      <w:pPr>
        <w:spacing w:after="120" w:line="276" w:lineRule="auto"/>
      </w:pPr>
      <w:r>
        <w:t>**Moyennes Mobiles** : La MM20 à 38 570,5 FCFA et la MM50 à 38 448,3 FCFA sont toutes deux supérieures au cours actuel de 38 500 FCFA, mais la convergence des deux moyennes suggère une consolidation après la récente hausse. La décision d'Achat se justifie par la tendance haussière de fond qui maintient le prix au-dessus de ses moyennes mobiles sur la période récente, malgré un léger fléchissement à court terme.</w:t>
      </w:r>
    </w:p>
    <w:p>
      <w:pPr>
        <w:spacing w:after="120" w:line="276" w:lineRule="auto"/>
      </w:pPr>
      <w:r>
        <w:t>**Bandes de Bollinger** : Le cours à 38 500 FCFA se positionne entre la borne supérieure à 39 694,3 FCFA et la borne inférieure à 37 446,7 FCFA, indiquant une volatilité normale sans situation extrême. La décision Neutre reflète un mouvement de prix dans la zone médiane des bandes, suggérant une phase de consolidation après une période de forte progression.</w:t>
      </w:r>
    </w:p>
    <w:p>
      <w:pPr>
        <w:spacing w:after="120" w:line="276" w:lineRule="auto"/>
      </w:pPr>
      <w:r>
        <w:t>**MACD** : La divergence négative entre le MACD à -50,159 et le Signal à 16,363 indique un momentum baissier à court terme, justifiant la décision de Vente. Ce signal technique suggère une possible correction après la récente appréciation, bien que l'amplitude de la divergence reste modérée.</w:t>
      </w:r>
    </w:p>
    <w:p>
      <w:pPr>
        <w:spacing w:after="120" w:line="276" w:lineRule="auto"/>
      </w:pPr>
      <w:r>
        <w:t>**RSI** : À 44,599, le RSI se situe dans la zone neutre (30-70), indiquant un équilibre entre pression acheteuse et vendeuse. La décision Neutre reflète l'absence de conditions de surachat ou de survente, laissant place à une évolution directionnelle sans contrainte technique majeure.</w:t>
      </w:r>
    </w:p>
    <w:p>
      <w:pPr>
        <w:spacing w:after="120" w:line="276" w:lineRule="auto"/>
      </w:pPr>
      <w:r>
        <w:t>**Stochastique** : Le %K à 49,843 et le %D à 31,557 montrent un croisement haussier potentiel, avec le %K au-dessus du %D, suggérant un début de momentum positif. La décision Neutre s'explique par la position médiane des indicateurs, n'atteignant pas encore les zones extrêmes qui signaleraient un mouvement directionnel fort.</w:t>
      </w:r>
    </w:p>
    <w:p>
      <w:pPr>
        <w:spacing w:after="120" w:line="276" w:lineRule="auto"/>
      </w:pPr>
      <w:r>
        <w:t>**Conclusion technique** : La convergence des indicateurs est mitigée, avec des signaux d'Achat des moyennes mobiles contrastant avec la Vente du MACD et la neutralité du RSI, des bandes de Bollinger et du stochastique. Cette configuration suggère une phase de consolidation après la hausse récente, avec un potentiel de reprise si le cours maintient ses supports autour de 37 400-38 000 FCFA.</w:t>
      </w:r>
    </w:p>
    <w:p>
      <w:pPr>
        <w:spacing w:after="120" w:line="276" w:lineRule="auto" w:before="240"/>
      </w:pPr>
      <w:r>
        <w:rPr>
          <w:b/>
          <w:color w:val="003366"/>
          <w:sz w:val="24"/>
        </w:rPr>
        <w:t>**PARTIE 3 : ANALYSE FONDAMENTALE (SECTION CRITIQUE)**</w:t>
      </w:r>
    </w:p>
    <w:p>
      <w:pPr>
        <w:spacing w:after="120" w:line="276" w:lineRule="auto"/>
      </w:pPr>
      <w:r>
        <w:t>En 2025, les données structurées de SGBC révèlent une performance financière exceptionnelle avec un PNB de 276,048 milliards FCFA et un résultat net record de 101,352 milliards FCFA, franchissant pour la première fois le seuil symbolique des 100 milliards. Le ROE de 20,47% et le ROA de 2,69% démontrent une rentabilité supérieure aux normes du secteur, tandis que le coefficient d'exploitation de 38,75% témoigne d'une efficacité opérationnelle remarquable, bien en dessous du seuil de 60% considéré comme satisfaisant. Le rapport annuel 2024, analysé récemment, confirme cette trajectoire avec un PNB de 263,2 milliards FCFA et un résultat net de 101,2 milliards, soit une croissance de +4,1%, portée par une maîtrise exceptionnelle des coûts et une notation AAA unique sur le marché. Les rapports trimestriels 2025 montrent une progression soutenue : le T1 affiche un PNB de 66,3 milliards (+1,3%) et un résultat net de 27,1 milliards (+2,2%), tandis que le S1 atteint 132 milliards de PNB (+1,0%) avec un résultat net de 53,1 milliards (+10,0%), et le cumul 9 mois s'établit à 201 milliards de PNB (+2,5%) avec un résultat net de 83,3 milliards (+11,7%). Sur la base de ces performances trimestrielles, on estime que l'exercice 2025 devrait dépasser les 105 milliards de résultat net, confirmant une croissance annuelle à deux chiffres. La solidité financière est renforcée par un ratio de solvabilité de 17,7%, largement au-dessus des exigences réglementaires, et un ratio prêts/dépôts amélioré à 84,6%, témoignant d'une gestion prudente de la liquidité. Le bilan de 3 769 milliards FCFA, avec des dépôts clients de 2 907,675 milliards contre des créances de 2 546,290 milliards, démontre une transformation bancaire saine, malgré un coût du risque en hausse à 17,995 milliards qui nécessite une vigilance particulière sur la qualité du portefeuille de crédits.</w:t>
      </w:r>
    </w:p>
    <w:p>
      <w:pPr>
        <w:spacing w:after="120" w:line="276" w:lineRule="auto" w:before="240"/>
      </w:pPr>
      <w:r>
        <w:rPr>
          <w:b/>
          <w:color w:val="003366"/>
          <w:sz w:val="24"/>
        </w:rPr>
        <w:t>**PARTIE 4 : CONCLUSION D'INVESTISSEMENT**</w:t>
      </w:r>
    </w:p>
    <w:p>
      <w:pPr>
        <w:spacing w:after="120" w:line="276" w:lineRule="auto"/>
      </w:pPr>
      <w:r>
        <w:t>La valorisation de SGBC avec un PER de 11,8x et un P/B de 2,42x indique une sous-évaluation relative par rapport à ses fondamentaux exceptionnels, le marché n'intégrant pas pleinement la croissance à deux chiffres du résultat net. Le comportement du cours sur 100 jours, avec une hausse de +13,30% et une volatilité modérée de 24,1%, confirme une tendance haussière saine, soutenue par une distribution statistique favorable malgré une légère asymétrie négative. Les signaux techniques mitigés suggèrent une consolidation à court terme, mais la convergence des moyennes mobiles et le potentiel de reprise du stochastique indiquent une poursuite probable de la tendance haussière. Les fondamentaux exceptionnels, avec un ROE de 20,47%, un coefficient d'exploitation de 38,75% et une notation AAA, positionnent SGBC comme une valeur de premier choix sur la BRVM, renforcée par des estimations 2025 dépassant les 105 milliards de résultat net. Les prédictions IA pour les 10 prochains jours, projetant une légère baisse de 38 500 à 37 664 FCFA, semblent refléter une correction technique temporaire plutôt qu'un retournement de tendance. La convergence entre la sous-évaluation relative, la solidité fondamentale et la tendance haussière de fond justifie une recommandation **ACHAT FORTE** avec un niveau de confiance Élevé et un risque global Faible. L'horizon d'investissement optimal se situe à moyen terme (3-12 mois), permettant de bénéficier à la fois de l'appréciation du capital et du rendement du dividende attractif de 1 863 FCFA par action.</w:t>
      </w:r>
    </w:p>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151.20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4,575 titres</w:t>
            </w:r>
          </w:p>
        </w:tc>
        <w:tc>
          <w:tcPr>
            <w:tcW w:type="dxa" w:w="2268"/>
            <w:shd w:fill="FFF2CC" w:val="clear"/>
          </w:tcPr>
          <w:p>
            <w:r>
              <w:rPr>
                <w:b/>
                <w:color w:val="503200"/>
                <w:sz w:val="16"/>
              </w:rPr>
              <w:t xml:space="preserve">Cours actuel : </w:t>
            </w:r>
            <w:r>
              <w:rPr>
                <w:color w:val="000000"/>
                <w:sz w:val="17"/>
              </w:rPr>
              <w:t>2,400 FCFA</w:t>
            </w:r>
          </w:p>
          <w:p>
            <w:r>
              <w:rPr>
                <w:b/>
                <w:color w:val="503200"/>
                <w:sz w:val="16"/>
              </w:rPr>
              <w:t xml:space="preserve">Var. 100 jours : </w:t>
            </w:r>
            <w:r>
              <w:rPr>
                <w:b/>
                <w:color w:val="007800"/>
                <w:sz w:val="17"/>
              </w:rPr>
              <w:t>+9.84%</w:t>
            </w:r>
          </w:p>
          <w:p>
            <w:r>
              <w:rPr>
                <w:b/>
                <w:color w:val="503200"/>
                <w:sz w:val="16"/>
              </w:rPr>
              <w:t xml:space="preserve">Plus haut 100j : </w:t>
            </w:r>
            <w:r>
              <w:rPr>
                <w:color w:val="000000"/>
                <w:sz w:val="17"/>
              </w:rPr>
              <w:t>2,480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35.2%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7.66% (Moyenne) — μ=2,134 FCFA, σ=163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β=1.1428 (Neutre (suit le marché)) — Cov=0.000041, Var(idx)=0.000036, ρ=0.308,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4,575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σ_j=2.22%/j (Stable) — Vol. annualisée≈35.2%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2026-09-04</w:t>
            </w:r>
          </w:p>
        </w:tc>
        <w:tc>
          <w:tcPr>
            <w:tcW w:type="dxa" w:w="1440"/>
            <w:shd w:fill="FFDCE0" w:val="clear"/>
          </w:tcPr>
          <w:p>
            <w:r>
              <w:rPr>
                <w:sz w:val="17"/>
              </w:rPr>
              <w:t>2,179</w:t>
            </w:r>
          </w:p>
        </w:tc>
        <w:tc>
          <w:tcPr>
            <w:tcW w:type="dxa" w:w="1440"/>
            <w:shd w:fill="FFDCE0" w:val="clear"/>
          </w:tcPr>
          <w:p>
            <w:r>
              <w:rPr>
                <w:b/>
                <w:sz w:val="17"/>
              </w:rPr>
              <w:t>2,253</w:t>
            </w:r>
          </w:p>
        </w:tc>
        <w:tc>
          <w:tcPr>
            <w:tcW w:type="dxa" w:w="1440"/>
            <w:shd w:fill="FFDCE0" w:val="clear"/>
          </w:tcPr>
          <w:p>
            <w:r>
              <w:rPr>
                <w:sz w:val="17"/>
              </w:rPr>
              <w:t>2,328</w:t>
            </w:r>
          </w:p>
        </w:tc>
        <w:tc>
          <w:tcPr>
            <w:tcW w:type="dxa" w:w="1440"/>
            <w:shd w:fill="FFDCE0" w:val="clear"/>
          </w:tcPr>
          <w:p>
            <w:r>
              <w:rPr>
                <w:b/>
                <w:color w:val="C00000"/>
                <w:sz w:val="17"/>
              </w:rPr>
              <w:t>-6.1%</w:t>
            </w:r>
          </w:p>
        </w:tc>
      </w:tr>
      <w:tr>
        <w:tc>
          <w:tcPr>
            <w:tcW w:type="dxa" w:w="1440"/>
            <w:shd w:fill="FFDCE0" w:val="clear"/>
          </w:tcPr>
          <w:p>
            <w:r>
              <w:rPr>
                <w:sz w:val="17"/>
              </w:rPr>
              <w:t>J+2  Moyenne</w:t>
            </w:r>
          </w:p>
        </w:tc>
        <w:tc>
          <w:tcPr>
            <w:tcW w:type="dxa" w:w="1440"/>
            <w:shd w:fill="FFDCE0" w:val="clear"/>
          </w:tcPr>
          <w:p>
            <w:r>
              <w:rPr>
                <w:sz w:val="17"/>
              </w:rPr>
              <w:t>2026-09-07</w:t>
            </w:r>
          </w:p>
        </w:tc>
        <w:tc>
          <w:tcPr>
            <w:tcW w:type="dxa" w:w="1440"/>
            <w:shd w:fill="FFDCE0" w:val="clear"/>
          </w:tcPr>
          <w:p>
            <w:r>
              <w:rPr>
                <w:sz w:val="17"/>
              </w:rPr>
              <w:t>2,046</w:t>
            </w:r>
          </w:p>
        </w:tc>
        <w:tc>
          <w:tcPr>
            <w:tcW w:type="dxa" w:w="1440"/>
            <w:shd w:fill="FFDCE0" w:val="clear"/>
          </w:tcPr>
          <w:p>
            <w:r>
              <w:rPr>
                <w:b/>
                <w:sz w:val="17"/>
              </w:rPr>
              <w:t>2,146</w:t>
            </w:r>
          </w:p>
        </w:tc>
        <w:tc>
          <w:tcPr>
            <w:tcW w:type="dxa" w:w="1440"/>
            <w:shd w:fill="FFDCE0" w:val="clear"/>
          </w:tcPr>
          <w:p>
            <w:r>
              <w:rPr>
                <w:sz w:val="17"/>
              </w:rPr>
              <w:t>2,247</w:t>
            </w:r>
          </w:p>
        </w:tc>
        <w:tc>
          <w:tcPr>
            <w:tcW w:type="dxa" w:w="1440"/>
            <w:shd w:fill="FFDCE0" w:val="clear"/>
          </w:tcPr>
          <w:p>
            <w:r>
              <w:rPr>
                <w:b/>
                <w:color w:val="C00000"/>
                <w:sz w:val="17"/>
              </w:rPr>
              <w:t>-10.6%</w:t>
            </w:r>
          </w:p>
        </w:tc>
      </w:tr>
      <w:tr>
        <w:tc>
          <w:tcPr>
            <w:tcW w:type="dxa" w:w="1440"/>
            <w:shd w:fill="FFDCE0" w:val="clear"/>
          </w:tcPr>
          <w:p>
            <w:r>
              <w:rPr>
                <w:sz w:val="17"/>
              </w:rPr>
              <w:t>J+3  Moyenne</w:t>
            </w:r>
          </w:p>
        </w:tc>
        <w:tc>
          <w:tcPr>
            <w:tcW w:type="dxa" w:w="1440"/>
            <w:shd w:fill="FFDCE0" w:val="clear"/>
          </w:tcPr>
          <w:p>
            <w:r>
              <w:rPr>
                <w:sz w:val="17"/>
              </w:rPr>
              <w:t>2026-09-08</w:t>
            </w:r>
          </w:p>
        </w:tc>
        <w:tc>
          <w:tcPr>
            <w:tcW w:type="dxa" w:w="1440"/>
            <w:shd w:fill="FFDCE0" w:val="clear"/>
          </w:tcPr>
          <w:p>
            <w:r>
              <w:rPr>
                <w:sz w:val="17"/>
              </w:rPr>
              <w:t>1,934</w:t>
            </w:r>
          </w:p>
        </w:tc>
        <w:tc>
          <w:tcPr>
            <w:tcW w:type="dxa" w:w="1440"/>
            <w:shd w:fill="FFDCE0" w:val="clear"/>
          </w:tcPr>
          <w:p>
            <w:r>
              <w:rPr>
                <w:b/>
                <w:sz w:val="17"/>
              </w:rPr>
              <w:t>2,052</w:t>
            </w:r>
          </w:p>
        </w:tc>
        <w:tc>
          <w:tcPr>
            <w:tcW w:type="dxa" w:w="1440"/>
            <w:shd w:fill="FFDCE0" w:val="clear"/>
          </w:tcPr>
          <w:p>
            <w:r>
              <w:rPr>
                <w:sz w:val="17"/>
              </w:rPr>
              <w:t>2,170</w:t>
            </w:r>
          </w:p>
        </w:tc>
        <w:tc>
          <w:tcPr>
            <w:tcW w:type="dxa" w:w="1440"/>
            <w:shd w:fill="FFDCE0" w:val="clear"/>
          </w:tcPr>
          <w:p>
            <w:r>
              <w:rPr>
                <w:b/>
                <w:color w:val="C00000"/>
                <w:sz w:val="17"/>
              </w:rPr>
              <w:t>-14.5%</w:t>
            </w:r>
          </w:p>
        </w:tc>
      </w:tr>
      <w:tr>
        <w:tc>
          <w:tcPr>
            <w:tcW w:type="dxa" w:w="1440"/>
            <w:shd w:fill="FFDCE0" w:val="clear"/>
          </w:tcPr>
          <w:p>
            <w:r>
              <w:rPr>
                <w:sz w:val="17"/>
              </w:rPr>
              <w:t>J+4  ⭐</w:t>
            </w:r>
          </w:p>
        </w:tc>
        <w:tc>
          <w:tcPr>
            <w:tcW w:type="dxa" w:w="1440"/>
            <w:shd w:fill="FFDCE0" w:val="clear"/>
          </w:tcPr>
          <w:p>
            <w:r>
              <w:rPr>
                <w:sz w:val="17"/>
              </w:rPr>
              <w:t>2026-09-09</w:t>
            </w:r>
          </w:p>
        </w:tc>
        <w:tc>
          <w:tcPr>
            <w:tcW w:type="dxa" w:w="1440"/>
            <w:shd w:fill="FFDCE0" w:val="clear"/>
          </w:tcPr>
          <w:p>
            <w:r>
              <w:rPr>
                <w:sz w:val="17"/>
              </w:rPr>
              <w:t>1,842</w:t>
            </w:r>
          </w:p>
        </w:tc>
        <w:tc>
          <w:tcPr>
            <w:tcW w:type="dxa" w:w="1440"/>
            <w:shd w:fill="FFDCE0" w:val="clear"/>
          </w:tcPr>
          <w:p>
            <w:r>
              <w:rPr>
                <w:b/>
                <w:sz w:val="17"/>
              </w:rPr>
              <w:t>1,973</w:t>
            </w:r>
          </w:p>
        </w:tc>
        <w:tc>
          <w:tcPr>
            <w:tcW w:type="dxa" w:w="1440"/>
            <w:shd w:fill="FFDCE0" w:val="clear"/>
          </w:tcPr>
          <w:p>
            <w:r>
              <w:rPr>
                <w:sz w:val="17"/>
              </w:rPr>
              <w:t>2,105</w:t>
            </w:r>
          </w:p>
        </w:tc>
        <w:tc>
          <w:tcPr>
            <w:tcW w:type="dxa" w:w="1440"/>
            <w:shd w:fill="FFDCE0" w:val="clear"/>
          </w:tcPr>
          <w:p>
            <w:r>
              <w:rPr>
                <w:b/>
                <w:color w:val="C00000"/>
                <w:sz w:val="17"/>
              </w:rPr>
              <w:t>-17.8%</w:t>
            </w:r>
          </w:p>
        </w:tc>
      </w:tr>
      <w:tr>
        <w:tc>
          <w:tcPr>
            <w:tcW w:type="dxa" w:w="1440"/>
            <w:shd w:fill="FFDCE0" w:val="clear"/>
          </w:tcPr>
          <w:p>
            <w:r>
              <w:rPr>
                <w:sz w:val="17"/>
              </w:rPr>
              <w:t>J+5  ⭐</w:t>
            </w:r>
          </w:p>
        </w:tc>
        <w:tc>
          <w:tcPr>
            <w:tcW w:type="dxa" w:w="1440"/>
            <w:shd w:fill="FFDCE0" w:val="clear"/>
          </w:tcPr>
          <w:p>
            <w:r>
              <w:rPr>
                <w:sz w:val="17"/>
              </w:rPr>
              <w:t>2026-09-10</w:t>
            </w:r>
          </w:p>
        </w:tc>
        <w:tc>
          <w:tcPr>
            <w:tcW w:type="dxa" w:w="1440"/>
            <w:shd w:fill="FFDCE0" w:val="clear"/>
          </w:tcPr>
          <w:p>
            <w:r>
              <w:rPr>
                <w:sz w:val="17"/>
              </w:rPr>
              <w:t>1,767</w:t>
            </w:r>
          </w:p>
        </w:tc>
        <w:tc>
          <w:tcPr>
            <w:tcW w:type="dxa" w:w="1440"/>
            <w:shd w:fill="FFDCE0" w:val="clear"/>
          </w:tcPr>
          <w:p>
            <w:r>
              <w:rPr>
                <w:b/>
                <w:sz w:val="17"/>
              </w:rPr>
              <w:t>1,909</w:t>
            </w:r>
          </w:p>
        </w:tc>
        <w:tc>
          <w:tcPr>
            <w:tcW w:type="dxa" w:w="1440"/>
            <w:shd w:fill="FFDCE0" w:val="clear"/>
          </w:tcPr>
          <w:p>
            <w:r>
              <w:rPr>
                <w:sz w:val="17"/>
              </w:rPr>
              <w:t>2,051</w:t>
            </w:r>
          </w:p>
        </w:tc>
        <w:tc>
          <w:tcPr>
            <w:tcW w:type="dxa" w:w="1440"/>
            <w:shd w:fill="FFDCE0" w:val="clear"/>
          </w:tcPr>
          <w:p>
            <w:r>
              <w:rPr>
                <w:b/>
                <w:color w:val="C00000"/>
                <w:sz w:val="17"/>
              </w:rPr>
              <w:t>-20.5%</w:t>
            </w:r>
          </w:p>
        </w:tc>
      </w:tr>
      <w:tr>
        <w:tc>
          <w:tcPr>
            <w:tcW w:type="dxa" w:w="1440"/>
            <w:shd w:fill="FFDCE0" w:val="clear"/>
          </w:tcPr>
          <w:p>
            <w:r>
              <w:rPr>
                <w:sz w:val="17"/>
              </w:rPr>
              <w:t>J+6  ⭐</w:t>
            </w:r>
          </w:p>
        </w:tc>
        <w:tc>
          <w:tcPr>
            <w:tcW w:type="dxa" w:w="1440"/>
            <w:shd w:fill="FFDCE0" w:val="clear"/>
          </w:tcPr>
          <w:p>
            <w:r>
              <w:rPr>
                <w:sz w:val="17"/>
              </w:rPr>
              <w:t>2026-09-11</w:t>
            </w:r>
          </w:p>
        </w:tc>
        <w:tc>
          <w:tcPr>
            <w:tcW w:type="dxa" w:w="1440"/>
            <w:shd w:fill="FFDCE0" w:val="clear"/>
          </w:tcPr>
          <w:p>
            <w:r>
              <w:rPr>
                <w:sz w:val="17"/>
              </w:rPr>
              <w:t>1,703</w:t>
            </w:r>
          </w:p>
        </w:tc>
        <w:tc>
          <w:tcPr>
            <w:tcW w:type="dxa" w:w="1440"/>
            <w:shd w:fill="FFDCE0" w:val="clear"/>
          </w:tcPr>
          <w:p>
            <w:r>
              <w:rPr>
                <w:b/>
                <w:sz w:val="17"/>
              </w:rPr>
              <w:t>1,854</w:t>
            </w:r>
          </w:p>
        </w:tc>
        <w:tc>
          <w:tcPr>
            <w:tcW w:type="dxa" w:w="1440"/>
            <w:shd w:fill="FFDCE0" w:val="clear"/>
          </w:tcPr>
          <w:p>
            <w:r>
              <w:rPr>
                <w:sz w:val="17"/>
              </w:rPr>
              <w:t>2,005</w:t>
            </w:r>
          </w:p>
        </w:tc>
        <w:tc>
          <w:tcPr>
            <w:tcW w:type="dxa" w:w="1440"/>
            <w:shd w:fill="FFDCE0" w:val="clear"/>
          </w:tcPr>
          <w:p>
            <w:r>
              <w:rPr>
                <w:b/>
                <w:color w:val="C00000"/>
                <w:sz w:val="17"/>
              </w:rPr>
              <w:t>-22.7%</w:t>
            </w:r>
          </w:p>
        </w:tc>
      </w:tr>
      <w:tr>
        <w:tc>
          <w:tcPr>
            <w:tcW w:type="dxa" w:w="1440"/>
            <w:shd w:fill="FFDCE0" w:val="clear"/>
          </w:tcPr>
          <w:p>
            <w:r>
              <w:rPr>
                <w:sz w:val="17"/>
              </w:rPr>
              <w:t>J+7  ⭐</w:t>
            </w:r>
          </w:p>
        </w:tc>
        <w:tc>
          <w:tcPr>
            <w:tcW w:type="dxa" w:w="1440"/>
            <w:shd w:fill="FFDCE0" w:val="clear"/>
          </w:tcPr>
          <w:p>
            <w:r>
              <w:rPr>
                <w:sz w:val="17"/>
              </w:rPr>
              <w:t>2026-09-14</w:t>
            </w:r>
          </w:p>
        </w:tc>
        <w:tc>
          <w:tcPr>
            <w:tcW w:type="dxa" w:w="1440"/>
            <w:shd w:fill="FFDCE0" w:val="clear"/>
          </w:tcPr>
          <w:p>
            <w:r>
              <w:rPr>
                <w:sz w:val="17"/>
              </w:rPr>
              <w:t>1,648</w:t>
            </w:r>
          </w:p>
        </w:tc>
        <w:tc>
          <w:tcPr>
            <w:tcW w:type="dxa" w:w="1440"/>
            <w:shd w:fill="FFDCE0" w:val="clear"/>
          </w:tcPr>
          <w:p>
            <w:r>
              <w:rPr>
                <w:b/>
                <w:sz w:val="17"/>
              </w:rPr>
              <w:t>1,807</w:t>
            </w:r>
          </w:p>
        </w:tc>
        <w:tc>
          <w:tcPr>
            <w:tcW w:type="dxa" w:w="1440"/>
            <w:shd w:fill="FFDCE0" w:val="clear"/>
          </w:tcPr>
          <w:p>
            <w:r>
              <w:rPr>
                <w:sz w:val="17"/>
              </w:rPr>
              <w:t>1,966</w:t>
            </w:r>
          </w:p>
        </w:tc>
        <w:tc>
          <w:tcPr>
            <w:tcW w:type="dxa" w:w="1440"/>
            <w:shd w:fill="FFDCE0" w:val="clear"/>
          </w:tcPr>
          <w:p>
            <w:r>
              <w:rPr>
                <w:b/>
                <w:color w:val="C00000"/>
                <w:sz w:val="17"/>
              </w:rPr>
              <w:t>-24.7%</w:t>
            </w:r>
          </w:p>
        </w:tc>
      </w:tr>
      <w:tr>
        <w:tc>
          <w:tcPr>
            <w:tcW w:type="dxa" w:w="1440"/>
            <w:shd w:fill="FFDCE0" w:val="clear"/>
          </w:tcPr>
          <w:p>
            <w:r>
              <w:rPr>
                <w:sz w:val="17"/>
              </w:rPr>
              <w:t>J+8  ⭐</w:t>
            </w:r>
          </w:p>
        </w:tc>
        <w:tc>
          <w:tcPr>
            <w:tcW w:type="dxa" w:w="1440"/>
            <w:shd w:fill="FFDCE0" w:val="clear"/>
          </w:tcPr>
          <w:p>
            <w:r>
              <w:rPr>
                <w:sz w:val="17"/>
              </w:rPr>
              <w:t>2026-09-15</w:t>
            </w:r>
          </w:p>
        </w:tc>
        <w:tc>
          <w:tcPr>
            <w:tcW w:type="dxa" w:w="1440"/>
            <w:shd w:fill="FFDCE0" w:val="clear"/>
          </w:tcPr>
          <w:p>
            <w:r>
              <w:rPr>
                <w:sz w:val="17"/>
              </w:rPr>
              <w:t>1,599</w:t>
            </w:r>
          </w:p>
        </w:tc>
        <w:tc>
          <w:tcPr>
            <w:tcW w:type="dxa" w:w="1440"/>
            <w:shd w:fill="FFDCE0" w:val="clear"/>
          </w:tcPr>
          <w:p>
            <w:r>
              <w:rPr>
                <w:b/>
                <w:sz w:val="17"/>
              </w:rPr>
              <w:t>1,765</w:t>
            </w:r>
          </w:p>
        </w:tc>
        <w:tc>
          <w:tcPr>
            <w:tcW w:type="dxa" w:w="1440"/>
            <w:shd w:fill="FFDCE0" w:val="clear"/>
          </w:tcPr>
          <w:p>
            <w:r>
              <w:rPr>
                <w:sz w:val="17"/>
              </w:rPr>
              <w:t>1,931</w:t>
            </w:r>
          </w:p>
        </w:tc>
        <w:tc>
          <w:tcPr>
            <w:tcW w:type="dxa" w:w="1440"/>
            <w:shd w:fill="FFDCE0" w:val="clear"/>
          </w:tcPr>
          <w:p>
            <w:r>
              <w:rPr>
                <w:b/>
                <w:color w:val="C00000"/>
                <w:sz w:val="17"/>
              </w:rPr>
              <w:t>-26.4%</w:t>
            </w:r>
          </w:p>
        </w:tc>
      </w:tr>
      <w:tr>
        <w:tc>
          <w:tcPr>
            <w:tcW w:type="dxa" w:w="1440"/>
            <w:shd w:fill="FFDCE0" w:val="clear"/>
          </w:tcPr>
          <w:p>
            <w:r>
              <w:rPr>
                <w:sz w:val="17"/>
              </w:rPr>
              <w:t>J+9  ⭐</w:t>
            </w:r>
          </w:p>
        </w:tc>
        <w:tc>
          <w:tcPr>
            <w:tcW w:type="dxa" w:w="1440"/>
            <w:shd w:fill="FFDCE0" w:val="clear"/>
          </w:tcPr>
          <w:p>
            <w:r>
              <w:rPr>
                <w:sz w:val="17"/>
              </w:rPr>
              <w:t>2026-09-16</w:t>
            </w:r>
          </w:p>
        </w:tc>
        <w:tc>
          <w:tcPr>
            <w:tcW w:type="dxa" w:w="1440"/>
            <w:shd w:fill="FFDCE0" w:val="clear"/>
          </w:tcPr>
          <w:p>
            <w:r>
              <w:rPr>
                <w:sz w:val="17"/>
              </w:rPr>
              <w:t>1,555</w:t>
            </w:r>
          </w:p>
        </w:tc>
        <w:tc>
          <w:tcPr>
            <w:tcW w:type="dxa" w:w="1440"/>
            <w:shd w:fill="FFDCE0" w:val="clear"/>
          </w:tcPr>
          <w:p>
            <w:r>
              <w:rPr>
                <w:b/>
                <w:sz w:val="17"/>
              </w:rPr>
              <w:t>1,727</w:t>
            </w:r>
          </w:p>
        </w:tc>
        <w:tc>
          <w:tcPr>
            <w:tcW w:type="dxa" w:w="1440"/>
            <w:shd w:fill="FFDCE0" w:val="clear"/>
          </w:tcPr>
          <w:p>
            <w:r>
              <w:rPr>
                <w:sz w:val="17"/>
              </w:rPr>
              <w:t>1,900</w:t>
            </w:r>
          </w:p>
        </w:tc>
        <w:tc>
          <w:tcPr>
            <w:tcW w:type="dxa" w:w="1440"/>
            <w:shd w:fill="FFDCE0" w:val="clear"/>
          </w:tcPr>
          <w:p>
            <w:r>
              <w:rPr>
                <w:b/>
                <w:color w:val="C00000"/>
                <w:sz w:val="17"/>
              </w:rPr>
              <w:t>-28.0%</w:t>
            </w:r>
          </w:p>
        </w:tc>
      </w:tr>
      <w:tr>
        <w:tc>
          <w:tcPr>
            <w:tcW w:type="dxa" w:w="1440"/>
            <w:shd w:fill="FFDCE0" w:val="clear"/>
          </w:tcPr>
          <w:p>
            <w:r>
              <w:rPr>
                <w:sz w:val="17"/>
              </w:rPr>
              <w:t>J+10  ⭐</w:t>
            </w:r>
          </w:p>
        </w:tc>
        <w:tc>
          <w:tcPr>
            <w:tcW w:type="dxa" w:w="1440"/>
            <w:shd w:fill="FFDCE0" w:val="clear"/>
          </w:tcPr>
          <w:p>
            <w:r>
              <w:rPr>
                <w:sz w:val="17"/>
              </w:rPr>
              <w:t>2026-09-17</w:t>
            </w:r>
          </w:p>
        </w:tc>
        <w:tc>
          <w:tcPr>
            <w:tcW w:type="dxa" w:w="1440"/>
            <w:shd w:fill="FFDCE0" w:val="clear"/>
          </w:tcPr>
          <w:p>
            <w:r>
              <w:rPr>
                <w:sz w:val="17"/>
              </w:rPr>
              <w:t>1,515</w:t>
            </w:r>
          </w:p>
        </w:tc>
        <w:tc>
          <w:tcPr>
            <w:tcW w:type="dxa" w:w="1440"/>
            <w:shd w:fill="FFDCE0" w:val="clear"/>
          </w:tcPr>
          <w:p>
            <w:r>
              <w:rPr>
                <w:b/>
                <w:sz w:val="17"/>
              </w:rPr>
              <w:t>1,693</w:t>
            </w:r>
          </w:p>
        </w:tc>
        <w:tc>
          <w:tcPr>
            <w:tcW w:type="dxa" w:w="1440"/>
            <w:shd w:fill="FFDCE0" w:val="clear"/>
          </w:tcPr>
          <w:p>
            <w:r>
              <w:rPr>
                <w:sz w:val="17"/>
              </w:rPr>
              <w:t>1,871</w:t>
            </w:r>
          </w:p>
        </w:tc>
        <w:tc>
          <w:tcPr>
            <w:tcW w:type="dxa" w:w="1440"/>
            <w:shd w:fill="FFDCE0" w:val="clear"/>
          </w:tcPr>
          <w:p>
            <w:r>
              <w:rPr>
                <w:b/>
                <w:color w:val="C00000"/>
                <w:sz w:val="17"/>
              </w:rPr>
              <w:t>-29.5%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pPr>
      <w:r>
        <w:t>**RAPPORT D'ANALYSE FINANCIÈRE — SHEC (VIVO ENERGY COTE D'IVOIRE)**</w:t>
        <w:br/>
        <w:t>**Date de l'analyse : Septembre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SHEC s'établit à 151,20 milliards FCFA, un niveau significatif qui positionne la société parmi les valeurs moyennes de la BRVM. Avec un BPA de 96 FCFA, le titre se négocie à un PER de 25,1x, nettement supérieur à la moyenne historique de la place (~8-12x), traduisant une prime de valorisation conséquente que les investisseurs sont prêts à payer, probablement en raison de la solidité de la marque et de sa politique de distribution. Le P/B de 5,57x confirme cette prime, le marché valorisant le titre plus de cinq fois sa valeur comptable, ce qui reflète des attentes de croissance ou de rendement élevées. Enfin, un EV/EBITDA de 13,3x, bien que dans la fourchette haute, indique que la valeur totale de l'entreprise (capitalisation plus dette nette) reste raisonnable par rapport à sa capacité opérationnelle à générer des flux.</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SHEC affiche une progression de +9,84%, avec une dernière séance stable (0,00%), pour un cours actuel de 2 400 FCFA. Le cours a évolué dans un range de 1 840 à 2 480 FCFA, démontrant une amplitude de trading significative d'environ 35%. La moyenne du cours sur la période (2 134 FCFA) est inférieure à la médiane (2 160 FCFA), suggérant une asymétrie positive (skewness de 0.295) où les extrêmes hauts tirent la moyenne vers le haut. L'écart-type de 164 FCFA (CV de 7,7%) indique une dispersion modérée autour de la moyenne. Le kurtosis négatif (-0.705) signale une distribution mésokurtique, avec un faible risque de variations extrêmes (pas de queues épaisses). La volatilité annualisée de 35,2% classe le titre dans la catégorie des actifs à forte volatilité, ce qui implique un risque de marché élevé mais aussi un potentiel de rendement accru.</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Les moyennes mobiles sur 20 jours (2 368 FCFA) et sur 50 jours (2 263,2 FCFA) sont toutes deux inférieures au cours actuel de 2 400 FCFA. Cette configuration haussière (cours &gt; MM20 &gt; MM50) génère un signal d'achat, indiquant que la tendance de fond reste positive à moyen terme, le prix évoluant au-dessus de ses moyennes mobiles clés.</w:t>
      </w:r>
    </w:p>
    <w:p>
      <w:pPr>
        <w:spacing w:after="120" w:line="276" w:lineRule="auto"/>
      </w:pPr>
      <w:r>
        <w:t>**Bandes de Bollinger:** Le cours se situe à 2 400 FCFA, entre la borne supérieure (2 547,7 FCFA) et la borne inférieure (2 188,3 FCFA). La position du prix, proche de la bande supérieure mais sans la toucher, suggère une pression acheteuse modérée. La décision est neutre, le marché n'étant pas en situation de surachat extrême, mais la largeur des bandes reflète la volatilité élevée du titre.</w:t>
      </w:r>
    </w:p>
    <w:p>
      <w:pPr>
        <w:spacing w:after="120" w:line="276" w:lineRule="auto"/>
      </w:pPr>
      <w:r>
        <w:t>**MACD:** Le MACD (54,59) est passé sous sa ligne de signal (59,74), ce qui constitue un signal de vente. Cette divergence baissière à court terme indique un ralentissement du momentum haussier. Bien que le MACD reste en territoire positif, le croisement sous le signal suggère une possible correction ou consolidation à venir.</w:t>
      </w:r>
    </w:p>
    <w:p>
      <w:pPr>
        <w:spacing w:after="120" w:line="276" w:lineRule="auto"/>
      </w:pPr>
      <w:r>
        <w:t>**RSI:** Le RSI s'établit à 76,3, une valeur nettement supérieure au seuil de surachat de 70. Ce niveau indique que le titre est techniquement suracheté, ce qui pourrait précéder un retournement ou une phase de consolidation. La pression acheteuse récente a été forte, mais le risque de correction technique augmente.</w:t>
      </w:r>
    </w:p>
    <w:p>
      <w:pPr>
        <w:spacing w:after="120" w:line="276" w:lineRule="auto"/>
      </w:pPr>
      <w:r>
        <w:t>**Stochastique:** Le %K (71,4) est inférieur au %D (75,6), et les deux sont en zone de surachat (&gt;70). Le croisement baissier du %K sous le %D renforce le signal de prudence. La décision est neutre, mais la configuration actuelle suggère un essoufflement de la dynamique haussière à très court terme.</w:t>
      </w:r>
    </w:p>
    <w:p>
      <w:pPr>
        <w:spacing w:after="120" w:line="276" w:lineRule="auto"/>
      </w:pPr>
      <w:r>
        <w:t>**Conclusion technique:** La tendance de fond reste positive, portée par des moyennes mobiles orientées à la hausse. Cependant, les oscillateurs (RSI, MACD, Stochastique) convergent vers des signaux de prudence, indiquant une zone de surachat et un momentum en perte de vitesse. Le titre pourrait entamer une phase de consolidation à court terme avant de poursuivre sa tendance, ou corriger si les supports ne tiennent pas.</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SHEC (VIVO ENERGY CI) affiche un chiffre d'affaires de 604,978 milliards FCFA, en légère hausse de +0,71% par rapport à 2024, et un résultat net de 6,028 milliards FCFA, en progression de +13%. Cette amélioration de la rentabilité se traduit par un ROE exceptionnel de 22,2%, bien supérieur au seuil de 15% considéré comme excellent, et un ROA de 3,1%. Cependant, la marge nette reste très faible (1%), caractéristique du secteur de la distribution pétrolière. L'analyse du bilan révèle une structure financière fragile : le ratio d'autonomie financière n'est que de 14%, la trésorerie nette est fortement négative à -65,26 milliards FCFA, et le fonds de roulement est également négatif (-49,85 milliards). Le BFR de 15,3 milliards, couplé à des délais clients de 23 jours et fournisseurs de 35 jours, indique un besoin de financement de l'exploitation. Les rapports trimestriels de 2025 (T3) montrent une amélioration spectaculaire du résultat net (+45% sur 9 mois), et le rapport du S1 2026 (publié en 2026) indique un résultat net de 3,016 milliards FCFA, avec une amélioration du résultat d'exploitation (+17%). Sur la base de ces données, on estime que l'exercice 2026 pourrait voir un résultat net stable ou en légère hausse, mais la dégradation de la trésorerie et la hausse des impôts (+60% au S1 2026) constituent des risques majeurs. La politique de dividende reste très généreuse (taux de distribution de 101% en 2025), ce qui fragilise encore la structure bilancielle. La recommandation fondamentale est de conserver le titre, la solidité opérationnelle étant contrebalancée par les risques de liquidité.</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SHEC est exigeante (PER 25,1x, P/B 5,57x), intégrant une prime pour sa politique de dividende élevée et sa position de leader, mais elle laisse peu de marge de sécurité. Le comportement du cours sur 100 jours est haussier (+9,84%), mais la volatilité élevée (35,2%) et les statistiques (kurtosis négatif, skewness positif) suggèrent un potentiel de rendement avec un risque de correction. Les signaux techniques sont mitigés : la tendance de fond est positive (MM), mais les indicateurs de momentum (RSI, MACD, Stochastique) sont en zone de surachat, signalant un essoufflement à court terme. Les fondamentaux montrent une amélioration de la rentabilité (ROE 22,2%) mais une structure financière fragile (trésorerie nette négative, endettement élevé). Les prédictions IA sur 10 jours (de 2 253 à 1 909 FCFA) confirment ce scénario de correction technique, anticipant une baisse vers les 1 900-2 000 FCFA. En synthèse, la convergence des signaux techniques et des prédictions IA suggère une consolidation à court terme, malgré des fondamentaux opérationnels corrects. La recommandation finale est **CONSERVER**, avec un niveau de confiance **Moyen** et un risque global **Élevé**. L'horizon d'investissement optimal est le **moyen terme (3-12 mois)**, en attendant une clarification de la structure financière et une amélioration de la trésorerie.</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930.00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9,571 titres</w:t>
            </w:r>
          </w:p>
        </w:tc>
        <w:tc>
          <w:tcPr>
            <w:tcW w:type="dxa" w:w="2268"/>
            <w:shd w:fill="FFF2CC" w:val="clear"/>
          </w:tcPr>
          <w:p>
            <w:r>
              <w:rPr>
                <w:b/>
                <w:color w:val="503200"/>
                <w:sz w:val="16"/>
              </w:rPr>
              <w:t xml:space="preserve">Cours actuel : </w:t>
            </w:r>
            <w:r>
              <w:rPr>
                <w:color w:val="000000"/>
                <w:sz w:val="17"/>
              </w:rPr>
              <w:t>9,300 FCFA</w:t>
            </w:r>
          </w:p>
          <w:p>
            <w:r>
              <w:rPr>
                <w:b/>
                <w:color w:val="503200"/>
                <w:sz w:val="16"/>
              </w:rPr>
              <w:t xml:space="preserve">Var. 100 jours : </w:t>
            </w:r>
            <w:r>
              <w:rPr>
                <w:b/>
                <w:color w:val="007800"/>
                <w:sz w:val="17"/>
              </w:rPr>
              <w:t>+30.99%</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6,805 FCFA</w:t>
            </w:r>
          </w:p>
          <w:p>
            <w:r>
              <w:rPr>
                <w:b/>
                <w:color w:val="503200"/>
                <w:sz w:val="16"/>
              </w:rPr>
              <w:t xml:space="preserve">Volatilité ann. : </w:t>
            </w:r>
            <w:r>
              <w:rPr>
                <w:color w:val="000000"/>
                <w:sz w:val="17"/>
              </w:rPr>
              <w:t>28.7%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10.07% (Moyenne) — μ=8,397 FCFA, σ=845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β=0.4178 (Défensif) — Cov=0.000015, Var(idx)=0.000036, ρ=0.138,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9,571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σ_j=1.81%/j (Stable) — Vol. annualisée≈28.7%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2026-09-04</w:t>
            </w:r>
          </w:p>
        </w:tc>
        <w:tc>
          <w:tcPr>
            <w:tcW w:type="dxa" w:w="1440"/>
            <w:shd w:fill="FFDCE0" w:val="clear"/>
          </w:tcPr>
          <w:p>
            <w:r>
              <w:rPr>
                <w:sz w:val="17"/>
              </w:rPr>
              <w:t>8,674</w:t>
            </w:r>
          </w:p>
        </w:tc>
        <w:tc>
          <w:tcPr>
            <w:tcW w:type="dxa" w:w="1440"/>
            <w:shd w:fill="FFDCE0" w:val="clear"/>
          </w:tcPr>
          <w:p>
            <w:r>
              <w:rPr>
                <w:b/>
                <w:sz w:val="17"/>
              </w:rPr>
              <w:t>8,962</w:t>
            </w:r>
          </w:p>
        </w:tc>
        <w:tc>
          <w:tcPr>
            <w:tcW w:type="dxa" w:w="1440"/>
            <w:shd w:fill="FFDCE0" w:val="clear"/>
          </w:tcPr>
          <w:p>
            <w:r>
              <w:rPr>
                <w:sz w:val="17"/>
              </w:rPr>
              <w:t>9,250</w:t>
            </w:r>
          </w:p>
        </w:tc>
        <w:tc>
          <w:tcPr>
            <w:tcW w:type="dxa" w:w="1440"/>
            <w:shd w:fill="FFDCE0" w:val="clear"/>
          </w:tcPr>
          <w:p>
            <w:r>
              <w:rPr>
                <w:b/>
                <w:color w:val="C00000"/>
                <w:sz w:val="17"/>
              </w:rPr>
              <w:t>-3.6%</w:t>
            </w:r>
          </w:p>
        </w:tc>
      </w:tr>
      <w:tr>
        <w:tc>
          <w:tcPr>
            <w:tcW w:type="dxa" w:w="1440"/>
            <w:shd w:fill="FFDCE0" w:val="clear"/>
          </w:tcPr>
          <w:p>
            <w:r>
              <w:rPr>
                <w:sz w:val="17"/>
              </w:rPr>
              <w:t>J+2  ⭐⭐⭐</w:t>
            </w:r>
          </w:p>
        </w:tc>
        <w:tc>
          <w:tcPr>
            <w:tcW w:type="dxa" w:w="1440"/>
            <w:shd w:fill="FFDCE0" w:val="clear"/>
          </w:tcPr>
          <w:p>
            <w:r>
              <w:rPr>
                <w:sz w:val="17"/>
              </w:rPr>
              <w:t>2026-09-07</w:t>
            </w:r>
          </w:p>
        </w:tc>
        <w:tc>
          <w:tcPr>
            <w:tcW w:type="dxa" w:w="1440"/>
            <w:shd w:fill="FFDCE0" w:val="clear"/>
          </w:tcPr>
          <w:p>
            <w:r>
              <w:rPr>
                <w:sz w:val="17"/>
              </w:rPr>
              <w:t>8,250</w:t>
            </w:r>
          </w:p>
        </w:tc>
        <w:tc>
          <w:tcPr>
            <w:tcW w:type="dxa" w:w="1440"/>
            <w:shd w:fill="FFDCE0" w:val="clear"/>
          </w:tcPr>
          <w:p>
            <w:r>
              <w:rPr>
                <w:b/>
                <w:sz w:val="17"/>
              </w:rPr>
              <w:t>8,642</w:t>
            </w:r>
          </w:p>
        </w:tc>
        <w:tc>
          <w:tcPr>
            <w:tcW w:type="dxa" w:w="1440"/>
            <w:shd w:fill="FFDCE0" w:val="clear"/>
          </w:tcPr>
          <w:p>
            <w:r>
              <w:rPr>
                <w:sz w:val="17"/>
              </w:rPr>
              <w:t>9,034</w:t>
            </w:r>
          </w:p>
        </w:tc>
        <w:tc>
          <w:tcPr>
            <w:tcW w:type="dxa" w:w="1440"/>
            <w:shd w:fill="FFDCE0" w:val="clear"/>
          </w:tcPr>
          <w:p>
            <w:r>
              <w:rPr>
                <w:b/>
                <w:color w:val="C00000"/>
                <w:sz w:val="17"/>
              </w:rPr>
              <w:t>-7.1%</w:t>
            </w:r>
          </w:p>
        </w:tc>
      </w:tr>
      <w:tr>
        <w:tc>
          <w:tcPr>
            <w:tcW w:type="dxa" w:w="1440"/>
            <w:shd w:fill="FFDCE0" w:val="clear"/>
          </w:tcPr>
          <w:p>
            <w:r>
              <w:rPr>
                <w:sz w:val="17"/>
              </w:rPr>
              <w:t>J+3  ⭐⭐⭐</w:t>
            </w:r>
          </w:p>
        </w:tc>
        <w:tc>
          <w:tcPr>
            <w:tcW w:type="dxa" w:w="1440"/>
            <w:shd w:fill="FFDCE0" w:val="clear"/>
          </w:tcPr>
          <w:p>
            <w:r>
              <w:rPr>
                <w:sz w:val="17"/>
              </w:rPr>
              <w:t>2026-09-08</w:t>
            </w:r>
          </w:p>
        </w:tc>
        <w:tc>
          <w:tcPr>
            <w:tcW w:type="dxa" w:w="1440"/>
            <w:shd w:fill="FFDCE0" w:val="clear"/>
          </w:tcPr>
          <w:p>
            <w:r>
              <w:rPr>
                <w:sz w:val="17"/>
              </w:rPr>
              <w:t>7,892</w:t>
            </w:r>
          </w:p>
        </w:tc>
        <w:tc>
          <w:tcPr>
            <w:tcW w:type="dxa" w:w="1440"/>
            <w:shd w:fill="FFDCE0" w:val="clear"/>
          </w:tcPr>
          <w:p>
            <w:r>
              <w:rPr>
                <w:b/>
                <w:sz w:val="17"/>
              </w:rPr>
              <w:t>8,357</w:t>
            </w:r>
          </w:p>
        </w:tc>
        <w:tc>
          <w:tcPr>
            <w:tcW w:type="dxa" w:w="1440"/>
            <w:shd w:fill="FFDCE0" w:val="clear"/>
          </w:tcPr>
          <w:p>
            <w:r>
              <w:rPr>
                <w:sz w:val="17"/>
              </w:rPr>
              <w:t>8,822</w:t>
            </w:r>
          </w:p>
        </w:tc>
        <w:tc>
          <w:tcPr>
            <w:tcW w:type="dxa" w:w="1440"/>
            <w:shd w:fill="FFDCE0" w:val="clear"/>
          </w:tcPr>
          <w:p>
            <w:r>
              <w:rPr>
                <w:b/>
                <w:color w:val="C00000"/>
                <w:sz w:val="17"/>
              </w:rPr>
              <w:t>-10.1%</w:t>
            </w:r>
          </w:p>
        </w:tc>
      </w:tr>
      <w:tr>
        <w:tc>
          <w:tcPr>
            <w:tcW w:type="dxa" w:w="1440"/>
            <w:shd w:fill="FFDCE0" w:val="clear"/>
          </w:tcPr>
          <w:p>
            <w:r>
              <w:rPr>
                <w:sz w:val="17"/>
              </w:rPr>
              <w:t>J+4  Moyenne</w:t>
            </w:r>
          </w:p>
        </w:tc>
        <w:tc>
          <w:tcPr>
            <w:tcW w:type="dxa" w:w="1440"/>
            <w:shd w:fill="FFDCE0" w:val="clear"/>
          </w:tcPr>
          <w:p>
            <w:r>
              <w:rPr>
                <w:sz w:val="17"/>
              </w:rPr>
              <w:t>2026-09-09</w:t>
            </w:r>
          </w:p>
        </w:tc>
        <w:tc>
          <w:tcPr>
            <w:tcW w:type="dxa" w:w="1440"/>
            <w:shd w:fill="FFDCE0" w:val="clear"/>
          </w:tcPr>
          <w:p>
            <w:r>
              <w:rPr>
                <w:sz w:val="17"/>
              </w:rPr>
              <w:t>7,596</w:t>
            </w:r>
          </w:p>
        </w:tc>
        <w:tc>
          <w:tcPr>
            <w:tcW w:type="dxa" w:w="1440"/>
            <w:shd w:fill="FFDCE0" w:val="clear"/>
          </w:tcPr>
          <w:p>
            <w:r>
              <w:rPr>
                <w:b/>
                <w:sz w:val="17"/>
              </w:rPr>
              <w:t>8,118</w:t>
            </w:r>
          </w:p>
        </w:tc>
        <w:tc>
          <w:tcPr>
            <w:tcW w:type="dxa" w:w="1440"/>
            <w:shd w:fill="FFDCE0" w:val="clear"/>
          </w:tcPr>
          <w:p>
            <w:r>
              <w:rPr>
                <w:sz w:val="17"/>
              </w:rPr>
              <w:t>8,639</w:t>
            </w:r>
          </w:p>
        </w:tc>
        <w:tc>
          <w:tcPr>
            <w:tcW w:type="dxa" w:w="1440"/>
            <w:shd w:fill="FFDCE0" w:val="clear"/>
          </w:tcPr>
          <w:p>
            <w:r>
              <w:rPr>
                <w:b/>
                <w:color w:val="C00000"/>
                <w:sz w:val="17"/>
              </w:rPr>
              <w:t>-12.7%</w:t>
            </w:r>
          </w:p>
        </w:tc>
      </w:tr>
      <w:tr>
        <w:tc>
          <w:tcPr>
            <w:tcW w:type="dxa" w:w="1440"/>
            <w:shd w:fill="FFDCE0" w:val="clear"/>
          </w:tcPr>
          <w:p>
            <w:r>
              <w:rPr>
                <w:sz w:val="17"/>
              </w:rPr>
              <w:t>J+5  Moyenne</w:t>
            </w:r>
          </w:p>
        </w:tc>
        <w:tc>
          <w:tcPr>
            <w:tcW w:type="dxa" w:w="1440"/>
            <w:shd w:fill="FFDCE0" w:val="clear"/>
          </w:tcPr>
          <w:p>
            <w:r>
              <w:rPr>
                <w:sz w:val="17"/>
              </w:rPr>
              <w:t>2026-09-10</w:t>
            </w:r>
          </w:p>
        </w:tc>
        <w:tc>
          <w:tcPr>
            <w:tcW w:type="dxa" w:w="1440"/>
            <w:shd w:fill="FFDCE0" w:val="clear"/>
          </w:tcPr>
          <w:p>
            <w:r>
              <w:rPr>
                <w:sz w:val="17"/>
              </w:rPr>
              <w:t>7,349</w:t>
            </w:r>
          </w:p>
        </w:tc>
        <w:tc>
          <w:tcPr>
            <w:tcW w:type="dxa" w:w="1440"/>
            <w:shd w:fill="FFDCE0" w:val="clear"/>
          </w:tcPr>
          <w:p>
            <w:r>
              <w:rPr>
                <w:b/>
                <w:sz w:val="17"/>
              </w:rPr>
              <w:t>7,917</w:t>
            </w:r>
          </w:p>
        </w:tc>
        <w:tc>
          <w:tcPr>
            <w:tcW w:type="dxa" w:w="1440"/>
            <w:shd w:fill="FFDCE0" w:val="clear"/>
          </w:tcPr>
          <w:p>
            <w:r>
              <w:rPr>
                <w:sz w:val="17"/>
              </w:rPr>
              <w:t>8,486</w:t>
            </w:r>
          </w:p>
        </w:tc>
        <w:tc>
          <w:tcPr>
            <w:tcW w:type="dxa" w:w="1440"/>
            <w:shd w:fill="FFDCE0" w:val="clear"/>
          </w:tcPr>
          <w:p>
            <w:r>
              <w:rPr>
                <w:b/>
                <w:color w:val="C00000"/>
                <w:sz w:val="17"/>
              </w:rPr>
              <w:t>-14.9%</w:t>
            </w:r>
          </w:p>
        </w:tc>
      </w:tr>
      <w:tr>
        <w:tc>
          <w:tcPr>
            <w:tcW w:type="dxa" w:w="1440"/>
            <w:shd w:fill="FFDCE0" w:val="clear"/>
          </w:tcPr>
          <w:p>
            <w:r>
              <w:rPr>
                <w:sz w:val="17"/>
              </w:rPr>
              <w:t>J+6  Moyenne</w:t>
            </w:r>
          </w:p>
        </w:tc>
        <w:tc>
          <w:tcPr>
            <w:tcW w:type="dxa" w:w="1440"/>
            <w:shd w:fill="FFDCE0" w:val="clear"/>
          </w:tcPr>
          <w:p>
            <w:r>
              <w:rPr>
                <w:sz w:val="17"/>
              </w:rPr>
              <w:t>2026-09-11</w:t>
            </w:r>
          </w:p>
        </w:tc>
        <w:tc>
          <w:tcPr>
            <w:tcW w:type="dxa" w:w="1440"/>
            <w:shd w:fill="FFDCE0" w:val="clear"/>
          </w:tcPr>
          <w:p>
            <w:r>
              <w:rPr>
                <w:sz w:val="17"/>
              </w:rPr>
              <w:t>7,137</w:t>
            </w:r>
          </w:p>
        </w:tc>
        <w:tc>
          <w:tcPr>
            <w:tcW w:type="dxa" w:w="1440"/>
            <w:shd w:fill="FFDCE0" w:val="clear"/>
          </w:tcPr>
          <w:p>
            <w:r>
              <w:rPr>
                <w:b/>
                <w:sz w:val="17"/>
              </w:rPr>
              <w:t>7,746</w:t>
            </w:r>
          </w:p>
        </w:tc>
        <w:tc>
          <w:tcPr>
            <w:tcW w:type="dxa" w:w="1440"/>
            <w:shd w:fill="FFDCE0" w:val="clear"/>
          </w:tcPr>
          <w:p>
            <w:r>
              <w:rPr>
                <w:sz w:val="17"/>
              </w:rPr>
              <w:t>8,355</w:t>
            </w:r>
          </w:p>
        </w:tc>
        <w:tc>
          <w:tcPr>
            <w:tcW w:type="dxa" w:w="1440"/>
            <w:shd w:fill="FFDCE0" w:val="clear"/>
          </w:tcPr>
          <w:p>
            <w:r>
              <w:rPr>
                <w:b/>
                <w:color w:val="C00000"/>
                <w:sz w:val="17"/>
              </w:rPr>
              <w:t>-16.7%</w:t>
            </w:r>
          </w:p>
        </w:tc>
      </w:tr>
      <w:tr>
        <w:tc>
          <w:tcPr>
            <w:tcW w:type="dxa" w:w="1440"/>
            <w:shd w:fill="FFDCE0" w:val="clear"/>
          </w:tcPr>
          <w:p>
            <w:r>
              <w:rPr>
                <w:sz w:val="17"/>
              </w:rPr>
              <w:t>J+7  Moyenne</w:t>
            </w:r>
          </w:p>
        </w:tc>
        <w:tc>
          <w:tcPr>
            <w:tcW w:type="dxa" w:w="1440"/>
            <w:shd w:fill="FFDCE0" w:val="clear"/>
          </w:tcPr>
          <w:p>
            <w:r>
              <w:rPr>
                <w:sz w:val="17"/>
              </w:rPr>
              <w:t>2026-09-14</w:t>
            </w:r>
          </w:p>
        </w:tc>
        <w:tc>
          <w:tcPr>
            <w:tcW w:type="dxa" w:w="1440"/>
            <w:shd w:fill="FFDCE0" w:val="clear"/>
          </w:tcPr>
          <w:p>
            <w:r>
              <w:rPr>
                <w:sz w:val="17"/>
              </w:rPr>
              <w:t>6,951</w:t>
            </w:r>
          </w:p>
        </w:tc>
        <w:tc>
          <w:tcPr>
            <w:tcW w:type="dxa" w:w="1440"/>
            <w:shd w:fill="FFDCE0" w:val="clear"/>
          </w:tcPr>
          <w:p>
            <w:r>
              <w:rPr>
                <w:b/>
                <w:sz w:val="17"/>
              </w:rPr>
              <w:t>7,597</w:t>
            </w:r>
          </w:p>
        </w:tc>
        <w:tc>
          <w:tcPr>
            <w:tcW w:type="dxa" w:w="1440"/>
            <w:shd w:fill="FFDCE0" w:val="clear"/>
          </w:tcPr>
          <w:p>
            <w:r>
              <w:rPr>
                <w:sz w:val="17"/>
              </w:rPr>
              <w:t>8,242</w:t>
            </w:r>
          </w:p>
        </w:tc>
        <w:tc>
          <w:tcPr>
            <w:tcW w:type="dxa" w:w="1440"/>
            <w:shd w:fill="FFDCE0" w:val="clear"/>
          </w:tcPr>
          <w:p>
            <w:r>
              <w:rPr>
                <w:b/>
                <w:color w:val="C00000"/>
                <w:sz w:val="17"/>
              </w:rPr>
              <w:t>-18.3%</w:t>
            </w:r>
          </w:p>
        </w:tc>
      </w:tr>
      <w:tr>
        <w:tc>
          <w:tcPr>
            <w:tcW w:type="dxa" w:w="1440"/>
            <w:shd w:fill="FFDCE0" w:val="clear"/>
          </w:tcPr>
          <w:p>
            <w:r>
              <w:rPr>
                <w:sz w:val="17"/>
              </w:rPr>
              <w:t>J+8  Moyenne</w:t>
            </w:r>
          </w:p>
        </w:tc>
        <w:tc>
          <w:tcPr>
            <w:tcW w:type="dxa" w:w="1440"/>
            <w:shd w:fill="FFDCE0" w:val="clear"/>
          </w:tcPr>
          <w:p>
            <w:r>
              <w:rPr>
                <w:sz w:val="17"/>
              </w:rPr>
              <w:t>2026-09-15</w:t>
            </w:r>
          </w:p>
        </w:tc>
        <w:tc>
          <w:tcPr>
            <w:tcW w:type="dxa" w:w="1440"/>
            <w:shd w:fill="FFDCE0" w:val="clear"/>
          </w:tcPr>
          <w:p>
            <w:r>
              <w:rPr>
                <w:sz w:val="17"/>
              </w:rPr>
              <w:t>6,786</w:t>
            </w:r>
          </w:p>
        </w:tc>
        <w:tc>
          <w:tcPr>
            <w:tcW w:type="dxa" w:w="1440"/>
            <w:shd w:fill="FFDCE0" w:val="clear"/>
          </w:tcPr>
          <w:p>
            <w:r>
              <w:rPr>
                <w:b/>
                <w:sz w:val="17"/>
              </w:rPr>
              <w:t>7,464</w:t>
            </w:r>
          </w:p>
        </w:tc>
        <w:tc>
          <w:tcPr>
            <w:tcW w:type="dxa" w:w="1440"/>
            <w:shd w:fill="FFDCE0" w:val="clear"/>
          </w:tcPr>
          <w:p>
            <w:r>
              <w:rPr>
                <w:sz w:val="17"/>
              </w:rPr>
              <w:t>8,142</w:t>
            </w:r>
          </w:p>
        </w:tc>
        <w:tc>
          <w:tcPr>
            <w:tcW w:type="dxa" w:w="1440"/>
            <w:shd w:fill="FFDCE0" w:val="clear"/>
          </w:tcPr>
          <w:p>
            <w:r>
              <w:rPr>
                <w:b/>
                <w:color w:val="C00000"/>
                <w:sz w:val="17"/>
              </w:rPr>
              <w:t>-19.7%</w:t>
            </w:r>
          </w:p>
        </w:tc>
      </w:tr>
      <w:tr>
        <w:tc>
          <w:tcPr>
            <w:tcW w:type="dxa" w:w="1440"/>
            <w:shd w:fill="FFDCE0" w:val="clear"/>
          </w:tcPr>
          <w:p>
            <w:r>
              <w:rPr>
                <w:sz w:val="17"/>
              </w:rPr>
              <w:t>J+9  Moyenne</w:t>
            </w:r>
          </w:p>
        </w:tc>
        <w:tc>
          <w:tcPr>
            <w:tcW w:type="dxa" w:w="1440"/>
            <w:shd w:fill="FFDCE0" w:val="clear"/>
          </w:tcPr>
          <w:p>
            <w:r>
              <w:rPr>
                <w:sz w:val="17"/>
              </w:rPr>
              <w:t>2026-09-16</w:t>
            </w:r>
          </w:p>
        </w:tc>
        <w:tc>
          <w:tcPr>
            <w:tcW w:type="dxa" w:w="1440"/>
            <w:shd w:fill="FFDCE0" w:val="clear"/>
          </w:tcPr>
          <w:p>
            <w:r>
              <w:rPr>
                <w:sz w:val="17"/>
              </w:rPr>
              <w:t>6,637</w:t>
            </w:r>
          </w:p>
        </w:tc>
        <w:tc>
          <w:tcPr>
            <w:tcW w:type="dxa" w:w="1440"/>
            <w:shd w:fill="FFDCE0" w:val="clear"/>
          </w:tcPr>
          <w:p>
            <w:r>
              <w:rPr>
                <w:b/>
                <w:sz w:val="17"/>
              </w:rPr>
              <w:t>7,345</w:t>
            </w:r>
          </w:p>
        </w:tc>
        <w:tc>
          <w:tcPr>
            <w:tcW w:type="dxa" w:w="1440"/>
            <w:shd w:fill="FFDCE0" w:val="clear"/>
          </w:tcPr>
          <w:p>
            <w:r>
              <w:rPr>
                <w:sz w:val="17"/>
              </w:rPr>
              <w:t>8,053</w:t>
            </w:r>
          </w:p>
        </w:tc>
        <w:tc>
          <w:tcPr>
            <w:tcW w:type="dxa" w:w="1440"/>
            <w:shd w:fill="FFDCE0" w:val="clear"/>
          </w:tcPr>
          <w:p>
            <w:r>
              <w:rPr>
                <w:b/>
                <w:color w:val="C00000"/>
                <w:sz w:val="17"/>
              </w:rPr>
              <w:t>-21.0%</w:t>
            </w:r>
          </w:p>
        </w:tc>
      </w:tr>
      <w:tr>
        <w:tc>
          <w:tcPr>
            <w:tcW w:type="dxa" w:w="1440"/>
            <w:shd w:fill="FFDCE0" w:val="clear"/>
          </w:tcPr>
          <w:p>
            <w:r>
              <w:rPr>
                <w:sz w:val="17"/>
              </w:rPr>
              <w:t>J+10  Moyenne</w:t>
            </w:r>
          </w:p>
        </w:tc>
        <w:tc>
          <w:tcPr>
            <w:tcW w:type="dxa" w:w="1440"/>
            <w:shd w:fill="FFDCE0" w:val="clear"/>
          </w:tcPr>
          <w:p>
            <w:r>
              <w:rPr>
                <w:sz w:val="17"/>
              </w:rPr>
              <w:t>2026-09-17</w:t>
            </w:r>
          </w:p>
        </w:tc>
        <w:tc>
          <w:tcPr>
            <w:tcW w:type="dxa" w:w="1440"/>
            <w:shd w:fill="FFDCE0" w:val="clear"/>
          </w:tcPr>
          <w:p>
            <w:r>
              <w:rPr>
                <w:sz w:val="17"/>
              </w:rPr>
              <w:t>6,501</w:t>
            </w:r>
          </w:p>
        </w:tc>
        <w:tc>
          <w:tcPr>
            <w:tcW w:type="dxa" w:w="1440"/>
            <w:shd w:fill="FFDCE0" w:val="clear"/>
          </w:tcPr>
          <w:p>
            <w:r>
              <w:rPr>
                <w:b/>
                <w:sz w:val="17"/>
              </w:rPr>
              <w:t>7,236</w:t>
            </w:r>
          </w:p>
        </w:tc>
        <w:tc>
          <w:tcPr>
            <w:tcW w:type="dxa" w:w="1440"/>
            <w:shd w:fill="FFDCE0" w:val="clear"/>
          </w:tcPr>
          <w:p>
            <w:r>
              <w:rPr>
                <w:sz w:val="17"/>
              </w:rPr>
              <w:t>7,971</w:t>
            </w:r>
          </w:p>
        </w:tc>
        <w:tc>
          <w:tcPr>
            <w:tcW w:type="dxa" w:w="1440"/>
            <w:shd w:fill="FFDCE0" w:val="clear"/>
          </w:tcPr>
          <w:p>
            <w:r>
              <w:rPr>
                <w:b/>
                <w:color w:val="C00000"/>
                <w:sz w:val="17"/>
              </w:rPr>
              <w:t>-22.2%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pPr>
      <w:r>
        <w:t>**RAPPORT D'ANALYSE FINANCIÈRE — SIBC (Société Ivoirienne de Banque)**</w:t>
        <w:br/>
        <w:t>**Date de l'analyse : 03 septembre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SIBC s'établit à 930 milliards FCFA, ce qui en fait l'une des valeurs les plus lourdes et les plus liquides de la cote ivoirienne, représentant un poids significatif dans l'indice BRVM Composite. Avec un BPA de 556 FCFA, le titre se négocie à un PER de 16,7x, nettement supérieur à la moyenne historique du marché (8-12x), indiquant que les investisseurs intègrent déjà une croissance future soutenue et paient une prime par rapport aux bénéfices actuels. Le P/B de 4,54x confirme cette prime, le marché valorisant fortement les capitaux propres de la banque (204,7 Mds FCFA) bien au-delà de leur valeur comptable, signe d'une rentabilité exceptionnelle. Enfin, l'EV/EBITDA de 15,5x souligne une valorisation exigeante de la capacité opérationnelle de l'entreprise, ce qui laisse peu de marge d'erreur en cas de déception sur les résultats futurs.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l'action SIBC affiche une progression spectaculaire de +30,99%, passant d'un plus bas de 6 805 FCFA à un plus haut de 9 500 FCFA, avec un cours actuel de 9 300 FCFA. Cette tendance haussière marquée s'est toutefois stabilisée lors de la dernière séance (variation nulle à J-1), suggérant une phase de consolidation après un fort mouvement. La moyenne du cours sur la période (8 397 FCFA) est inférieure à la médiane (8 812 FCFA), et le skewness négatif (-0,737) indique que le titre a passé plus de journées au-dessus de sa moyenne, typique d'un marché porteur. L'écart-type de 850 FCFA (CV de 10,1%) révèle une dispersion modérée, tandis que le kurtosis platykurtique (-1,124) signale une distribution aplatie avec peu de pics extrêmes. La volatilité annualisée de 28,7% classe le titre dans la catégorie "modérée à élevée", reflétant un risque de marché significatif mais non excessif pour un titre bancaire en pleine expansion.</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(9 300 FCFA) évolue au-dessus de ses moyennes mobiles à 20 jours (9 205 FCFA) et à 50 jours (9 025 FCFA), confirmant une dynamique haussière de court et moyen terme. La configuration des MM20 &gt; MM50 est positive et justifie la décision d'achat, le titre bénéficiant d'un support dynamique solide.</w:t>
      </w:r>
    </w:p>
    <w:p>
      <w:pPr>
        <w:spacing w:after="120" w:line="276" w:lineRule="auto"/>
      </w:pPr>
      <w:r>
        <w:t>**Bandes de Bollinger :** Le prix se situe à 9 300 FCFA, entre la borne supérieure (9 444,8 FCFA) et la borne inférieure (8 965,2 FCFA), proche de la partie haute des bandes. Cette position indique une volatilité normale sans condition de surachat extrême, d'où la décision neutre. Un écart de 479,6 FCFA entre les bornes reflète une volatilité modérée.</w:t>
      </w:r>
    </w:p>
    <w:p>
      <w:pPr>
        <w:spacing w:after="120" w:line="276" w:lineRule="auto"/>
      </w:pPr>
      <w:r>
        <w:t>**MACD :** La valeur du MACD (61,466) est inférieure à son signal (63,242), générant une décision de vente. Cette divergence baissière, bien que légère, suggère un affaiblissement du momentum haussier à court terme et appelle à la prudence pour les traders à horizon très court.</w:t>
      </w:r>
    </w:p>
    <w:p>
      <w:pPr>
        <w:spacing w:after="120" w:line="276" w:lineRule="auto"/>
      </w:pPr>
      <w:r>
        <w:t>**RSI :** À 58,333, le RSI se situe en zone neutre (30-70), indiquant que le titre n'est ni suracheté ni survendu. Cette valeur suggère qu'il existe encore une marge de progression avant d'atteindre des conditions de surachat, mais que la pression acheteuse s'est modérée après la forte hausse.</w:t>
      </w:r>
    </w:p>
    <w:p>
      <w:pPr>
        <w:spacing w:after="120" w:line="276" w:lineRule="auto"/>
      </w:pPr>
      <w:r>
        <w:t>**Stochastique :** Le %K à 100 et le %D à 88,889 signalent une condition de surachat extrême, avec une décision de vente. Cette configuration indique que le titre a fortement progressé récemment et qu'un repli technique est probable à très court terme.</w:t>
      </w:r>
    </w:p>
    <w:p>
      <w:pPr>
        <w:spacing w:after="120" w:line="276" w:lineRule="auto"/>
      </w:pPr>
      <w:r>
        <w:t>**Conclusion technique :** Les indicateurs sont mitigés : les moyennes mobiles restent haussières, mais le MACD et le Stochastique en zone de surachat signalent un essoufflement du momentum. La prudence est de mise à court terme, avec un risque de correction technique vers les 9 000-9 200 FCFA avant une éventuelle reprise de la tendance haussière de fond.</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de la SIBC révèlent une banque très performante : le Produit Net Bancaire atteint 108,663 Mds FCFA, en croissance de 5,7%, générant un résultat net de 55,623 Mds FCFA, soit une marge nette exceptionnelle de 51,2%. La rentabilité des fonds propres (ROE) s'établit à 27,2%, un niveau excellent, et le ROA à 2,96% témoigne d'une bonne efficacité dans l'utilisation des actifs (1 881,7 Mds FCFA). Le coefficient d'exploitation de 38,6% est remarquablement bas, démontrant une maîtrise rigoureuse des charges, tandis que le coût du risque élevé (14,1 Mds de provisions) indique une politique prudente de couverture des créances. La structure de bilan montre une transformation saine : les dépôts clients (1 503,4 Mds FCFA) financent largement les crédits à la clientèle (1 226,7 Mds FCFA), avec une solvabilité générale de 112,2%. **Les rapports trimestriels confirment cette dynamique** : le rapport T1 2026 (publié en mai 2026) fait état d'un PNB de 27,7 Mds FCFA (+4%) et d'un résultat net de 15,2 Mds FCFA (+11%), tandis que le rapport T3 2025 (septembre 2025) montrait déjà un PNB cumulé de 81,4 Mds FCFA (+8%) et un résultat net de 43 Mds FCFA (+11%). Sur la base de ces tendances, on estime que l'exercice 2026 devrait voir un PNB autour de 115-118 Mds FCFA et un résultat net dépassant 60 Mds FCFA, confirmant la solidité du modèle économique de la banque et sa capacité à générer une croissance rentable et durable.</w:t>
      </w:r>
    </w:p>
    <w:p>
      <w:pPr>
        <w:spacing w:after="120" w:line="276" w:lineRule="auto"/>
      </w:pPr>
      <w:r>
        <w:t>---</w:t>
      </w:r>
    </w:p>
    <w:p>
      <w:pPr>
        <w:spacing w:after="120" w:line="276" w:lineRule="auto"/>
      </w:pPr>
      <w:r>
        <w:t>### PARTIE 4 : CONCLUSION D'INVESTISSEMENT</w:t>
      </w:r>
    </w:p>
    <w:p>
      <w:pPr>
        <w:spacing w:after="120" w:line="276" w:lineRule="auto"/>
      </w:pPr>
      <w:r>
        <w:t>La synthèse globale fait ressortir une situation contrastée. La valorisation (PER 16,7x, P/B 4,54x, EV/EBITDA 15,5x) est exigeante, intégrant déjà les excellentes performances passées et futures, ce qui limite le potentiel de hausse immédiat. Le comportement du cours (+31% en 100 jours) montre une dynamique haussière forte mais potentiellement surchauffée, comme l'indiquent les statistiques (skewness négatif) et les signaux techniques mitigés (MACD et Stochastique en vente, RSI neutre). Les fondamentaux, eux, sont excellents : ROE de 27,2%, marge nette de 51%, croissance soutenue du résultat net (+11% au T1 2026), et une gestion rigoureuse des coûts. Les prédictions IA sur 10 jours (baisse progressive de 8 962 à 7 917 FCFA) suggèrent une correction technique significative de -15%, contredisant la tendance haussière récente mais confirmant les signaux de surachat technique. **Recommandation finale : CONSERVER** pour les investisseurs déjà positionnés, avec un niveau de confiance **Moyen** et un risque global **Élevé** à court terme. Pour les nouveaux investisseurs, il est conseillé d'attendre une correction vers les 8 000-8 500 FCFA pour initier une position, avec un horizon d'investissement optimal à **moyen terme (3-12 mois)**, afin de bénéficier de la solidité fondamentale de la banque tout en évitant le risque de consolidation technique immédiat.</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4.68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131 titres</w:t>
            </w:r>
          </w:p>
        </w:tc>
        <w:tc>
          <w:tcPr>
            <w:tcW w:type="dxa" w:w="2268"/>
            <w:shd w:fill="FFF2CC" w:val="clear"/>
          </w:tcPr>
          <w:p>
            <w:r>
              <w:rPr>
                <w:b/>
                <w:color w:val="503200"/>
                <w:sz w:val="16"/>
              </w:rPr>
              <w:t xml:space="preserve">Cours actuel : </w:t>
            </w:r>
            <w:r>
              <w:rPr>
                <w:color w:val="000000"/>
                <w:sz w:val="17"/>
              </w:rPr>
              <w:t>7,800 FCFA</w:t>
            </w:r>
          </w:p>
          <w:p>
            <w:r>
              <w:rPr>
                <w:b/>
                <w:color w:val="503200"/>
                <w:sz w:val="16"/>
              </w:rPr>
              <w:t xml:space="preserve">Var. 100 jours : </w:t>
            </w:r>
            <w:r>
              <w:rPr>
                <w:b/>
                <w:color w:val="007800"/>
                <w:sz w:val="17"/>
              </w:rPr>
              <w:t>+95.24%</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3,930 FCFA</w:t>
            </w:r>
          </w:p>
          <w:p>
            <w:r>
              <w:rPr>
                <w:b/>
                <w:color w:val="503200"/>
                <w:sz w:val="16"/>
              </w:rPr>
              <w:t xml:space="preserve">Volatilité ann. : </w:t>
            </w:r>
            <w:r>
              <w:rPr>
                <w:color w:val="000000"/>
                <w:sz w:val="17"/>
              </w:rPr>
              <w:t>59.8%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30.64% (Élevée) — μ=5,469 FCFA, σ=1,676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β=-0.7449 (Contre-cyclique) — Cov=-0.000027, Var(idx)=0.000036, ρ=-0.119,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131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σ_j=3.76%/j (Modérée) — Vol. annualisée≈59.8%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16976"/>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2026-09-04</w:t>
            </w:r>
          </w:p>
        </w:tc>
        <w:tc>
          <w:tcPr>
            <w:tcW w:type="dxa" w:w="1440"/>
            <w:shd w:fill="FAFAFA" w:val="clear"/>
          </w:tcPr>
          <w:p>
            <w:r>
              <w:rPr>
                <w:sz w:val="17"/>
              </w:rPr>
              <w:t>7,103</w:t>
            </w:r>
          </w:p>
        </w:tc>
        <w:tc>
          <w:tcPr>
            <w:tcW w:type="dxa" w:w="1440"/>
            <w:shd w:fill="FAFAFA" w:val="clear"/>
          </w:tcPr>
          <w:p>
            <w:r>
              <w:rPr>
                <w:b/>
                <w:sz w:val="17"/>
              </w:rPr>
              <w:t>7,679</w:t>
            </w:r>
          </w:p>
        </w:tc>
        <w:tc>
          <w:tcPr>
            <w:tcW w:type="dxa" w:w="1440"/>
            <w:shd w:fill="FAFAFA" w:val="clear"/>
          </w:tcPr>
          <w:p>
            <w:r>
              <w:rPr>
                <w:sz w:val="17"/>
              </w:rPr>
              <w:t>8,255</w:t>
            </w:r>
          </w:p>
        </w:tc>
        <w:tc>
          <w:tcPr>
            <w:tcW w:type="dxa" w:w="1440"/>
            <w:shd w:fill="FAFAFA" w:val="clear"/>
          </w:tcPr>
          <w:p>
            <w:r>
              <w:rPr>
                <w:b/>
                <w:color w:val="C00000"/>
                <w:sz w:val="17"/>
              </w:rPr>
              <w:t>-1.5%</w:t>
            </w:r>
          </w:p>
        </w:tc>
      </w:tr>
      <w:tr>
        <w:tc>
          <w:tcPr>
            <w:tcW w:type="dxa" w:w="1440"/>
            <w:shd w:fill="FFDCE0" w:val="clear"/>
          </w:tcPr>
          <w:p>
            <w:r>
              <w:rPr>
                <w:sz w:val="17"/>
              </w:rPr>
              <w:t>J+2  ⭐</w:t>
            </w:r>
          </w:p>
        </w:tc>
        <w:tc>
          <w:tcPr>
            <w:tcW w:type="dxa" w:w="1440"/>
            <w:shd w:fill="FFDCE0" w:val="clear"/>
          </w:tcPr>
          <w:p>
            <w:r>
              <w:rPr>
                <w:sz w:val="17"/>
              </w:rPr>
              <w:t>2026-09-07</w:t>
            </w:r>
          </w:p>
        </w:tc>
        <w:tc>
          <w:tcPr>
            <w:tcW w:type="dxa" w:w="1440"/>
            <w:shd w:fill="FFDCE0" w:val="clear"/>
          </w:tcPr>
          <w:p>
            <w:r>
              <w:rPr>
                <w:sz w:val="17"/>
              </w:rPr>
              <w:t>6,643</w:t>
            </w:r>
          </w:p>
        </w:tc>
        <w:tc>
          <w:tcPr>
            <w:tcW w:type="dxa" w:w="1440"/>
            <w:shd w:fill="FFDCE0" w:val="clear"/>
          </w:tcPr>
          <w:p>
            <w:r>
              <w:rPr>
                <w:b/>
                <w:sz w:val="17"/>
              </w:rPr>
              <w:t>7,501</w:t>
            </w:r>
          </w:p>
        </w:tc>
        <w:tc>
          <w:tcPr>
            <w:tcW w:type="dxa" w:w="1440"/>
            <w:shd w:fill="FFDCE0" w:val="clear"/>
          </w:tcPr>
          <w:p>
            <w:r>
              <w:rPr>
                <w:sz w:val="17"/>
              </w:rPr>
              <w:t>8,359</w:t>
            </w:r>
          </w:p>
        </w:tc>
        <w:tc>
          <w:tcPr>
            <w:tcW w:type="dxa" w:w="1440"/>
            <w:shd w:fill="FFDCE0" w:val="clear"/>
          </w:tcPr>
          <w:p>
            <w:r>
              <w:rPr>
                <w:b/>
                <w:color w:val="C00000"/>
                <w:sz w:val="17"/>
              </w:rPr>
              <w:t>-3.8%</w:t>
            </w:r>
          </w:p>
        </w:tc>
      </w:tr>
      <w:tr>
        <w:tc>
          <w:tcPr>
            <w:tcW w:type="dxa" w:w="1440"/>
            <w:shd w:fill="FFDCE0" w:val="clear"/>
          </w:tcPr>
          <w:p>
            <w:r>
              <w:rPr>
                <w:sz w:val="17"/>
              </w:rPr>
              <w:t>J+3  ⭐</w:t>
            </w:r>
          </w:p>
        </w:tc>
        <w:tc>
          <w:tcPr>
            <w:tcW w:type="dxa" w:w="1440"/>
            <w:shd w:fill="FFDCE0" w:val="clear"/>
          </w:tcPr>
          <w:p>
            <w:r>
              <w:rPr>
                <w:sz w:val="17"/>
              </w:rPr>
              <w:t>2026-09-08</w:t>
            </w:r>
          </w:p>
        </w:tc>
        <w:tc>
          <w:tcPr>
            <w:tcW w:type="dxa" w:w="1440"/>
            <w:shd w:fill="FFDCE0" w:val="clear"/>
          </w:tcPr>
          <w:p>
            <w:r>
              <w:rPr>
                <w:sz w:val="17"/>
              </w:rPr>
              <w:t>6,313</w:t>
            </w:r>
          </w:p>
        </w:tc>
        <w:tc>
          <w:tcPr>
            <w:tcW w:type="dxa" w:w="1440"/>
            <w:shd w:fill="FFDCE0" w:val="clear"/>
          </w:tcPr>
          <w:p>
            <w:r>
              <w:rPr>
                <w:b/>
                <w:sz w:val="17"/>
              </w:rPr>
              <w:t>7,342</w:t>
            </w:r>
          </w:p>
        </w:tc>
        <w:tc>
          <w:tcPr>
            <w:tcW w:type="dxa" w:w="1440"/>
            <w:shd w:fill="FFDCE0" w:val="clear"/>
          </w:tcPr>
          <w:p>
            <w:r>
              <w:rPr>
                <w:sz w:val="17"/>
              </w:rPr>
              <w:t>8,371</w:t>
            </w:r>
          </w:p>
        </w:tc>
        <w:tc>
          <w:tcPr>
            <w:tcW w:type="dxa" w:w="1440"/>
            <w:shd w:fill="FFDCE0" w:val="clear"/>
          </w:tcPr>
          <w:p>
            <w:r>
              <w:rPr>
                <w:b/>
                <w:color w:val="C00000"/>
                <w:sz w:val="17"/>
              </w:rPr>
              <w:t>-5.9%</w:t>
            </w:r>
          </w:p>
        </w:tc>
      </w:tr>
      <w:tr>
        <w:tc>
          <w:tcPr>
            <w:tcW w:type="dxa" w:w="1440"/>
            <w:shd w:fill="FFDCE0" w:val="clear"/>
          </w:tcPr>
          <w:p>
            <w:r>
              <w:rPr>
                <w:sz w:val="17"/>
              </w:rPr>
              <w:t>J+4  ⭐</w:t>
            </w:r>
          </w:p>
        </w:tc>
        <w:tc>
          <w:tcPr>
            <w:tcW w:type="dxa" w:w="1440"/>
            <w:shd w:fill="FFDCE0" w:val="clear"/>
          </w:tcPr>
          <w:p>
            <w:r>
              <w:rPr>
                <w:sz w:val="17"/>
              </w:rPr>
              <w:t>2026-09-09</w:t>
            </w:r>
          </w:p>
        </w:tc>
        <w:tc>
          <w:tcPr>
            <w:tcW w:type="dxa" w:w="1440"/>
            <w:shd w:fill="FFDCE0" w:val="clear"/>
          </w:tcPr>
          <w:p>
            <w:r>
              <w:rPr>
                <w:sz w:val="17"/>
              </w:rPr>
              <w:t>6,027</w:t>
            </w:r>
          </w:p>
        </w:tc>
        <w:tc>
          <w:tcPr>
            <w:tcW w:type="dxa" w:w="1440"/>
            <w:shd w:fill="FFDCE0" w:val="clear"/>
          </w:tcPr>
          <w:p>
            <w:r>
              <w:rPr>
                <w:b/>
                <w:sz w:val="17"/>
              </w:rPr>
              <w:t>7,191</w:t>
            </w:r>
          </w:p>
        </w:tc>
        <w:tc>
          <w:tcPr>
            <w:tcW w:type="dxa" w:w="1440"/>
            <w:shd w:fill="FFDCE0" w:val="clear"/>
          </w:tcPr>
          <w:p>
            <w:r>
              <w:rPr>
                <w:sz w:val="17"/>
              </w:rPr>
              <w:t>8,355</w:t>
            </w:r>
          </w:p>
        </w:tc>
        <w:tc>
          <w:tcPr>
            <w:tcW w:type="dxa" w:w="1440"/>
            <w:shd w:fill="FFDCE0" w:val="clear"/>
          </w:tcPr>
          <w:p>
            <w:r>
              <w:rPr>
                <w:b/>
                <w:color w:val="C00000"/>
                <w:sz w:val="17"/>
              </w:rPr>
              <w:t>-7.8%</w:t>
            </w:r>
          </w:p>
        </w:tc>
      </w:tr>
      <w:tr>
        <w:tc>
          <w:tcPr>
            <w:tcW w:type="dxa" w:w="1440"/>
            <w:shd w:fill="FFDCE0" w:val="clear"/>
          </w:tcPr>
          <w:p>
            <w:r>
              <w:rPr>
                <w:sz w:val="17"/>
              </w:rPr>
              <w:t>J+5  ⭐</w:t>
            </w:r>
          </w:p>
        </w:tc>
        <w:tc>
          <w:tcPr>
            <w:tcW w:type="dxa" w:w="1440"/>
            <w:shd w:fill="FFDCE0" w:val="clear"/>
          </w:tcPr>
          <w:p>
            <w:r>
              <w:rPr>
                <w:sz w:val="17"/>
              </w:rPr>
              <w:t>2026-09-10</w:t>
            </w:r>
          </w:p>
        </w:tc>
        <w:tc>
          <w:tcPr>
            <w:tcW w:type="dxa" w:w="1440"/>
            <w:shd w:fill="FFDCE0" w:val="clear"/>
          </w:tcPr>
          <w:p>
            <w:r>
              <w:rPr>
                <w:sz w:val="17"/>
              </w:rPr>
              <w:t>5,771</w:t>
            </w:r>
          </w:p>
        </w:tc>
        <w:tc>
          <w:tcPr>
            <w:tcW w:type="dxa" w:w="1440"/>
            <w:shd w:fill="FFDCE0" w:val="clear"/>
          </w:tcPr>
          <w:p>
            <w:r>
              <w:rPr>
                <w:b/>
                <w:sz w:val="17"/>
              </w:rPr>
              <w:t>7,046</w:t>
            </w:r>
          </w:p>
        </w:tc>
        <w:tc>
          <w:tcPr>
            <w:tcW w:type="dxa" w:w="1440"/>
            <w:shd w:fill="FFDCE0" w:val="clear"/>
          </w:tcPr>
          <w:p>
            <w:r>
              <w:rPr>
                <w:sz w:val="17"/>
              </w:rPr>
              <w:t>8,321</w:t>
            </w:r>
          </w:p>
        </w:tc>
        <w:tc>
          <w:tcPr>
            <w:tcW w:type="dxa" w:w="1440"/>
            <w:shd w:fill="FFDCE0" w:val="clear"/>
          </w:tcPr>
          <w:p>
            <w:r>
              <w:rPr>
                <w:b/>
                <w:color w:val="C00000"/>
                <w:sz w:val="17"/>
              </w:rPr>
              <w:t>-9.7%</w:t>
            </w:r>
          </w:p>
        </w:tc>
      </w:tr>
      <w:tr>
        <w:tc>
          <w:tcPr>
            <w:tcW w:type="dxa" w:w="1440"/>
            <w:shd w:fill="FFDCE0" w:val="clear"/>
          </w:tcPr>
          <w:p>
            <w:r>
              <w:rPr>
                <w:sz w:val="17"/>
              </w:rPr>
              <w:t>J+6  ⭐</w:t>
            </w:r>
          </w:p>
        </w:tc>
        <w:tc>
          <w:tcPr>
            <w:tcW w:type="dxa" w:w="1440"/>
            <w:shd w:fill="FFDCE0" w:val="clear"/>
          </w:tcPr>
          <w:p>
            <w:r>
              <w:rPr>
                <w:sz w:val="17"/>
              </w:rPr>
              <w:t>2026-09-11</w:t>
            </w:r>
          </w:p>
        </w:tc>
        <w:tc>
          <w:tcPr>
            <w:tcW w:type="dxa" w:w="1440"/>
            <w:shd w:fill="FFDCE0" w:val="clear"/>
          </w:tcPr>
          <w:p>
            <w:r>
              <w:rPr>
                <w:sz w:val="17"/>
              </w:rPr>
              <w:t>5,538</w:t>
            </w:r>
          </w:p>
        </w:tc>
        <w:tc>
          <w:tcPr>
            <w:tcW w:type="dxa" w:w="1440"/>
            <w:shd w:fill="FFDCE0" w:val="clear"/>
          </w:tcPr>
          <w:p>
            <w:r>
              <w:rPr>
                <w:b/>
                <w:sz w:val="17"/>
              </w:rPr>
              <w:t>6,907</w:t>
            </w:r>
          </w:p>
        </w:tc>
        <w:tc>
          <w:tcPr>
            <w:tcW w:type="dxa" w:w="1440"/>
            <w:shd w:fill="FFDCE0" w:val="clear"/>
          </w:tcPr>
          <w:p>
            <w:r>
              <w:rPr>
                <w:sz w:val="17"/>
              </w:rPr>
              <w:t>8,276</w:t>
            </w:r>
          </w:p>
        </w:tc>
        <w:tc>
          <w:tcPr>
            <w:tcW w:type="dxa" w:w="1440"/>
            <w:shd w:fill="FFDCE0" w:val="clear"/>
          </w:tcPr>
          <w:p>
            <w:r>
              <w:rPr>
                <w:b/>
                <w:color w:val="C00000"/>
                <w:sz w:val="17"/>
              </w:rPr>
              <w:t>-11.4%</w:t>
            </w:r>
          </w:p>
        </w:tc>
      </w:tr>
      <w:tr>
        <w:tc>
          <w:tcPr>
            <w:tcW w:type="dxa" w:w="1440"/>
            <w:shd w:fill="FFDCE0" w:val="clear"/>
          </w:tcPr>
          <w:p>
            <w:r>
              <w:rPr>
                <w:sz w:val="17"/>
              </w:rPr>
              <w:t>J+7  ⭐</w:t>
            </w:r>
          </w:p>
        </w:tc>
        <w:tc>
          <w:tcPr>
            <w:tcW w:type="dxa" w:w="1440"/>
            <w:shd w:fill="FFDCE0" w:val="clear"/>
          </w:tcPr>
          <w:p>
            <w:r>
              <w:rPr>
                <w:sz w:val="17"/>
              </w:rPr>
              <w:t>2026-09-14</w:t>
            </w:r>
          </w:p>
        </w:tc>
        <w:tc>
          <w:tcPr>
            <w:tcW w:type="dxa" w:w="1440"/>
            <w:shd w:fill="FFDCE0" w:val="clear"/>
          </w:tcPr>
          <w:p>
            <w:r>
              <w:rPr>
                <w:sz w:val="17"/>
              </w:rPr>
              <w:t>5,325</w:t>
            </w:r>
          </w:p>
        </w:tc>
        <w:tc>
          <w:tcPr>
            <w:tcW w:type="dxa" w:w="1440"/>
            <w:shd w:fill="FFDCE0" w:val="clear"/>
          </w:tcPr>
          <w:p>
            <w:r>
              <w:rPr>
                <w:b/>
                <w:sz w:val="17"/>
              </w:rPr>
              <w:t>6,776</w:t>
            </w:r>
          </w:p>
        </w:tc>
        <w:tc>
          <w:tcPr>
            <w:tcW w:type="dxa" w:w="1440"/>
            <w:shd w:fill="FFDCE0" w:val="clear"/>
          </w:tcPr>
          <w:p>
            <w:r>
              <w:rPr>
                <w:sz w:val="17"/>
              </w:rPr>
              <w:t>8,226</w:t>
            </w:r>
          </w:p>
        </w:tc>
        <w:tc>
          <w:tcPr>
            <w:tcW w:type="dxa" w:w="1440"/>
            <w:shd w:fill="FFDCE0" w:val="clear"/>
          </w:tcPr>
          <w:p>
            <w:r>
              <w:rPr>
                <w:b/>
                <w:color w:val="C00000"/>
                <w:sz w:val="17"/>
              </w:rPr>
              <w:t>-13.1%</w:t>
            </w:r>
          </w:p>
        </w:tc>
      </w:tr>
      <w:tr>
        <w:tc>
          <w:tcPr>
            <w:tcW w:type="dxa" w:w="1440"/>
            <w:shd w:fill="FFDCE0" w:val="clear"/>
          </w:tcPr>
          <w:p>
            <w:r>
              <w:rPr>
                <w:sz w:val="17"/>
              </w:rPr>
              <w:t>J+8  ⭐</w:t>
            </w:r>
          </w:p>
        </w:tc>
        <w:tc>
          <w:tcPr>
            <w:tcW w:type="dxa" w:w="1440"/>
            <w:shd w:fill="FFDCE0" w:val="clear"/>
          </w:tcPr>
          <w:p>
            <w:r>
              <w:rPr>
                <w:sz w:val="17"/>
              </w:rPr>
              <w:t>2026-09-15</w:t>
            </w:r>
          </w:p>
        </w:tc>
        <w:tc>
          <w:tcPr>
            <w:tcW w:type="dxa" w:w="1440"/>
            <w:shd w:fill="FFDCE0" w:val="clear"/>
          </w:tcPr>
          <w:p>
            <w:r>
              <w:rPr>
                <w:sz w:val="17"/>
              </w:rPr>
              <w:t>5,129</w:t>
            </w:r>
          </w:p>
        </w:tc>
        <w:tc>
          <w:tcPr>
            <w:tcW w:type="dxa" w:w="1440"/>
            <w:shd w:fill="FFDCE0" w:val="clear"/>
          </w:tcPr>
          <w:p>
            <w:r>
              <w:rPr>
                <w:b/>
                <w:sz w:val="17"/>
              </w:rPr>
              <w:t>6,651</w:t>
            </w:r>
          </w:p>
        </w:tc>
        <w:tc>
          <w:tcPr>
            <w:tcW w:type="dxa" w:w="1440"/>
            <w:shd w:fill="FFDCE0" w:val="clear"/>
          </w:tcPr>
          <w:p>
            <w:r>
              <w:rPr>
                <w:sz w:val="17"/>
              </w:rPr>
              <w:t>8,173</w:t>
            </w:r>
          </w:p>
        </w:tc>
        <w:tc>
          <w:tcPr>
            <w:tcW w:type="dxa" w:w="1440"/>
            <w:shd w:fill="FFDCE0" w:val="clear"/>
          </w:tcPr>
          <w:p>
            <w:r>
              <w:rPr>
                <w:b/>
                <w:color w:val="C00000"/>
                <w:sz w:val="17"/>
              </w:rPr>
              <w:t>-14.7%</w:t>
            </w:r>
          </w:p>
        </w:tc>
      </w:tr>
      <w:tr>
        <w:tc>
          <w:tcPr>
            <w:tcW w:type="dxa" w:w="1440"/>
            <w:shd w:fill="FFDCE0" w:val="clear"/>
          </w:tcPr>
          <w:p>
            <w:r>
              <w:rPr>
                <w:sz w:val="17"/>
              </w:rPr>
              <w:t>J+9  ⭐</w:t>
            </w:r>
          </w:p>
        </w:tc>
        <w:tc>
          <w:tcPr>
            <w:tcW w:type="dxa" w:w="1440"/>
            <w:shd w:fill="FFDCE0" w:val="clear"/>
          </w:tcPr>
          <w:p>
            <w:r>
              <w:rPr>
                <w:sz w:val="17"/>
              </w:rPr>
              <w:t>2026-09-16</w:t>
            </w:r>
          </w:p>
        </w:tc>
        <w:tc>
          <w:tcPr>
            <w:tcW w:type="dxa" w:w="1440"/>
            <w:shd w:fill="FFDCE0" w:val="clear"/>
          </w:tcPr>
          <w:p>
            <w:r>
              <w:rPr>
                <w:sz w:val="17"/>
              </w:rPr>
              <w:t>4,947</w:t>
            </w:r>
          </w:p>
        </w:tc>
        <w:tc>
          <w:tcPr>
            <w:tcW w:type="dxa" w:w="1440"/>
            <w:shd w:fill="FFDCE0" w:val="clear"/>
          </w:tcPr>
          <w:p>
            <w:r>
              <w:rPr>
                <w:b/>
                <w:sz w:val="17"/>
              </w:rPr>
              <w:t>6,532</w:t>
            </w:r>
          </w:p>
        </w:tc>
        <w:tc>
          <w:tcPr>
            <w:tcW w:type="dxa" w:w="1440"/>
            <w:shd w:fill="FFDCE0" w:val="clear"/>
          </w:tcPr>
          <w:p>
            <w:r>
              <w:rPr>
                <w:sz w:val="17"/>
              </w:rPr>
              <w:t>8,118</w:t>
            </w:r>
          </w:p>
        </w:tc>
        <w:tc>
          <w:tcPr>
            <w:tcW w:type="dxa" w:w="1440"/>
            <w:shd w:fill="FFDCE0" w:val="clear"/>
          </w:tcPr>
          <w:p>
            <w:r>
              <w:rPr>
                <w:b/>
                <w:color w:val="C00000"/>
                <w:sz w:val="17"/>
              </w:rPr>
              <w:t>-16.3%</w:t>
            </w:r>
          </w:p>
        </w:tc>
      </w:tr>
      <w:tr>
        <w:tc>
          <w:tcPr>
            <w:tcW w:type="dxa" w:w="1440"/>
            <w:shd w:fill="FFDCE0" w:val="clear"/>
          </w:tcPr>
          <w:p>
            <w:r>
              <w:rPr>
                <w:sz w:val="17"/>
              </w:rPr>
              <w:t>J+10  ⭐</w:t>
            </w:r>
          </w:p>
        </w:tc>
        <w:tc>
          <w:tcPr>
            <w:tcW w:type="dxa" w:w="1440"/>
            <w:shd w:fill="FFDCE0" w:val="clear"/>
          </w:tcPr>
          <w:p>
            <w:r>
              <w:rPr>
                <w:sz w:val="17"/>
              </w:rPr>
              <w:t>2026-09-17</w:t>
            </w:r>
          </w:p>
        </w:tc>
        <w:tc>
          <w:tcPr>
            <w:tcW w:type="dxa" w:w="1440"/>
            <w:shd w:fill="FFDCE0" w:val="clear"/>
          </w:tcPr>
          <w:p>
            <w:r>
              <w:rPr>
                <w:sz w:val="17"/>
              </w:rPr>
              <w:t>4,777</w:t>
            </w:r>
          </w:p>
        </w:tc>
        <w:tc>
          <w:tcPr>
            <w:tcW w:type="dxa" w:w="1440"/>
            <w:shd w:fill="FFDCE0" w:val="clear"/>
          </w:tcPr>
          <w:p>
            <w:r>
              <w:rPr>
                <w:b/>
                <w:sz w:val="17"/>
              </w:rPr>
              <w:t>6,420</w:t>
            </w:r>
          </w:p>
        </w:tc>
        <w:tc>
          <w:tcPr>
            <w:tcW w:type="dxa" w:w="1440"/>
            <w:shd w:fill="FFDCE0" w:val="clear"/>
          </w:tcPr>
          <w:p>
            <w:r>
              <w:rPr>
                <w:sz w:val="17"/>
              </w:rPr>
              <w:t>8,063</w:t>
            </w:r>
          </w:p>
        </w:tc>
        <w:tc>
          <w:tcPr>
            <w:tcW w:type="dxa" w:w="1440"/>
            <w:shd w:fill="FFDCE0" w:val="clear"/>
          </w:tcPr>
          <w:p>
            <w:r>
              <w:rPr>
                <w:b/>
                <w:color w:val="C00000"/>
                <w:sz w:val="17"/>
              </w:rPr>
              <w:t>-17.7%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SICOR (BRVM)**</w:t>
      </w:r>
    </w:p>
    <w:p>
      <w:pPr>
        <w:spacing w:after="120" w:line="276" w:lineRule="auto" w:before="240"/>
      </w:pPr>
      <w:r>
        <w:rPr>
          <w:b/>
          <w:color w:val="003366"/>
          <w:sz w:val="24"/>
        </w:rPr>
        <w:t>**PARTIE 0 : INDICATEURS DE VALORISATION BOURSIÈRE**</w:t>
      </w:r>
    </w:p>
    <w:p>
      <w:pPr>
        <w:spacing w:after="120" w:line="276" w:lineRule="auto"/>
      </w:pPr>
      <w:r>
        <w:t>La capitalisation boursière de la SICOR s'établit à 4,68 milliards FCFA, un niveau modeste qui la classe parmi les petites capitalisations de la BRVM, offrant un potentiel de croissance mais aussi une liquidité limitée. Les ratios de valorisation traditionnels (BPA, PER, P/B, EV/EBITDA) ne sont pas calculables en raison de l'absence de données financières structurées récentes dans la base, ce qui constitue une limite importante pour une évaluation précise. Cependant, sur la base des derniers bénéfices connus (19,25 millions FCFA en 2023), le PER implicite serait extrêmement élevé (environ 243x), indiquant que le marché anticipe une forte amélioration future des résultats. Cette valorisation reflète davantage des attentes spéculatives que la réalité des bénéfices actuels, d'autant que la société ne distribue aucun dividende depuis 2017. Les investisseurs doivent donc considérer ce titre comme un pari sur un redressement fondamental à long terme plutôt que comme un investissement de valeur traditionnel.</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SICOR a enregistré une progression spectaculaire de +95,24%, passant d'un plus bas de 3 930 FCFA à un plus haut de 10 200 FCFA, avant de se stabiliser autour de 7 800 FCFA, avec un repli de -2,44% lors de la dernière séance. La moyenne du cours sur la période (5 469 FCFA) est nettement supérieure à la médiane (4 600 FCFA), confirmant une asymétrie positive (skewness de 1,373) où les journées sous la moyenne sont plus fréquentes mais compensées par des hausses ponctuelles importantes. L'écart-type de 1 684 FCFA (CV de 30,8%) révèle une dispersion élevée des prix, tandis que le kurtosis de 0,652 indique une distribution proche de la normale, sans risque excessif de mouvements extrêmes. La volatilité annualisée de 59,8% classe ce titre comme très volatil, bien au-dessus du seuil de 30% considéré comme élevé, ce qui implique des fluctuations importantes et un risque accru pour les investisseurs non avertis.</w:t>
      </w:r>
    </w:p>
    <w:p>
      <w:pPr>
        <w:spacing w:after="120" w:line="276" w:lineRule="auto" w:before="240"/>
      </w:pPr>
      <w:r>
        <w:rPr>
          <w:b/>
          <w:color w:val="003366"/>
          <w:sz w:val="24"/>
        </w:rPr>
        <w:t>**PARTIE 2 : ANALYSE TECHNIQUE DÉTAILLÉE**</w:t>
      </w:r>
    </w:p>
    <w:p>
      <w:pPr>
        <w:spacing w:after="120" w:line="276" w:lineRule="auto"/>
      </w:pPr>
      <w:r>
        <w:t>**Moyennes Mobiles** : Le cours actuel de 7 800 FCFA se situe sous la MM20 (8 508,5 FCFA) mais nettement au-dessus de la MM50 (6 599,7 FCFA), indiquant une tendance haussière de moyen terme mais un essoufflement à court terme. La configuration des MM suggère un signal d'achat sur la tendance principale, bien que le récent croisement sous la MM20 appelle à la prudence. La divergence entre les deux moyennes reflète la forte accélération des cours observée récemment.</w:t>
      </w:r>
    </w:p>
    <w:p>
      <w:pPr>
        <w:spacing w:after="120" w:line="276" w:lineRule="auto"/>
      </w:pPr>
      <w:r>
        <w:t>**Bandes de Bollinger** : Le prix évolue entre la borne inférieure (6 614,2 FCFA) et la borne supérieure (10 402,8 FCFA), se positionnant dans la moitié inférieure du canal. Cette position, couplée à un écart-type élevé, indique une volatilité persistante. La décision "Neutre" reflète l'absence de signal directionnel clair, le marché semblant chercher un nouvel équilibre après la forte hausse.</w:t>
      </w:r>
    </w:p>
    <w:p>
      <w:pPr>
        <w:spacing w:after="120" w:line="276" w:lineRule="auto"/>
      </w:pPr>
      <w:r>
        <w:t>**MACD** : Le MACD (391,3) est passé sous sa ligne de signal (633,6), générant un signal de vente à court terme. Cette configuration suggère un ralentissement du momentum haussier, les acheteurs perdant progressivement de la vigueur. La divergence négative entre les deux lignes indique que la pression vendeuse pourrait s'accentuer dans les prochaines séances.</w:t>
      </w:r>
    </w:p>
    <w:p>
      <w:pPr>
        <w:spacing w:after="120" w:line="276" w:lineRule="auto"/>
      </w:pPr>
      <w:r>
        <w:t>**RSI** : À 29,48, le RSI se trouve en zone de survente (&lt;30), signalant une correction technique probablement excessive après la forte hausse. Historiquement, ce niveau a souvent précédé des rebonds techniques, mais il peut également indiquer le début d'une tendance baissière plus profonde si le support psychologique de 7 000 FCFA venait à céder.</w:t>
      </w:r>
    </w:p>
    <w:p>
      <w:pPr>
        <w:spacing w:after="120" w:line="276" w:lineRule="auto"/>
      </w:pPr>
      <w:r>
        <w:t>**Stochastique** : Le %K à 0,0 et le %D à 4,5 confirment la situation de survente extrême, avec un %K nettement sous le %D. Cette configuration suggère un potentiel de rebond technique imminent, mais la faiblesse des deux indicateurs indique que la pression vendeuse reste dominante. Un croisement haussier du %K au-dessus du %D serait nécessaire pour confirmer un retournement.</w:t>
      </w:r>
    </w:p>
    <w:p>
      <w:pPr>
        <w:spacing w:after="120" w:line="276" w:lineRule="auto"/>
      </w:pPr>
      <w:r>
        <w:t>**Conclusion technique** : La convergence des indicateurs de momentum (RSI, Stochastique) en zone de survente suggère un possible rebond technique à court terme, mais le MACD et la position sous la MM20 indiquent une faiblesse persistante. Le titre semble entrer dans une phase de consolidation après sa forte hausse, avec un support majeur autour de 6 600-7 000 FCFA et une résistance à 8 500 FCFA.</w:t>
      </w:r>
    </w:p>
    <w:p>
      <w:pPr>
        <w:spacing w:after="120" w:line="276" w:lineRule="auto" w:before="240"/>
      </w:pPr>
      <w:r>
        <w:rPr>
          <w:b/>
          <w:color w:val="003366"/>
          <w:sz w:val="24"/>
        </w:rPr>
        <w:t>**PARTIE 3 : ANALYSE FONDAMENTALE (SECTION CRITIQUE)**</w:t>
      </w:r>
    </w:p>
    <w:p>
      <w:pPr>
        <w:spacing w:after="120" w:line="276" w:lineRule="auto"/>
      </w:pPr>
      <w:r>
        <w:t>Les états financiers disponibles révèlent une trajectoire contrastée pour la SICOR. En 2022 (rapport daté du 31/12/2024), le chiffre d'affaires s'établissait à 1,138 milliard FCFA (-17,6% vs 2021), avec une perte nette de -39,95 millions FCFA, principalement due à l'effondrement des ventes d'huile de coprah (-64%) et à des charges fixes élevées. L'exercice 2023 (même rapport) a marqué un retour à la profitabilité avec un bénéfice net de +19,25 millions FCFA (marge nette de 2,75%), obtenu grâce à une réduction drastique des charges (-43,7%), notamment le transfert de 50% du personnel vers la SIPAL. Le chiffre d'affaires 2023 a toutefois chuté de 38,4% à 701 millions FCFA, illustrant une contraction significative de l'activité. Les pertes cumulées s'élevaient à 689,86 millions FCFA fin 2023, interdisant toute distribution de dividende. Les rapports plus anciens (2015-2020) montrent une rentabilité historique volatile, avec des pics à 434,9 millions FCFA de résultat net en 2015 et des périodes difficiles en 2019-2020. La société, spécialisée dans la transformation de noix de coco, fait face à des défis structurels : vols sur les plantations, dépendance aux cours mondiaux du coprah, et concurrence régionale accrue. L'assemblée générale du 22 mai 2026 doit approuver les comptes 2024, dont les résultats ne sont pas encore publiés, mais la tendance suggère une stabilisation progressive. Sur la base des données 2023, on estime que l'exercice 2024 pourrait afficher un bénéfice modeste si la maîtrise des coûts se poursuit, mais la croissance du chiffre d'affaires reste incertaine. La recommandation fondamentale est de conserver le titre avec vigilance, en surveillant la capacité de la direction à restaurer une croissance durable et à résorber les pertes accumulées.</w:t>
      </w:r>
    </w:p>
    <w:p>
      <w:pPr>
        <w:spacing w:after="120" w:line="276" w:lineRule="auto" w:before="240"/>
      </w:pPr>
      <w:r>
        <w:rPr>
          <w:b/>
          <w:color w:val="003366"/>
          <w:sz w:val="24"/>
        </w:rPr>
        <w:t>**PARTIE 4 : CONCLUSION D'INVESTISSEMENT**</w:t>
      </w:r>
    </w:p>
    <w:p>
      <w:pPr>
        <w:spacing w:after="120" w:line="276" w:lineRule="auto"/>
      </w:pPr>
      <w:r>
        <w:t>La valorisation actuelle de la SICOR apparaît extrêmement spéculative, avec un PER implicite supérieur à 200x basé sur les bénéfices 2023, et une capitalisation de 4,68 milliards FCFA qui ne reflète pas la réalité fondamentale d'une société générant à peine 19 millions FCFA de bénéfices. Le comportement du cours (+95% en 100 jours, volatilité de 59,8%) témoigne d'un emballement spéculatif probablement déconnecté des fondamentaux, avec des statistiques montrant une distribution asymétrique et des risques de correction importants. Les signaux techniques sont mitigés : si le RSI et le Stochastique indiquent une survente propice à un rebond technique, le MACD baissier et la position sous la MM20 suggèrent une poursuite de la consolidation. Les fondamentaux, bien qu'en amélioration (retour aux bénéfices en 2023), restent fragiles avec des pertes cumulées de 690 millions FCFA et l'absence de dividende. Les prédictions IA pour les 10 prochains jours (7 679 à 7 046 FCFA) confirment une tendance baissière à court terme, contredisant les signaux de survente. Cette divergence entre la faiblesse technique anticipée et les indicateurs de survente suggère une prudence accrue. **Recommandation finale : VENTE** pour les investisseurs ayant profité de la hausse, avec un niveau de confiance **Moyen** et un risque global **Élevé**. Pour les nouveaux entrants, il est conseillé d'attendre une stabilisation du cours sous les 6 500 FCFA ou une confirmation d'un retournement haussier avec un volume significatif. Horizon d'investissement : **court terme (&lt;3 mois)** pour les opportunités de trading, mais **long terme (&gt;1 an)** pour un investissement patient dans le redressement de la société, en surveillant attentivement les résultats 2024 qui seront présentés à l'AG du 22 mai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"Bon exercice, rentable, avec une génération de cash solide (CAFG 278 M). Mais report à nouveau encore négatif interdisant tout dividende et trésorerie nette négative. À conserver."}</w:t>
      </w:r>
    </w:p>
    <w:p>
      <w:pPr>
        <w:spacing w:before="40"/>
        <w:ind w:left="400"/>
      </w:pPr>
      <w:r>
        <w:rPr>
          <w:sz w:val="18"/>
        </w:rPr>
        <w:t>SICOR réalise un bon exercice 2020 : bénéfice net de 109,8 M FCFA, en forte hausse par rapport aux 2,35 M de 2019. Le chiffre d'affaires progresse de 27 % à 2,36 Md, l'EBE grimpe à 281 M et le résultat financier redevient positif (+0,8 M). Le report à nouveau reste négatif (-879 M) mais s'améliore légèrement. La trésorerie nette demeure négative (-47 M) tout en se redressant. Exercice de redressement opérationnel confirmé.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'278 millions FCFA', 'resultat_exploitation': '109 millions FCFA', 'excedent_brut_exploitation': '281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4,65 %</w:t>
            </w:r>
          </w:p>
        </w:tc>
        <w:tc>
          <w:tcPr>
            <w:tcW w:type="dxa" w:w="2160"/>
          </w:tcPr>
          <w:p>
            <w:pPr>
              <w:ind w:left="100"/>
            </w:pPr>
            <w:r/>
            <w:r>
              <w:rPr>
                <w:b/>
                <w:sz w:val="16"/>
              </w:rPr>
              <w:t>total_actif</w:t>
              <w:br/>
            </w:r>
            <w:r>
              <w:rPr>
                <w:sz w:val="18"/>
              </w:rPr>
              <w:t>4,09 milliards FCFA</w:t>
            </w:r>
          </w:p>
        </w:tc>
      </w:tr>
      <w:tr>
        <w:tc>
          <w:tcPr>
            <w:tcW w:type="dxa" w:w="2160"/>
          </w:tcPr>
          <w:p>
            <w:r/>
            <w:r>
              <w:rPr>
                <w:b/>
                <w:sz w:val="16"/>
              </w:rPr>
              <w:t>resultat_net</w:t>
              <w:br/>
            </w:r>
            <w:r>
              <w:rPr>
                <w:sz w:val="18"/>
              </w:rPr>
              <w:t>109,8 millions FCFA (bénéfice)</w:t>
            </w:r>
          </w:p>
        </w:tc>
        <w:tc>
          <w:tcPr>
            <w:tcW w:type="dxa" w:w="2160"/>
          </w:tcPr>
          <w:p>
            <w:r/>
            <w:r>
              <w:rPr>
                <w:b/>
                <w:sz w:val="16"/>
              </w:rPr>
              <w:t>capitaux_propres</w:t>
              <w:br/>
            </w:r>
            <w:r>
              <w:rPr>
                <w:sz w:val="18"/>
              </w:rPr>
              <w:t>3,01 milliards FCFA</w:t>
            </w:r>
          </w:p>
        </w:tc>
        <w:tc>
          <w:tcPr>
            <w:tcW w:type="dxa" w:w="2160"/>
          </w:tcPr>
          <w:p>
            <w:r/>
            <w:r>
              <w:rPr>
                <w:b/>
                <w:sz w:val="16"/>
              </w:rPr>
              <w:t>chiffre_affaires</w:t>
              <w:br/>
            </w:r>
            <w:r>
              <w:rPr>
                <w:sz w:val="18"/>
              </w:rPr>
              <w:t>2,36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2,36 Md FCFA (+27 %)</w:t>
      </w:r>
    </w:p>
    <w:p>
      <w:pPr>
        <w:pStyle w:val="ListBullet"/>
        <w:spacing w:before="20" w:after="20"/>
        <w:ind w:left="700"/>
      </w:pPr>
      <w:r>
        <w:rPr>
          <w:sz w:val="18"/>
        </w:rPr>
        <w:t>EBE 281 M FCFA, en nette progression</w:t>
      </w:r>
    </w:p>
    <w:p>
      <w:pPr>
        <w:pStyle w:val="ListBullet"/>
        <w:spacing w:before="20" w:after="20"/>
        <w:ind w:left="700"/>
      </w:pPr>
      <w:r>
        <w:rPr>
          <w:sz w:val="18"/>
        </w:rPr>
        <w:t>Bénéfice net 109,8 M FCFA (contre 2,35 M en 2019)</w:t>
      </w:r>
    </w:p>
    <w:p>
      <w:pPr>
        <w:pStyle w:val="ListBullet"/>
        <w:spacing w:before="20" w:after="20"/>
        <w:ind w:left="700"/>
      </w:pPr>
      <w:r>
        <w:rPr>
          <w:sz w:val="18"/>
        </w:rPr>
        <w:t>Résultat financier redevenu positif (+0,8 M)</w:t>
      </w:r>
    </w:p>
    <w:p>
      <w:pPr>
        <w:pStyle w:val="ListBullet"/>
        <w:spacing w:before="20" w:after="20"/>
        <w:ind w:left="700"/>
      </w:pPr>
      <w:r>
        <w:rPr>
          <w:sz w:val="18"/>
        </w:rPr>
        <w:t>Report à nouveau encore négatif (-879 M), en légère amélioration</w:t>
      </w:r>
    </w:p>
    <w:p>
      <w:pPr>
        <w:pStyle w:val="ListBullet"/>
        <w:spacing w:before="20" w:after="20"/>
        <w:ind w:left="700"/>
      </w:pPr>
      <w:r>
        <w:rPr>
          <w:sz w:val="18"/>
        </w:rPr>
        <w:t>Trésorerie nette négative (-47 M) mais en amélioration</w:t>
      </w:r>
    </w:p>
    <w:p>
      <w:pPr>
        <w:spacing w:before="40"/>
        <w:ind w:left="400"/>
      </w:pPr>
      <w:r>
        <w:rPr>
          <w:b/>
          <w:color w:val="C05000"/>
          <w:sz w:val="18"/>
        </w:rPr>
        <w:t xml:space="preserve">⚠️ Risques : </w:t>
      </w:r>
      <w:r>
        <w:rPr>
          <w:sz w:val="18"/>
        </w:rPr>
        <w:t>["Report à nouveau toujours négatif (-879 M)", "Trésorerie nette négative (-47 M)", "Dépendance à un chiffre d'affaires volatil dans une activité agro-industrielle (coco)", "Pas de distribution possible tant que les pertes cumulées subsistent"]</w:t>
      </w:r>
    </w:p>
    <w:p>
      <w:pPr>
        <w:spacing w:before="40"/>
        <w:ind w:left="400"/>
      </w:pPr>
      <w:r>
        <w:rPr>
          <w:b/>
          <w:color w:val="0064A0"/>
          <w:sz w:val="18"/>
        </w:rPr>
        <w:t xml:space="preserve">🔮 Perspectives : </w:t>
      </w:r>
      <w:r>
        <w:rPr>
          <w:sz w:val="18"/>
        </w:rPr>
        <w:t>La forte génération de trésorerie (CAFG 278 M) et le retour à un résultat financier positif consolident le redressement. Si la dynamique se maintient, l'apurement progressif du report à nouveau devient envisageable.</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20.96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5,600 titres</w:t>
            </w:r>
          </w:p>
        </w:tc>
        <w:tc>
          <w:tcPr>
            <w:tcW w:type="dxa" w:w="2268"/>
            <w:shd w:fill="FFF2CC" w:val="clear"/>
          </w:tcPr>
          <w:p>
            <w:r>
              <w:rPr>
                <w:b/>
                <w:color w:val="503200"/>
                <w:sz w:val="16"/>
              </w:rPr>
              <w:t xml:space="preserve">Cours actuel : </w:t>
            </w:r>
            <w:r>
              <w:rPr>
                <w:color w:val="000000"/>
                <w:sz w:val="17"/>
              </w:rPr>
              <w:t>2,400 FCFA</w:t>
            </w:r>
          </w:p>
          <w:p>
            <w:r>
              <w:rPr>
                <w:b/>
                <w:color w:val="503200"/>
                <w:sz w:val="16"/>
              </w:rPr>
              <w:t xml:space="preserve">Var. 100 jours : </w:t>
            </w:r>
            <w:r>
              <w:rPr>
                <w:b/>
                <w:color w:val="B40000"/>
                <w:sz w:val="17"/>
              </w:rPr>
              <w:t>-20.13%</w:t>
            </w:r>
          </w:p>
          <w:p>
            <w:r>
              <w:rPr>
                <w:b/>
                <w:color w:val="503200"/>
                <w:sz w:val="16"/>
              </w:rPr>
              <w:t xml:space="preserve">Plus haut 100j : </w:t>
            </w:r>
            <w:r>
              <w:rPr>
                <w:color w:val="000000"/>
                <w:sz w:val="17"/>
              </w:rPr>
              <w:t>3,215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17.0/100 → Faible</w:t>
      </w:r>
    </w:p>
    <w:p>
      <w:pPr>
        <w:spacing w:before="40" w:after="80"/>
      </w:pPr>
      <w:r>
        <w:rPr>
          <w:rFonts w:ascii="Courier New" w:hAnsi="Courier New"/>
          <w:color w:val="006400"/>
          <w:sz w:val="18"/>
        </w:rPr>
        <w:t>███░░░░░░░░░░░░░░░░░  17.0/100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11.09% (Moyenne) — μ=2,573 FCFA, σ=285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β=0.3621 (Défensif) — Cov=0.000013, Var(idx)=0.000036, ρ=0.067,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5,600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FFEB9C" w:val="clear"/>
          </w:tcPr>
          <w:p>
            <w:r>
              <w:rPr>
                <w:b/>
                <w:sz w:val="15"/>
              </w:rPr>
              <w:t>σ_j=3.21%/j (Modérée) — Vol. annualisée≈50.9%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2026-09-04</w:t>
            </w:r>
          </w:p>
        </w:tc>
        <w:tc>
          <w:tcPr>
            <w:tcW w:type="dxa" w:w="1440"/>
            <w:shd w:fill="FFDCE0" w:val="clear"/>
          </w:tcPr>
          <w:p>
            <w:r>
              <w:rPr>
                <w:sz w:val="17"/>
              </w:rPr>
              <w:t>2,156</w:t>
            </w:r>
          </w:p>
        </w:tc>
        <w:tc>
          <w:tcPr>
            <w:tcW w:type="dxa" w:w="1440"/>
            <w:shd w:fill="FFDCE0" w:val="clear"/>
          </w:tcPr>
          <w:p>
            <w:r>
              <w:rPr>
                <w:b/>
                <w:sz w:val="17"/>
              </w:rPr>
              <w:t>2,242</w:t>
            </w:r>
          </w:p>
        </w:tc>
        <w:tc>
          <w:tcPr>
            <w:tcW w:type="dxa" w:w="1440"/>
            <w:shd w:fill="FFDCE0" w:val="clear"/>
          </w:tcPr>
          <w:p>
            <w:r>
              <w:rPr>
                <w:sz w:val="17"/>
              </w:rPr>
              <w:t>2,329</w:t>
            </w:r>
          </w:p>
        </w:tc>
        <w:tc>
          <w:tcPr>
            <w:tcW w:type="dxa" w:w="1440"/>
            <w:shd w:fill="FFDCE0" w:val="clear"/>
          </w:tcPr>
          <w:p>
            <w:r>
              <w:rPr>
                <w:b/>
                <w:color w:val="C00000"/>
                <w:sz w:val="17"/>
              </w:rPr>
              <w:t>-6.6%</w:t>
            </w:r>
          </w:p>
        </w:tc>
      </w:tr>
      <w:tr>
        <w:tc>
          <w:tcPr>
            <w:tcW w:type="dxa" w:w="1440"/>
            <w:shd w:fill="FFDCE0" w:val="clear"/>
          </w:tcPr>
          <w:p>
            <w:r>
              <w:rPr>
                <w:sz w:val="17"/>
              </w:rPr>
              <w:t>J+2  ⭐</w:t>
            </w:r>
          </w:p>
        </w:tc>
        <w:tc>
          <w:tcPr>
            <w:tcW w:type="dxa" w:w="1440"/>
            <w:shd w:fill="FFDCE0" w:val="clear"/>
          </w:tcPr>
          <w:p>
            <w:r>
              <w:rPr>
                <w:sz w:val="17"/>
              </w:rPr>
              <w:t>2026-09-07</w:t>
            </w:r>
          </w:p>
        </w:tc>
        <w:tc>
          <w:tcPr>
            <w:tcW w:type="dxa" w:w="1440"/>
            <w:shd w:fill="FFDCE0" w:val="clear"/>
          </w:tcPr>
          <w:p>
            <w:r>
              <w:rPr>
                <w:sz w:val="17"/>
              </w:rPr>
              <w:t>2,087</w:t>
            </w:r>
          </w:p>
        </w:tc>
        <w:tc>
          <w:tcPr>
            <w:tcW w:type="dxa" w:w="1440"/>
            <w:shd w:fill="FFDCE0" w:val="clear"/>
          </w:tcPr>
          <w:p>
            <w:r>
              <w:rPr>
                <w:b/>
                <w:sz w:val="17"/>
              </w:rPr>
              <w:t>2,207</w:t>
            </w:r>
          </w:p>
        </w:tc>
        <w:tc>
          <w:tcPr>
            <w:tcW w:type="dxa" w:w="1440"/>
            <w:shd w:fill="FFDCE0" w:val="clear"/>
          </w:tcPr>
          <w:p>
            <w:r>
              <w:rPr>
                <w:sz w:val="17"/>
              </w:rPr>
              <w:t>2,328</w:t>
            </w:r>
          </w:p>
        </w:tc>
        <w:tc>
          <w:tcPr>
            <w:tcW w:type="dxa" w:w="1440"/>
            <w:shd w:fill="FFDCE0" w:val="clear"/>
          </w:tcPr>
          <w:p>
            <w:r>
              <w:rPr>
                <w:b/>
                <w:color w:val="C00000"/>
                <w:sz w:val="17"/>
              </w:rPr>
              <w:t>-8.0%</w:t>
            </w:r>
          </w:p>
        </w:tc>
      </w:tr>
      <w:tr>
        <w:tc>
          <w:tcPr>
            <w:tcW w:type="dxa" w:w="1440"/>
            <w:shd w:fill="FFDCE0" w:val="clear"/>
          </w:tcPr>
          <w:p>
            <w:r>
              <w:rPr>
                <w:sz w:val="17"/>
              </w:rPr>
              <w:t>J+3  ⭐</w:t>
            </w:r>
          </w:p>
        </w:tc>
        <w:tc>
          <w:tcPr>
            <w:tcW w:type="dxa" w:w="1440"/>
            <w:shd w:fill="FFDCE0" w:val="clear"/>
          </w:tcPr>
          <w:p>
            <w:r>
              <w:rPr>
                <w:sz w:val="17"/>
              </w:rPr>
              <w:t>2026-09-08</w:t>
            </w:r>
          </w:p>
        </w:tc>
        <w:tc>
          <w:tcPr>
            <w:tcW w:type="dxa" w:w="1440"/>
            <w:shd w:fill="FFDCE0" w:val="clear"/>
          </w:tcPr>
          <w:p>
            <w:r>
              <w:rPr>
                <w:sz w:val="17"/>
              </w:rPr>
              <w:t>2,015</w:t>
            </w:r>
          </w:p>
        </w:tc>
        <w:tc>
          <w:tcPr>
            <w:tcW w:type="dxa" w:w="1440"/>
            <w:shd w:fill="FFDCE0" w:val="clear"/>
          </w:tcPr>
          <w:p>
            <w:r>
              <w:rPr>
                <w:b/>
                <w:sz w:val="17"/>
              </w:rPr>
              <w:t>2,160</w:t>
            </w:r>
          </w:p>
        </w:tc>
        <w:tc>
          <w:tcPr>
            <w:tcW w:type="dxa" w:w="1440"/>
            <w:shd w:fill="FFDCE0" w:val="clear"/>
          </w:tcPr>
          <w:p>
            <w:r>
              <w:rPr>
                <w:sz w:val="17"/>
              </w:rPr>
              <w:t>2,304</w:t>
            </w:r>
          </w:p>
        </w:tc>
        <w:tc>
          <w:tcPr>
            <w:tcW w:type="dxa" w:w="1440"/>
            <w:shd w:fill="FFDCE0" w:val="clear"/>
          </w:tcPr>
          <w:p>
            <w:r>
              <w:rPr>
                <w:b/>
                <w:color w:val="C00000"/>
                <w:sz w:val="17"/>
              </w:rPr>
              <w:t>-10.0%</w:t>
            </w:r>
          </w:p>
        </w:tc>
      </w:tr>
      <w:tr>
        <w:tc>
          <w:tcPr>
            <w:tcW w:type="dxa" w:w="1440"/>
            <w:shd w:fill="FFDCE0" w:val="clear"/>
          </w:tcPr>
          <w:p>
            <w:r>
              <w:rPr>
                <w:sz w:val="17"/>
              </w:rPr>
              <w:t>J+4  ⭐</w:t>
            </w:r>
          </w:p>
        </w:tc>
        <w:tc>
          <w:tcPr>
            <w:tcW w:type="dxa" w:w="1440"/>
            <w:shd w:fill="FFDCE0" w:val="clear"/>
          </w:tcPr>
          <w:p>
            <w:r>
              <w:rPr>
                <w:sz w:val="17"/>
              </w:rPr>
              <w:t>2026-09-09</w:t>
            </w:r>
          </w:p>
        </w:tc>
        <w:tc>
          <w:tcPr>
            <w:tcW w:type="dxa" w:w="1440"/>
            <w:shd w:fill="FFDCE0" w:val="clear"/>
          </w:tcPr>
          <w:p>
            <w:r>
              <w:rPr>
                <w:sz w:val="17"/>
              </w:rPr>
              <w:t>1,948</w:t>
            </w:r>
          </w:p>
        </w:tc>
        <w:tc>
          <w:tcPr>
            <w:tcW w:type="dxa" w:w="1440"/>
            <w:shd w:fill="FFDCE0" w:val="clear"/>
          </w:tcPr>
          <w:p>
            <w:r>
              <w:rPr>
                <w:b/>
                <w:sz w:val="17"/>
              </w:rPr>
              <w:t>2,110</w:t>
            </w:r>
          </w:p>
        </w:tc>
        <w:tc>
          <w:tcPr>
            <w:tcW w:type="dxa" w:w="1440"/>
            <w:shd w:fill="FFDCE0" w:val="clear"/>
          </w:tcPr>
          <w:p>
            <w:r>
              <w:rPr>
                <w:sz w:val="17"/>
              </w:rPr>
              <w:t>2,273</w:t>
            </w:r>
          </w:p>
        </w:tc>
        <w:tc>
          <w:tcPr>
            <w:tcW w:type="dxa" w:w="1440"/>
            <w:shd w:fill="FFDCE0" w:val="clear"/>
          </w:tcPr>
          <w:p>
            <w:r>
              <w:rPr>
                <w:b/>
                <w:color w:val="C00000"/>
                <w:sz w:val="17"/>
              </w:rPr>
              <w:t>-12.1%</w:t>
            </w:r>
          </w:p>
        </w:tc>
      </w:tr>
      <w:tr>
        <w:tc>
          <w:tcPr>
            <w:tcW w:type="dxa" w:w="1440"/>
            <w:shd w:fill="FFDCE0" w:val="clear"/>
          </w:tcPr>
          <w:p>
            <w:r>
              <w:rPr>
                <w:sz w:val="17"/>
              </w:rPr>
              <w:t>J+5  ⭐</w:t>
            </w:r>
          </w:p>
        </w:tc>
        <w:tc>
          <w:tcPr>
            <w:tcW w:type="dxa" w:w="1440"/>
            <w:shd w:fill="FFDCE0" w:val="clear"/>
          </w:tcPr>
          <w:p>
            <w:r>
              <w:rPr>
                <w:sz w:val="17"/>
              </w:rPr>
              <w:t>2026-09-10</w:t>
            </w:r>
          </w:p>
        </w:tc>
        <w:tc>
          <w:tcPr>
            <w:tcW w:type="dxa" w:w="1440"/>
            <w:shd w:fill="FFDCE0" w:val="clear"/>
          </w:tcPr>
          <w:p>
            <w:r>
              <w:rPr>
                <w:sz w:val="17"/>
              </w:rPr>
              <w:t>1,884</w:t>
            </w:r>
          </w:p>
        </w:tc>
        <w:tc>
          <w:tcPr>
            <w:tcW w:type="dxa" w:w="1440"/>
            <w:shd w:fill="FFDCE0" w:val="clear"/>
          </w:tcPr>
          <w:p>
            <w:r>
              <w:rPr>
                <w:b/>
                <w:sz w:val="17"/>
              </w:rPr>
              <w:t>2,062</w:t>
            </w:r>
          </w:p>
        </w:tc>
        <w:tc>
          <w:tcPr>
            <w:tcW w:type="dxa" w:w="1440"/>
            <w:shd w:fill="FFDCE0" w:val="clear"/>
          </w:tcPr>
          <w:p>
            <w:r>
              <w:rPr>
                <w:sz w:val="17"/>
              </w:rPr>
              <w:t>2,240</w:t>
            </w:r>
          </w:p>
        </w:tc>
        <w:tc>
          <w:tcPr>
            <w:tcW w:type="dxa" w:w="1440"/>
            <w:shd w:fill="FFDCE0" w:val="clear"/>
          </w:tcPr>
          <w:p>
            <w:r>
              <w:rPr>
                <w:b/>
                <w:color w:val="C00000"/>
                <w:sz w:val="17"/>
              </w:rPr>
              <w:t>-14.1%</w:t>
            </w:r>
          </w:p>
        </w:tc>
      </w:tr>
      <w:tr>
        <w:tc>
          <w:tcPr>
            <w:tcW w:type="dxa" w:w="1440"/>
            <w:shd w:fill="FFDCE0" w:val="clear"/>
          </w:tcPr>
          <w:p>
            <w:r>
              <w:rPr>
                <w:sz w:val="17"/>
              </w:rPr>
              <w:t>J+6  ⭐</w:t>
            </w:r>
          </w:p>
        </w:tc>
        <w:tc>
          <w:tcPr>
            <w:tcW w:type="dxa" w:w="1440"/>
            <w:shd w:fill="FFDCE0" w:val="clear"/>
          </w:tcPr>
          <w:p>
            <w:r>
              <w:rPr>
                <w:sz w:val="17"/>
              </w:rPr>
              <w:t>2026-09-11</w:t>
            </w:r>
          </w:p>
        </w:tc>
        <w:tc>
          <w:tcPr>
            <w:tcW w:type="dxa" w:w="1440"/>
            <w:shd w:fill="FFDCE0" w:val="clear"/>
          </w:tcPr>
          <w:p>
            <w:r>
              <w:rPr>
                <w:sz w:val="17"/>
              </w:rPr>
              <w:t>1,825</w:t>
            </w:r>
          </w:p>
        </w:tc>
        <w:tc>
          <w:tcPr>
            <w:tcW w:type="dxa" w:w="1440"/>
            <w:shd w:fill="FFDCE0" w:val="clear"/>
          </w:tcPr>
          <w:p>
            <w:r>
              <w:rPr>
                <w:b/>
                <w:sz w:val="17"/>
              </w:rPr>
              <w:t>2,015</w:t>
            </w:r>
          </w:p>
        </w:tc>
        <w:tc>
          <w:tcPr>
            <w:tcW w:type="dxa" w:w="1440"/>
            <w:shd w:fill="FFDCE0" w:val="clear"/>
          </w:tcPr>
          <w:p>
            <w:r>
              <w:rPr>
                <w:sz w:val="17"/>
              </w:rPr>
              <w:t>2,206</w:t>
            </w:r>
          </w:p>
        </w:tc>
        <w:tc>
          <w:tcPr>
            <w:tcW w:type="dxa" w:w="1440"/>
            <w:shd w:fill="FFDCE0" w:val="clear"/>
          </w:tcPr>
          <w:p>
            <w:r>
              <w:rPr>
                <w:b/>
                <w:color w:val="C00000"/>
                <w:sz w:val="17"/>
              </w:rPr>
              <w:t>-16.0%</w:t>
            </w:r>
          </w:p>
        </w:tc>
      </w:tr>
      <w:tr>
        <w:tc>
          <w:tcPr>
            <w:tcW w:type="dxa" w:w="1440"/>
            <w:shd w:fill="FFDCE0" w:val="clear"/>
          </w:tcPr>
          <w:p>
            <w:r>
              <w:rPr>
                <w:sz w:val="17"/>
              </w:rPr>
              <w:t>J+7  ⭐</w:t>
            </w:r>
          </w:p>
        </w:tc>
        <w:tc>
          <w:tcPr>
            <w:tcW w:type="dxa" w:w="1440"/>
            <w:shd w:fill="FFDCE0" w:val="clear"/>
          </w:tcPr>
          <w:p>
            <w:r>
              <w:rPr>
                <w:sz w:val="17"/>
              </w:rPr>
              <w:t>2026-09-14</w:t>
            </w:r>
          </w:p>
        </w:tc>
        <w:tc>
          <w:tcPr>
            <w:tcW w:type="dxa" w:w="1440"/>
            <w:shd w:fill="FFDCE0" w:val="clear"/>
          </w:tcPr>
          <w:p>
            <w:r>
              <w:rPr>
                <w:sz w:val="17"/>
              </w:rPr>
              <w:t>1,769</w:t>
            </w:r>
          </w:p>
        </w:tc>
        <w:tc>
          <w:tcPr>
            <w:tcW w:type="dxa" w:w="1440"/>
            <w:shd w:fill="FFDCE0" w:val="clear"/>
          </w:tcPr>
          <w:p>
            <w:r>
              <w:rPr>
                <w:b/>
                <w:sz w:val="17"/>
              </w:rPr>
              <w:t>1,970</w:t>
            </w:r>
          </w:p>
        </w:tc>
        <w:tc>
          <w:tcPr>
            <w:tcW w:type="dxa" w:w="1440"/>
            <w:shd w:fill="FFDCE0" w:val="clear"/>
          </w:tcPr>
          <w:p>
            <w:r>
              <w:rPr>
                <w:sz w:val="17"/>
              </w:rPr>
              <w:t>2,171</w:t>
            </w:r>
          </w:p>
        </w:tc>
        <w:tc>
          <w:tcPr>
            <w:tcW w:type="dxa" w:w="1440"/>
            <w:shd w:fill="FFDCE0" w:val="clear"/>
          </w:tcPr>
          <w:p>
            <w:r>
              <w:rPr>
                <w:b/>
                <w:color w:val="C00000"/>
                <w:sz w:val="17"/>
              </w:rPr>
              <w:t>-17.9%</w:t>
            </w:r>
          </w:p>
        </w:tc>
      </w:tr>
      <w:tr>
        <w:tc>
          <w:tcPr>
            <w:tcW w:type="dxa" w:w="1440"/>
            <w:shd w:fill="FFDCE0" w:val="clear"/>
          </w:tcPr>
          <w:p>
            <w:r>
              <w:rPr>
                <w:sz w:val="17"/>
              </w:rPr>
              <w:t>J+8  ⭐</w:t>
            </w:r>
          </w:p>
        </w:tc>
        <w:tc>
          <w:tcPr>
            <w:tcW w:type="dxa" w:w="1440"/>
            <w:shd w:fill="FFDCE0" w:val="clear"/>
          </w:tcPr>
          <w:p>
            <w:r>
              <w:rPr>
                <w:sz w:val="17"/>
              </w:rPr>
              <w:t>2026-09-15</w:t>
            </w:r>
          </w:p>
        </w:tc>
        <w:tc>
          <w:tcPr>
            <w:tcW w:type="dxa" w:w="1440"/>
            <w:shd w:fill="FFDCE0" w:val="clear"/>
          </w:tcPr>
          <w:p>
            <w:r>
              <w:rPr>
                <w:sz w:val="17"/>
              </w:rPr>
              <w:t>1,716</w:t>
            </w:r>
          </w:p>
        </w:tc>
        <w:tc>
          <w:tcPr>
            <w:tcW w:type="dxa" w:w="1440"/>
            <w:shd w:fill="FFDCE0" w:val="clear"/>
          </w:tcPr>
          <w:p>
            <w:r>
              <w:rPr>
                <w:b/>
                <w:sz w:val="17"/>
              </w:rPr>
              <w:t>1,926</w:t>
            </w:r>
          </w:p>
        </w:tc>
        <w:tc>
          <w:tcPr>
            <w:tcW w:type="dxa" w:w="1440"/>
            <w:shd w:fill="FFDCE0" w:val="clear"/>
          </w:tcPr>
          <w:p>
            <w:r>
              <w:rPr>
                <w:sz w:val="17"/>
              </w:rPr>
              <w:t>2,137</w:t>
            </w:r>
          </w:p>
        </w:tc>
        <w:tc>
          <w:tcPr>
            <w:tcW w:type="dxa" w:w="1440"/>
            <w:shd w:fill="FFDCE0" w:val="clear"/>
          </w:tcPr>
          <w:p>
            <w:r>
              <w:rPr>
                <w:b/>
                <w:color w:val="C00000"/>
                <w:sz w:val="17"/>
              </w:rPr>
              <w:t>-19.7%</w:t>
            </w:r>
          </w:p>
        </w:tc>
      </w:tr>
      <w:tr>
        <w:tc>
          <w:tcPr>
            <w:tcW w:type="dxa" w:w="1440"/>
            <w:shd w:fill="FFDCE0" w:val="clear"/>
          </w:tcPr>
          <w:p>
            <w:r>
              <w:rPr>
                <w:sz w:val="17"/>
              </w:rPr>
              <w:t>J+9  ⭐</w:t>
            </w:r>
          </w:p>
        </w:tc>
        <w:tc>
          <w:tcPr>
            <w:tcW w:type="dxa" w:w="1440"/>
            <w:shd w:fill="FFDCE0" w:val="clear"/>
          </w:tcPr>
          <w:p>
            <w:r>
              <w:rPr>
                <w:sz w:val="17"/>
              </w:rPr>
              <w:t>2026-09-16</w:t>
            </w:r>
          </w:p>
        </w:tc>
        <w:tc>
          <w:tcPr>
            <w:tcW w:type="dxa" w:w="1440"/>
            <w:shd w:fill="FFDCE0" w:val="clear"/>
          </w:tcPr>
          <w:p>
            <w:r>
              <w:rPr>
                <w:sz w:val="17"/>
              </w:rPr>
              <w:t>1,666</w:t>
            </w:r>
          </w:p>
        </w:tc>
        <w:tc>
          <w:tcPr>
            <w:tcW w:type="dxa" w:w="1440"/>
            <w:shd w:fill="FFDCE0" w:val="clear"/>
          </w:tcPr>
          <w:p>
            <w:r>
              <w:rPr>
                <w:b/>
                <w:sz w:val="17"/>
              </w:rPr>
              <w:t>1,884</w:t>
            </w:r>
          </w:p>
        </w:tc>
        <w:tc>
          <w:tcPr>
            <w:tcW w:type="dxa" w:w="1440"/>
            <w:shd w:fill="FFDCE0" w:val="clear"/>
          </w:tcPr>
          <w:p>
            <w:r>
              <w:rPr>
                <w:sz w:val="17"/>
              </w:rPr>
              <w:t>2,102</w:t>
            </w:r>
          </w:p>
        </w:tc>
        <w:tc>
          <w:tcPr>
            <w:tcW w:type="dxa" w:w="1440"/>
            <w:shd w:fill="FFDCE0" w:val="clear"/>
          </w:tcPr>
          <w:p>
            <w:r>
              <w:rPr>
                <w:b/>
                <w:color w:val="C00000"/>
                <w:sz w:val="17"/>
              </w:rPr>
              <w:t>-21.5%</w:t>
            </w:r>
          </w:p>
        </w:tc>
      </w:tr>
      <w:tr>
        <w:tc>
          <w:tcPr>
            <w:tcW w:type="dxa" w:w="1440"/>
            <w:shd w:fill="FFDCE0" w:val="clear"/>
          </w:tcPr>
          <w:p>
            <w:r>
              <w:rPr>
                <w:sz w:val="17"/>
              </w:rPr>
              <w:t>J+10  ⭐</w:t>
            </w:r>
          </w:p>
        </w:tc>
        <w:tc>
          <w:tcPr>
            <w:tcW w:type="dxa" w:w="1440"/>
            <w:shd w:fill="FFDCE0" w:val="clear"/>
          </w:tcPr>
          <w:p>
            <w:r>
              <w:rPr>
                <w:sz w:val="17"/>
              </w:rPr>
              <w:t>2026-09-17</w:t>
            </w:r>
          </w:p>
        </w:tc>
        <w:tc>
          <w:tcPr>
            <w:tcW w:type="dxa" w:w="1440"/>
            <w:shd w:fill="FFDCE0" w:val="clear"/>
          </w:tcPr>
          <w:p>
            <w:r>
              <w:rPr>
                <w:sz w:val="17"/>
              </w:rPr>
              <w:t>1,619</w:t>
            </w:r>
          </w:p>
        </w:tc>
        <w:tc>
          <w:tcPr>
            <w:tcW w:type="dxa" w:w="1440"/>
            <w:shd w:fill="FFDCE0" w:val="clear"/>
          </w:tcPr>
          <w:p>
            <w:r>
              <w:rPr>
                <w:b/>
                <w:sz w:val="17"/>
              </w:rPr>
              <w:t>1,844</w:t>
            </w:r>
          </w:p>
        </w:tc>
        <w:tc>
          <w:tcPr>
            <w:tcW w:type="dxa" w:w="1440"/>
            <w:shd w:fill="FFDCE0" w:val="clear"/>
          </w:tcPr>
          <w:p>
            <w:r>
              <w:rPr>
                <w:sz w:val="17"/>
              </w:rPr>
              <w:t>2,068</w:t>
            </w:r>
          </w:p>
        </w:tc>
        <w:tc>
          <w:tcPr>
            <w:tcW w:type="dxa" w:w="1440"/>
            <w:shd w:fill="FFDCE0" w:val="clear"/>
          </w:tcPr>
          <w:p>
            <w:r>
              <w:rPr>
                <w:b/>
                <w:color w:val="C00000"/>
                <w:sz w:val="17"/>
              </w:rPr>
              <w:t>-23.2%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SIVC s'établit à 20,96 milliards FCFA, un niveau modeste dans l'écosystème BRVM qui la positionne comme une valeur de moyenne capitalisation. Le BPA de 43 FCFA par action génère un PER de 55,6x, extrêmement élevé au regard de la moyenne historique de la place qui se situe entre 8 et 12x, indiquant que les investisseurs paient une prime considérable pour chaque franc de bénéfice. Le P/B de 6,41x confirme cette surévaluation relative, le marché valorisant l'actif net comptable plus de six fois au-dessus de sa valeur, tandis que l'EV/EBITDA de 17,5x traduit une valeur d'entreprise très exigeante par rapport à la capacité opérationnelle. Ces ratios combinés suggèrent que le titre intègre des anticipations de croissance très optimistes qui ne sont pas encore matérialisées dans les résultats actuels, exposant l'investisseur à un risque de correction significatif si les performances ne suivent pas.</w:t>
      </w:r>
    </w:p>
    <w:p>
      <w:pPr>
        <w:spacing w:after="120" w:line="276" w:lineRule="auto" w:before="240"/>
      </w:pPr>
      <w:r>
        <w:rPr>
          <w:b/>
          <w:color w:val="003366"/>
          <w:sz w:val="24"/>
        </w:rPr>
        <w:t>**PARTIE 1 : ANALYSE DU COURS — STATISTIQUES ET ÉVOLUTION (100 derniers jours)**</w:t>
      </w:r>
    </w:p>
    <w:p>
      <w:pPr>
        <w:spacing w:after="120" w:line="276" w:lineRule="auto"/>
      </w:pPr>
      <w:r>
        <w:t>Sur la période des 100 derniers jours, le titre SIVC accuse une dépréciation de 20,13%, avec une dernière séance en baisse de 1,03% à 2 400 FCFA, illustrant une pression vendeuse persistante. Le cours a évolué dans un range de 1 920 à 3 215 FCFA, soit une amplitude de 67%, témoignant d'une forte incertitude sur la valeur. La moyenne de 2 573 FCFA est inférieure à la médiane de 2 632 FCFA, indiquant une distribution légèrement asymétrique où les périodes de faibles cours ont été plus fréquentes. L'écart-type de 287 FCFA avec un coefficient de variation de 11,1% révèle une dispersion modérée autour de la moyenne, tandis que le kurtosis de -0,995 (mésokurtique) suggère l'absence de mouvements extrêmes imprévisibles, et le skewness de -0,158 confirme une symétrie relative de la distribution. La volatilité annualisée de 50,9% classe le titre dans la catégorie des valeurs à très haut risque, bien au-delà du seuil de 30% considéré comme élevé, ce qui exige une grande prudence de la part des investisseurs.</w:t>
      </w:r>
    </w:p>
    <w:p>
      <w:pPr>
        <w:spacing w:after="120" w:line="276" w:lineRule="auto" w:before="240"/>
      </w:pPr>
      <w:r>
        <w:rPr>
          <w:b/>
          <w:color w:val="003366"/>
          <w:sz w:val="24"/>
        </w:rPr>
        <w:t>**PARTIE 2 : ANALYSE TECHNIQUE DÉTAILLÉE**</w:t>
      </w:r>
    </w:p>
    <w:p>
      <w:pPr>
        <w:spacing w:after="120" w:line="276" w:lineRule="auto"/>
      </w:pPr>
      <w:r>
        <w:t>**Moyennes Mobiles** : Le cours actuel de 2 400 FCFA se positionne au-dessus de la MM20 (2 350,5 FCFA) et de la MM50 (2 324,9 FCFA), configuration qui génère un signal d'achat. Cette situation indique que la tendance de court terme reprend le dessus sur la tendance moyenne, suggérant un potentiel de rebond technique après la phase de correction sévère.</w:t>
      </w:r>
    </w:p>
    <w:p>
      <w:pPr>
        <w:spacing w:after="120" w:line="276" w:lineRule="auto"/>
      </w:pPr>
      <w:r>
        <w:t>**Bandes de Bollinger** : Le prix évolue entre la borne inférieure de 2 161,74 FCFA et la borne supérieure de 2 539,26 FCFA, se situant à environ 55% de la largeur des bandes. Cette position médiane génère une décision neutre, indiquant que le marché n'est ni en situation de surachat ni de survente, avec une volatilité qui se normalise après les fortes fluctuations passées.</w:t>
      </w:r>
    </w:p>
    <w:p>
      <w:pPr>
        <w:spacing w:after="120" w:line="276" w:lineRule="auto"/>
      </w:pPr>
      <w:r>
        <w:t>**MACD** : La valeur du MACD à 17,253 est supérieure à son signal à 9,701, créant une divergence positive qui confirme un momentum haussier en cours de formation. Cette configuration technique, qui génère une décision d'achat, suggère que la dynamique baissière s'essouffle et qu'un retournement de tendance pourrait s'amorcer à moyen terme.</w:t>
      </w:r>
    </w:p>
    <w:p>
      <w:pPr>
        <w:spacing w:after="120" w:line="276" w:lineRule="auto"/>
      </w:pPr>
      <w:r>
        <w:t>**RSI** : L'indice de force relative s'établit à 48,611, positionné exactement dans la zone neutre entre 30 et 70, ce qui traduit un équilibre entre pressions acheteuses et vendeuses. Cette valeur neutre indique que le titre n'est ni suracheté ni survendu, laissant place à une évolution directionnelle sans contrainte technique particulière.</w:t>
      </w:r>
    </w:p>
    <w:p>
      <w:pPr>
        <w:spacing w:after="120" w:line="276" w:lineRule="auto"/>
      </w:pPr>
      <w:r>
        <w:t>**Stochastique** : Le %K à 75,0 et le %D à 77,778 évoluent dans la zone haute sans toutefois atteindre le seuil critique de surachat à 80. La convergence des deux lignes avec une décision neutre suggère que le momentum haussier récent pourrait marquer une pause, les acheteurs ayant besoin de consolider leurs positions avant une éventuelle poursuite du mouvement.</w:t>
      </w:r>
    </w:p>
    <w:p>
      <w:pPr>
        <w:spacing w:after="120" w:line="276" w:lineRule="auto"/>
      </w:pPr>
      <w:r>
        <w:t>**Conclusion technique** : La convergence des signaux est globalement positive avec les moyennes mobiles et le MACD en configuration d'achat, tempérée par la neutralité du RSI, des bandes de Bollinger et du stochastique. L'ensemble dessine un scénario de stabilisation après la chute, avec un potentiel de rebond technique qui devra être confirmé par un passage au-dessus de la borne supérieure des bandes de Bollinger à 2 539 FCFA.</w:t>
      </w:r>
    </w:p>
    <w:p>
      <w:pPr>
        <w:spacing w:after="120" w:line="276" w:lineRule="auto" w:before="240"/>
      </w:pPr>
      <w:r>
        <w:rPr>
          <w:b/>
          <w:color w:val="003366"/>
          <w:sz w:val="24"/>
        </w:rPr>
        <w:t>**PARTIE 3 : ANALYSE FONDAMENTALE (SECTION CRITIQUE)**</w:t>
      </w:r>
    </w:p>
    <w:p>
      <w:pPr>
        <w:spacing w:after="120" w:line="276" w:lineRule="auto"/>
      </w:pPr>
      <w:r>
        <w:t>En 2024, les données structurées présentent SIVC avec un PNB de 9,283 milliards FCFA et un résultat net de 376,96 millions FCFA, générant un ROE de 11,52% et un ROA de 2,69%. Le coefficient d'exploitation de 95,83% est extrêmement préoccupant pour une banque, indiquant que les charges absorbent la quasi-totalité du produit net bancaire, tandis que le coût du risque de 3,10% suggère un portefeuille de crédit dégradé. La structure financière montre une autonomie de 23,34%, inférieure au seuil de 30% considéré comme sain, avec des capitaux propres de 3,272 milliards FCFA pour un total bilan de 14,023 milliards. Les rapports narratifs révèlent une trajectoire contrastée : le rapport annuel 2025 (analysé le 29 juin 2026) fait état d'un chiffre d'affaires en hausse de 8,53% à 10,075 milliards FCFA mais d'un résultat net en chute de 52,4% à 179,3 millions FCFA, avec une marge nette dégradée à 1,78%. Cependant, les rapports semestriels 2025 (S1 : résultat net de 512,9 millions FCFA, +4,6%) et du 3ème trimestre 2025 (résultat net de 832,5 millions FCFA, +58%) montrent une amélioration spectaculaire en cours d'exercice, laissant estimer un résultat annuel 2025 potentiellement supérieur à 1 milliard FCFA, contredisant les données du rapport annuel. La société, devenue ERIUM CI suite au changement de dénomination sociale voté en juillet 2024 et au franchissement de seuil par Air Liquide International qui a cédé sa participation de 72,08% à ERIUM LTD en novembre 2025, traverse une période de transition actionnariale majeure.</w:t>
      </w:r>
    </w:p>
    <w:p>
      <w:pPr>
        <w:spacing w:after="120" w:line="276" w:lineRule="auto" w:before="240"/>
      </w:pPr>
      <w:r>
        <w:rPr>
          <w:b/>
          <w:color w:val="003366"/>
          <w:sz w:val="24"/>
        </w:rPr>
        <w:t>**PARTIE 4 : CONCLUSION D'INVESTISSEMENT**</w:t>
      </w:r>
    </w:p>
    <w:p>
      <w:pPr>
        <w:spacing w:after="120" w:line="276" w:lineRule="auto"/>
      </w:pPr>
      <w:r>
        <w:t>La synthèse globale révèle des contradictions majeures : la valorisation boursière avec un PER de 55,6x et un P/B de 6,41x indique une surévaluation flagrante, tandis que le comportement du cours avec une chute de 20,13% sur 100 jours et une volatilité annualisée de 50,9% témoigne d'un risque élevé. Les signaux techniques montrent une légère convergence haussière (MM et MACD positifs) mais restent majoritairement neutres, suggérant une stabilisation fragile. Les fondamentaux présentent un paradoxe entre la dégradation des résultats annuels 2025 et l'amélioration spectaculaire des rapports trimestriels, compliquée par le changement de contrôle actionnarial. Les prédictions IA projetant une baisse continue de 2 242 à 2 062 FCFA sur 10 jours contredisent les signaux techniques et confirment la pression vendeuse persistante. La recommandation finale est **VENTE** avec un niveau de confiance **Moyen**, le risque global étant **Élevé**. L'horizon d'investissement optimal est le court terme (&lt;3 mois) pour les investisseurs existants cherchant à limiter leurs pertes, tandis que les nouveaux entrants devraient attendre une clarification de la stratégie d'ERIUM LTD et une stabilisation des résultats avant toute prise de position.</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625.35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1,220 titres</w:t>
            </w:r>
          </w:p>
        </w:tc>
        <w:tc>
          <w:tcPr>
            <w:tcW w:type="dxa" w:w="2268"/>
            <w:shd w:fill="FFF2CC" w:val="clear"/>
          </w:tcPr>
          <w:p>
            <w:r>
              <w:rPr>
                <w:b/>
                <w:color w:val="503200"/>
                <w:sz w:val="16"/>
              </w:rPr>
              <w:t xml:space="preserve">Cours actuel : </w:t>
            </w:r>
            <w:r>
              <w:rPr>
                <w:color w:val="000000"/>
                <w:sz w:val="17"/>
              </w:rPr>
              <w:t>37,990 FCFA</w:t>
            </w:r>
          </w:p>
          <w:p>
            <w:r>
              <w:rPr>
                <w:b/>
                <w:color w:val="503200"/>
                <w:sz w:val="16"/>
              </w:rPr>
              <w:t xml:space="preserve">Var. 100 jours : </w:t>
            </w:r>
            <w:r>
              <w:rPr>
                <w:b/>
                <w:color w:val="007800"/>
                <w:sz w:val="17"/>
              </w:rPr>
              <w:t>+1.31%</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35,540 FCFA</w:t>
            </w:r>
          </w:p>
          <w:p>
            <w:r>
              <w:rPr>
                <w:b/>
                <w:color w:val="503200"/>
                <w:sz w:val="16"/>
              </w:rPr>
              <w:t xml:space="preserve">Volatilité ann. : </w:t>
            </w:r>
            <w:r>
              <w:rPr>
                <w:color w:val="000000"/>
                <w:sz w:val="17"/>
              </w:rPr>
              <w:t>29.7%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2.50% (Faible) — μ=38,308 FCFA, σ=957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β=0.0410 (Défensif) — Cov=0.000001, Var(idx)=0.000036, ρ=0.013,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1,220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σ_j=1.87%/j (Stable) — Vol. annualisée≈29.7%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2026-09-04</w:t>
            </w:r>
          </w:p>
        </w:tc>
        <w:tc>
          <w:tcPr>
            <w:tcW w:type="dxa" w:w="1440"/>
            <w:shd w:fill="FAFAFA" w:val="clear"/>
          </w:tcPr>
          <w:p>
            <w:r>
              <w:rPr>
                <w:sz w:val="17"/>
              </w:rPr>
              <w:t>36,688</w:t>
            </w:r>
          </w:p>
        </w:tc>
        <w:tc>
          <w:tcPr>
            <w:tcW w:type="dxa" w:w="1440"/>
            <w:shd w:fill="FAFAFA" w:val="clear"/>
          </w:tcPr>
          <w:p>
            <w:r>
              <w:rPr>
                <w:b/>
                <w:sz w:val="17"/>
              </w:rPr>
              <w:t>37,940</w:t>
            </w:r>
          </w:p>
        </w:tc>
        <w:tc>
          <w:tcPr>
            <w:tcW w:type="dxa" w:w="1440"/>
            <w:shd w:fill="FAFAFA" w:val="clear"/>
          </w:tcPr>
          <w:p>
            <w:r>
              <w:rPr>
                <w:sz w:val="17"/>
              </w:rPr>
              <w:t>39,192</w:t>
            </w:r>
          </w:p>
        </w:tc>
        <w:tc>
          <w:tcPr>
            <w:tcW w:type="dxa" w:w="1440"/>
            <w:shd w:fill="FAFAFA" w:val="clear"/>
          </w:tcPr>
          <w:p>
            <w:r>
              <w:rPr>
                <w:b/>
                <w:color w:val="C00000"/>
                <w:sz w:val="17"/>
              </w:rPr>
              <w:t>-0.1%</w:t>
            </w:r>
          </w:p>
        </w:tc>
      </w:tr>
      <w:tr>
        <w:tc>
          <w:tcPr>
            <w:tcW w:type="dxa" w:w="1440"/>
            <w:shd w:fill="FAFAFA" w:val="clear"/>
          </w:tcPr>
          <w:p>
            <w:r>
              <w:rPr>
                <w:sz w:val="17"/>
              </w:rPr>
              <w:t>J+2  ⭐⭐⭐</w:t>
            </w:r>
          </w:p>
        </w:tc>
        <w:tc>
          <w:tcPr>
            <w:tcW w:type="dxa" w:w="1440"/>
            <w:shd w:fill="FAFAFA" w:val="clear"/>
          </w:tcPr>
          <w:p>
            <w:r>
              <w:rPr>
                <w:sz w:val="17"/>
              </w:rPr>
              <w:t>2026-09-07</w:t>
            </w:r>
          </w:p>
        </w:tc>
        <w:tc>
          <w:tcPr>
            <w:tcW w:type="dxa" w:w="1440"/>
            <w:shd w:fill="FAFAFA" w:val="clear"/>
          </w:tcPr>
          <w:p>
            <w:r>
              <w:rPr>
                <w:sz w:val="17"/>
              </w:rPr>
              <w:t>36,149</w:t>
            </w:r>
          </w:p>
        </w:tc>
        <w:tc>
          <w:tcPr>
            <w:tcW w:type="dxa" w:w="1440"/>
            <w:shd w:fill="FAFAFA" w:val="clear"/>
          </w:tcPr>
          <w:p>
            <w:r>
              <w:rPr>
                <w:b/>
                <w:sz w:val="17"/>
              </w:rPr>
              <w:t>37,918</w:t>
            </w:r>
          </w:p>
        </w:tc>
        <w:tc>
          <w:tcPr>
            <w:tcW w:type="dxa" w:w="1440"/>
            <w:shd w:fill="FAFAFA" w:val="clear"/>
          </w:tcPr>
          <w:p>
            <w:r>
              <w:rPr>
                <w:sz w:val="17"/>
              </w:rPr>
              <w:t>39,688</w:t>
            </w:r>
          </w:p>
        </w:tc>
        <w:tc>
          <w:tcPr>
            <w:tcW w:type="dxa" w:w="1440"/>
            <w:shd w:fill="FAFAFA" w:val="clear"/>
          </w:tcPr>
          <w:p>
            <w:r>
              <w:rPr>
                <w:b/>
                <w:color w:val="C00000"/>
                <w:sz w:val="17"/>
              </w:rPr>
              <w:t>-0.2%</w:t>
            </w:r>
          </w:p>
        </w:tc>
      </w:tr>
      <w:tr>
        <w:tc>
          <w:tcPr>
            <w:tcW w:type="dxa" w:w="1440"/>
            <w:shd w:fill="FAFAFA" w:val="clear"/>
          </w:tcPr>
          <w:p>
            <w:r>
              <w:rPr>
                <w:sz w:val="17"/>
              </w:rPr>
              <w:t>J+3  ⭐⭐⭐</w:t>
            </w:r>
          </w:p>
        </w:tc>
        <w:tc>
          <w:tcPr>
            <w:tcW w:type="dxa" w:w="1440"/>
            <w:shd w:fill="FAFAFA" w:val="clear"/>
          </w:tcPr>
          <w:p>
            <w:r>
              <w:rPr>
                <w:sz w:val="17"/>
              </w:rPr>
              <w:t>2026-09-08</w:t>
            </w:r>
          </w:p>
        </w:tc>
        <w:tc>
          <w:tcPr>
            <w:tcW w:type="dxa" w:w="1440"/>
            <w:shd w:fill="FAFAFA" w:val="clear"/>
          </w:tcPr>
          <w:p>
            <w:r>
              <w:rPr>
                <w:sz w:val="17"/>
              </w:rPr>
              <w:t>35,716</w:t>
            </w:r>
          </w:p>
        </w:tc>
        <w:tc>
          <w:tcPr>
            <w:tcW w:type="dxa" w:w="1440"/>
            <w:shd w:fill="FAFAFA" w:val="clear"/>
          </w:tcPr>
          <w:p>
            <w:r>
              <w:rPr>
                <w:b/>
                <w:sz w:val="17"/>
              </w:rPr>
              <w:t>37,881</w:t>
            </w:r>
          </w:p>
        </w:tc>
        <w:tc>
          <w:tcPr>
            <w:tcW w:type="dxa" w:w="1440"/>
            <w:shd w:fill="FAFAFA" w:val="clear"/>
          </w:tcPr>
          <w:p>
            <w:r>
              <w:rPr>
                <w:sz w:val="17"/>
              </w:rPr>
              <w:t>40,047</w:t>
            </w:r>
          </w:p>
        </w:tc>
        <w:tc>
          <w:tcPr>
            <w:tcW w:type="dxa" w:w="1440"/>
            <w:shd w:fill="FAFAFA" w:val="clear"/>
          </w:tcPr>
          <w:p>
            <w:r>
              <w:rPr>
                <w:b/>
                <w:color w:val="C00000"/>
                <w:sz w:val="17"/>
              </w:rPr>
              <w:t>-0.3%</w:t>
            </w:r>
          </w:p>
        </w:tc>
      </w:tr>
      <w:tr>
        <w:tc>
          <w:tcPr>
            <w:tcW w:type="dxa" w:w="1440"/>
            <w:shd w:fill="FAFAFA" w:val="clear"/>
          </w:tcPr>
          <w:p>
            <w:r>
              <w:rPr>
                <w:sz w:val="17"/>
              </w:rPr>
              <w:t>J+4  Moyenne</w:t>
            </w:r>
          </w:p>
        </w:tc>
        <w:tc>
          <w:tcPr>
            <w:tcW w:type="dxa" w:w="1440"/>
            <w:shd w:fill="FAFAFA" w:val="clear"/>
          </w:tcPr>
          <w:p>
            <w:r>
              <w:rPr>
                <w:sz w:val="17"/>
              </w:rPr>
              <w:t>2026-09-09</w:t>
            </w:r>
          </w:p>
        </w:tc>
        <w:tc>
          <w:tcPr>
            <w:tcW w:type="dxa" w:w="1440"/>
            <w:shd w:fill="FAFAFA" w:val="clear"/>
          </w:tcPr>
          <w:p>
            <w:r>
              <w:rPr>
                <w:sz w:val="17"/>
              </w:rPr>
              <w:t>35,345</w:t>
            </w:r>
          </w:p>
        </w:tc>
        <w:tc>
          <w:tcPr>
            <w:tcW w:type="dxa" w:w="1440"/>
            <w:shd w:fill="FAFAFA" w:val="clear"/>
          </w:tcPr>
          <w:p>
            <w:r>
              <w:rPr>
                <w:b/>
                <w:sz w:val="17"/>
              </w:rPr>
              <w:t>37,843</w:t>
            </w:r>
          </w:p>
        </w:tc>
        <w:tc>
          <w:tcPr>
            <w:tcW w:type="dxa" w:w="1440"/>
            <w:shd w:fill="FAFAFA" w:val="clear"/>
          </w:tcPr>
          <w:p>
            <w:r>
              <w:rPr>
                <w:sz w:val="17"/>
              </w:rPr>
              <w:t>40,340</w:t>
            </w:r>
          </w:p>
        </w:tc>
        <w:tc>
          <w:tcPr>
            <w:tcW w:type="dxa" w:w="1440"/>
            <w:shd w:fill="FAFAFA" w:val="clear"/>
          </w:tcPr>
          <w:p>
            <w:r>
              <w:rPr>
                <w:b/>
                <w:color w:val="C00000"/>
                <w:sz w:val="17"/>
              </w:rPr>
              <w:t>-0.4%</w:t>
            </w:r>
          </w:p>
        </w:tc>
      </w:tr>
      <w:tr>
        <w:tc>
          <w:tcPr>
            <w:tcW w:type="dxa" w:w="1440"/>
            <w:shd w:fill="FAFAFA" w:val="clear"/>
          </w:tcPr>
          <w:p>
            <w:r>
              <w:rPr>
                <w:sz w:val="17"/>
              </w:rPr>
              <w:t>J+5  Moyenne</w:t>
            </w:r>
          </w:p>
        </w:tc>
        <w:tc>
          <w:tcPr>
            <w:tcW w:type="dxa" w:w="1440"/>
            <w:shd w:fill="FAFAFA" w:val="clear"/>
          </w:tcPr>
          <w:p>
            <w:r>
              <w:rPr>
                <w:sz w:val="17"/>
              </w:rPr>
              <w:t>2026-09-10</w:t>
            </w:r>
          </w:p>
        </w:tc>
        <w:tc>
          <w:tcPr>
            <w:tcW w:type="dxa" w:w="1440"/>
            <w:shd w:fill="FAFAFA" w:val="clear"/>
          </w:tcPr>
          <w:p>
            <w:r>
              <w:rPr>
                <w:sz w:val="17"/>
              </w:rPr>
              <w:t>35,015</w:t>
            </w:r>
          </w:p>
        </w:tc>
        <w:tc>
          <w:tcPr>
            <w:tcW w:type="dxa" w:w="1440"/>
            <w:shd w:fill="FAFAFA" w:val="clear"/>
          </w:tcPr>
          <w:p>
            <w:r>
              <w:rPr>
                <w:b/>
                <w:sz w:val="17"/>
              </w:rPr>
              <w:t>37,805</w:t>
            </w:r>
          </w:p>
        </w:tc>
        <w:tc>
          <w:tcPr>
            <w:tcW w:type="dxa" w:w="1440"/>
            <w:shd w:fill="FAFAFA" w:val="clear"/>
          </w:tcPr>
          <w:p>
            <w:r>
              <w:rPr>
                <w:sz w:val="17"/>
              </w:rPr>
              <w:t>40,594</w:t>
            </w:r>
          </w:p>
        </w:tc>
        <w:tc>
          <w:tcPr>
            <w:tcW w:type="dxa" w:w="1440"/>
            <w:shd w:fill="FAFAFA" w:val="clear"/>
          </w:tcPr>
          <w:p>
            <w:r>
              <w:rPr>
                <w:b/>
                <w:color w:val="C00000"/>
                <w:sz w:val="17"/>
              </w:rPr>
              <w:t>-0.5%</w:t>
            </w:r>
          </w:p>
        </w:tc>
      </w:tr>
      <w:tr>
        <w:tc>
          <w:tcPr>
            <w:tcW w:type="dxa" w:w="1440"/>
            <w:shd w:fill="FAFAFA" w:val="clear"/>
          </w:tcPr>
          <w:p>
            <w:r>
              <w:rPr>
                <w:sz w:val="17"/>
              </w:rPr>
              <w:t>J+6  Moyenne</w:t>
            </w:r>
          </w:p>
        </w:tc>
        <w:tc>
          <w:tcPr>
            <w:tcW w:type="dxa" w:w="1440"/>
            <w:shd w:fill="FAFAFA" w:val="clear"/>
          </w:tcPr>
          <w:p>
            <w:r>
              <w:rPr>
                <w:sz w:val="17"/>
              </w:rPr>
              <w:t>2026-09-11</w:t>
            </w:r>
          </w:p>
        </w:tc>
        <w:tc>
          <w:tcPr>
            <w:tcW w:type="dxa" w:w="1440"/>
            <w:shd w:fill="FAFAFA" w:val="clear"/>
          </w:tcPr>
          <w:p>
            <w:r>
              <w:rPr>
                <w:sz w:val="17"/>
              </w:rPr>
              <w:t>34,715</w:t>
            </w:r>
          </w:p>
        </w:tc>
        <w:tc>
          <w:tcPr>
            <w:tcW w:type="dxa" w:w="1440"/>
            <w:shd w:fill="FAFAFA" w:val="clear"/>
          </w:tcPr>
          <w:p>
            <w:r>
              <w:rPr>
                <w:b/>
                <w:sz w:val="17"/>
              </w:rPr>
              <w:t>37,768</w:t>
            </w:r>
          </w:p>
        </w:tc>
        <w:tc>
          <w:tcPr>
            <w:tcW w:type="dxa" w:w="1440"/>
            <w:shd w:fill="FAFAFA" w:val="clear"/>
          </w:tcPr>
          <w:p>
            <w:r>
              <w:rPr>
                <w:sz w:val="17"/>
              </w:rPr>
              <w:t>40,820</w:t>
            </w:r>
          </w:p>
        </w:tc>
        <w:tc>
          <w:tcPr>
            <w:tcW w:type="dxa" w:w="1440"/>
            <w:shd w:fill="FAFAFA" w:val="clear"/>
          </w:tcPr>
          <w:p>
            <w:r>
              <w:rPr>
                <w:b/>
                <w:color w:val="C00000"/>
                <w:sz w:val="17"/>
              </w:rPr>
              <w:t>-0.6%</w:t>
            </w:r>
          </w:p>
        </w:tc>
      </w:tr>
      <w:tr>
        <w:tc>
          <w:tcPr>
            <w:tcW w:type="dxa" w:w="1440"/>
            <w:shd w:fill="FAFAFA" w:val="clear"/>
          </w:tcPr>
          <w:p>
            <w:r>
              <w:rPr>
                <w:sz w:val="17"/>
              </w:rPr>
              <w:t>J+7  Moyenne</w:t>
            </w:r>
          </w:p>
        </w:tc>
        <w:tc>
          <w:tcPr>
            <w:tcW w:type="dxa" w:w="1440"/>
            <w:shd w:fill="FAFAFA" w:val="clear"/>
          </w:tcPr>
          <w:p>
            <w:r>
              <w:rPr>
                <w:sz w:val="17"/>
              </w:rPr>
              <w:t>2026-09-14</w:t>
            </w:r>
          </w:p>
        </w:tc>
        <w:tc>
          <w:tcPr>
            <w:tcW w:type="dxa" w:w="1440"/>
            <w:shd w:fill="FAFAFA" w:val="clear"/>
          </w:tcPr>
          <w:p>
            <w:r>
              <w:rPr>
                <w:sz w:val="17"/>
              </w:rPr>
              <w:t>34,437</w:t>
            </w:r>
          </w:p>
        </w:tc>
        <w:tc>
          <w:tcPr>
            <w:tcW w:type="dxa" w:w="1440"/>
            <w:shd w:fill="FAFAFA" w:val="clear"/>
          </w:tcPr>
          <w:p>
            <w:r>
              <w:rPr>
                <w:b/>
                <w:sz w:val="17"/>
              </w:rPr>
              <w:t>37,732</w:t>
            </w:r>
          </w:p>
        </w:tc>
        <w:tc>
          <w:tcPr>
            <w:tcW w:type="dxa" w:w="1440"/>
            <w:shd w:fill="FAFAFA" w:val="clear"/>
          </w:tcPr>
          <w:p>
            <w:r>
              <w:rPr>
                <w:sz w:val="17"/>
              </w:rPr>
              <w:t>41,026</w:t>
            </w:r>
          </w:p>
        </w:tc>
        <w:tc>
          <w:tcPr>
            <w:tcW w:type="dxa" w:w="1440"/>
            <w:shd w:fill="FAFAFA" w:val="clear"/>
          </w:tcPr>
          <w:p>
            <w:r>
              <w:rPr>
                <w:b/>
                <w:color w:val="C00000"/>
                <w:sz w:val="17"/>
              </w:rPr>
              <w:t>-0.7%</w:t>
            </w:r>
          </w:p>
        </w:tc>
      </w:tr>
      <w:tr>
        <w:tc>
          <w:tcPr>
            <w:tcW w:type="dxa" w:w="1440"/>
            <w:shd w:fill="FAFAFA" w:val="clear"/>
          </w:tcPr>
          <w:p>
            <w:r>
              <w:rPr>
                <w:sz w:val="17"/>
              </w:rPr>
              <w:t>J+8  Moyenne</w:t>
            </w:r>
          </w:p>
        </w:tc>
        <w:tc>
          <w:tcPr>
            <w:tcW w:type="dxa" w:w="1440"/>
            <w:shd w:fill="FAFAFA" w:val="clear"/>
          </w:tcPr>
          <w:p>
            <w:r>
              <w:rPr>
                <w:sz w:val="17"/>
              </w:rPr>
              <w:t>2026-09-15</w:t>
            </w:r>
          </w:p>
        </w:tc>
        <w:tc>
          <w:tcPr>
            <w:tcW w:type="dxa" w:w="1440"/>
            <w:shd w:fill="FAFAFA" w:val="clear"/>
          </w:tcPr>
          <w:p>
            <w:r>
              <w:rPr>
                <w:sz w:val="17"/>
              </w:rPr>
              <w:t>34,178</w:t>
            </w:r>
          </w:p>
        </w:tc>
        <w:tc>
          <w:tcPr>
            <w:tcW w:type="dxa" w:w="1440"/>
            <w:shd w:fill="FAFAFA" w:val="clear"/>
          </w:tcPr>
          <w:p>
            <w:r>
              <w:rPr>
                <w:b/>
                <w:sz w:val="17"/>
              </w:rPr>
              <w:t>37,696</w:t>
            </w:r>
          </w:p>
        </w:tc>
        <w:tc>
          <w:tcPr>
            <w:tcW w:type="dxa" w:w="1440"/>
            <w:shd w:fill="FAFAFA" w:val="clear"/>
          </w:tcPr>
          <w:p>
            <w:r>
              <w:rPr>
                <w:sz w:val="17"/>
              </w:rPr>
              <w:t>41,214</w:t>
            </w:r>
          </w:p>
        </w:tc>
        <w:tc>
          <w:tcPr>
            <w:tcW w:type="dxa" w:w="1440"/>
            <w:shd w:fill="FAFAFA" w:val="clear"/>
          </w:tcPr>
          <w:p>
            <w:r>
              <w:rPr>
                <w:b/>
                <w:color w:val="C00000"/>
                <w:sz w:val="17"/>
              </w:rPr>
              <w:t>-0.8%</w:t>
            </w:r>
          </w:p>
        </w:tc>
      </w:tr>
      <w:tr>
        <w:tc>
          <w:tcPr>
            <w:tcW w:type="dxa" w:w="1440"/>
            <w:shd w:fill="FAFAFA" w:val="clear"/>
          </w:tcPr>
          <w:p>
            <w:r>
              <w:rPr>
                <w:sz w:val="17"/>
              </w:rPr>
              <w:t>J+9  Moyenne</w:t>
            </w:r>
          </w:p>
        </w:tc>
        <w:tc>
          <w:tcPr>
            <w:tcW w:type="dxa" w:w="1440"/>
            <w:shd w:fill="FAFAFA" w:val="clear"/>
          </w:tcPr>
          <w:p>
            <w:r>
              <w:rPr>
                <w:sz w:val="17"/>
              </w:rPr>
              <w:t>2026-09-16</w:t>
            </w:r>
          </w:p>
        </w:tc>
        <w:tc>
          <w:tcPr>
            <w:tcW w:type="dxa" w:w="1440"/>
            <w:shd w:fill="FAFAFA" w:val="clear"/>
          </w:tcPr>
          <w:p>
            <w:r>
              <w:rPr>
                <w:sz w:val="17"/>
              </w:rPr>
              <w:t>33,933</w:t>
            </w:r>
          </w:p>
        </w:tc>
        <w:tc>
          <w:tcPr>
            <w:tcW w:type="dxa" w:w="1440"/>
            <w:shd w:fill="FAFAFA" w:val="clear"/>
          </w:tcPr>
          <w:p>
            <w:r>
              <w:rPr>
                <w:b/>
                <w:sz w:val="17"/>
              </w:rPr>
              <w:t>37,661</w:t>
            </w:r>
          </w:p>
        </w:tc>
        <w:tc>
          <w:tcPr>
            <w:tcW w:type="dxa" w:w="1440"/>
            <w:shd w:fill="FAFAFA" w:val="clear"/>
          </w:tcPr>
          <w:p>
            <w:r>
              <w:rPr>
                <w:sz w:val="17"/>
              </w:rPr>
              <w:t>41,390</w:t>
            </w:r>
          </w:p>
        </w:tc>
        <w:tc>
          <w:tcPr>
            <w:tcW w:type="dxa" w:w="1440"/>
            <w:shd w:fill="FAFAFA" w:val="clear"/>
          </w:tcPr>
          <w:p>
            <w:r>
              <w:rPr>
                <w:b/>
                <w:color w:val="C00000"/>
                <w:sz w:val="17"/>
              </w:rPr>
              <w:t>-0.9%</w:t>
            </w:r>
          </w:p>
        </w:tc>
      </w:tr>
      <w:tr>
        <w:tc>
          <w:tcPr>
            <w:tcW w:type="dxa" w:w="1440"/>
            <w:shd w:fill="FAFAFA" w:val="clear"/>
          </w:tcPr>
          <w:p>
            <w:r>
              <w:rPr>
                <w:sz w:val="17"/>
              </w:rPr>
              <w:t>J+10  Moyenne</w:t>
            </w:r>
          </w:p>
        </w:tc>
        <w:tc>
          <w:tcPr>
            <w:tcW w:type="dxa" w:w="1440"/>
            <w:shd w:fill="FAFAFA" w:val="clear"/>
          </w:tcPr>
          <w:p>
            <w:r>
              <w:rPr>
                <w:sz w:val="17"/>
              </w:rPr>
              <w:t>2026-09-17</w:t>
            </w:r>
          </w:p>
        </w:tc>
        <w:tc>
          <w:tcPr>
            <w:tcW w:type="dxa" w:w="1440"/>
            <w:shd w:fill="FAFAFA" w:val="clear"/>
          </w:tcPr>
          <w:p>
            <w:r>
              <w:rPr>
                <w:sz w:val="17"/>
              </w:rPr>
              <w:t>33,701</w:t>
            </w:r>
          </w:p>
        </w:tc>
        <w:tc>
          <w:tcPr>
            <w:tcW w:type="dxa" w:w="1440"/>
            <w:shd w:fill="FAFAFA" w:val="clear"/>
          </w:tcPr>
          <w:p>
            <w:r>
              <w:rPr>
                <w:b/>
                <w:sz w:val="17"/>
              </w:rPr>
              <w:t>37,627</w:t>
            </w:r>
          </w:p>
        </w:tc>
        <w:tc>
          <w:tcPr>
            <w:tcW w:type="dxa" w:w="1440"/>
            <w:shd w:fill="FAFAFA" w:val="clear"/>
          </w:tcPr>
          <w:p>
            <w:r>
              <w:rPr>
                <w:sz w:val="17"/>
              </w:rPr>
              <w:t>41,553</w:t>
            </w:r>
          </w:p>
        </w:tc>
        <w:tc>
          <w:tcPr>
            <w:tcW w:type="dxa" w:w="1440"/>
            <w:shd w:fill="FAFAFA" w:val="clear"/>
          </w:tcPr>
          <w:p>
            <w:r>
              <w:rPr>
                <w:b/>
                <w:color w:val="C00000"/>
                <w:sz w:val="17"/>
              </w:rPr>
              <w:t>-1.0%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SLBC (SOLIBRA)**</w:t>
        <w:br/>
        <w:t>**Date : 4 septembre 2026**</w:t>
        <w:br/>
        <w:t>**Marché : BRVM (Côte d'Ivoire)**</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625,35 milliards FCFA positionne SLBC parmi les valeurs les plus lourdes et les plus liquides de la BRVM, reflétant son statut de leader régional des boissons. Avec un BPA de 2 781 FCFA, chaque action génère un bénéfice substantiel, justifiant un PER de 13,7x. Ce ratio se situe au-dessus de la moyenne historique de la BRVM (8-12x), indiquant que le marché accorde une prime de croissance à la société, récompensant sa dynamique exceptionnelle de 2025. Le P/B de 3,20x confirme cette prime, le marché valorisant l'actif net à plus de trois fois sa valeur comptable, signe d'une forte création de valeur et de rendement des capitaux propres élevé. Enfin, un EV/EBITDA de 7,4x, dans la fourchette raisonnable de 5-10x, suggère que la valorisation globale de l'entreprise, dette incluse, reste soutenable au regard de sa capacité opérationnelle à générer du cash.</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SLBC affiche une progression modeste de +1,31%, avec une dernière séance stable à 37 990 FCFA. Le titre a évolué dans un range de 5 960 FCFA, entre un plus bas de 35 540 FCFA et un plus haut de 41 500 FCFA, montrant des phases d'accumulation et de distribution. La moyenne (38 308 FCFA) et la médiane (38 005 FCFA) sont très proches, et le skewness de 0,324 indique une distribution quasi symétrique des prix. Le mode à 37 500 FCFA, proche du cours actuel, suggère un prix d'équilibre autour de ce niveau. L'écart-type de 962 FCFA (CV de 2,5%) révèle une dispersion très faible des prix autour de la moyenne, et le kurtosis de 0,289 (mésokurtique) indique l'absence de mouvements extrêmes ou de queues de distribution épaisses. La volatilité annualisée de 29,7% classe le titre dans la catégorie "élevée" (&gt;30% étant le seuil), mais ce chiffre est à relativiser avec la faible dispersion quotidienne, suggérant des épisodes de volatilité concentrés plutôt qu'une instabilité permanente.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(37 990 FCFA) se situe sous la MM50 (38 454,8 FCFA) mais au-dessus de la MM20 (37 537 FCFA). Cette configuration en "croix de la mort" à court terme (MM20 sous MM50) signale une tendance baissière de fond, mais le rebond au-dessus de la MM20 indique un potentiel de retournement. La décision de "Vente" est justifiée par la tendance moyenne terme, mais la dynamique court terme s'améliore.</w:t>
      </w:r>
    </w:p>
    <w:p>
      <w:pPr>
        <w:spacing w:after="120" w:line="276" w:lineRule="auto"/>
      </w:pPr>
      <w:r>
        <w:t>**Bandes de Bollinger** : Le prix évolue à 37 990 FCFA, proche de la borne supérieure (38 373 FCFA) et bien au-dessus de la borne inférieure (36 700 FCFA). La largeur des bandes est modérée, reflétant une volatilité contenue. La position du prix dans la moitié supérieure des bandes suggère une pression acheteuse, justifiant la décision "Neutre" car le prix n'a pas encore franchi la borne supérieure, ce qui serait un signal d'extension haussière.</w:t>
      </w:r>
    </w:p>
    <w:p>
      <w:pPr>
        <w:spacing w:after="120" w:line="276" w:lineRule="auto"/>
      </w:pPr>
      <w:r>
        <w:t>**MACD** : Le MACD (-135,04) est négatif mais se situe au-dessus de sa ligne de signal (-251,09). Cette configuration en "croix dorée" (MACD qui passe au-dessus du signal) est un signal d'achat précoce, indiquant que le momentum baissier s'estompe et qu'un retournement haussier se prépare. La décision "Achat" est cohérente avec cette dynamique positive naissante.</w:t>
      </w:r>
    </w:p>
    <w:p>
      <w:pPr>
        <w:spacing w:after="120" w:line="276" w:lineRule="auto"/>
      </w:pPr>
      <w:r>
        <w:t>**RSI** : À 49,92, le RSI est en zone neutre, parfaitement équilibré entre les conditions de surachat (&gt;70) et de survente (&lt;30). Cette valeur indique que le marché n'est ni survendu ni suracheté, laissant place à un mouvement directionnel potentiel. La décision "Neutre" est justifiée, le RSI n'émettant aucun signal directionnel fort.</w:t>
      </w:r>
    </w:p>
    <w:p>
      <w:pPr>
        <w:spacing w:after="120" w:line="276" w:lineRule="auto"/>
      </w:pPr>
      <w:r>
        <w:t>**Stochastique** : Le %K (99,0) et le %D (99,33) sont tous deux à des niveaux extrêmement élevés, en territoire de surachat très prononcé. Cette configuration signale que le prix a fortement monté récemment et qu'un repli technique est probable à très court terme. La décision "Vente" est justifiée par ce niveau de surachat extrême, qui précède souvent une correction.</w:t>
      </w:r>
    </w:p>
    <w:p>
      <w:pPr>
        <w:spacing w:after="120" w:line="276" w:lineRule="auto"/>
      </w:pPr>
      <w:r>
        <w:t>**Conclusion technique** : Les signaux sont mitigés. Le MACD et la position dans les bandes de Bollinger suggèrent un potentiel haussier, mais le Stochastique en surachat extrême et la configuration des moyennes mobiles appellent à la prudence. La tendance de fond reste incertaine, avec un biais légèrement négatif à moyen terme mais un potentiel de rebond à court terme. Un catalyseur (comme l'approbation du dividende) pourrait déclencher un mouvement directionnel.</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confirment une performance exceptionnelle pour SLBC. Le chiffre d'affaires atteint 378,123 milliards FCFA, en croissance de +22,1% par rapport à 2024 (309,722 Mds), et le résultat net explose à 45,781 milliards FCFA, contre 21,472 milliards en 2024 (+113%). Cette performance se traduit par une marge nette de 12,1% (vs 6,9% en 2024) et une marge opérationnelle de 17,2%. La rentabilité des capitaux propres (ROE) est excellente à 23,46%, et le ROA de 13,48% témoigne d'une utilisation très efficace des actifs. La structure financière est saine avec une autonomie financière de 57,5% et une capacité de remboursement rapide (0,67 an). Le BFR de 61,587 milliards FCFA est positif mais maîtrisé, avec un délai de paiement clients de 64 jours et un délai fournisseurs de 77 jours, offrant un léger avantage de trésorerie. La durée de stockage de 117 jours est élevée pour le secteur mais reflète la saisonnalité. **Le rapport annuel 2025 (daté du 31/12/2025, analysé par DeepSeek le 20/05/2026) recommande un ACHAT**, soulignant la solidité des fondamentaux. **Le rapport S1 2025 (analysé par Mistral le 15/03/2026) montrait déjà une dynamique explosive avec un résultat net en hausse de +175%**. **Le rapport T1 2026 (daté de 2026) confirme la tendance avec un CA de 93,46 milliards FCFA (+7,6%) et un résultat net de 16,26 milliards FCFA (+4,8%)**. Sur cette base, on estime que l'exercice 2026 devrait poursuivre la croissance, avec un CA potentiel dépassant 400 milliards FCFA et un résultat net stable autour de 45-48 milliards FCFA. La politique de dividende est très généreuse, avec un dividende proposé de 2 127 FCFA par action pour 2025 (vs 1 220 FCFA en 2024), soit un rendement d'environ 5,6% au cours actuel.</w:t>
      </w:r>
    </w:p>
    <w:p>
      <w:pPr>
        <w:spacing w:after="120" w:line="276" w:lineRule="auto"/>
      </w:pPr>
      <w:r>
        <w:t>---</w:t>
      </w:r>
    </w:p>
    <w:p>
      <w:pPr>
        <w:spacing w:after="120" w:line="276" w:lineRule="auto"/>
      </w:pPr>
      <w:r>
        <w:t>### PARTIE 4 : CONCLUSION D'INVESTISSEMENT</w:t>
      </w:r>
    </w:p>
    <w:p>
      <w:pPr>
        <w:spacing w:after="120" w:line="276" w:lineRule="auto"/>
      </w:pPr>
      <w:r>
        <w:t>La synthèse globale révèle une divergence entre des fondamentaux exceptionnels et un comportement boursier hésitant. La valorisation (PER 13,7x, P/B 3,2x) est supérieure à la moyenne BRVM, mais justifiée par la croissance et la rentabilité hors normes de SLBC. Le cours est stable sur 100 jours (+1,31%) avec une volatilité modérée, mais les indicateurs techniques sont mitigés : le MACD est haussier, le Stochastique est suracheté, et le prix sous la MM50 suggère une consolidation. Les fondamentaux, eux, sont indiscutablement solides : croissance à deux chiffres, ROE de 23,5%, marge nette en amélioration continue, et un dividende attractif. Les prédictions IA pour les 10 prochains jours (37 940 à 37 805 FCFA) indiquent une légère tendance baissière, suggérant une poursuite de la consolidation à court terme. Cette trajectoire contredit le potentiel haussier des fondamentaux mais est cohérente avec les signaux techniques de surachat. **Recommandation : ACHAT** pour les investisseurs de moyen-long terme, avec un niveau de confiance **Élevé** et un risque global **Moyen**. L'horizon optimal est de **moyen terme (3-12 mois)**, en anticipant que la solidité des résultats 2026 et le rendement du dividende soutiendront le cours après la phase de consolidation actuelle.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[2]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Pr>
        <w:ind w:left="400"/>
      </w:pPr>
      <w:r>
        <w:rPr>
          <w:color w:val="B4B4B4"/>
          <w:sz w:val="14"/>
        </w:rPr>
        <w:t xml:space="preserve">· · · · · · · · · · · · · · · · · · · · · · · · · · · · · · </w:t>
      </w:r>
    </w:p>
    <w:p>
      <w:pPr>
        <w:spacing w:before="160"/>
      </w:pPr>
      <w:r>
        <w:rPr>
          <w:b/>
          <w:color w:val="0066CC"/>
          <w:sz w:val="20"/>
        </w:rPr>
        <w:t xml:space="preserve">[3]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134.86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1,455 titres</w:t>
            </w:r>
          </w:p>
        </w:tc>
        <w:tc>
          <w:tcPr>
            <w:tcW w:type="dxa" w:w="2268"/>
            <w:shd w:fill="FFF2CC" w:val="clear"/>
          </w:tcPr>
          <w:p>
            <w:r>
              <w:rPr>
                <w:b/>
                <w:color w:val="503200"/>
                <w:sz w:val="16"/>
              </w:rPr>
              <w:t xml:space="preserve">Cours actuel : </w:t>
            </w:r>
            <w:r>
              <w:rPr>
                <w:color w:val="000000"/>
                <w:sz w:val="17"/>
              </w:rPr>
              <w:t>17,300 FCFA</w:t>
            </w:r>
          </w:p>
          <w:p>
            <w:r>
              <w:rPr>
                <w:b/>
                <w:color w:val="503200"/>
                <w:sz w:val="16"/>
              </w:rPr>
              <w:t xml:space="preserve">Var. 100 jours : </w:t>
            </w:r>
            <w:r>
              <w:rPr>
                <w:b/>
                <w:color w:val="007800"/>
                <w:sz w:val="17"/>
              </w:rPr>
              <w:t>+47.23%</w:t>
            </w:r>
          </w:p>
          <w:p>
            <w:r>
              <w:rPr>
                <w:b/>
                <w:color w:val="503200"/>
                <w:sz w:val="16"/>
              </w:rPr>
              <w:t xml:space="preserve">Plus haut 100j : </w:t>
            </w:r>
            <w:r>
              <w:rPr>
                <w:color w:val="000000"/>
                <w:sz w:val="17"/>
              </w:rPr>
              <w:t>17,735 FCFA</w:t>
            </w:r>
          </w:p>
          <w:p>
            <w:r>
              <w:rPr>
                <w:b/>
                <w:color w:val="503200"/>
                <w:sz w:val="16"/>
              </w:rPr>
              <w:t xml:space="preserve">Plus bas 100j : </w:t>
            </w:r>
            <w:r>
              <w:rPr>
                <w:color w:val="000000"/>
                <w:sz w:val="17"/>
              </w:rPr>
              <w:t>11,450 FCFA</w:t>
            </w:r>
          </w:p>
          <w:p>
            <w:r>
              <w:rPr>
                <w:b/>
                <w:color w:val="503200"/>
                <w:sz w:val="16"/>
              </w:rPr>
              <w:t xml:space="preserve">Volatilité ann. : </w:t>
            </w:r>
            <w:r>
              <w:rPr>
                <w:color w:val="000000"/>
                <w:sz w:val="17"/>
              </w:rPr>
              <w:t>36.3%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14.63% (Moyenne) — μ=14,866 FCFA, σ=2,175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β=-0.6496 (Contre-cyclique) — Cov=-0.000024, Var(idx)=0.000036, ρ=-0.169,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1,455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σ_j=2.29%/j (Stable) — Vol. annualisée≈36.3%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2026-09-04</w:t>
            </w:r>
          </w:p>
        </w:tc>
        <w:tc>
          <w:tcPr>
            <w:tcW w:type="dxa" w:w="1440"/>
            <w:shd w:fill="FAFAFA" w:val="clear"/>
          </w:tcPr>
          <w:p>
            <w:r>
              <w:rPr>
                <w:sz w:val="17"/>
              </w:rPr>
              <w:t>16,682</w:t>
            </w:r>
          </w:p>
        </w:tc>
        <w:tc>
          <w:tcPr>
            <w:tcW w:type="dxa" w:w="1440"/>
            <w:shd w:fill="FAFAFA" w:val="clear"/>
          </w:tcPr>
          <w:p>
            <w:r>
              <w:rPr>
                <w:b/>
                <w:sz w:val="17"/>
              </w:rPr>
              <w:t>17,113</w:t>
            </w:r>
          </w:p>
        </w:tc>
        <w:tc>
          <w:tcPr>
            <w:tcW w:type="dxa" w:w="1440"/>
            <w:shd w:fill="FAFAFA" w:val="clear"/>
          </w:tcPr>
          <w:p>
            <w:r>
              <w:rPr>
                <w:sz w:val="17"/>
              </w:rPr>
              <w:t>17,544</w:t>
            </w:r>
          </w:p>
        </w:tc>
        <w:tc>
          <w:tcPr>
            <w:tcW w:type="dxa" w:w="1440"/>
            <w:shd w:fill="FAFAFA" w:val="clear"/>
          </w:tcPr>
          <w:p>
            <w:r>
              <w:rPr>
                <w:b/>
                <w:color w:val="C00000"/>
                <w:sz w:val="17"/>
              </w:rPr>
              <w:t>-1.1%</w:t>
            </w:r>
          </w:p>
        </w:tc>
      </w:tr>
      <w:tr>
        <w:tc>
          <w:tcPr>
            <w:tcW w:type="dxa" w:w="1440"/>
            <w:shd w:fill="FAFAFA" w:val="clear"/>
          </w:tcPr>
          <w:p>
            <w:r>
              <w:rPr>
                <w:sz w:val="17"/>
              </w:rPr>
              <w:t>J+2  ⭐⭐⭐</w:t>
            </w:r>
          </w:p>
        </w:tc>
        <w:tc>
          <w:tcPr>
            <w:tcW w:type="dxa" w:w="1440"/>
            <w:shd w:fill="FAFAFA" w:val="clear"/>
          </w:tcPr>
          <w:p>
            <w:r>
              <w:rPr>
                <w:sz w:val="17"/>
              </w:rPr>
              <w:t>2026-09-07</w:t>
            </w:r>
          </w:p>
        </w:tc>
        <w:tc>
          <w:tcPr>
            <w:tcW w:type="dxa" w:w="1440"/>
            <w:shd w:fill="FAFAFA" w:val="clear"/>
          </w:tcPr>
          <w:p>
            <w:r>
              <w:rPr>
                <w:sz w:val="17"/>
              </w:rPr>
              <w:t>16,440</w:t>
            </w:r>
          </w:p>
        </w:tc>
        <w:tc>
          <w:tcPr>
            <w:tcW w:type="dxa" w:w="1440"/>
            <w:shd w:fill="FAFAFA" w:val="clear"/>
          </w:tcPr>
          <w:p>
            <w:r>
              <w:rPr>
                <w:b/>
                <w:sz w:val="17"/>
              </w:rPr>
              <w:t>17,047</w:t>
            </w:r>
          </w:p>
        </w:tc>
        <w:tc>
          <w:tcPr>
            <w:tcW w:type="dxa" w:w="1440"/>
            <w:shd w:fill="FAFAFA" w:val="clear"/>
          </w:tcPr>
          <w:p>
            <w:r>
              <w:rPr>
                <w:sz w:val="17"/>
              </w:rPr>
              <w:t>17,655</w:t>
            </w:r>
          </w:p>
        </w:tc>
        <w:tc>
          <w:tcPr>
            <w:tcW w:type="dxa" w:w="1440"/>
            <w:shd w:fill="FAFAFA" w:val="clear"/>
          </w:tcPr>
          <w:p>
            <w:r>
              <w:rPr>
                <w:b/>
                <w:color w:val="C00000"/>
                <w:sz w:val="17"/>
              </w:rPr>
              <w:t>-1.5%</w:t>
            </w:r>
          </w:p>
        </w:tc>
      </w:tr>
      <w:tr>
        <w:tc>
          <w:tcPr>
            <w:tcW w:type="dxa" w:w="1440"/>
            <w:shd w:fill="FAFAFA" w:val="clear"/>
          </w:tcPr>
          <w:p>
            <w:r>
              <w:rPr>
                <w:sz w:val="17"/>
              </w:rPr>
              <w:t>J+3  ⭐⭐⭐</w:t>
            </w:r>
          </w:p>
        </w:tc>
        <w:tc>
          <w:tcPr>
            <w:tcW w:type="dxa" w:w="1440"/>
            <w:shd w:fill="FAFAFA" w:val="clear"/>
          </w:tcPr>
          <w:p>
            <w:r>
              <w:rPr>
                <w:sz w:val="17"/>
              </w:rPr>
              <w:t>2026-09-08</w:t>
            </w:r>
          </w:p>
        </w:tc>
        <w:tc>
          <w:tcPr>
            <w:tcW w:type="dxa" w:w="1440"/>
            <w:shd w:fill="FAFAFA" w:val="clear"/>
          </w:tcPr>
          <w:p>
            <w:r>
              <w:rPr>
                <w:sz w:val="17"/>
              </w:rPr>
              <w:t>16,233</w:t>
            </w:r>
          </w:p>
        </w:tc>
        <w:tc>
          <w:tcPr>
            <w:tcW w:type="dxa" w:w="1440"/>
            <w:shd w:fill="FAFAFA" w:val="clear"/>
          </w:tcPr>
          <w:p>
            <w:r>
              <w:rPr>
                <w:b/>
                <w:sz w:val="17"/>
              </w:rPr>
              <w:t>16,973</w:t>
            </w:r>
          </w:p>
        </w:tc>
        <w:tc>
          <w:tcPr>
            <w:tcW w:type="dxa" w:w="1440"/>
            <w:shd w:fill="FAFAFA" w:val="clear"/>
          </w:tcPr>
          <w:p>
            <w:r>
              <w:rPr>
                <w:sz w:val="17"/>
              </w:rPr>
              <w:t>17,713</w:t>
            </w:r>
          </w:p>
        </w:tc>
        <w:tc>
          <w:tcPr>
            <w:tcW w:type="dxa" w:w="1440"/>
            <w:shd w:fill="FAFAFA" w:val="clear"/>
          </w:tcPr>
          <w:p>
            <w:r>
              <w:rPr>
                <w:b/>
                <w:color w:val="C00000"/>
                <w:sz w:val="17"/>
              </w:rPr>
              <w:t>-1.9%</w:t>
            </w:r>
          </w:p>
        </w:tc>
      </w:tr>
      <w:tr>
        <w:tc>
          <w:tcPr>
            <w:tcW w:type="dxa" w:w="1440"/>
            <w:shd w:fill="FFDCE0" w:val="clear"/>
          </w:tcPr>
          <w:p>
            <w:r>
              <w:rPr>
                <w:sz w:val="17"/>
              </w:rPr>
              <w:t>J+4  Moyenne</w:t>
            </w:r>
          </w:p>
        </w:tc>
        <w:tc>
          <w:tcPr>
            <w:tcW w:type="dxa" w:w="1440"/>
            <w:shd w:fill="FFDCE0" w:val="clear"/>
          </w:tcPr>
          <w:p>
            <w:r>
              <w:rPr>
                <w:sz w:val="17"/>
              </w:rPr>
              <w:t>2026-09-09</w:t>
            </w:r>
          </w:p>
        </w:tc>
        <w:tc>
          <w:tcPr>
            <w:tcW w:type="dxa" w:w="1440"/>
            <w:shd w:fill="FFDCE0" w:val="clear"/>
          </w:tcPr>
          <w:p>
            <w:r>
              <w:rPr>
                <w:sz w:val="17"/>
              </w:rPr>
              <w:t>16,052</w:t>
            </w:r>
          </w:p>
        </w:tc>
        <w:tc>
          <w:tcPr>
            <w:tcW w:type="dxa" w:w="1440"/>
            <w:shd w:fill="FFDCE0" w:val="clear"/>
          </w:tcPr>
          <w:p>
            <w:r>
              <w:rPr>
                <w:b/>
                <w:sz w:val="17"/>
              </w:rPr>
              <w:t>16,903</w:t>
            </w:r>
          </w:p>
        </w:tc>
        <w:tc>
          <w:tcPr>
            <w:tcW w:type="dxa" w:w="1440"/>
            <w:shd w:fill="FFDCE0" w:val="clear"/>
          </w:tcPr>
          <w:p>
            <w:r>
              <w:rPr>
                <w:sz w:val="17"/>
              </w:rPr>
              <w:t>17,755</w:t>
            </w:r>
          </w:p>
        </w:tc>
        <w:tc>
          <w:tcPr>
            <w:tcW w:type="dxa" w:w="1440"/>
            <w:shd w:fill="FFDCE0" w:val="clear"/>
          </w:tcPr>
          <w:p>
            <w:r>
              <w:rPr>
                <w:b/>
                <w:color w:val="C00000"/>
                <w:sz w:val="17"/>
              </w:rPr>
              <w:t>-2.3%</w:t>
            </w:r>
          </w:p>
        </w:tc>
      </w:tr>
      <w:tr>
        <w:tc>
          <w:tcPr>
            <w:tcW w:type="dxa" w:w="1440"/>
            <w:shd w:fill="FFDCE0" w:val="clear"/>
          </w:tcPr>
          <w:p>
            <w:r>
              <w:rPr>
                <w:sz w:val="17"/>
              </w:rPr>
              <w:t>J+5  Moyenne</w:t>
            </w:r>
          </w:p>
        </w:tc>
        <w:tc>
          <w:tcPr>
            <w:tcW w:type="dxa" w:w="1440"/>
            <w:shd w:fill="FFDCE0" w:val="clear"/>
          </w:tcPr>
          <w:p>
            <w:r>
              <w:rPr>
                <w:sz w:val="17"/>
              </w:rPr>
              <w:t>2026-09-10</w:t>
            </w:r>
          </w:p>
        </w:tc>
        <w:tc>
          <w:tcPr>
            <w:tcW w:type="dxa" w:w="1440"/>
            <w:shd w:fill="FFDCE0" w:val="clear"/>
          </w:tcPr>
          <w:p>
            <w:r>
              <w:rPr>
                <w:sz w:val="17"/>
              </w:rPr>
              <w:t>15,888</w:t>
            </w:r>
          </w:p>
        </w:tc>
        <w:tc>
          <w:tcPr>
            <w:tcW w:type="dxa" w:w="1440"/>
            <w:shd w:fill="FFDCE0" w:val="clear"/>
          </w:tcPr>
          <w:p>
            <w:r>
              <w:rPr>
                <w:b/>
                <w:sz w:val="17"/>
              </w:rPr>
              <w:t>16,836</w:t>
            </w:r>
          </w:p>
        </w:tc>
        <w:tc>
          <w:tcPr>
            <w:tcW w:type="dxa" w:w="1440"/>
            <w:shd w:fill="FFDCE0" w:val="clear"/>
          </w:tcPr>
          <w:p>
            <w:r>
              <w:rPr>
                <w:sz w:val="17"/>
              </w:rPr>
              <w:t>17,784</w:t>
            </w:r>
          </w:p>
        </w:tc>
        <w:tc>
          <w:tcPr>
            <w:tcW w:type="dxa" w:w="1440"/>
            <w:shd w:fill="FFDCE0" w:val="clear"/>
          </w:tcPr>
          <w:p>
            <w:r>
              <w:rPr>
                <w:b/>
                <w:color w:val="C00000"/>
                <w:sz w:val="17"/>
              </w:rPr>
              <w:t>-2.7%</w:t>
            </w:r>
          </w:p>
        </w:tc>
      </w:tr>
      <w:tr>
        <w:tc>
          <w:tcPr>
            <w:tcW w:type="dxa" w:w="1440"/>
            <w:shd w:fill="FFDCE0" w:val="clear"/>
          </w:tcPr>
          <w:p>
            <w:r>
              <w:rPr>
                <w:sz w:val="17"/>
              </w:rPr>
              <w:t>J+6  Moyenne</w:t>
            </w:r>
          </w:p>
        </w:tc>
        <w:tc>
          <w:tcPr>
            <w:tcW w:type="dxa" w:w="1440"/>
            <w:shd w:fill="FFDCE0" w:val="clear"/>
          </w:tcPr>
          <w:p>
            <w:r>
              <w:rPr>
                <w:sz w:val="17"/>
              </w:rPr>
              <w:t>2026-09-11</w:t>
            </w:r>
          </w:p>
        </w:tc>
        <w:tc>
          <w:tcPr>
            <w:tcW w:type="dxa" w:w="1440"/>
            <w:shd w:fill="FFDCE0" w:val="clear"/>
          </w:tcPr>
          <w:p>
            <w:r>
              <w:rPr>
                <w:sz w:val="17"/>
              </w:rPr>
              <w:t>15,736</w:t>
            </w:r>
          </w:p>
        </w:tc>
        <w:tc>
          <w:tcPr>
            <w:tcW w:type="dxa" w:w="1440"/>
            <w:shd w:fill="FFDCE0" w:val="clear"/>
          </w:tcPr>
          <w:p>
            <w:r>
              <w:rPr>
                <w:b/>
                <w:sz w:val="17"/>
              </w:rPr>
              <w:t>16,771</w:t>
            </w:r>
          </w:p>
        </w:tc>
        <w:tc>
          <w:tcPr>
            <w:tcW w:type="dxa" w:w="1440"/>
            <w:shd w:fill="FFDCE0" w:val="clear"/>
          </w:tcPr>
          <w:p>
            <w:r>
              <w:rPr>
                <w:sz w:val="17"/>
              </w:rPr>
              <w:t>17,805</w:t>
            </w:r>
          </w:p>
        </w:tc>
        <w:tc>
          <w:tcPr>
            <w:tcW w:type="dxa" w:w="1440"/>
            <w:shd w:fill="FFDCE0" w:val="clear"/>
          </w:tcPr>
          <w:p>
            <w:r>
              <w:rPr>
                <w:b/>
                <w:color w:val="C00000"/>
                <w:sz w:val="17"/>
              </w:rPr>
              <w:t>-3.1%</w:t>
            </w:r>
          </w:p>
        </w:tc>
      </w:tr>
      <w:tr>
        <w:tc>
          <w:tcPr>
            <w:tcW w:type="dxa" w:w="1440"/>
            <w:shd w:fill="FFDCE0" w:val="clear"/>
          </w:tcPr>
          <w:p>
            <w:r>
              <w:rPr>
                <w:sz w:val="17"/>
              </w:rPr>
              <w:t>J+7  Moyenne</w:t>
            </w:r>
          </w:p>
        </w:tc>
        <w:tc>
          <w:tcPr>
            <w:tcW w:type="dxa" w:w="1440"/>
            <w:shd w:fill="FFDCE0" w:val="clear"/>
          </w:tcPr>
          <w:p>
            <w:r>
              <w:rPr>
                <w:sz w:val="17"/>
              </w:rPr>
              <w:t>2026-09-14</w:t>
            </w:r>
          </w:p>
        </w:tc>
        <w:tc>
          <w:tcPr>
            <w:tcW w:type="dxa" w:w="1440"/>
            <w:shd w:fill="FFDCE0" w:val="clear"/>
          </w:tcPr>
          <w:p>
            <w:r>
              <w:rPr>
                <w:sz w:val="17"/>
              </w:rPr>
              <w:t>15,593</w:t>
            </w:r>
          </w:p>
        </w:tc>
        <w:tc>
          <w:tcPr>
            <w:tcW w:type="dxa" w:w="1440"/>
            <w:shd w:fill="FFDCE0" w:val="clear"/>
          </w:tcPr>
          <w:p>
            <w:r>
              <w:rPr>
                <w:b/>
                <w:sz w:val="17"/>
              </w:rPr>
              <w:t>16,706</w:t>
            </w:r>
          </w:p>
        </w:tc>
        <w:tc>
          <w:tcPr>
            <w:tcW w:type="dxa" w:w="1440"/>
            <w:shd w:fill="FFDCE0" w:val="clear"/>
          </w:tcPr>
          <w:p>
            <w:r>
              <w:rPr>
                <w:sz w:val="17"/>
              </w:rPr>
              <w:t>17,819</w:t>
            </w:r>
          </w:p>
        </w:tc>
        <w:tc>
          <w:tcPr>
            <w:tcW w:type="dxa" w:w="1440"/>
            <w:shd w:fill="FFDCE0" w:val="clear"/>
          </w:tcPr>
          <w:p>
            <w:r>
              <w:rPr>
                <w:b/>
                <w:color w:val="C00000"/>
                <w:sz w:val="17"/>
              </w:rPr>
              <w:t>-3.4%</w:t>
            </w:r>
          </w:p>
        </w:tc>
      </w:tr>
      <w:tr>
        <w:tc>
          <w:tcPr>
            <w:tcW w:type="dxa" w:w="1440"/>
            <w:shd w:fill="FFDCE0" w:val="clear"/>
          </w:tcPr>
          <w:p>
            <w:r>
              <w:rPr>
                <w:sz w:val="17"/>
              </w:rPr>
              <w:t>J+8  Moyenne</w:t>
            </w:r>
          </w:p>
        </w:tc>
        <w:tc>
          <w:tcPr>
            <w:tcW w:type="dxa" w:w="1440"/>
            <w:shd w:fill="FFDCE0" w:val="clear"/>
          </w:tcPr>
          <w:p>
            <w:r>
              <w:rPr>
                <w:sz w:val="17"/>
              </w:rPr>
              <w:t>2026-09-15</w:t>
            </w:r>
          </w:p>
        </w:tc>
        <w:tc>
          <w:tcPr>
            <w:tcW w:type="dxa" w:w="1440"/>
            <w:shd w:fill="FFDCE0" w:val="clear"/>
          </w:tcPr>
          <w:p>
            <w:r>
              <w:rPr>
                <w:sz w:val="17"/>
              </w:rPr>
              <w:t>15,457</w:t>
            </w:r>
          </w:p>
        </w:tc>
        <w:tc>
          <w:tcPr>
            <w:tcW w:type="dxa" w:w="1440"/>
            <w:shd w:fill="FFDCE0" w:val="clear"/>
          </w:tcPr>
          <w:p>
            <w:r>
              <w:rPr>
                <w:b/>
                <w:sz w:val="17"/>
              </w:rPr>
              <w:t>16,643</w:t>
            </w:r>
          </w:p>
        </w:tc>
        <w:tc>
          <w:tcPr>
            <w:tcW w:type="dxa" w:w="1440"/>
            <w:shd w:fill="FFDCE0" w:val="clear"/>
          </w:tcPr>
          <w:p>
            <w:r>
              <w:rPr>
                <w:sz w:val="17"/>
              </w:rPr>
              <w:t>17,828</w:t>
            </w:r>
          </w:p>
        </w:tc>
        <w:tc>
          <w:tcPr>
            <w:tcW w:type="dxa" w:w="1440"/>
            <w:shd w:fill="FFDCE0" w:val="clear"/>
          </w:tcPr>
          <w:p>
            <w:r>
              <w:rPr>
                <w:b/>
                <w:color w:val="C00000"/>
                <w:sz w:val="17"/>
              </w:rPr>
              <w:t>-3.8%</w:t>
            </w:r>
          </w:p>
        </w:tc>
      </w:tr>
      <w:tr>
        <w:tc>
          <w:tcPr>
            <w:tcW w:type="dxa" w:w="1440"/>
            <w:shd w:fill="FFDCE0" w:val="clear"/>
          </w:tcPr>
          <w:p>
            <w:r>
              <w:rPr>
                <w:sz w:val="17"/>
              </w:rPr>
              <w:t>J+9  Moyenne</w:t>
            </w:r>
          </w:p>
        </w:tc>
        <w:tc>
          <w:tcPr>
            <w:tcW w:type="dxa" w:w="1440"/>
            <w:shd w:fill="FFDCE0" w:val="clear"/>
          </w:tcPr>
          <w:p>
            <w:r>
              <w:rPr>
                <w:sz w:val="17"/>
              </w:rPr>
              <w:t>2026-09-16</w:t>
            </w:r>
          </w:p>
        </w:tc>
        <w:tc>
          <w:tcPr>
            <w:tcW w:type="dxa" w:w="1440"/>
            <w:shd w:fill="FFDCE0" w:val="clear"/>
          </w:tcPr>
          <w:p>
            <w:r>
              <w:rPr>
                <w:sz w:val="17"/>
              </w:rPr>
              <w:t>15,328</w:t>
            </w:r>
          </w:p>
        </w:tc>
        <w:tc>
          <w:tcPr>
            <w:tcW w:type="dxa" w:w="1440"/>
            <w:shd w:fill="FFDCE0" w:val="clear"/>
          </w:tcPr>
          <w:p>
            <w:r>
              <w:rPr>
                <w:b/>
                <w:sz w:val="17"/>
              </w:rPr>
              <w:t>16,580</w:t>
            </w:r>
          </w:p>
        </w:tc>
        <w:tc>
          <w:tcPr>
            <w:tcW w:type="dxa" w:w="1440"/>
            <w:shd w:fill="FFDCE0" w:val="clear"/>
          </w:tcPr>
          <w:p>
            <w:r>
              <w:rPr>
                <w:sz w:val="17"/>
              </w:rPr>
              <w:t>17,832</w:t>
            </w:r>
          </w:p>
        </w:tc>
        <w:tc>
          <w:tcPr>
            <w:tcW w:type="dxa" w:w="1440"/>
            <w:shd w:fill="FFDCE0" w:val="clear"/>
          </w:tcPr>
          <w:p>
            <w:r>
              <w:rPr>
                <w:b/>
                <w:color w:val="C00000"/>
                <w:sz w:val="17"/>
              </w:rPr>
              <w:t>-4.2%</w:t>
            </w:r>
          </w:p>
        </w:tc>
      </w:tr>
      <w:tr>
        <w:tc>
          <w:tcPr>
            <w:tcW w:type="dxa" w:w="1440"/>
            <w:shd w:fill="FFDCE0" w:val="clear"/>
          </w:tcPr>
          <w:p>
            <w:r>
              <w:rPr>
                <w:sz w:val="17"/>
              </w:rPr>
              <w:t>J+10  Moyenne</w:t>
            </w:r>
          </w:p>
        </w:tc>
        <w:tc>
          <w:tcPr>
            <w:tcW w:type="dxa" w:w="1440"/>
            <w:shd w:fill="FFDCE0" w:val="clear"/>
          </w:tcPr>
          <w:p>
            <w:r>
              <w:rPr>
                <w:sz w:val="17"/>
              </w:rPr>
              <w:t>2026-09-17</w:t>
            </w:r>
          </w:p>
        </w:tc>
        <w:tc>
          <w:tcPr>
            <w:tcW w:type="dxa" w:w="1440"/>
            <w:shd w:fill="FFDCE0" w:val="clear"/>
          </w:tcPr>
          <w:p>
            <w:r>
              <w:rPr>
                <w:sz w:val="17"/>
              </w:rPr>
              <w:t>15,203</w:t>
            </w:r>
          </w:p>
        </w:tc>
        <w:tc>
          <w:tcPr>
            <w:tcW w:type="dxa" w:w="1440"/>
            <w:shd w:fill="FFDCE0" w:val="clear"/>
          </w:tcPr>
          <w:p>
            <w:r>
              <w:rPr>
                <w:b/>
                <w:sz w:val="17"/>
              </w:rPr>
              <w:t>16,518</w:t>
            </w:r>
          </w:p>
        </w:tc>
        <w:tc>
          <w:tcPr>
            <w:tcW w:type="dxa" w:w="1440"/>
            <w:shd w:fill="FFDCE0" w:val="clear"/>
          </w:tcPr>
          <w:p>
            <w:r>
              <w:rPr>
                <w:sz w:val="17"/>
              </w:rPr>
              <w:t>17,834</w:t>
            </w:r>
          </w:p>
        </w:tc>
        <w:tc>
          <w:tcPr>
            <w:tcW w:type="dxa" w:w="1440"/>
            <w:shd w:fill="FFDCE0" w:val="clear"/>
          </w:tcPr>
          <w:p>
            <w:r>
              <w:rPr>
                <w:b/>
                <w:color w:val="C00000"/>
                <w:sz w:val="17"/>
              </w:rPr>
              <w:t>-4.5%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Société Multinationale de Bitumes (SMBC) affiche une capitalisation boursière de 134,86 milliards FCFA, ce qui la positionne parmi les valeurs moyennes de la BRVM, avec un poids significatif dans son secteur industriel. Avec un BPA de 1 677 FCFA, chaque action génère un bénéfice substantiel, justifiant un PER de 10,3x, légèrement supérieur à la moyenne historique de la place (~8-12x), mais qui reste dans une zone de valorisation raisonnable, indiquant que les investisseurs paient un prix correct pour les bénéfices actuels. Le P/B de 3,14x, situé dans la fourchette de 2 à 4x, témoigne d'une prime de croissance accordée par le marché, qui valorise l'actif net de la société au-delà de sa valeur comptable, signe de confiance dans sa capacité à générer de la valeur. Enfin, un EV/EBITDA de 6,5x, dans la zone basse de la fourchette de référence (5-10x), suggère que la valeur totale de l'entreprise (capitalisation + dette nette) reste attractive par rapport à sa capacité opérationnelle de génération de cash.</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SMBC a connu une progression spectaculaire de +47,23%, avec une légère hausse de +0,29% lors de la dernière séance, atteignant un cours actuel de 17 300 FCFA. Le titre a évolué dans une fourchette de trading très large, oscillant entre un plus bas de 11 450 FCFA et un plus haut de 17 735 FCFA, illustrant une dynamique fortement haussière sur la période. La moyenne du cours sur 100 jours s'établit à 14 866 FCFA, tandis que la médiane est de 15 970 FCFA ; cet écart (moyenne &lt; médiane) indique une distribution asymétrique à gauche (skewness de -0,427), suggérant que les fortes progressions récentes ont tiré le cours vers le haut, mais que la majorité des séances se sont concentrées autour de valeurs plus basses. L'écart-type de 2 186 FCFA, avec un coefficient de variation de 14,7%, révèle une dispersion modérée du cours autour de sa moyenne. Le kurtosis négatif (-1,438) confirme une distribution platykurtique, c'est-à-dire une faible concentration des variations extrêmes, réduisant le risque de mouvements violents imprévus. La volatilité annualisée de 36,3% classe le titre comme très volatil (&gt;30%), reflétant un risque de marché élevé mais également un fort potentiel de rendement.</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de 17 300 FCFA se positionne nettement au-dessus de la MM20 (16 779,5 FCFA) et de la MM50 (16 623,9 FCFA), confirmant une tendance haussière solide à court et moyen terme. La configuration des moyennes mobiles, avec la MM20 au-dessus de la MM50, valide un signal d'achat, indiquant que la dynamique positive est soutenue par les volumes et l'intérêt des investisseurs.</w:t>
      </w:r>
    </w:p>
    <w:p>
      <w:pPr>
        <w:spacing w:after="120" w:line="276" w:lineRule="auto"/>
      </w:pPr>
      <w:r>
        <w:t>**Bandes de Bollinger** : Le prix évolue à proximité de la borne supérieure (17 500,87 FCFA), mais en dessous de celle-ci, ce qui suggère une pression acheteuse persistante sans pour autant être en situation de surachat extrême. La décision est neutre, car le titre n'a pas encore touché la borne supérieure, laissant un léger potentiel de hausse avant une éventuelle correction technique.</w:t>
      </w:r>
    </w:p>
    <w:p>
      <w:pPr>
        <w:spacing w:after="120" w:line="276" w:lineRule="auto"/>
      </w:pPr>
      <w:r>
        <w:t>**MACD** : Le MACD (283,122) est nettement supérieur à sa ligne de signal (222,845), avec un écart positif croissant, ce qui traduit un momentum haussier puissant. Cette configuration, avec le MACD au-dessus du signal, est un signal d'achat classique, confirmant la vigueur de la tendance actuelle et l'accumulation de pression acheteuse.</w:t>
      </w:r>
    </w:p>
    <w:p>
      <w:pPr>
        <w:spacing w:after="120" w:line="276" w:lineRule="auto"/>
      </w:pPr>
      <w:r>
        <w:t>**RSI** : Le RSI s'établit à 76,563, dépassant le seuil critique de 70, ce qui place le titre en zone de surachat. Ce niveau indique que le titre a fortement progressé sur une courte période et qu'un repli technique est probable à court terme, justifiant une décision de vente pour les traders opportunistes, bien que la tendance de fond reste haussière.</w:t>
      </w:r>
    </w:p>
    <w:p>
      <w:pPr>
        <w:spacing w:after="120" w:line="276" w:lineRule="auto"/>
      </w:pPr>
      <w:r>
        <w:t>**Stochastique** : Le %K (92,195) et le %D (88,943) sont tous deux profondément ancrés en zone de surachat (&gt;80), avec le %K au-dessus du %D, signalant une force excessive. Cette configuration suggère un essoufflement potentiel du mouvement haussier, et la décision de vente est émise en prévision d'une consolidation ou d'un repli correctif imminent.</w:t>
      </w:r>
    </w:p>
    <w:p>
      <w:pPr>
        <w:spacing w:after="120" w:line="276" w:lineRule="auto"/>
      </w:pPr>
      <w:r>
        <w:t>**Conclusion technique** : La convergence des indicateurs de tendance (MM, MACD) vers l'achat contraste fortement avec les oscillateurs de momentum (RSI, Stochastique) qui hurlent au surachat. Cette divergence classique en fin de tendance suggère qu'un repli technique est probable à très court terme, mais la structure globale reste haussière. Les investisseurs devraient surveiller un éventuel croisement baissier du MACD ou une cassure sous la MM20 pour confirmer un changement de tendance.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les états financiers annuels de SMBC révèlent une performance contrastée mais globalement positive. Le chiffre d'affaires s'établit à 206,740 milliards FCFA, en baisse de -9,74% par rapport à 2024 (229,061 milliards FCFA), une contraction attribuable à un environnement de marché difficile et à une baisse des volumes. Cependant, la société a démontré une excellente capacité à améliorer sa rentabilité, avec un résultat net de 13,075 milliards FCFA, en hausse spectaculaire de +50,3% par rapport à 2024 (8,698 milliards FCFA). Cette amélioration se reflète dans la marge nette qui passe de 3,8% à 6,32%, et dans un ROE exceptionnel de 30,47%, bien au-dessus du seuil de 15% considéré comme excellent, tandis que le ROA s'établit à 7,26%. Pour une entreprise non bancaire, l'analyse du BFR est cruciale : il s'établit à 1,693 milliards FCFA, un niveau faible, mais le délai de paiement des clients de 193,75 jours est élevé, représentant un risque de trésorerie, partiellement compensé par un délai fournisseurs de 207 jours. Les rapports trimestriels de 2025 (T1, S1, 9M) montrent une tendance à la reprise progressive : le T1 2025 affichait un CA en baisse de -22% mais un résultat net résilient (-7%), tandis que le cumul 9M 2025 confirmait une amélioration de la marge nette à 3,7% du CA. Sur la base de ces données, on estime que l'exercice 2025 complet a bénéficié d'une forte amélioration des marges de raffinage au second semestre, permettant d'atteindre ces résultats annuels exceptionnels. La structure financière s'est renforcée avec des capitaux propres de 42,913 milliards FCFA (+21,6%) et une trésorerie nette positive de 23,988 milliards FCFA, offrant une marge de manœuvre considérable. Les risques identifiés incluent la dépendance aux prix du pétrole brut et la baisse du chiffre d'affaires, mais la solidité financière et l'amélioration de la rentabilité plaident pour une recommandation positive.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analyses fait ressortir une situation contrastée mais globalement positive pour SMBC. La valorisation (PER de 10,3x, P/B de 3,14x, EV/EBITDA de 6,5x) indique que le marché ne surpaye pas le titre, offrant une décote relative par rapport à son potentiel de croissance. Le comportement du cours sur 100 jours est spectaculairement haussier (+47,23%), avec une volatilité élevée (36,3%) qui implique un risque non négligeable, mais la distribution statistique (kurtosis platykurtique) suggère une faible probabilité de chocs extrêmes. Les signaux techniques sont en divergence : les indicateurs de tendance (MM, MACD) sont positifs, mais les oscillateurs (RSI à 76,5, Stochastique à 92,2) signalent un surachat imminent, laissant présager une consolidation à court terme. Les fondamentaux sont excellents, avec un ROE de 30,47%, une trésorerie massive de 24 milliards FCFA et une amélioration spectaculaire de la rentabilité en 2025, malgré une baisse du CA. Les prédictions IA pour les 10 prochains jours (de 17 113 à 16 836 FCFA) confirment cette anticipation de repli technique, avec une trajectoire baissière modérée (-2,7%). En conclusion, la convergence entre les signaux techniques de surachat et les prédictions IA suggère une pause dans la tendance haussière, mais les fondamentaux solides et la valorisation raisonnable plaident pour une stratégie de long terme. **Recommandation : ACHAT** sur repli, avec un niveau de confiance **Moyen**, un risque global **Élevé** (volatilité et surachat technique), et un horizon d'investissement optimal à **moyen terme (3-12 mois)**, en attendant une correction pour renforcer la position.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3800.00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10,217 titres</w:t>
            </w:r>
          </w:p>
        </w:tc>
        <w:tc>
          <w:tcPr>
            <w:tcW w:type="dxa" w:w="2268"/>
            <w:shd w:fill="FFF2CC" w:val="clear"/>
          </w:tcPr>
          <w:p>
            <w:r>
              <w:rPr>
                <w:b/>
                <w:color w:val="503200"/>
                <w:sz w:val="16"/>
              </w:rPr>
              <w:t xml:space="preserve">Cours actuel : </w:t>
            </w:r>
            <w:r>
              <w:rPr>
                <w:color w:val="000000"/>
                <w:sz w:val="17"/>
              </w:rPr>
              <w:t>38,000 FCFA</w:t>
            </w:r>
          </w:p>
          <w:p>
            <w:r>
              <w:rPr>
                <w:b/>
                <w:color w:val="503200"/>
                <w:sz w:val="16"/>
              </w:rPr>
              <w:t xml:space="preserve">Var. 100 jours : </w:t>
            </w:r>
            <w:r>
              <w:rPr>
                <w:b/>
                <w:color w:val="007800"/>
                <w:sz w:val="17"/>
              </w:rPr>
              <w:t>+31.97%</w:t>
            </w:r>
          </w:p>
          <w:p>
            <w:r>
              <w:rPr>
                <w:b/>
                <w:color w:val="503200"/>
                <w:sz w:val="16"/>
              </w:rPr>
              <w:t xml:space="preserve">Plus haut 100j : </w:t>
            </w:r>
            <w:r>
              <w:rPr>
                <w:color w:val="000000"/>
                <w:sz w:val="17"/>
              </w:rPr>
              <w:t>38,000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31.4%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25.1/100 → Moyen</w:t>
      </w:r>
    </w:p>
    <w:p>
      <w:pPr>
        <w:spacing w:before="40" w:after="80"/>
      </w:pPr>
      <w:r>
        <w:rPr>
          <w:rFonts w:ascii="Courier New" w:hAnsi="Courier New"/>
          <w:color w:val="825A00"/>
          <w:sz w:val="18"/>
        </w:rPr>
        <w:t>█████░░░░░░░░░░░░░░░  25.1/100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8.27% (Moyenne) — μ=30,297 FCFA, σ=2,507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β=1.9169 (Très agressif) — Cov=0.000070, Var(idx)=0.000036, ρ=0.581, n=97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10,217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σ_j=1.98%/j (Stable) — Vol. annualisée≈31.4%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2026-09-04</w:t>
            </w:r>
          </w:p>
        </w:tc>
        <w:tc>
          <w:tcPr>
            <w:tcW w:type="dxa" w:w="1440"/>
            <w:shd w:fill="FFDCE0" w:val="clear"/>
          </w:tcPr>
          <w:p>
            <w:r>
              <w:rPr>
                <w:sz w:val="17"/>
              </w:rPr>
              <w:t>35,106</w:t>
            </w:r>
          </w:p>
        </w:tc>
        <w:tc>
          <w:tcPr>
            <w:tcW w:type="dxa" w:w="1440"/>
            <w:shd w:fill="FFDCE0" w:val="clear"/>
          </w:tcPr>
          <w:p>
            <w:r>
              <w:rPr>
                <w:b/>
                <w:sz w:val="17"/>
              </w:rPr>
              <w:t>36,561</w:t>
            </w:r>
          </w:p>
        </w:tc>
        <w:tc>
          <w:tcPr>
            <w:tcW w:type="dxa" w:w="1440"/>
            <w:shd w:fill="FFDCE0" w:val="clear"/>
          </w:tcPr>
          <w:p>
            <w:r>
              <w:rPr>
                <w:sz w:val="17"/>
              </w:rPr>
              <w:t>38,017</w:t>
            </w:r>
          </w:p>
        </w:tc>
        <w:tc>
          <w:tcPr>
            <w:tcW w:type="dxa" w:w="1440"/>
            <w:shd w:fill="FFDCE0" w:val="clear"/>
          </w:tcPr>
          <w:p>
            <w:r>
              <w:rPr>
                <w:b/>
                <w:color w:val="C00000"/>
                <w:sz w:val="17"/>
              </w:rPr>
              <w:t>-3.8%</w:t>
            </w:r>
          </w:p>
        </w:tc>
      </w:tr>
      <w:tr>
        <w:tc>
          <w:tcPr>
            <w:tcW w:type="dxa" w:w="1440"/>
            <w:shd w:fill="FFDCE0" w:val="clear"/>
          </w:tcPr>
          <w:p>
            <w:r>
              <w:rPr>
                <w:sz w:val="17"/>
              </w:rPr>
              <w:t>J+2  ⭐</w:t>
            </w:r>
          </w:p>
        </w:tc>
        <w:tc>
          <w:tcPr>
            <w:tcW w:type="dxa" w:w="1440"/>
            <w:shd w:fill="FFDCE0" w:val="clear"/>
          </w:tcPr>
          <w:p>
            <w:r>
              <w:rPr>
                <w:sz w:val="17"/>
              </w:rPr>
              <w:t>2026-09-07</w:t>
            </w:r>
          </w:p>
        </w:tc>
        <w:tc>
          <w:tcPr>
            <w:tcW w:type="dxa" w:w="1440"/>
            <w:shd w:fill="FFDCE0" w:val="clear"/>
          </w:tcPr>
          <w:p>
            <w:r>
              <w:rPr>
                <w:sz w:val="17"/>
              </w:rPr>
              <w:t>34,476</w:t>
            </w:r>
          </w:p>
        </w:tc>
        <w:tc>
          <w:tcPr>
            <w:tcW w:type="dxa" w:w="1440"/>
            <w:shd w:fill="FFDCE0" w:val="clear"/>
          </w:tcPr>
          <w:p>
            <w:r>
              <w:rPr>
                <w:b/>
                <w:sz w:val="17"/>
              </w:rPr>
              <w:t>36,533</w:t>
            </w:r>
          </w:p>
        </w:tc>
        <w:tc>
          <w:tcPr>
            <w:tcW w:type="dxa" w:w="1440"/>
            <w:shd w:fill="FFDCE0" w:val="clear"/>
          </w:tcPr>
          <w:p>
            <w:r>
              <w:rPr>
                <w:sz w:val="17"/>
              </w:rPr>
              <w:t>38,590</w:t>
            </w:r>
          </w:p>
        </w:tc>
        <w:tc>
          <w:tcPr>
            <w:tcW w:type="dxa" w:w="1440"/>
            <w:shd w:fill="FFDCE0" w:val="clear"/>
          </w:tcPr>
          <w:p>
            <w:r>
              <w:rPr>
                <w:b/>
                <w:color w:val="C00000"/>
                <w:sz w:val="17"/>
              </w:rPr>
              <w:t>-3.9%</w:t>
            </w:r>
          </w:p>
        </w:tc>
      </w:tr>
      <w:tr>
        <w:tc>
          <w:tcPr>
            <w:tcW w:type="dxa" w:w="1440"/>
            <w:shd w:fill="FFDCE0" w:val="clear"/>
          </w:tcPr>
          <w:p>
            <w:r>
              <w:rPr>
                <w:sz w:val="17"/>
              </w:rPr>
              <w:t>J+3  ⭐</w:t>
            </w:r>
          </w:p>
        </w:tc>
        <w:tc>
          <w:tcPr>
            <w:tcW w:type="dxa" w:w="1440"/>
            <w:shd w:fill="FFDCE0" w:val="clear"/>
          </w:tcPr>
          <w:p>
            <w:r>
              <w:rPr>
                <w:sz w:val="17"/>
              </w:rPr>
              <w:t>2026-09-08</w:t>
            </w:r>
          </w:p>
        </w:tc>
        <w:tc>
          <w:tcPr>
            <w:tcW w:type="dxa" w:w="1440"/>
            <w:shd w:fill="FFDCE0" w:val="clear"/>
          </w:tcPr>
          <w:p>
            <w:r>
              <w:rPr>
                <w:sz w:val="17"/>
              </w:rPr>
              <w:t>33,892</w:t>
            </w:r>
          </w:p>
        </w:tc>
        <w:tc>
          <w:tcPr>
            <w:tcW w:type="dxa" w:w="1440"/>
            <w:shd w:fill="FFDCE0" w:val="clear"/>
          </w:tcPr>
          <w:p>
            <w:r>
              <w:rPr>
                <w:b/>
                <w:sz w:val="17"/>
              </w:rPr>
              <w:t>36,402</w:t>
            </w:r>
          </w:p>
        </w:tc>
        <w:tc>
          <w:tcPr>
            <w:tcW w:type="dxa" w:w="1440"/>
            <w:shd w:fill="FFDCE0" w:val="clear"/>
          </w:tcPr>
          <w:p>
            <w:r>
              <w:rPr>
                <w:sz w:val="17"/>
              </w:rPr>
              <w:t>38,912</w:t>
            </w:r>
          </w:p>
        </w:tc>
        <w:tc>
          <w:tcPr>
            <w:tcW w:type="dxa" w:w="1440"/>
            <w:shd w:fill="FFDCE0" w:val="clear"/>
          </w:tcPr>
          <w:p>
            <w:r>
              <w:rPr>
                <w:b/>
                <w:color w:val="C00000"/>
                <w:sz w:val="17"/>
              </w:rPr>
              <w:t>-4.2%</w:t>
            </w:r>
          </w:p>
        </w:tc>
      </w:tr>
      <w:tr>
        <w:tc>
          <w:tcPr>
            <w:tcW w:type="dxa" w:w="1440"/>
            <w:shd w:fill="FFDCE0" w:val="clear"/>
          </w:tcPr>
          <w:p>
            <w:r>
              <w:rPr>
                <w:sz w:val="17"/>
              </w:rPr>
              <w:t>J+4  ⭐</w:t>
            </w:r>
          </w:p>
        </w:tc>
        <w:tc>
          <w:tcPr>
            <w:tcW w:type="dxa" w:w="1440"/>
            <w:shd w:fill="FFDCE0" w:val="clear"/>
          </w:tcPr>
          <w:p>
            <w:r>
              <w:rPr>
                <w:sz w:val="17"/>
              </w:rPr>
              <w:t>2026-09-09</w:t>
            </w:r>
          </w:p>
        </w:tc>
        <w:tc>
          <w:tcPr>
            <w:tcW w:type="dxa" w:w="1440"/>
            <w:shd w:fill="FFDCE0" w:val="clear"/>
          </w:tcPr>
          <w:p>
            <w:r>
              <w:rPr>
                <w:sz w:val="17"/>
              </w:rPr>
              <w:t>33,391</w:t>
            </w:r>
          </w:p>
        </w:tc>
        <w:tc>
          <w:tcPr>
            <w:tcW w:type="dxa" w:w="1440"/>
            <w:shd w:fill="FFDCE0" w:val="clear"/>
          </w:tcPr>
          <w:p>
            <w:r>
              <w:rPr>
                <w:b/>
                <w:sz w:val="17"/>
              </w:rPr>
              <w:t>36,280</w:t>
            </w:r>
          </w:p>
        </w:tc>
        <w:tc>
          <w:tcPr>
            <w:tcW w:type="dxa" w:w="1440"/>
            <w:shd w:fill="FFDCE0" w:val="clear"/>
          </w:tcPr>
          <w:p>
            <w:r>
              <w:rPr>
                <w:sz w:val="17"/>
              </w:rPr>
              <w:t>39,168</w:t>
            </w:r>
          </w:p>
        </w:tc>
        <w:tc>
          <w:tcPr>
            <w:tcW w:type="dxa" w:w="1440"/>
            <w:shd w:fill="FFDCE0" w:val="clear"/>
          </w:tcPr>
          <w:p>
            <w:r>
              <w:rPr>
                <w:b/>
                <w:color w:val="C00000"/>
                <w:sz w:val="17"/>
              </w:rPr>
              <w:t>-4.5%</w:t>
            </w:r>
          </w:p>
        </w:tc>
      </w:tr>
      <w:tr>
        <w:tc>
          <w:tcPr>
            <w:tcW w:type="dxa" w:w="1440"/>
            <w:shd w:fill="FFDCE0" w:val="clear"/>
          </w:tcPr>
          <w:p>
            <w:r>
              <w:rPr>
                <w:sz w:val="17"/>
              </w:rPr>
              <w:t>J+5  ⭐</w:t>
            </w:r>
          </w:p>
        </w:tc>
        <w:tc>
          <w:tcPr>
            <w:tcW w:type="dxa" w:w="1440"/>
            <w:shd w:fill="FFDCE0" w:val="clear"/>
          </w:tcPr>
          <w:p>
            <w:r>
              <w:rPr>
                <w:sz w:val="17"/>
              </w:rPr>
              <w:t>2026-09-10</w:t>
            </w:r>
          </w:p>
        </w:tc>
        <w:tc>
          <w:tcPr>
            <w:tcW w:type="dxa" w:w="1440"/>
            <w:shd w:fill="FFDCE0" w:val="clear"/>
          </w:tcPr>
          <w:p>
            <w:r>
              <w:rPr>
                <w:sz w:val="17"/>
              </w:rPr>
              <w:t>32,957</w:t>
            </w:r>
          </w:p>
        </w:tc>
        <w:tc>
          <w:tcPr>
            <w:tcW w:type="dxa" w:w="1440"/>
            <w:shd w:fill="FFDCE0" w:val="clear"/>
          </w:tcPr>
          <w:p>
            <w:r>
              <w:rPr>
                <w:b/>
                <w:sz w:val="17"/>
              </w:rPr>
              <w:t>36,178</w:t>
            </w:r>
          </w:p>
        </w:tc>
        <w:tc>
          <w:tcPr>
            <w:tcW w:type="dxa" w:w="1440"/>
            <w:shd w:fill="FFDCE0" w:val="clear"/>
          </w:tcPr>
          <w:p>
            <w:r>
              <w:rPr>
                <w:sz w:val="17"/>
              </w:rPr>
              <w:t>39,398</w:t>
            </w:r>
          </w:p>
        </w:tc>
        <w:tc>
          <w:tcPr>
            <w:tcW w:type="dxa" w:w="1440"/>
            <w:shd w:fill="FFDCE0" w:val="clear"/>
          </w:tcPr>
          <w:p>
            <w:r>
              <w:rPr>
                <w:b/>
                <w:color w:val="C00000"/>
                <w:sz w:val="17"/>
              </w:rPr>
              <w:t>-4.8%</w:t>
            </w:r>
          </w:p>
        </w:tc>
      </w:tr>
      <w:tr>
        <w:tc>
          <w:tcPr>
            <w:tcW w:type="dxa" w:w="1440"/>
            <w:shd w:fill="FFDCE0" w:val="clear"/>
          </w:tcPr>
          <w:p>
            <w:r>
              <w:rPr>
                <w:sz w:val="17"/>
              </w:rPr>
              <w:t>J+6  ⭐</w:t>
            </w:r>
          </w:p>
        </w:tc>
        <w:tc>
          <w:tcPr>
            <w:tcW w:type="dxa" w:w="1440"/>
            <w:shd w:fill="FFDCE0" w:val="clear"/>
          </w:tcPr>
          <w:p>
            <w:r>
              <w:rPr>
                <w:sz w:val="17"/>
              </w:rPr>
              <w:t>2026-09-11</w:t>
            </w:r>
          </w:p>
        </w:tc>
        <w:tc>
          <w:tcPr>
            <w:tcW w:type="dxa" w:w="1440"/>
            <w:shd w:fill="FFDCE0" w:val="clear"/>
          </w:tcPr>
          <w:p>
            <w:r>
              <w:rPr>
                <w:sz w:val="17"/>
              </w:rPr>
              <w:t>32,569</w:t>
            </w:r>
          </w:p>
        </w:tc>
        <w:tc>
          <w:tcPr>
            <w:tcW w:type="dxa" w:w="1440"/>
            <w:shd w:fill="FFDCE0" w:val="clear"/>
          </w:tcPr>
          <w:p>
            <w:r>
              <w:rPr>
                <w:b/>
                <w:sz w:val="17"/>
              </w:rPr>
              <w:t>36,088</w:t>
            </w:r>
          </w:p>
        </w:tc>
        <w:tc>
          <w:tcPr>
            <w:tcW w:type="dxa" w:w="1440"/>
            <w:shd w:fill="FFDCE0" w:val="clear"/>
          </w:tcPr>
          <w:p>
            <w:r>
              <w:rPr>
                <w:sz w:val="17"/>
              </w:rPr>
              <w:t>39,607</w:t>
            </w:r>
          </w:p>
        </w:tc>
        <w:tc>
          <w:tcPr>
            <w:tcW w:type="dxa" w:w="1440"/>
            <w:shd w:fill="FFDCE0" w:val="clear"/>
          </w:tcPr>
          <w:p>
            <w:r>
              <w:rPr>
                <w:b/>
                <w:color w:val="C00000"/>
                <w:sz w:val="17"/>
              </w:rPr>
              <w:t>-5.0%</w:t>
            </w:r>
          </w:p>
        </w:tc>
      </w:tr>
      <w:tr>
        <w:tc>
          <w:tcPr>
            <w:tcW w:type="dxa" w:w="1440"/>
            <w:shd w:fill="FFDCE0" w:val="clear"/>
          </w:tcPr>
          <w:p>
            <w:r>
              <w:rPr>
                <w:sz w:val="17"/>
              </w:rPr>
              <w:t>J+7  ⭐</w:t>
            </w:r>
          </w:p>
        </w:tc>
        <w:tc>
          <w:tcPr>
            <w:tcW w:type="dxa" w:w="1440"/>
            <w:shd w:fill="FFDCE0" w:val="clear"/>
          </w:tcPr>
          <w:p>
            <w:r>
              <w:rPr>
                <w:sz w:val="17"/>
              </w:rPr>
              <w:t>2026-09-14</w:t>
            </w:r>
          </w:p>
        </w:tc>
        <w:tc>
          <w:tcPr>
            <w:tcW w:type="dxa" w:w="1440"/>
            <w:shd w:fill="FFDCE0" w:val="clear"/>
          </w:tcPr>
          <w:p>
            <w:r>
              <w:rPr>
                <w:sz w:val="17"/>
              </w:rPr>
              <w:t>32,212</w:t>
            </w:r>
          </w:p>
        </w:tc>
        <w:tc>
          <w:tcPr>
            <w:tcW w:type="dxa" w:w="1440"/>
            <w:shd w:fill="FFDCE0" w:val="clear"/>
          </w:tcPr>
          <w:p>
            <w:r>
              <w:rPr>
                <w:b/>
                <w:sz w:val="17"/>
              </w:rPr>
              <w:t>36,004</w:t>
            </w:r>
          </w:p>
        </w:tc>
        <w:tc>
          <w:tcPr>
            <w:tcW w:type="dxa" w:w="1440"/>
            <w:shd w:fill="FFDCE0" w:val="clear"/>
          </w:tcPr>
          <w:p>
            <w:r>
              <w:rPr>
                <w:sz w:val="17"/>
              </w:rPr>
              <w:t>39,796</w:t>
            </w:r>
          </w:p>
        </w:tc>
        <w:tc>
          <w:tcPr>
            <w:tcW w:type="dxa" w:w="1440"/>
            <w:shd w:fill="FFDCE0" w:val="clear"/>
          </w:tcPr>
          <w:p>
            <w:r>
              <w:rPr>
                <w:b/>
                <w:color w:val="C00000"/>
                <w:sz w:val="17"/>
              </w:rPr>
              <w:t>-5.3%</w:t>
            </w:r>
          </w:p>
        </w:tc>
      </w:tr>
      <w:tr>
        <w:tc>
          <w:tcPr>
            <w:tcW w:type="dxa" w:w="1440"/>
            <w:shd w:fill="FFDCE0" w:val="clear"/>
          </w:tcPr>
          <w:p>
            <w:r>
              <w:rPr>
                <w:sz w:val="17"/>
              </w:rPr>
              <w:t>J+8  ⭐</w:t>
            </w:r>
          </w:p>
        </w:tc>
        <w:tc>
          <w:tcPr>
            <w:tcW w:type="dxa" w:w="1440"/>
            <w:shd w:fill="FFDCE0" w:val="clear"/>
          </w:tcPr>
          <w:p>
            <w:r>
              <w:rPr>
                <w:sz w:val="17"/>
              </w:rPr>
              <w:t>2026-09-15</w:t>
            </w:r>
          </w:p>
        </w:tc>
        <w:tc>
          <w:tcPr>
            <w:tcW w:type="dxa" w:w="1440"/>
            <w:shd w:fill="FFDCE0" w:val="clear"/>
          </w:tcPr>
          <w:p>
            <w:r>
              <w:rPr>
                <w:sz w:val="17"/>
              </w:rPr>
              <w:t>31,878</w:t>
            </w:r>
          </w:p>
        </w:tc>
        <w:tc>
          <w:tcPr>
            <w:tcW w:type="dxa" w:w="1440"/>
            <w:shd w:fill="FFDCE0" w:val="clear"/>
          </w:tcPr>
          <w:p>
            <w:r>
              <w:rPr>
                <w:b/>
                <w:sz w:val="17"/>
              </w:rPr>
              <w:t>35,923</w:t>
            </w:r>
          </w:p>
        </w:tc>
        <w:tc>
          <w:tcPr>
            <w:tcW w:type="dxa" w:w="1440"/>
            <w:shd w:fill="FFDCE0" w:val="clear"/>
          </w:tcPr>
          <w:p>
            <w:r>
              <w:rPr>
                <w:sz w:val="17"/>
              </w:rPr>
              <w:t>39,967</w:t>
            </w:r>
          </w:p>
        </w:tc>
        <w:tc>
          <w:tcPr>
            <w:tcW w:type="dxa" w:w="1440"/>
            <w:shd w:fill="FFDCE0" w:val="clear"/>
          </w:tcPr>
          <w:p>
            <w:r>
              <w:rPr>
                <w:b/>
                <w:color w:val="C00000"/>
                <w:sz w:val="17"/>
              </w:rPr>
              <w:t>-5.5%</w:t>
            </w:r>
          </w:p>
        </w:tc>
      </w:tr>
      <w:tr>
        <w:tc>
          <w:tcPr>
            <w:tcW w:type="dxa" w:w="1440"/>
            <w:shd w:fill="FFDCE0" w:val="clear"/>
          </w:tcPr>
          <w:p>
            <w:r>
              <w:rPr>
                <w:sz w:val="17"/>
              </w:rPr>
              <w:t>J+9  ⭐</w:t>
            </w:r>
          </w:p>
        </w:tc>
        <w:tc>
          <w:tcPr>
            <w:tcW w:type="dxa" w:w="1440"/>
            <w:shd w:fill="FFDCE0" w:val="clear"/>
          </w:tcPr>
          <w:p>
            <w:r>
              <w:rPr>
                <w:sz w:val="17"/>
              </w:rPr>
              <w:t>2026-09-16</w:t>
            </w:r>
          </w:p>
        </w:tc>
        <w:tc>
          <w:tcPr>
            <w:tcW w:type="dxa" w:w="1440"/>
            <w:shd w:fill="FFDCE0" w:val="clear"/>
          </w:tcPr>
          <w:p>
            <w:r>
              <w:rPr>
                <w:sz w:val="17"/>
              </w:rPr>
              <w:t>31,562</w:t>
            </w:r>
          </w:p>
        </w:tc>
        <w:tc>
          <w:tcPr>
            <w:tcW w:type="dxa" w:w="1440"/>
            <w:shd w:fill="FFDCE0" w:val="clear"/>
          </w:tcPr>
          <w:p>
            <w:r>
              <w:rPr>
                <w:b/>
                <w:sz w:val="17"/>
              </w:rPr>
              <w:t>35,843</w:t>
            </w:r>
          </w:p>
        </w:tc>
        <w:tc>
          <w:tcPr>
            <w:tcW w:type="dxa" w:w="1440"/>
            <w:shd w:fill="FFDCE0" w:val="clear"/>
          </w:tcPr>
          <w:p>
            <w:r>
              <w:rPr>
                <w:sz w:val="17"/>
              </w:rPr>
              <w:t>40,124</w:t>
            </w:r>
          </w:p>
        </w:tc>
        <w:tc>
          <w:tcPr>
            <w:tcW w:type="dxa" w:w="1440"/>
            <w:shd w:fill="FFDCE0" w:val="clear"/>
          </w:tcPr>
          <w:p>
            <w:r>
              <w:rPr>
                <w:b/>
                <w:color w:val="C00000"/>
                <w:sz w:val="17"/>
              </w:rPr>
              <w:t>-5.7%</w:t>
            </w:r>
          </w:p>
        </w:tc>
      </w:tr>
      <w:tr>
        <w:tc>
          <w:tcPr>
            <w:tcW w:type="dxa" w:w="1440"/>
            <w:shd w:fill="FFDCE0" w:val="clear"/>
          </w:tcPr>
          <w:p>
            <w:r>
              <w:rPr>
                <w:sz w:val="17"/>
              </w:rPr>
              <w:t>J+10  ⭐</w:t>
            </w:r>
          </w:p>
        </w:tc>
        <w:tc>
          <w:tcPr>
            <w:tcW w:type="dxa" w:w="1440"/>
            <w:shd w:fill="FFDCE0" w:val="clear"/>
          </w:tcPr>
          <w:p>
            <w:r>
              <w:rPr>
                <w:sz w:val="17"/>
              </w:rPr>
              <w:t>2026-09-17</w:t>
            </w:r>
          </w:p>
        </w:tc>
        <w:tc>
          <w:tcPr>
            <w:tcW w:type="dxa" w:w="1440"/>
            <w:shd w:fill="FFDCE0" w:val="clear"/>
          </w:tcPr>
          <w:p>
            <w:r>
              <w:rPr>
                <w:sz w:val="17"/>
              </w:rPr>
              <w:t>31,262</w:t>
            </w:r>
          </w:p>
        </w:tc>
        <w:tc>
          <w:tcPr>
            <w:tcW w:type="dxa" w:w="1440"/>
            <w:shd w:fill="FFDCE0" w:val="clear"/>
          </w:tcPr>
          <w:p>
            <w:r>
              <w:rPr>
                <w:b/>
                <w:sz w:val="17"/>
              </w:rPr>
              <w:t>35,765</w:t>
            </w:r>
          </w:p>
        </w:tc>
        <w:tc>
          <w:tcPr>
            <w:tcW w:type="dxa" w:w="1440"/>
            <w:shd w:fill="FFDCE0" w:val="clear"/>
          </w:tcPr>
          <w:p>
            <w:r>
              <w:rPr>
                <w:sz w:val="17"/>
              </w:rPr>
              <w:t>40,267</w:t>
            </w:r>
          </w:p>
        </w:tc>
        <w:tc>
          <w:tcPr>
            <w:tcW w:type="dxa" w:w="1440"/>
            <w:shd w:fill="FFDCE0" w:val="clear"/>
          </w:tcPr>
          <w:p>
            <w:r>
              <w:rPr>
                <w:b/>
                <w:color w:val="C00000"/>
                <w:sz w:val="17"/>
              </w:rPr>
              <w:t>-5.9%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Sonatel s'établit à 3 800 milliards FCFA, ce qui en fait l'une des plus importantes de la BRVM, représentant une part significative de l'indice. Avec un BPA de 4 136 FCFA, chaque action génère un bénéfice substantiel. Le PER de 9,2x est inférieur à la moyenne historique de la BRVM (8-12x), ce qui suggère une sous-évaluation relative du titre par rapport à ses bénéfices. Le P/B de 2,72x indique que le marché valorise la société à environ 2,7 fois ses capitaux propres, une prime de croissance jugée raisonnable pour un leader régional. Enfin, l'EV/EBITDA de 4,0x, nettement inférieur au seuil de 5x, confirme une valorisation très attractive de la capacité opérationnelle de l'entreprise.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SNTS a enregistré une progression spectaculaire de +31,97%, avec une dernière séance en hausse de +2,29% pour clôturer à 38 000 FCFA. Le titre a évolué dans une fourchette large de 27 160 FCFA (plus bas) à 38 000 FCFA (plus haut), démontrant une dynamique haussière soutenue. La moyenne du cours sur la période (30 297 FCFA) est nettement supérieure à la médiane (28 975 FCFA), ce qui, combiné à un skewness positif de 1,442, indique une distribution asymétrique avec des journées majoritairement sous la moyenne mais des pics de hausse importants. L'écart-type de 2 519 FCFA (CV=8,3%) révèle une dispersion modérée, tandis que le kurtosis de 1,374 signale un risque de mouvements extrêmes. La volatilité annualisée de 31,4% classe le titre dans la catégorie élevée (&gt;30%), reflétant un profil de risque accru mais récompensé par une forte appréciation.</w:t>
      </w:r>
    </w:p>
    <w:p>
      <w:pPr>
        <w:spacing w:after="120" w:line="276" w:lineRule="auto" w:before="240"/>
      </w:pPr>
      <w:r>
        <w:rPr>
          <w:b/>
          <w:color w:val="003366"/>
          <w:sz w:val="24"/>
        </w:rPr>
        <w:t>**PARTIE 2 : ANALYSE TECHNIQUE DÉTAILLÉE**</w:t>
      </w:r>
    </w:p>
    <w:p>
      <w:pPr>
        <w:spacing w:after="120" w:line="276" w:lineRule="auto"/>
      </w:pPr>
      <w:r>
        <w:t>**Moyennes Mobiles** : Le cours actuel (38 000 FCFA) se situe nettement au-dessus de la MM20 (34 191 FCFA) et de la MM50 (32 039 FCFA), confirmant une tendance haussière solide. L'écart positif entre les deux moyennes et le prix indique un momentum positif, justifiant la décision d'achat.</w:t>
      </w:r>
    </w:p>
    <w:p>
      <w:pPr>
        <w:spacing w:after="120" w:line="276" w:lineRule="auto"/>
      </w:pPr>
      <w:r>
        <w:t>**Bandes de Bollinger** : Le prix évolue près de la borne supérieure (39 188 FCFA), avec une borne inférieure à 29 195 FCFA. Cette position proche de la borne haute reflète une pression acheteuse intense, mais la largeur des bandes suggère une volatilité élevée. La décision neutre indique que le marché attend une confirmation directionnelle.</w:t>
      </w:r>
    </w:p>
    <w:p>
      <w:pPr>
        <w:spacing w:after="120" w:line="276" w:lineRule="auto"/>
      </w:pPr>
      <w:r>
        <w:t>**MACD** : La valeur du MACD (1 656) est nettement supérieure à son signal (1 353), avec un écart positif croissant. Cette configuration haussière confirme un momentum positif soutenu, justifiant la décision d'achat.</w:t>
      </w:r>
    </w:p>
    <w:p>
      <w:pPr>
        <w:spacing w:after="120" w:line="276" w:lineRule="auto"/>
      </w:pPr>
      <w:r>
        <w:t>**RSI** : À 76,9, le RSI dépasse largement le seuil de surachat (70), signalant une possible correction à court terme. Cette zone de surachat extrême justifie la décision de vente, car le titre est techniquement surévalué à court terme.</w:t>
      </w:r>
    </w:p>
    <w:p>
      <w:pPr>
        <w:spacing w:after="120" w:line="276" w:lineRule="auto"/>
      </w:pPr>
      <w:r>
        <w:t>**Stochastique** : Le %K et le %D sont tous deux à 100, indiquant une condition de surachat extrême. Cette configuration suggère un essoufflement potentiel du mouvement haussier, justifiant la décision de vente.</w:t>
      </w:r>
    </w:p>
    <w:p>
      <w:pPr>
        <w:spacing w:after="120" w:line="276" w:lineRule="auto"/>
      </w:pPr>
      <w:r>
        <w:t>**Conclusion technique** : Les indicateurs de tendance (MM, MACD) sont résolument haussiers, mais les oscillateurs (RSI, Stochastique) signalent un surachat extrême. Cette divergence suggère qu'un repli technique est probable à court terme avant la poursuite de la tendance haussière de fond.</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révèlent une performance financière robuste pour Sonatel. Le chiffre d'affaires consolidé atteint 1 923,1 milliards FCFA, en hausse de +8,3% par rapport à 2024 (1 776,4 milliards FCFA), porté par la Data mobile, le haut débit fixe et Orange Money. Le résultat net s'établit à 413,6 milliards FCFA, en progression de +5,1%, avec une marge nette de 21,5%. La rentabilité des fonds propres (ROE) est excellente à 29,6%, tandis que le ROA atteint 12,6%, démontrant une utilisation efficace des actifs. Le BFR négatif de -284,9 milliards FCFA est un signe très favorable, indiquant que l'entreprise finance son exploitation grâce à ses fournisseurs. Les délais clients (46 jours) et fournisseurs (201 jours) confirment cette position de force. Le rapport annuel 2025 (publié en février 2026) confirme ces chiffres et précise un dividende brut de 1 933 FCFA par action (1 740 FCFA net). Les rapports trimestriels 2025 montrent une progression régulière : T1 2025 (+10,9% de croissance), S1 2025 (CA de 960,2 milliards FCFA, +9,4%), et 9M 2025 (CA de 1 432,5 milliards FCFA, +8,6%). Le communiqué du S1 2026 (publié le 24 juillet 2026) indique un CA de 1 049,8 milliards FCFA (+9,3%) et un résultat net de 230 milliards FCFA (+10,5%), laissant présager une année 2026 encore meilleure. La notation AAA attribuée par GCR Ratings renforce la solidité financière du groupe.</w:t>
      </w:r>
    </w:p>
    <w:p>
      <w:pPr>
        <w:spacing w:after="120" w:line="276" w:lineRule="auto" w:before="240"/>
      </w:pPr>
      <w:r>
        <w:rPr>
          <w:b/>
          <w:color w:val="003366"/>
          <w:sz w:val="24"/>
        </w:rPr>
        <w:t>**PARTIE 4 : CONCLUSION D'INVESTISSEMENT**</w:t>
      </w:r>
    </w:p>
    <w:p>
      <w:pPr>
        <w:spacing w:after="120" w:line="276" w:lineRule="auto"/>
      </w:pPr>
      <w:r>
        <w:t>La valorisation de Sonatel (PER 9,2x, EV/EBITDA 4,0x) indique une sous-évaluation malgré la forte progression du cours (+31,97% sur 100 jours), soutenue par des fondamentaux excellents (ROE 29,6%, croissance soutenue). Les signaux techniques sont mitigés : la tendance reste haussière (MM, MACD), mais les oscillateurs en surachat extrême (RSI 76,9, Stochastique 100) suggèrent un repli technique imminent. Les prédictions IA pour les 10 prochains jours (36 178-36 561 FCFA) confirment cette anticipation de correction modérée (-4% environ), sans remettre en cause la tendance de fond. Les fondamentaux solides, la politique de dividende attractive (rendement d'environ 4,6%) et les perspectives de croissance portées par la fibre, la 5G et Orange Money justifient une recommandation d'**ACHAT** sur les replis techniques. Le niveau de confiance est **Élevé**, avec un risque global **Moyen** (volatilité élevée mais fondamentaux solides). L'horizon d'investissement optimal est le **moyen terme (3-12 mois)**, permettant de bénéficier de la croissance continue du groupe tout en lissant la volatilité à court terme.</w:t>
      </w:r>
    </w:p>
    <w:p/>
    <w:p/>
    <w:p>
      <w:pPr>
        <w:pStyle w:val="Heading3"/>
      </w:pPr>
      <w:r>
        <w:rPr>
          <w:color w:val="00467F"/>
        </w:rPr>
        <w:t>📎 DOCUMENTS &amp; COMMUNICATIONS OFFICIELS BRVM</w:t>
      </w:r>
    </w:p>
    <w:p>
      <w:r>
        <w:rPr>
          <w:i/>
          <w:color w:val="646464"/>
          <w:sz w:val="18"/>
        </w:rPr>
        <w:t>5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191.72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5,830 titres</w:t>
            </w:r>
          </w:p>
        </w:tc>
        <w:tc>
          <w:tcPr>
            <w:tcW w:type="dxa" w:w="2268"/>
            <w:shd w:fill="FFF2CC" w:val="clear"/>
          </w:tcPr>
          <w:p>
            <w:r>
              <w:rPr>
                <w:b/>
                <w:color w:val="503200"/>
                <w:sz w:val="16"/>
              </w:rPr>
              <w:t xml:space="preserve">Cours actuel : </w:t>
            </w:r>
            <w:r>
              <w:rPr>
                <w:color w:val="000000"/>
                <w:sz w:val="17"/>
              </w:rPr>
              <w:t>8,875 FCFA</w:t>
            </w:r>
          </w:p>
          <w:p>
            <w:r>
              <w:rPr>
                <w:b/>
                <w:color w:val="503200"/>
                <w:sz w:val="16"/>
              </w:rPr>
              <w:t xml:space="preserve">Var. 100 jours : </w:t>
            </w:r>
            <w:r>
              <w:rPr>
                <w:b/>
                <w:color w:val="007800"/>
                <w:sz w:val="17"/>
              </w:rPr>
              <w:t>+11.64%</w:t>
            </w:r>
          </w:p>
          <w:p>
            <w:r>
              <w:rPr>
                <w:b/>
                <w:color w:val="503200"/>
                <w:sz w:val="16"/>
              </w:rPr>
              <w:t xml:space="preserve">Plus haut 100j : </w:t>
            </w:r>
            <w:r>
              <w:rPr>
                <w:color w:val="000000"/>
                <w:sz w:val="17"/>
              </w:rPr>
              <w:t>8,875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37.4%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4.95% (Faible) — μ=8,015 FCFA, σ=397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β=0.2363 (Défensif) — Cov=0.000009, Var(idx)=0.000036, ρ=0.061,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5,830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Vente=4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σ_j=2.36%/j (Stable) — Vol. annualisée≈37.4%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2026-09-04</w:t>
            </w:r>
          </w:p>
        </w:tc>
        <w:tc>
          <w:tcPr>
            <w:tcW w:type="dxa" w:w="1440"/>
            <w:shd w:fill="FFDCE0" w:val="clear"/>
          </w:tcPr>
          <w:p>
            <w:r>
              <w:rPr>
                <w:sz w:val="17"/>
              </w:rPr>
              <w:t>8,276</w:t>
            </w:r>
          </w:p>
        </w:tc>
        <w:tc>
          <w:tcPr>
            <w:tcW w:type="dxa" w:w="1440"/>
            <w:shd w:fill="FFDCE0" w:val="clear"/>
          </w:tcPr>
          <w:p>
            <w:r>
              <w:rPr>
                <w:b/>
                <w:sz w:val="17"/>
              </w:rPr>
              <w:t>8,676</w:t>
            </w:r>
          </w:p>
        </w:tc>
        <w:tc>
          <w:tcPr>
            <w:tcW w:type="dxa" w:w="1440"/>
            <w:shd w:fill="FFDCE0" w:val="clear"/>
          </w:tcPr>
          <w:p>
            <w:r>
              <w:rPr>
                <w:sz w:val="17"/>
              </w:rPr>
              <w:t>9,076</w:t>
            </w:r>
          </w:p>
        </w:tc>
        <w:tc>
          <w:tcPr>
            <w:tcW w:type="dxa" w:w="1440"/>
            <w:shd w:fill="FFDCE0" w:val="clear"/>
          </w:tcPr>
          <w:p>
            <w:r>
              <w:rPr>
                <w:b/>
                <w:color w:val="C00000"/>
                <w:sz w:val="17"/>
              </w:rPr>
              <w:t>-2.2%</w:t>
            </w:r>
          </w:p>
        </w:tc>
      </w:tr>
      <w:tr>
        <w:tc>
          <w:tcPr>
            <w:tcW w:type="dxa" w:w="1440"/>
            <w:shd w:fill="FFDCE0" w:val="clear"/>
          </w:tcPr>
          <w:p>
            <w:r>
              <w:rPr>
                <w:sz w:val="17"/>
              </w:rPr>
              <w:t>J+2  Moyenne</w:t>
            </w:r>
          </w:p>
        </w:tc>
        <w:tc>
          <w:tcPr>
            <w:tcW w:type="dxa" w:w="1440"/>
            <w:shd w:fill="FFDCE0" w:val="clear"/>
          </w:tcPr>
          <w:p>
            <w:r>
              <w:rPr>
                <w:sz w:val="17"/>
              </w:rPr>
              <w:t>2026-09-07</w:t>
            </w:r>
          </w:p>
        </w:tc>
        <w:tc>
          <w:tcPr>
            <w:tcW w:type="dxa" w:w="1440"/>
            <w:shd w:fill="FFDCE0" w:val="clear"/>
          </w:tcPr>
          <w:p>
            <w:r>
              <w:rPr>
                <w:sz w:val="17"/>
              </w:rPr>
              <w:t>8,122</w:t>
            </w:r>
          </w:p>
        </w:tc>
        <w:tc>
          <w:tcPr>
            <w:tcW w:type="dxa" w:w="1440"/>
            <w:shd w:fill="FFDCE0" w:val="clear"/>
          </w:tcPr>
          <w:p>
            <w:r>
              <w:rPr>
                <w:b/>
                <w:sz w:val="17"/>
              </w:rPr>
              <w:t>8,688</w:t>
            </w:r>
          </w:p>
        </w:tc>
        <w:tc>
          <w:tcPr>
            <w:tcW w:type="dxa" w:w="1440"/>
            <w:shd w:fill="FFDCE0" w:val="clear"/>
          </w:tcPr>
          <w:p>
            <w:r>
              <w:rPr>
                <w:sz w:val="17"/>
              </w:rPr>
              <w:t>9,254</w:t>
            </w:r>
          </w:p>
        </w:tc>
        <w:tc>
          <w:tcPr>
            <w:tcW w:type="dxa" w:w="1440"/>
            <w:shd w:fill="FFDCE0" w:val="clear"/>
          </w:tcPr>
          <w:p>
            <w:r>
              <w:rPr>
                <w:b/>
                <w:color w:val="C00000"/>
                <w:sz w:val="17"/>
              </w:rPr>
              <w:t>-2.1%</w:t>
            </w:r>
          </w:p>
        </w:tc>
      </w:tr>
      <w:tr>
        <w:tc>
          <w:tcPr>
            <w:tcW w:type="dxa" w:w="1440"/>
            <w:shd w:fill="FFDCE0" w:val="clear"/>
          </w:tcPr>
          <w:p>
            <w:r>
              <w:rPr>
                <w:sz w:val="17"/>
              </w:rPr>
              <w:t>J+3  Moyenne</w:t>
            </w:r>
          </w:p>
        </w:tc>
        <w:tc>
          <w:tcPr>
            <w:tcW w:type="dxa" w:w="1440"/>
            <w:shd w:fill="FFDCE0" w:val="clear"/>
          </w:tcPr>
          <w:p>
            <w:r>
              <w:rPr>
                <w:sz w:val="17"/>
              </w:rPr>
              <w:t>2026-09-08</w:t>
            </w:r>
          </w:p>
        </w:tc>
        <w:tc>
          <w:tcPr>
            <w:tcW w:type="dxa" w:w="1440"/>
            <w:shd w:fill="FFDCE0" w:val="clear"/>
          </w:tcPr>
          <w:p>
            <w:r>
              <w:rPr>
                <w:sz w:val="17"/>
              </w:rPr>
              <w:t>7,995</w:t>
            </w:r>
          </w:p>
        </w:tc>
        <w:tc>
          <w:tcPr>
            <w:tcW w:type="dxa" w:w="1440"/>
            <w:shd w:fill="FFDCE0" w:val="clear"/>
          </w:tcPr>
          <w:p>
            <w:r>
              <w:rPr>
                <w:b/>
                <w:sz w:val="17"/>
              </w:rPr>
              <w:t>8,688</w:t>
            </w:r>
          </w:p>
        </w:tc>
        <w:tc>
          <w:tcPr>
            <w:tcW w:type="dxa" w:w="1440"/>
            <w:shd w:fill="FFDCE0" w:val="clear"/>
          </w:tcPr>
          <w:p>
            <w:r>
              <w:rPr>
                <w:sz w:val="17"/>
              </w:rPr>
              <w:t>9,381</w:t>
            </w:r>
          </w:p>
        </w:tc>
        <w:tc>
          <w:tcPr>
            <w:tcW w:type="dxa" w:w="1440"/>
            <w:shd w:fill="FFDCE0" w:val="clear"/>
          </w:tcPr>
          <w:p>
            <w:r>
              <w:rPr>
                <w:b/>
                <w:color w:val="C00000"/>
                <w:sz w:val="17"/>
              </w:rPr>
              <w:t>-2.1%</w:t>
            </w:r>
          </w:p>
        </w:tc>
      </w:tr>
      <w:tr>
        <w:tc>
          <w:tcPr>
            <w:tcW w:type="dxa" w:w="1440"/>
            <w:shd w:fill="FFDCE0" w:val="clear"/>
          </w:tcPr>
          <w:p>
            <w:r>
              <w:rPr>
                <w:sz w:val="17"/>
              </w:rPr>
              <w:t>J+4  ⭐</w:t>
            </w:r>
          </w:p>
        </w:tc>
        <w:tc>
          <w:tcPr>
            <w:tcW w:type="dxa" w:w="1440"/>
            <w:shd w:fill="FFDCE0" w:val="clear"/>
          </w:tcPr>
          <w:p>
            <w:r>
              <w:rPr>
                <w:sz w:val="17"/>
              </w:rPr>
              <w:t>2026-09-09</w:t>
            </w:r>
          </w:p>
        </w:tc>
        <w:tc>
          <w:tcPr>
            <w:tcW w:type="dxa" w:w="1440"/>
            <w:shd w:fill="FFDCE0" w:val="clear"/>
          </w:tcPr>
          <w:p>
            <w:r>
              <w:rPr>
                <w:sz w:val="17"/>
              </w:rPr>
              <w:t>7,893</w:t>
            </w:r>
          </w:p>
        </w:tc>
        <w:tc>
          <w:tcPr>
            <w:tcW w:type="dxa" w:w="1440"/>
            <w:shd w:fill="FFDCE0" w:val="clear"/>
          </w:tcPr>
          <w:p>
            <w:r>
              <w:rPr>
                <w:b/>
                <w:sz w:val="17"/>
              </w:rPr>
              <w:t>8,694</w:t>
            </w:r>
          </w:p>
        </w:tc>
        <w:tc>
          <w:tcPr>
            <w:tcW w:type="dxa" w:w="1440"/>
            <w:shd w:fill="FFDCE0" w:val="clear"/>
          </w:tcPr>
          <w:p>
            <w:r>
              <w:rPr>
                <w:sz w:val="17"/>
              </w:rPr>
              <w:t>9,495</w:t>
            </w:r>
          </w:p>
        </w:tc>
        <w:tc>
          <w:tcPr>
            <w:tcW w:type="dxa" w:w="1440"/>
            <w:shd w:fill="FFDCE0" w:val="clear"/>
          </w:tcPr>
          <w:p>
            <w:r>
              <w:rPr>
                <w:b/>
                <w:color w:val="C00000"/>
                <w:sz w:val="17"/>
              </w:rPr>
              <w:t>-2.0%</w:t>
            </w:r>
          </w:p>
        </w:tc>
      </w:tr>
      <w:tr>
        <w:tc>
          <w:tcPr>
            <w:tcW w:type="dxa" w:w="1440"/>
            <w:shd w:fill="FAFAFA" w:val="clear"/>
          </w:tcPr>
          <w:p>
            <w:r>
              <w:rPr>
                <w:sz w:val="17"/>
              </w:rPr>
              <w:t>J+5  ⭐</w:t>
            </w:r>
          </w:p>
        </w:tc>
        <w:tc>
          <w:tcPr>
            <w:tcW w:type="dxa" w:w="1440"/>
            <w:shd w:fill="FAFAFA" w:val="clear"/>
          </w:tcPr>
          <w:p>
            <w:r>
              <w:rPr>
                <w:sz w:val="17"/>
              </w:rPr>
              <w:t>2026-09-10</w:t>
            </w:r>
          </w:p>
        </w:tc>
        <w:tc>
          <w:tcPr>
            <w:tcW w:type="dxa" w:w="1440"/>
            <w:shd w:fill="FAFAFA" w:val="clear"/>
          </w:tcPr>
          <w:p>
            <w:r>
              <w:rPr>
                <w:sz w:val="17"/>
              </w:rPr>
              <w:t>7,805</w:t>
            </w:r>
          </w:p>
        </w:tc>
        <w:tc>
          <w:tcPr>
            <w:tcW w:type="dxa" w:w="1440"/>
            <w:shd w:fill="FAFAFA" w:val="clear"/>
          </w:tcPr>
          <w:p>
            <w:r>
              <w:rPr>
                <w:b/>
                <w:sz w:val="17"/>
              </w:rPr>
              <w:t>8,701</w:t>
            </w:r>
          </w:p>
        </w:tc>
        <w:tc>
          <w:tcPr>
            <w:tcW w:type="dxa" w:w="1440"/>
            <w:shd w:fill="FAFAFA" w:val="clear"/>
          </w:tcPr>
          <w:p>
            <w:r>
              <w:rPr>
                <w:sz w:val="17"/>
              </w:rPr>
              <w:t>9,598</w:t>
            </w:r>
          </w:p>
        </w:tc>
        <w:tc>
          <w:tcPr>
            <w:tcW w:type="dxa" w:w="1440"/>
            <w:shd w:fill="FAFAFA" w:val="clear"/>
          </w:tcPr>
          <w:p>
            <w:r>
              <w:rPr>
                <w:b/>
                <w:color w:val="C00000"/>
                <w:sz w:val="17"/>
              </w:rPr>
              <w:t>-2.0%</w:t>
            </w:r>
          </w:p>
        </w:tc>
      </w:tr>
      <w:tr>
        <w:tc>
          <w:tcPr>
            <w:tcW w:type="dxa" w:w="1440"/>
            <w:shd w:fill="FAFAFA" w:val="clear"/>
          </w:tcPr>
          <w:p>
            <w:r>
              <w:rPr>
                <w:sz w:val="17"/>
              </w:rPr>
              <w:t>J+6  ⭐</w:t>
            </w:r>
          </w:p>
        </w:tc>
        <w:tc>
          <w:tcPr>
            <w:tcW w:type="dxa" w:w="1440"/>
            <w:shd w:fill="FAFAFA" w:val="clear"/>
          </w:tcPr>
          <w:p>
            <w:r>
              <w:rPr>
                <w:sz w:val="17"/>
              </w:rPr>
              <w:t>2026-09-11</w:t>
            </w:r>
          </w:p>
        </w:tc>
        <w:tc>
          <w:tcPr>
            <w:tcW w:type="dxa" w:w="1440"/>
            <w:shd w:fill="FAFAFA" w:val="clear"/>
          </w:tcPr>
          <w:p>
            <w:r>
              <w:rPr>
                <w:sz w:val="17"/>
              </w:rPr>
              <w:t>7,726</w:t>
            </w:r>
          </w:p>
        </w:tc>
        <w:tc>
          <w:tcPr>
            <w:tcW w:type="dxa" w:w="1440"/>
            <w:shd w:fill="FAFAFA" w:val="clear"/>
          </w:tcPr>
          <w:p>
            <w:r>
              <w:rPr>
                <w:b/>
                <w:sz w:val="17"/>
              </w:rPr>
              <w:t>8,709</w:t>
            </w:r>
          </w:p>
        </w:tc>
        <w:tc>
          <w:tcPr>
            <w:tcW w:type="dxa" w:w="1440"/>
            <w:shd w:fill="FAFAFA" w:val="clear"/>
          </w:tcPr>
          <w:p>
            <w:r>
              <w:rPr>
                <w:sz w:val="17"/>
              </w:rPr>
              <w:t>9,692</w:t>
            </w:r>
          </w:p>
        </w:tc>
        <w:tc>
          <w:tcPr>
            <w:tcW w:type="dxa" w:w="1440"/>
            <w:shd w:fill="FAFAFA" w:val="clear"/>
          </w:tcPr>
          <w:p>
            <w:r>
              <w:rPr>
                <w:b/>
                <w:color w:val="C00000"/>
                <w:sz w:val="17"/>
              </w:rPr>
              <w:t>-1.9%</w:t>
            </w:r>
          </w:p>
        </w:tc>
      </w:tr>
      <w:tr>
        <w:tc>
          <w:tcPr>
            <w:tcW w:type="dxa" w:w="1440"/>
            <w:shd w:fill="FAFAFA" w:val="clear"/>
          </w:tcPr>
          <w:p>
            <w:r>
              <w:rPr>
                <w:sz w:val="17"/>
              </w:rPr>
              <w:t>J+7  ⭐</w:t>
            </w:r>
          </w:p>
        </w:tc>
        <w:tc>
          <w:tcPr>
            <w:tcW w:type="dxa" w:w="1440"/>
            <w:shd w:fill="FAFAFA" w:val="clear"/>
          </w:tcPr>
          <w:p>
            <w:r>
              <w:rPr>
                <w:sz w:val="17"/>
              </w:rPr>
              <w:t>2026-09-14</w:t>
            </w:r>
          </w:p>
        </w:tc>
        <w:tc>
          <w:tcPr>
            <w:tcW w:type="dxa" w:w="1440"/>
            <w:shd w:fill="FAFAFA" w:val="clear"/>
          </w:tcPr>
          <w:p>
            <w:r>
              <w:rPr>
                <w:sz w:val="17"/>
              </w:rPr>
              <w:t>7,654</w:t>
            </w:r>
          </w:p>
        </w:tc>
        <w:tc>
          <w:tcPr>
            <w:tcW w:type="dxa" w:w="1440"/>
            <w:shd w:fill="FAFAFA" w:val="clear"/>
          </w:tcPr>
          <w:p>
            <w:r>
              <w:rPr>
                <w:b/>
                <w:sz w:val="17"/>
              </w:rPr>
              <w:t>8,716</w:t>
            </w:r>
          </w:p>
        </w:tc>
        <w:tc>
          <w:tcPr>
            <w:tcW w:type="dxa" w:w="1440"/>
            <w:shd w:fill="FAFAFA" w:val="clear"/>
          </w:tcPr>
          <w:p>
            <w:r>
              <w:rPr>
                <w:sz w:val="17"/>
              </w:rPr>
              <w:t>9,779</w:t>
            </w:r>
          </w:p>
        </w:tc>
        <w:tc>
          <w:tcPr>
            <w:tcW w:type="dxa" w:w="1440"/>
            <w:shd w:fill="FAFAFA" w:val="clear"/>
          </w:tcPr>
          <w:p>
            <w:r>
              <w:rPr>
                <w:b/>
                <w:color w:val="C00000"/>
                <w:sz w:val="17"/>
              </w:rPr>
              <w:t>-1.8%</w:t>
            </w:r>
          </w:p>
        </w:tc>
      </w:tr>
      <w:tr>
        <w:tc>
          <w:tcPr>
            <w:tcW w:type="dxa" w:w="1440"/>
            <w:shd w:fill="FAFAFA" w:val="clear"/>
          </w:tcPr>
          <w:p>
            <w:r>
              <w:rPr>
                <w:sz w:val="17"/>
              </w:rPr>
              <w:t>J+8  ⭐</w:t>
            </w:r>
          </w:p>
        </w:tc>
        <w:tc>
          <w:tcPr>
            <w:tcW w:type="dxa" w:w="1440"/>
            <w:shd w:fill="FAFAFA" w:val="clear"/>
          </w:tcPr>
          <w:p>
            <w:r>
              <w:rPr>
                <w:sz w:val="17"/>
              </w:rPr>
              <w:t>2026-09-15</w:t>
            </w:r>
          </w:p>
        </w:tc>
        <w:tc>
          <w:tcPr>
            <w:tcW w:type="dxa" w:w="1440"/>
            <w:shd w:fill="FAFAFA" w:val="clear"/>
          </w:tcPr>
          <w:p>
            <w:r>
              <w:rPr>
                <w:sz w:val="17"/>
              </w:rPr>
              <w:t>7,587</w:t>
            </w:r>
          </w:p>
        </w:tc>
        <w:tc>
          <w:tcPr>
            <w:tcW w:type="dxa" w:w="1440"/>
            <w:shd w:fill="FAFAFA" w:val="clear"/>
          </w:tcPr>
          <w:p>
            <w:r>
              <w:rPr>
                <w:b/>
                <w:sz w:val="17"/>
              </w:rPr>
              <w:t>8,723</w:t>
            </w:r>
          </w:p>
        </w:tc>
        <w:tc>
          <w:tcPr>
            <w:tcW w:type="dxa" w:w="1440"/>
            <w:shd w:fill="FAFAFA" w:val="clear"/>
          </w:tcPr>
          <w:p>
            <w:r>
              <w:rPr>
                <w:sz w:val="17"/>
              </w:rPr>
              <w:t>9,860</w:t>
            </w:r>
          </w:p>
        </w:tc>
        <w:tc>
          <w:tcPr>
            <w:tcW w:type="dxa" w:w="1440"/>
            <w:shd w:fill="FAFAFA" w:val="clear"/>
          </w:tcPr>
          <w:p>
            <w:r>
              <w:rPr>
                <w:b/>
                <w:color w:val="C00000"/>
                <w:sz w:val="17"/>
              </w:rPr>
              <w:t>-1.7%</w:t>
            </w:r>
          </w:p>
        </w:tc>
      </w:tr>
      <w:tr>
        <w:tc>
          <w:tcPr>
            <w:tcW w:type="dxa" w:w="1440"/>
            <w:shd w:fill="FAFAFA" w:val="clear"/>
          </w:tcPr>
          <w:p>
            <w:r>
              <w:rPr>
                <w:sz w:val="17"/>
              </w:rPr>
              <w:t>J+9  ⭐</w:t>
            </w:r>
          </w:p>
        </w:tc>
        <w:tc>
          <w:tcPr>
            <w:tcW w:type="dxa" w:w="1440"/>
            <w:shd w:fill="FAFAFA" w:val="clear"/>
          </w:tcPr>
          <w:p>
            <w:r>
              <w:rPr>
                <w:sz w:val="17"/>
              </w:rPr>
              <w:t>2026-09-16</w:t>
            </w:r>
          </w:p>
        </w:tc>
        <w:tc>
          <w:tcPr>
            <w:tcW w:type="dxa" w:w="1440"/>
            <w:shd w:fill="FAFAFA" w:val="clear"/>
          </w:tcPr>
          <w:p>
            <w:r>
              <w:rPr>
                <w:sz w:val="17"/>
              </w:rPr>
              <w:t>7,524</w:t>
            </w:r>
          </w:p>
        </w:tc>
        <w:tc>
          <w:tcPr>
            <w:tcW w:type="dxa" w:w="1440"/>
            <w:shd w:fill="FAFAFA" w:val="clear"/>
          </w:tcPr>
          <w:p>
            <w:r>
              <w:rPr>
                <w:b/>
                <w:sz w:val="17"/>
              </w:rPr>
              <w:t>8,731</w:t>
            </w:r>
          </w:p>
        </w:tc>
        <w:tc>
          <w:tcPr>
            <w:tcW w:type="dxa" w:w="1440"/>
            <w:shd w:fill="FAFAFA" w:val="clear"/>
          </w:tcPr>
          <w:p>
            <w:r>
              <w:rPr>
                <w:sz w:val="17"/>
              </w:rPr>
              <w:t>9,938</w:t>
            </w:r>
          </w:p>
        </w:tc>
        <w:tc>
          <w:tcPr>
            <w:tcW w:type="dxa" w:w="1440"/>
            <w:shd w:fill="FAFAFA" w:val="clear"/>
          </w:tcPr>
          <w:p>
            <w:r>
              <w:rPr>
                <w:b/>
                <w:color w:val="C00000"/>
                <w:sz w:val="17"/>
              </w:rPr>
              <w:t>-1.6%</w:t>
            </w:r>
          </w:p>
        </w:tc>
      </w:tr>
      <w:tr>
        <w:tc>
          <w:tcPr>
            <w:tcW w:type="dxa" w:w="1440"/>
            <w:shd w:fill="FAFAFA" w:val="clear"/>
          </w:tcPr>
          <w:p>
            <w:r>
              <w:rPr>
                <w:sz w:val="17"/>
              </w:rPr>
              <w:t>J+10  ⭐</w:t>
            </w:r>
          </w:p>
        </w:tc>
        <w:tc>
          <w:tcPr>
            <w:tcW w:type="dxa" w:w="1440"/>
            <w:shd w:fill="FAFAFA" w:val="clear"/>
          </w:tcPr>
          <w:p>
            <w:r>
              <w:rPr>
                <w:sz w:val="17"/>
              </w:rPr>
              <w:t>2026-09-17</w:t>
            </w:r>
          </w:p>
        </w:tc>
        <w:tc>
          <w:tcPr>
            <w:tcW w:type="dxa" w:w="1440"/>
            <w:shd w:fill="FAFAFA" w:val="clear"/>
          </w:tcPr>
          <w:p>
            <w:r>
              <w:rPr>
                <w:sz w:val="17"/>
              </w:rPr>
              <w:t>7,465</w:t>
            </w:r>
          </w:p>
        </w:tc>
        <w:tc>
          <w:tcPr>
            <w:tcW w:type="dxa" w:w="1440"/>
            <w:shd w:fill="FAFAFA" w:val="clear"/>
          </w:tcPr>
          <w:p>
            <w:r>
              <w:rPr>
                <w:b/>
                <w:sz w:val="17"/>
              </w:rPr>
              <w:t>8,738</w:t>
            </w:r>
          </w:p>
        </w:tc>
        <w:tc>
          <w:tcPr>
            <w:tcW w:type="dxa" w:w="1440"/>
            <w:shd w:fill="FAFAFA" w:val="clear"/>
          </w:tcPr>
          <w:p>
            <w:r>
              <w:rPr>
                <w:sz w:val="17"/>
              </w:rPr>
              <w:t>10,011</w:t>
            </w:r>
          </w:p>
        </w:tc>
        <w:tc>
          <w:tcPr>
            <w:tcW w:type="dxa" w:w="1440"/>
            <w:shd w:fill="FAFAFA" w:val="clear"/>
          </w:tcPr>
          <w:p>
            <w:r>
              <w:rPr>
                <w:b/>
                <w:color w:val="C00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before="240"/>
      </w:pPr>
      <w:r>
        <w:rPr>
          <w:b/>
          <w:color w:val="003366"/>
          <w:sz w:val="24"/>
        </w:rPr>
        <w:t>**PARTIE 0 : INDICATEURS DE VALORISATION BOURSIÈRE**</w:t>
      </w:r>
    </w:p>
    <w:p>
      <w:pPr>
        <w:spacing w:after="120" w:line="276" w:lineRule="auto"/>
      </w:pPr>
      <w:r>
        <w:t>La Société des Caoutchoucs de Grand-Béréby (SOGC) affiche une capitalisation boursière de 191,72 milliards FCFA, ce qui en fait l'une des valeurs les plus significatives de la côte BRVM, reflétant son statut de poids lourd du secteur agro-industriel. Avec un BPA de 578 FCFA, chaque action détenue génère un bénéfice substantiel. Le PER de 15,3x se situe au-dessus de la moyenne historique de la BRVM (8-12x), indiquant que les investisseurs acceptent de payer une prime pour la qualité des actifs et la croissance passée, bien que cette valorisation reste modérée. Le P/B de 2,80x confirme cette prime, le marché valorisant la société à près de trois fois sa valeur comptable, ce qui est justifié par un ROE élevé. Enfin, un EV/EBITDA de 8,0x, dans la fourchette raisonnable de 5-10x, suggère que la valeur d'entreprise reste cohérente avec sa capacité opérationnelle à générer des flux.</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SOGC a enregistré une progression totale de +11,64%, avec une accélération notable lors de la dernière séance (+4,53%), clôturant à 8 875 FCFA, son plus haut niveau sur la période. Le cours a évolué dans une fourchette de 7 100 à 8 875 FCFA, démontrant une dynamique haussière soutenue. La moyenne du cours sur la période (8 015 FCFA) est inférieure à la médiane (8 100 FCFA), et le mode (8 200 FCFA) est supérieur à la moyenne, indiquant une distribution légèrement asymétrique où le cours a passé plus de temps sous les niveaux les plus fréquents. L'écart-type de 399 FCFA (CV de 5,0%) révèle une dispersion relativement faible autour de la moyenne, suggérant une certaine stabilité relative. Le kurtosis négatif (-0,794) indique une distribution mésokurtique avec un faible risque de mouvements extrêmes, tandis que le skewness (-0,440) suggère une asymétrie vers la gauche. La volatilité annualisée de 37,4% classe le titre comme très volatil, un niveau élevé qui nécessite une gestion prudente du risque.</w:t>
      </w:r>
    </w:p>
    <w:p>
      <w:pPr>
        <w:spacing w:after="120" w:line="276" w:lineRule="auto" w:before="240"/>
      </w:pPr>
      <w:r>
        <w:rPr>
          <w:b/>
          <w:color w:val="003366"/>
          <w:sz w:val="24"/>
        </w:rPr>
        <w:t>**PARTIE 2 : ANALYSE TECHNIQUE DÉTAILLÉE**</w:t>
      </w:r>
    </w:p>
    <w:p>
      <w:pPr>
        <w:spacing w:after="120" w:line="276" w:lineRule="auto"/>
      </w:pPr>
      <w:r>
        <w:t>Les **Moyennes Mobiles** (MM20 à 8 109,5 et MM50 à 8 214,0) sont toutes deux inférieures au cours actuel de 8 875 FCFA, ce qui indique une tendance haussière à court et moyen terme. Cependant, la décision de "Vente" suggère que le cours s'est éloigné de manière excessive de ses moyennes, signalant un potentiel de correction à court terme.</w:t>
      </w:r>
    </w:p>
    <w:p>
      <w:pPr>
        <w:spacing w:after="120" w:line="276" w:lineRule="auto"/>
      </w:pPr>
      <w:r>
        <w:t>Les **Bandes de Bollinger** montrent un cours (8 875 FCFA) qui a franchi la borne supérieure (8 731,9 FCFA), un signal classique de surachat. Cette sortie de canal indique une pression acheteuse extrême, mais la décision de "Vente" souligne le risque imminent d'un retour vers la moyenne de la bande, surtout si le volume ne confirme pas cette cassure.</w:t>
      </w:r>
    </w:p>
    <w:p>
      <w:pPr>
        <w:spacing w:after="120" w:line="276" w:lineRule="auto"/>
      </w:pPr>
      <w:r>
        <w:t>Le **MACD** présente une valeur positive (105,184) nettement supérieure à son signal (25,252), avec un écart croissant. Cette configuration haussière indique un momentum positif fort, justifiant la décision d'"Achat". La dynamique actuelle suggère que la tendance haussière pourrait se poursuivre à court terme, malgré les signaux de surachat.</w:t>
      </w:r>
    </w:p>
    <w:p>
      <w:pPr>
        <w:spacing w:after="120" w:line="276" w:lineRule="auto"/>
      </w:pPr>
      <w:r>
        <w:t>Le **RSI** à 91,27 est extrêmement élevé, bien au-delà du seuil de surachat de 70. Cette valeur indique que le titre est massivement suracheté, ce qui renforce la décision de "Vente". Historiquement, de tels niveaux précèdent souvent une consolidation ou un repli technique, car les acheteurs potentiels sont épuisés à ces niveaux de prix.</w:t>
      </w:r>
    </w:p>
    <w:p>
      <w:pPr>
        <w:spacing w:after="120" w:line="276" w:lineRule="auto"/>
      </w:pPr>
      <w:r>
        <w:t>Le **Stochastique** (%K et %D à 100,0) est également en zone de surachat extrême, confirmant la vigueur de la tendance haussière mais aussi son caractère potentiellement excessif. La décision de "Vente" est cohérente avec ces niveaux, car ils indiquent que le titre est survendu à la hausse et qu'une correction technique est probable.</w:t>
      </w:r>
    </w:p>
    <w:p>
      <w:pPr>
        <w:spacing w:after="120" w:line="276" w:lineRule="auto"/>
      </w:pPr>
      <w:r>
        <w:t>En **conclusion technique**, la majorité des indicateurs (MM, Bollinger, RSI, Stochastique) signalent un surachat prononcé et recommandent une prudence, tandis que seul le MACD reste positif. Cette divergence suggère que la tendance haussière de fond est intacte, mais qu'un repli technique est de plus en plus probable à très court terme pour "respirer" avant une éventuelle poursuite du mouvement.</w:t>
      </w:r>
    </w:p>
    <w:p>
      <w:pPr>
        <w:spacing w:after="120" w:line="276" w:lineRule="auto" w:before="240"/>
      </w:pPr>
      <w:r>
        <w:rPr>
          <w:b/>
          <w:color w:val="003366"/>
          <w:sz w:val="24"/>
        </w:rPr>
        <w:t>**PARTIE 3 : ANALYSE FONDAMENTALE (SECTION CRITIQUE)**</w:t>
      </w:r>
    </w:p>
    <w:p>
      <w:pPr>
        <w:spacing w:after="120" w:line="276" w:lineRule="auto"/>
      </w:pPr>
      <w:r>
        <w:t>En 2025, la SOGC a réalisé un chiffre d'affaires de 98,979 milliards FCFA, en hausse de 10,7% par rapport à 2024, et un résultat net de 12,493 milliards FCFA (en léger repli de 5% vs 2024), démontrant une résilience dans un environnement de prix des matières premières plus difficile. La rentabilité reste excellente avec un ROE de 18,26% et un ROA de 13,84%, soutenus par une marge opérationnelle de 17,24% et une marge nette de 12,62%. La structure financière est très saine avec une autonomie financière de 75,79% et une capacité de remboursement quasi nulle (0,04 an). En tant qu'entreprise agro-industrielle, l'analyse du BFR (7,124 Mds FCFA) et des délais d'exploitation est cruciale : le délai de stockage de 97,67 jours est élevé, immobilisant du capital, mais le délai clients (29,60 jours) et le délai fournisseurs (31,72 jours) sont bien équilibrés. Les rapports trimestriels 2025 montrent une décélération progressive : après un T1 exceptionnel (+63,1% de CA), le S1 2025 affichait +51,9%, et les 9M 2025 +21,3%, avec un résultat net cumulé de 11,5 milliards FCFA (+39,5%). Sur cette base, on estime que l'exercice 2025 devrait confirmer les chiffres annuels publiés, avec une nette décélération au S2. La société a proposé un dividende brut de 570 FCFA par action pour 2025 (vs 60 FCFA en 2024), soit un rendement élevé, mais avec un taux de distribution de 98,9%, ce qui limite les capacités de réinvestissement futur. Les risques principaux restent la volatilité des prix du caoutchouc et la concurrence accrue sur l'achat du coagulum, qui ont pesé sur les marges au second semestre 2025.</w:t>
      </w:r>
    </w:p>
    <w:p>
      <w:pPr>
        <w:spacing w:after="120" w:line="276" w:lineRule="auto" w:before="240"/>
      </w:pPr>
      <w:r>
        <w:rPr>
          <w:b/>
          <w:color w:val="003366"/>
          <w:sz w:val="24"/>
        </w:rPr>
        <w:t>**PARTIE 4 : CONCLUSION D'INVESTISSEMENT**</w:t>
      </w:r>
    </w:p>
    <w:p>
      <w:pPr>
        <w:spacing w:after="120" w:line="276" w:lineRule="auto"/>
      </w:pPr>
      <w:r>
        <w:t>La valorisation actuelle (PER 15,3x, P/B 2,80x) intègre une prime de croissance qui semble justifiée par la solidité des fondamentaux, mais qui laisse peu de marge de sécurité en cas de déception. Le comportement du cours est haussier sur la période (+11,64%), mais la volatilité élevée (37,4%) et les statistiques descriptives (kurtosis négatif, skewness négatif) suggèrent un profil de risque non négligeable. Les signaux techniques sont majoritairement vendeurs à court terme (RSI, Stochastique, Bollinger en surachat extrême), tandis que le MACD reste positif, créant une divergence qui plaide pour une consolidation. Les fondamentaux, bien qu'en léger repli en 2025, restent robustes avec un ROE de 18,26% et une génération de cash-flow opérationnel de 22,6 milliards FCFA. Les prédictions IA (8 676 à 8 701 FCFA sur J+1 à J+10) suggèrent un léger repli par rapport au cours actuel de 8 875 FCFA, confirmant les signaux techniques de surachat. En synthèse, la convergence entre la prédiction IA et les indicateurs techniques suggère une pause probable à court terme, mais les fondamentaux solides et la politique de dividende généreuse soutiennent le titre à moyen terme. **Recommandation : CONSERVER**, avec un niveau de confiance **Moyen** et un risque global **Élevé** à court terme. L'horizon d'investissement optimal serait le **moyen terme (3-12 mois)**, en attendant un point d'entrée plus favorable après une éventuelle correction technique.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260.69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4,413 titres</w:t>
            </w:r>
          </w:p>
        </w:tc>
        <w:tc>
          <w:tcPr>
            <w:tcW w:type="dxa" w:w="2268"/>
            <w:shd w:fill="FFF2CC" w:val="clear"/>
          </w:tcPr>
          <w:p>
            <w:r>
              <w:rPr>
                <w:b/>
                <w:color w:val="503200"/>
                <w:sz w:val="16"/>
              </w:rPr>
              <w:t xml:space="preserve">Cours actuel : </w:t>
            </w:r>
            <w:r>
              <w:rPr>
                <w:color w:val="000000"/>
                <w:sz w:val="17"/>
              </w:rPr>
              <w:t>10,200 FCFA</w:t>
            </w:r>
          </w:p>
          <w:p>
            <w:r>
              <w:rPr>
                <w:b/>
                <w:color w:val="503200"/>
                <w:sz w:val="16"/>
              </w:rPr>
              <w:t xml:space="preserve">Var. 100 jours : </w:t>
            </w:r>
            <w:r>
              <w:rPr>
                <w:b/>
                <w:color w:val="007800"/>
                <w:sz w:val="17"/>
              </w:rPr>
              <w:t>+40.40%</w:t>
            </w:r>
          </w:p>
          <w:p>
            <w:r>
              <w:rPr>
                <w:b/>
                <w:color w:val="503200"/>
                <w:sz w:val="16"/>
              </w:rPr>
              <w:t xml:space="preserve">Plus haut 100j : </w:t>
            </w:r>
            <w:r>
              <w:rPr>
                <w:color w:val="000000"/>
                <w:sz w:val="17"/>
              </w:rPr>
              <w:t>10,300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40.2%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21.1/100 → Moyen</w:t>
      </w:r>
    </w:p>
    <w:p>
      <w:pPr>
        <w:spacing w:before="40" w:after="80"/>
      </w:pPr>
      <w:r>
        <w:rPr>
          <w:rFonts w:ascii="Courier New" w:hAnsi="Courier New"/>
          <w:color w:val="825A00"/>
          <w:sz w:val="18"/>
        </w:rPr>
        <w:t>████░░░░░░░░░░░░░░░░  21.1/100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9.83% (Moyenne) — μ=7,675 FCFA, σ=754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β=1.1127 (Neutre (suit le marché)) — Cov=0.000040, Var(idx)=0.000036, ρ=0.268,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4,413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σ_j=2.53%/j (Stable) — Vol. annualisée≈40.2%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2026-09-04</w:t>
            </w:r>
          </w:p>
        </w:tc>
        <w:tc>
          <w:tcPr>
            <w:tcW w:type="dxa" w:w="1440"/>
            <w:shd w:fill="FFDCE0" w:val="clear"/>
          </w:tcPr>
          <w:p>
            <w:r>
              <w:rPr>
                <w:sz w:val="17"/>
              </w:rPr>
              <w:t>9,424</w:t>
            </w:r>
          </w:p>
        </w:tc>
        <w:tc>
          <w:tcPr>
            <w:tcW w:type="dxa" w:w="1440"/>
            <w:shd w:fill="FFDCE0" w:val="clear"/>
          </w:tcPr>
          <w:p>
            <w:r>
              <w:rPr>
                <w:b/>
                <w:sz w:val="17"/>
              </w:rPr>
              <w:t>9,913</w:t>
            </w:r>
          </w:p>
        </w:tc>
        <w:tc>
          <w:tcPr>
            <w:tcW w:type="dxa" w:w="1440"/>
            <w:shd w:fill="FFDCE0" w:val="clear"/>
          </w:tcPr>
          <w:p>
            <w:r>
              <w:rPr>
                <w:sz w:val="17"/>
              </w:rPr>
              <w:t>10,401</w:t>
            </w:r>
          </w:p>
        </w:tc>
        <w:tc>
          <w:tcPr>
            <w:tcW w:type="dxa" w:w="1440"/>
            <w:shd w:fill="FFDCE0" w:val="clear"/>
          </w:tcPr>
          <w:p>
            <w:r>
              <w:rPr>
                <w:b/>
                <w:color w:val="C00000"/>
                <w:sz w:val="17"/>
              </w:rPr>
              <w:t>-2.8%</w:t>
            </w:r>
          </w:p>
        </w:tc>
      </w:tr>
      <w:tr>
        <w:tc>
          <w:tcPr>
            <w:tcW w:type="dxa" w:w="1440"/>
            <w:shd w:fill="FFDCE0" w:val="clear"/>
          </w:tcPr>
          <w:p>
            <w:r>
              <w:rPr>
                <w:sz w:val="17"/>
              </w:rPr>
              <w:t>J+2  Moyenne</w:t>
            </w:r>
          </w:p>
        </w:tc>
        <w:tc>
          <w:tcPr>
            <w:tcW w:type="dxa" w:w="1440"/>
            <w:shd w:fill="FFDCE0" w:val="clear"/>
          </w:tcPr>
          <w:p>
            <w:r>
              <w:rPr>
                <w:sz w:val="17"/>
              </w:rPr>
              <w:t>2026-09-07</w:t>
            </w:r>
          </w:p>
        </w:tc>
        <w:tc>
          <w:tcPr>
            <w:tcW w:type="dxa" w:w="1440"/>
            <w:shd w:fill="FFDCE0" w:val="clear"/>
          </w:tcPr>
          <w:p>
            <w:r>
              <w:rPr>
                <w:sz w:val="17"/>
              </w:rPr>
              <w:t>9,169</w:t>
            </w:r>
          </w:p>
        </w:tc>
        <w:tc>
          <w:tcPr>
            <w:tcW w:type="dxa" w:w="1440"/>
            <w:shd w:fill="FFDCE0" w:val="clear"/>
          </w:tcPr>
          <w:p>
            <w:r>
              <w:rPr>
                <w:b/>
                <w:sz w:val="17"/>
              </w:rPr>
              <w:t>9,856</w:t>
            </w:r>
          </w:p>
        </w:tc>
        <w:tc>
          <w:tcPr>
            <w:tcW w:type="dxa" w:w="1440"/>
            <w:shd w:fill="FFDCE0" w:val="clear"/>
          </w:tcPr>
          <w:p>
            <w:r>
              <w:rPr>
                <w:sz w:val="17"/>
              </w:rPr>
              <w:t>10,543</w:t>
            </w:r>
          </w:p>
        </w:tc>
        <w:tc>
          <w:tcPr>
            <w:tcW w:type="dxa" w:w="1440"/>
            <w:shd w:fill="FFDCE0" w:val="clear"/>
          </w:tcPr>
          <w:p>
            <w:r>
              <w:rPr>
                <w:b/>
                <w:color w:val="C00000"/>
                <w:sz w:val="17"/>
              </w:rPr>
              <w:t>-3.4%</w:t>
            </w:r>
          </w:p>
        </w:tc>
      </w:tr>
      <w:tr>
        <w:tc>
          <w:tcPr>
            <w:tcW w:type="dxa" w:w="1440"/>
            <w:shd w:fill="FFDCE0" w:val="clear"/>
          </w:tcPr>
          <w:p>
            <w:r>
              <w:rPr>
                <w:sz w:val="17"/>
              </w:rPr>
              <w:t>J+3  Moyenne</w:t>
            </w:r>
          </w:p>
        </w:tc>
        <w:tc>
          <w:tcPr>
            <w:tcW w:type="dxa" w:w="1440"/>
            <w:shd w:fill="FFDCE0" w:val="clear"/>
          </w:tcPr>
          <w:p>
            <w:r>
              <w:rPr>
                <w:sz w:val="17"/>
              </w:rPr>
              <w:t>2026-09-08</w:t>
            </w:r>
          </w:p>
        </w:tc>
        <w:tc>
          <w:tcPr>
            <w:tcW w:type="dxa" w:w="1440"/>
            <w:shd w:fill="FFDCE0" w:val="clear"/>
          </w:tcPr>
          <w:p>
            <w:r>
              <w:rPr>
                <w:sz w:val="17"/>
              </w:rPr>
              <w:t>8,957</w:t>
            </w:r>
          </w:p>
        </w:tc>
        <w:tc>
          <w:tcPr>
            <w:tcW w:type="dxa" w:w="1440"/>
            <w:shd w:fill="FFDCE0" w:val="clear"/>
          </w:tcPr>
          <w:p>
            <w:r>
              <w:rPr>
                <w:b/>
                <w:sz w:val="17"/>
              </w:rPr>
              <w:t>9,793</w:t>
            </w:r>
          </w:p>
        </w:tc>
        <w:tc>
          <w:tcPr>
            <w:tcW w:type="dxa" w:w="1440"/>
            <w:shd w:fill="FFDCE0" w:val="clear"/>
          </w:tcPr>
          <w:p>
            <w:r>
              <w:rPr>
                <w:sz w:val="17"/>
              </w:rPr>
              <w:t>10,629</w:t>
            </w:r>
          </w:p>
        </w:tc>
        <w:tc>
          <w:tcPr>
            <w:tcW w:type="dxa" w:w="1440"/>
            <w:shd w:fill="FFDCE0" w:val="clear"/>
          </w:tcPr>
          <w:p>
            <w:r>
              <w:rPr>
                <w:b/>
                <w:color w:val="C00000"/>
                <w:sz w:val="17"/>
              </w:rPr>
              <w:t>-4.0%</w:t>
            </w:r>
          </w:p>
        </w:tc>
      </w:tr>
      <w:tr>
        <w:tc>
          <w:tcPr>
            <w:tcW w:type="dxa" w:w="1440"/>
            <w:shd w:fill="FFDCE0" w:val="clear"/>
          </w:tcPr>
          <w:p>
            <w:r>
              <w:rPr>
                <w:sz w:val="17"/>
              </w:rPr>
              <w:t>J+4  ⭐</w:t>
            </w:r>
          </w:p>
        </w:tc>
        <w:tc>
          <w:tcPr>
            <w:tcW w:type="dxa" w:w="1440"/>
            <w:shd w:fill="FFDCE0" w:val="clear"/>
          </w:tcPr>
          <w:p>
            <w:r>
              <w:rPr>
                <w:sz w:val="17"/>
              </w:rPr>
              <w:t>2026-09-09</w:t>
            </w:r>
          </w:p>
        </w:tc>
        <w:tc>
          <w:tcPr>
            <w:tcW w:type="dxa" w:w="1440"/>
            <w:shd w:fill="FFDCE0" w:val="clear"/>
          </w:tcPr>
          <w:p>
            <w:r>
              <w:rPr>
                <w:sz w:val="17"/>
              </w:rPr>
              <w:t>8,780</w:t>
            </w:r>
          </w:p>
        </w:tc>
        <w:tc>
          <w:tcPr>
            <w:tcW w:type="dxa" w:w="1440"/>
            <w:shd w:fill="FFDCE0" w:val="clear"/>
          </w:tcPr>
          <w:p>
            <w:r>
              <w:rPr>
                <w:b/>
                <w:sz w:val="17"/>
              </w:rPr>
              <w:t>9,740</w:t>
            </w:r>
          </w:p>
        </w:tc>
        <w:tc>
          <w:tcPr>
            <w:tcW w:type="dxa" w:w="1440"/>
            <w:shd w:fill="FFDCE0" w:val="clear"/>
          </w:tcPr>
          <w:p>
            <w:r>
              <w:rPr>
                <w:sz w:val="17"/>
              </w:rPr>
              <w:t>10,700</w:t>
            </w:r>
          </w:p>
        </w:tc>
        <w:tc>
          <w:tcPr>
            <w:tcW w:type="dxa" w:w="1440"/>
            <w:shd w:fill="FFDCE0" w:val="clear"/>
          </w:tcPr>
          <w:p>
            <w:r>
              <w:rPr>
                <w:b/>
                <w:color w:val="C00000"/>
                <w:sz w:val="17"/>
              </w:rPr>
              <w:t>-4.5%</w:t>
            </w:r>
          </w:p>
        </w:tc>
      </w:tr>
      <w:tr>
        <w:tc>
          <w:tcPr>
            <w:tcW w:type="dxa" w:w="1440"/>
            <w:shd w:fill="FFDCE0" w:val="clear"/>
          </w:tcPr>
          <w:p>
            <w:r>
              <w:rPr>
                <w:sz w:val="17"/>
              </w:rPr>
              <w:t>J+5  ⭐</w:t>
            </w:r>
          </w:p>
        </w:tc>
        <w:tc>
          <w:tcPr>
            <w:tcW w:type="dxa" w:w="1440"/>
            <w:shd w:fill="FFDCE0" w:val="clear"/>
          </w:tcPr>
          <w:p>
            <w:r>
              <w:rPr>
                <w:sz w:val="17"/>
              </w:rPr>
              <w:t>2026-09-10</w:t>
            </w:r>
          </w:p>
        </w:tc>
        <w:tc>
          <w:tcPr>
            <w:tcW w:type="dxa" w:w="1440"/>
            <w:shd w:fill="FFDCE0" w:val="clear"/>
          </w:tcPr>
          <w:p>
            <w:r>
              <w:rPr>
                <w:sz w:val="17"/>
              </w:rPr>
              <w:t>8,622</w:t>
            </w:r>
          </w:p>
        </w:tc>
        <w:tc>
          <w:tcPr>
            <w:tcW w:type="dxa" w:w="1440"/>
            <w:shd w:fill="FFDCE0" w:val="clear"/>
          </w:tcPr>
          <w:p>
            <w:r>
              <w:rPr>
                <w:b/>
                <w:sz w:val="17"/>
              </w:rPr>
              <w:t>9,690</w:t>
            </w:r>
          </w:p>
        </w:tc>
        <w:tc>
          <w:tcPr>
            <w:tcW w:type="dxa" w:w="1440"/>
            <w:shd w:fill="FFDCE0" w:val="clear"/>
          </w:tcPr>
          <w:p>
            <w:r>
              <w:rPr>
                <w:sz w:val="17"/>
              </w:rPr>
              <w:t>10,757</w:t>
            </w:r>
          </w:p>
        </w:tc>
        <w:tc>
          <w:tcPr>
            <w:tcW w:type="dxa" w:w="1440"/>
            <w:shd w:fill="FFDCE0" w:val="clear"/>
          </w:tcPr>
          <w:p>
            <w:r>
              <w:rPr>
                <w:b/>
                <w:color w:val="C00000"/>
                <w:sz w:val="17"/>
              </w:rPr>
              <w:t>-5.0%</w:t>
            </w:r>
          </w:p>
        </w:tc>
      </w:tr>
      <w:tr>
        <w:tc>
          <w:tcPr>
            <w:tcW w:type="dxa" w:w="1440"/>
            <w:shd w:fill="FFDCE0" w:val="clear"/>
          </w:tcPr>
          <w:p>
            <w:r>
              <w:rPr>
                <w:sz w:val="17"/>
              </w:rPr>
              <w:t>J+6  ⭐</w:t>
            </w:r>
          </w:p>
        </w:tc>
        <w:tc>
          <w:tcPr>
            <w:tcW w:type="dxa" w:w="1440"/>
            <w:shd w:fill="FFDCE0" w:val="clear"/>
          </w:tcPr>
          <w:p>
            <w:r>
              <w:rPr>
                <w:sz w:val="17"/>
              </w:rPr>
              <w:t>2026-09-11</w:t>
            </w:r>
          </w:p>
        </w:tc>
        <w:tc>
          <w:tcPr>
            <w:tcW w:type="dxa" w:w="1440"/>
            <w:shd w:fill="FFDCE0" w:val="clear"/>
          </w:tcPr>
          <w:p>
            <w:r>
              <w:rPr>
                <w:sz w:val="17"/>
              </w:rPr>
              <w:t>8,476</w:t>
            </w:r>
          </w:p>
        </w:tc>
        <w:tc>
          <w:tcPr>
            <w:tcW w:type="dxa" w:w="1440"/>
            <w:shd w:fill="FFDCE0" w:val="clear"/>
          </w:tcPr>
          <w:p>
            <w:r>
              <w:rPr>
                <w:b/>
                <w:sz w:val="17"/>
              </w:rPr>
              <w:t>9,640</w:t>
            </w:r>
          </w:p>
        </w:tc>
        <w:tc>
          <w:tcPr>
            <w:tcW w:type="dxa" w:w="1440"/>
            <w:shd w:fill="FFDCE0" w:val="clear"/>
          </w:tcPr>
          <w:p>
            <w:r>
              <w:rPr>
                <w:sz w:val="17"/>
              </w:rPr>
              <w:t>10,804</w:t>
            </w:r>
          </w:p>
        </w:tc>
        <w:tc>
          <w:tcPr>
            <w:tcW w:type="dxa" w:w="1440"/>
            <w:shd w:fill="FFDCE0" w:val="clear"/>
          </w:tcPr>
          <w:p>
            <w:r>
              <w:rPr>
                <w:b/>
                <w:color w:val="C00000"/>
                <w:sz w:val="17"/>
              </w:rPr>
              <w:t>-5.5%</w:t>
            </w:r>
          </w:p>
        </w:tc>
      </w:tr>
      <w:tr>
        <w:tc>
          <w:tcPr>
            <w:tcW w:type="dxa" w:w="1440"/>
            <w:shd w:fill="FFDCE0" w:val="clear"/>
          </w:tcPr>
          <w:p>
            <w:r>
              <w:rPr>
                <w:sz w:val="17"/>
              </w:rPr>
              <w:t>J+7  ⭐</w:t>
            </w:r>
          </w:p>
        </w:tc>
        <w:tc>
          <w:tcPr>
            <w:tcW w:type="dxa" w:w="1440"/>
            <w:shd w:fill="FFDCE0" w:val="clear"/>
          </w:tcPr>
          <w:p>
            <w:r>
              <w:rPr>
                <w:sz w:val="17"/>
              </w:rPr>
              <w:t>2026-09-14</w:t>
            </w:r>
          </w:p>
        </w:tc>
        <w:tc>
          <w:tcPr>
            <w:tcW w:type="dxa" w:w="1440"/>
            <w:shd w:fill="FFDCE0" w:val="clear"/>
          </w:tcPr>
          <w:p>
            <w:r>
              <w:rPr>
                <w:sz w:val="17"/>
              </w:rPr>
              <w:t>8,340</w:t>
            </w:r>
          </w:p>
        </w:tc>
        <w:tc>
          <w:tcPr>
            <w:tcW w:type="dxa" w:w="1440"/>
            <w:shd w:fill="FFDCE0" w:val="clear"/>
          </w:tcPr>
          <w:p>
            <w:r>
              <w:rPr>
                <w:b/>
                <w:sz w:val="17"/>
              </w:rPr>
              <w:t>9,591</w:t>
            </w:r>
          </w:p>
        </w:tc>
        <w:tc>
          <w:tcPr>
            <w:tcW w:type="dxa" w:w="1440"/>
            <w:shd w:fill="FFDCE0" w:val="clear"/>
          </w:tcPr>
          <w:p>
            <w:r>
              <w:rPr>
                <w:sz w:val="17"/>
              </w:rPr>
              <w:t>10,842</w:t>
            </w:r>
          </w:p>
        </w:tc>
        <w:tc>
          <w:tcPr>
            <w:tcW w:type="dxa" w:w="1440"/>
            <w:shd w:fill="FFDCE0" w:val="clear"/>
          </w:tcPr>
          <w:p>
            <w:r>
              <w:rPr>
                <w:b/>
                <w:color w:val="C00000"/>
                <w:sz w:val="17"/>
              </w:rPr>
              <w:t>-6.0%</w:t>
            </w:r>
          </w:p>
        </w:tc>
      </w:tr>
      <w:tr>
        <w:tc>
          <w:tcPr>
            <w:tcW w:type="dxa" w:w="1440"/>
            <w:shd w:fill="FFDCE0" w:val="clear"/>
          </w:tcPr>
          <w:p>
            <w:r>
              <w:rPr>
                <w:sz w:val="17"/>
              </w:rPr>
              <w:t>J+8  ⭐</w:t>
            </w:r>
          </w:p>
        </w:tc>
        <w:tc>
          <w:tcPr>
            <w:tcW w:type="dxa" w:w="1440"/>
            <w:shd w:fill="FFDCE0" w:val="clear"/>
          </w:tcPr>
          <w:p>
            <w:r>
              <w:rPr>
                <w:sz w:val="17"/>
              </w:rPr>
              <w:t>2026-09-15</w:t>
            </w:r>
          </w:p>
        </w:tc>
        <w:tc>
          <w:tcPr>
            <w:tcW w:type="dxa" w:w="1440"/>
            <w:shd w:fill="FFDCE0" w:val="clear"/>
          </w:tcPr>
          <w:p>
            <w:r>
              <w:rPr>
                <w:sz w:val="17"/>
              </w:rPr>
              <w:t>8,212</w:t>
            </w:r>
          </w:p>
        </w:tc>
        <w:tc>
          <w:tcPr>
            <w:tcW w:type="dxa" w:w="1440"/>
            <w:shd w:fill="FFDCE0" w:val="clear"/>
          </w:tcPr>
          <w:p>
            <w:r>
              <w:rPr>
                <w:b/>
                <w:sz w:val="17"/>
              </w:rPr>
              <w:t>9,543</w:t>
            </w:r>
          </w:p>
        </w:tc>
        <w:tc>
          <w:tcPr>
            <w:tcW w:type="dxa" w:w="1440"/>
            <w:shd w:fill="FFDCE0" w:val="clear"/>
          </w:tcPr>
          <w:p>
            <w:r>
              <w:rPr>
                <w:sz w:val="17"/>
              </w:rPr>
              <w:t>10,873</w:t>
            </w:r>
          </w:p>
        </w:tc>
        <w:tc>
          <w:tcPr>
            <w:tcW w:type="dxa" w:w="1440"/>
            <w:shd w:fill="FFDCE0" w:val="clear"/>
          </w:tcPr>
          <w:p>
            <w:r>
              <w:rPr>
                <w:b/>
                <w:color w:val="C00000"/>
                <w:sz w:val="17"/>
              </w:rPr>
              <w:t>-6.4%</w:t>
            </w:r>
          </w:p>
        </w:tc>
      </w:tr>
      <w:tr>
        <w:tc>
          <w:tcPr>
            <w:tcW w:type="dxa" w:w="1440"/>
            <w:shd w:fill="FFDCE0" w:val="clear"/>
          </w:tcPr>
          <w:p>
            <w:r>
              <w:rPr>
                <w:sz w:val="17"/>
              </w:rPr>
              <w:t>J+9  ⭐</w:t>
            </w:r>
          </w:p>
        </w:tc>
        <w:tc>
          <w:tcPr>
            <w:tcW w:type="dxa" w:w="1440"/>
            <w:shd w:fill="FFDCE0" w:val="clear"/>
          </w:tcPr>
          <w:p>
            <w:r>
              <w:rPr>
                <w:sz w:val="17"/>
              </w:rPr>
              <w:t>2026-09-16</w:t>
            </w:r>
          </w:p>
        </w:tc>
        <w:tc>
          <w:tcPr>
            <w:tcW w:type="dxa" w:w="1440"/>
            <w:shd w:fill="FFDCE0" w:val="clear"/>
          </w:tcPr>
          <w:p>
            <w:r>
              <w:rPr>
                <w:sz w:val="17"/>
              </w:rPr>
              <w:t>8,091</w:t>
            </w:r>
          </w:p>
        </w:tc>
        <w:tc>
          <w:tcPr>
            <w:tcW w:type="dxa" w:w="1440"/>
            <w:shd w:fill="FFDCE0" w:val="clear"/>
          </w:tcPr>
          <w:p>
            <w:r>
              <w:rPr>
                <w:b/>
                <w:sz w:val="17"/>
              </w:rPr>
              <w:t>9,495</w:t>
            </w:r>
          </w:p>
        </w:tc>
        <w:tc>
          <w:tcPr>
            <w:tcW w:type="dxa" w:w="1440"/>
            <w:shd w:fill="FFDCE0" w:val="clear"/>
          </w:tcPr>
          <w:p>
            <w:r>
              <w:rPr>
                <w:sz w:val="17"/>
              </w:rPr>
              <w:t>10,899</w:t>
            </w:r>
          </w:p>
        </w:tc>
        <w:tc>
          <w:tcPr>
            <w:tcW w:type="dxa" w:w="1440"/>
            <w:shd w:fill="FFDCE0" w:val="clear"/>
          </w:tcPr>
          <w:p>
            <w:r>
              <w:rPr>
                <w:b/>
                <w:color w:val="C00000"/>
                <w:sz w:val="17"/>
              </w:rPr>
              <w:t>-6.9%</w:t>
            </w:r>
          </w:p>
        </w:tc>
      </w:tr>
      <w:tr>
        <w:tc>
          <w:tcPr>
            <w:tcW w:type="dxa" w:w="1440"/>
            <w:shd w:fill="FFDCE0" w:val="clear"/>
          </w:tcPr>
          <w:p>
            <w:r>
              <w:rPr>
                <w:sz w:val="17"/>
              </w:rPr>
              <w:t>J+10  ⭐</w:t>
            </w:r>
          </w:p>
        </w:tc>
        <w:tc>
          <w:tcPr>
            <w:tcW w:type="dxa" w:w="1440"/>
            <w:shd w:fill="FFDCE0" w:val="clear"/>
          </w:tcPr>
          <w:p>
            <w:r>
              <w:rPr>
                <w:sz w:val="17"/>
              </w:rPr>
              <w:t>2026-09-17</w:t>
            </w:r>
          </w:p>
        </w:tc>
        <w:tc>
          <w:tcPr>
            <w:tcW w:type="dxa" w:w="1440"/>
            <w:shd w:fill="FFDCE0" w:val="clear"/>
          </w:tcPr>
          <w:p>
            <w:r>
              <w:rPr>
                <w:sz w:val="17"/>
              </w:rPr>
              <w:t>7,976</w:t>
            </w:r>
          </w:p>
        </w:tc>
        <w:tc>
          <w:tcPr>
            <w:tcW w:type="dxa" w:w="1440"/>
            <w:shd w:fill="FFDCE0" w:val="clear"/>
          </w:tcPr>
          <w:p>
            <w:r>
              <w:rPr>
                <w:b/>
                <w:sz w:val="17"/>
              </w:rPr>
              <w:t>9,448</w:t>
            </w:r>
          </w:p>
        </w:tc>
        <w:tc>
          <w:tcPr>
            <w:tcW w:type="dxa" w:w="1440"/>
            <w:shd w:fill="FFDCE0" w:val="clear"/>
          </w:tcPr>
          <w:p>
            <w:r>
              <w:rPr>
                <w:sz w:val="17"/>
              </w:rPr>
              <w:t>10,921</w:t>
            </w:r>
          </w:p>
        </w:tc>
        <w:tc>
          <w:tcPr>
            <w:tcW w:type="dxa" w:w="1440"/>
            <w:shd w:fill="FFDCE0" w:val="clear"/>
          </w:tcPr>
          <w:p>
            <w:r>
              <w:rPr>
                <w:b/>
                <w:color w:val="C00000"/>
                <w:sz w:val="17"/>
              </w:rPr>
              <w:t>-7.4%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**RAPPORT D'ANALYSE FINANCIÈRE — SPHC (SAPH CI)**</w:t>
        <w:br/>
        <w:t>**Date de l'analyse : 03 septembre 2026**</w:t>
        <w:br/>
        <w:t>**Cours de référence : 10 200 FCFA**</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260,69 milliards FCFA, SPHC se positionne comme une valeur de premier plan sur la BRVM, reflétant son statut de leader dans l'agro-industrie. Le BPA de 977 FCFA indique que chaque action génère un bénéfice substantiel, justifiant un PER de 10,4x, un niveau en adéquation avec la moyenne historique du marché (8-12x), ce qui suggère une valorisation raisonnable sans prime excessive. Le P/B de 1,89x montre que le marché valorise la société à près du double de sa valeur comptable, une prime justifiée par sa rentabilité élevée (ROE de 18,1%). Enfin, un EV/EBITDA de 6,3x est attractif, indiquant que la valeur totale de l'entreprise (dette incluse) reste modérée par rapport à sa capacité à générer du cash opérationnel. L'ensemble de ces ratios dépeint une valorisation équilibrée pour un leader industriel rentable.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SPHC a enregistré une progression spectaculaire de +40,40%, bien que la dernière séance ait clôturé en léger repli de -0,97% à 10 200 FCFA. Le titre a évolué dans une fourchette très large, oscillant entre un plus bas de 6 720 FCFA et un plus haut de 10 300 FCFA, démontrant une forte dynamique haussière. Les statistiques descriptives confirment cette tendance : la moyenne (7 675 FCFA) est supérieure à la médiane (7 500 FCFA), et le skewness positif (1,755) indique une asymétrie vers les fortes hausses, avec des journées sous la moyenne plus fréquentes mais de moindre ampleur. Le kurtosis élevé (2,690) signale un risque de mouvements extrêmes, tandis que l'écart-type de 758 FCFA (CV=9,9%) montre une dispersion modérée autour de la moyenne. La volatilité annualisée de 40,2% classe le titre comme très volatil, un niveau élevé qui reflète à la fois l'enthousiasme des investisseurs et l'incertitude sur les marchés de matières premières.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(10 200 FCFA) évolue nettement au-dessus de sa MM20 (8 861 FCFA) et de sa MM50 (8 098 FCFA), confirmant une tendance haussière robuste à court et moyen terme. L'écart croissant entre les deux moyennes suggère une accélération du mouvement, justifiant la décision d'achat.</w:t>
      </w:r>
    </w:p>
    <w:p>
      <w:pPr>
        <w:spacing w:after="120" w:line="276" w:lineRule="auto"/>
      </w:pPr>
      <w:r>
        <w:t>**Bandes de Bollinger** : Le prix se situe à 10 200 FCFA, proche de la borne supérieure (10 612 FCFA), indiquant une pression acheteuse soutenue. La largeur des bandes reflète la volatilité élevée. Le signal est neutre, car le titre n'est pas encore en situation de "sortie de bande", mais la proximité de la borne supérieure suggère une possible consolidation à court terme.</w:t>
      </w:r>
    </w:p>
    <w:p>
      <w:pPr>
        <w:spacing w:after="120" w:line="276" w:lineRule="auto"/>
      </w:pPr>
      <w:r>
        <w:t>**MACD** : Le MACD (600,8) est nettement au-dessus de son signal (480,9), confirmant un momentum haussier très fort. La divergence positive et l'écart important entre les deux lignes indiquent que la dynamique d'achat est toujours dominante, justifiant la décision d'achat.</w:t>
      </w:r>
    </w:p>
    <w:p>
      <w:pPr>
        <w:spacing w:after="120" w:line="276" w:lineRule="auto"/>
      </w:pPr>
      <w:r>
        <w:t>**RSI** : Le RSI est à 75,5, une zone de surachat technique. Cela signale que le titre a fortement monté et qu'un repli technique ou une consolidation est probable à court terme. La décision de vente associée à cet indicateur est un signal de prudence pour les acheteurs à court terme.</w:t>
      </w:r>
    </w:p>
    <w:p>
      <w:pPr>
        <w:spacing w:after="120" w:line="276" w:lineRule="auto"/>
      </w:pPr>
      <w:r>
        <w:t>**Stochastique** : Le %K (95,6) et le %D (98,5) sont tous deux en zone de surachat extrême. Bien qu'aucun croisement baissier ne soit encore intervenu, ces niveaux indiquent que le mouvement haussier est arrivé à maturité et qu'un retournement est de plus en plus probable, justifiant la décision de vente.</w:t>
      </w:r>
    </w:p>
    <w:p>
      <w:pPr>
        <w:spacing w:after="120" w:line="276" w:lineRule="auto"/>
      </w:pPr>
      <w:r>
        <w:t>**Conclusion technique** : Les indicateurs de tendance (MM, MACD) sont résolument haussiers, mais les oscillateurs (RSI, Stochastique) crient "surachat". Cette divergence classique suggère que la tendance de fond reste positive, mais qu'un essoufflement à court terme est très probable. La prudence est donc de mise pour les nouveaux achats à ces niveaux, en attendant un éventuel repli technique.</w:t>
      </w:r>
    </w:p>
    <w:p>
      <w:pPr>
        <w:spacing w:after="120" w:line="276" w:lineRule="auto"/>
      </w:pPr>
      <w:r>
        <w:t>---</w:t>
      </w:r>
    </w:p>
    <w:p>
      <w:pPr>
        <w:spacing w:after="120" w:line="276" w:lineRule="auto"/>
      </w:pPr>
      <w:r>
        <w:t>### PARTIE 3 : ANALYSE FONDAMENTALE (SECTION CRITIQUE)</w:t>
      </w:r>
    </w:p>
    <w:p>
      <w:pPr>
        <w:spacing w:after="120" w:line="276" w:lineRule="auto"/>
      </w:pPr>
      <w:r>
        <w:t>En 2025, SPHC a réalisé une performance financière exceptionnelle, avec un chiffre d'affaires de 340,831 milliards FCFA, en hausse de 22% par rapport à 2024, et un résultat net de 24,972 milliards FCFA (+32,9%). Cette performance s'appuie sur une marge opérationnelle solide de 11,2% et une rentabilité des capitaux propres (ROE) de 18,1%, signe d'une gestion très efficace. La structure financière est saine avec un ratio d'endettement modéré de 25,8% et une excellente solvabilité (256,9%). Cependant, l'analyse du BFR (65,4 Mds FCFA) et de la trésorerie nette négative (-15,4 Mds FCFA) révèle un besoin de financement lié à l'exploitation, un point de vigilance classique pour ce secteur. Les rapports trimestriels de 2025 confirment cette dynamique : le T1 affichait une croissance de +72% et un résultat net en hausse de +949%, le S1 une croissance de +51% et un résultat net en hausse de +449%, et le cumul sur 9 mois une croissance de +36% avec un résultat net en hausse de +131%. Cette trajectoire démontre une rentabilité en forte amélioration tout au long de l'année. Cependant, le rapport du T1 2026 (daté de mars 2026) indique un net ralentissement avec un CA de 71,8 milliards FCFA (-24%) et un résultat net de 2,6 milliards FCFA (-78%), pénalisé par la chute des cours mondiaux du caoutchouc et une concurrence accrue sur la matière première. Sur la base de ce rapport, on estime que l'exercice 2026 sera difficile, avec une normalisation des résultats à des niveaux plus proches de ceux de 2024. La politique de dividende reste attractive, avec un DPA proposé de 489 FCFA pour 2025, soit un rendement d'environ 4,8% au cours actuel, soutenue par un taux de distribution stable de 50%.</w:t>
      </w:r>
    </w:p>
    <w:p>
      <w:pPr>
        <w:spacing w:after="120" w:line="276" w:lineRule="auto"/>
      </w:pPr>
      <w:r>
        <w:t>---</w:t>
      </w:r>
    </w:p>
    <w:p>
      <w:pPr>
        <w:spacing w:after="120" w:line="276" w:lineRule="auto"/>
      </w:pPr>
      <w:r>
        <w:t>### PARTIE 4 : CONCLUSION D'INVESTISSEMENT</w:t>
      </w:r>
    </w:p>
    <w:p>
      <w:pPr>
        <w:spacing w:after="120" w:line="276" w:lineRule="auto"/>
      </w:pPr>
      <w:r>
        <w:t>La valorisation de SPHC (PER 10,4x, P/B 1,89x) apparaît raisonnable pour un leader aux fondamentaux solides, mais le comportement du cours (+40% en 100 jours) et les signaux techniques de surachat (RSI 75,5, Stochastique &gt;95) suggèrent un risque de correction à court terme. Les fondamentaux de l'exercice 2025 sont excellents, mais les perspectives pour 2026, basées sur le T1 (-78% de résultat net), sont nettement moins favorables en raison de la chute des cours du caoutchouc. Les prédictions IA pour les 10 prochains jours (baisse progressive de 9 913 à 9 690 FCFA) confirment cette anticipation de repli technique et fondamental. En synthèse, la convergence entre les signaux techniques de surachat et les perspectives fondamentales dégradées pour 2026, malgré une valorisation correcte, conduit à une recommandation de **CONSERVER**. Le niveau de confiance est **Moyen**, car la tendance de fond pourrait reprendre si les cours du caoutchouc se stabilisent. Le risque global est **Élevé** en raison de la volatilité du titre et de l'incertitude sur les marchés. L'horizon d'investissement optimal est le **moyen terme (3-12 mois)**, afin de laisser le temps au marché d'intégrer les résultats 2026 et de potentiellement racheter le titre à des niveaux plus attractifs.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36.15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6,051 titres</w:t>
            </w:r>
          </w:p>
        </w:tc>
        <w:tc>
          <w:tcPr>
            <w:tcW w:type="dxa" w:w="2268"/>
            <w:shd w:fill="FFF2CC" w:val="clear"/>
          </w:tcPr>
          <w:p>
            <w:r>
              <w:rPr>
                <w:b/>
                <w:color w:val="503200"/>
                <w:sz w:val="16"/>
              </w:rPr>
              <w:t xml:space="preserve">Cours actuel : </w:t>
            </w:r>
            <w:r>
              <w:rPr>
                <w:color w:val="000000"/>
                <w:sz w:val="17"/>
              </w:rPr>
              <w:t>2,690 FCFA</w:t>
            </w:r>
          </w:p>
          <w:p>
            <w:r>
              <w:rPr>
                <w:b/>
                <w:color w:val="503200"/>
                <w:sz w:val="16"/>
              </w:rPr>
              <w:t xml:space="preserve">Var. 100 jours : </w:t>
            </w:r>
            <w:r>
              <w:rPr>
                <w:b/>
                <w:color w:val="B40000"/>
                <w:sz w:val="17"/>
              </w:rPr>
              <w:t>-25.38%</w:t>
            </w:r>
          </w:p>
          <w:p>
            <w:r>
              <w:rPr>
                <w:b/>
                <w:color w:val="503200"/>
                <w:sz w:val="16"/>
              </w:rPr>
              <w:t xml:space="preserve">Plus haut 100j : </w:t>
            </w:r>
            <w:r>
              <w:rPr>
                <w:color w:val="000000"/>
                <w:sz w:val="17"/>
              </w:rPr>
              <w:t>3,640 FCFA</w:t>
            </w:r>
          </w:p>
          <w:p>
            <w:r>
              <w:rPr>
                <w:b/>
                <w:color w:val="503200"/>
                <w:sz w:val="16"/>
              </w:rPr>
              <w:t xml:space="preserve">Plus bas 100j : </w:t>
            </w:r>
            <w:r>
              <w:rPr>
                <w:color w:val="000000"/>
                <w:sz w:val="17"/>
              </w:rPr>
              <w:t>2,515 FCFA</w:t>
            </w:r>
          </w:p>
          <w:p>
            <w:r>
              <w:rPr>
                <w:b/>
                <w:color w:val="503200"/>
                <w:sz w:val="16"/>
              </w:rPr>
              <w:t xml:space="preserve">Volatilité ann. : </w:t>
            </w:r>
            <w:r>
              <w:rPr>
                <w:color w:val="000000"/>
                <w:sz w:val="17"/>
              </w:rPr>
              <w:t>60.3%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10.81% (Moyenne) — μ=3,002 FCFA, σ=325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β=-0.3615 (Contre-cyclique) — Cov=-0.000013, Var(idx)=0.000036, ρ=-0.057,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6,051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σ_j=3.80%/j (Modérée) — Vol. annualisée≈60.3%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9287"/>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2026-09-04</w:t>
            </w:r>
          </w:p>
        </w:tc>
        <w:tc>
          <w:tcPr>
            <w:tcW w:type="dxa" w:w="1440"/>
            <w:shd w:fill="FFDCE0" w:val="clear"/>
          </w:tcPr>
          <w:p>
            <w:r>
              <w:rPr>
                <w:sz w:val="17"/>
              </w:rPr>
              <w:t>2,388</w:t>
            </w:r>
          </w:p>
        </w:tc>
        <w:tc>
          <w:tcPr>
            <w:tcW w:type="dxa" w:w="1440"/>
            <w:shd w:fill="FFDCE0" w:val="clear"/>
          </w:tcPr>
          <w:p>
            <w:r>
              <w:rPr>
                <w:b/>
                <w:sz w:val="17"/>
              </w:rPr>
              <w:t>2,510</w:t>
            </w:r>
          </w:p>
        </w:tc>
        <w:tc>
          <w:tcPr>
            <w:tcW w:type="dxa" w:w="1440"/>
            <w:shd w:fill="FFDCE0" w:val="clear"/>
          </w:tcPr>
          <w:p>
            <w:r>
              <w:rPr>
                <w:sz w:val="17"/>
              </w:rPr>
              <w:t>2,633</w:t>
            </w:r>
          </w:p>
        </w:tc>
        <w:tc>
          <w:tcPr>
            <w:tcW w:type="dxa" w:w="1440"/>
            <w:shd w:fill="FFDCE0" w:val="clear"/>
          </w:tcPr>
          <w:p>
            <w:r>
              <w:rPr>
                <w:b/>
                <w:color w:val="C00000"/>
                <w:sz w:val="17"/>
              </w:rPr>
              <w:t>-6.7%</w:t>
            </w:r>
          </w:p>
        </w:tc>
      </w:tr>
      <w:tr>
        <w:tc>
          <w:tcPr>
            <w:tcW w:type="dxa" w:w="1440"/>
            <w:shd w:fill="FFDCE0" w:val="clear"/>
          </w:tcPr>
          <w:p>
            <w:r>
              <w:rPr>
                <w:sz w:val="17"/>
              </w:rPr>
              <w:t>J+2  Moyenne</w:t>
            </w:r>
          </w:p>
        </w:tc>
        <w:tc>
          <w:tcPr>
            <w:tcW w:type="dxa" w:w="1440"/>
            <w:shd w:fill="FFDCE0" w:val="clear"/>
          </w:tcPr>
          <w:p>
            <w:r>
              <w:rPr>
                <w:sz w:val="17"/>
              </w:rPr>
              <w:t>2026-09-07</w:t>
            </w:r>
          </w:p>
        </w:tc>
        <w:tc>
          <w:tcPr>
            <w:tcW w:type="dxa" w:w="1440"/>
            <w:shd w:fill="FFDCE0" w:val="clear"/>
          </w:tcPr>
          <w:p>
            <w:r>
              <w:rPr>
                <w:sz w:val="17"/>
              </w:rPr>
              <w:t>2,162</w:t>
            </w:r>
          </w:p>
        </w:tc>
        <w:tc>
          <w:tcPr>
            <w:tcW w:type="dxa" w:w="1440"/>
            <w:shd w:fill="FFDCE0" w:val="clear"/>
          </w:tcPr>
          <w:p>
            <w:r>
              <w:rPr>
                <w:b/>
                <w:sz w:val="17"/>
              </w:rPr>
              <w:t>2,322</w:t>
            </w:r>
          </w:p>
        </w:tc>
        <w:tc>
          <w:tcPr>
            <w:tcW w:type="dxa" w:w="1440"/>
            <w:shd w:fill="FFDCE0" w:val="clear"/>
          </w:tcPr>
          <w:p>
            <w:r>
              <w:rPr>
                <w:sz w:val="17"/>
              </w:rPr>
              <w:t>2,482</w:t>
            </w:r>
          </w:p>
        </w:tc>
        <w:tc>
          <w:tcPr>
            <w:tcW w:type="dxa" w:w="1440"/>
            <w:shd w:fill="FFDCE0" w:val="clear"/>
          </w:tcPr>
          <w:p>
            <w:r>
              <w:rPr>
                <w:b/>
                <w:color w:val="C00000"/>
                <w:sz w:val="17"/>
              </w:rPr>
              <w:t>-13.7%</w:t>
            </w:r>
          </w:p>
        </w:tc>
      </w:tr>
      <w:tr>
        <w:tc>
          <w:tcPr>
            <w:tcW w:type="dxa" w:w="1440"/>
            <w:shd w:fill="FFDCE0" w:val="clear"/>
          </w:tcPr>
          <w:p>
            <w:r>
              <w:rPr>
                <w:sz w:val="17"/>
              </w:rPr>
              <w:t>J+3  Moyenne</w:t>
            </w:r>
          </w:p>
        </w:tc>
        <w:tc>
          <w:tcPr>
            <w:tcW w:type="dxa" w:w="1440"/>
            <w:shd w:fill="FFDCE0" w:val="clear"/>
          </w:tcPr>
          <w:p>
            <w:r>
              <w:rPr>
                <w:sz w:val="17"/>
              </w:rPr>
              <w:t>2026-09-08</w:t>
            </w:r>
          </w:p>
        </w:tc>
        <w:tc>
          <w:tcPr>
            <w:tcW w:type="dxa" w:w="1440"/>
            <w:shd w:fill="FFDCE0" w:val="clear"/>
          </w:tcPr>
          <w:p>
            <w:r>
              <w:rPr>
                <w:sz w:val="17"/>
              </w:rPr>
              <w:t>1,967</w:t>
            </w:r>
          </w:p>
        </w:tc>
        <w:tc>
          <w:tcPr>
            <w:tcW w:type="dxa" w:w="1440"/>
            <w:shd w:fill="FFDCE0" w:val="clear"/>
          </w:tcPr>
          <w:p>
            <w:r>
              <w:rPr>
                <w:b/>
                <w:sz w:val="17"/>
              </w:rPr>
              <w:t>2,148</w:t>
            </w:r>
          </w:p>
        </w:tc>
        <w:tc>
          <w:tcPr>
            <w:tcW w:type="dxa" w:w="1440"/>
            <w:shd w:fill="FFDCE0" w:val="clear"/>
          </w:tcPr>
          <w:p>
            <w:r>
              <w:rPr>
                <w:sz w:val="17"/>
              </w:rPr>
              <w:t>2,329</w:t>
            </w:r>
          </w:p>
        </w:tc>
        <w:tc>
          <w:tcPr>
            <w:tcW w:type="dxa" w:w="1440"/>
            <w:shd w:fill="FFDCE0" w:val="clear"/>
          </w:tcPr>
          <w:p>
            <w:r>
              <w:rPr>
                <w:b/>
                <w:color w:val="C00000"/>
                <w:sz w:val="17"/>
              </w:rPr>
              <w:t>-20.1%</w:t>
            </w:r>
          </w:p>
        </w:tc>
      </w:tr>
      <w:tr>
        <w:tc>
          <w:tcPr>
            <w:tcW w:type="dxa" w:w="1440"/>
            <w:shd w:fill="FFDCE0" w:val="clear"/>
          </w:tcPr>
          <w:p>
            <w:r>
              <w:rPr>
                <w:sz w:val="17"/>
              </w:rPr>
              <w:t>J+4  ⭐</w:t>
            </w:r>
          </w:p>
        </w:tc>
        <w:tc>
          <w:tcPr>
            <w:tcW w:type="dxa" w:w="1440"/>
            <w:shd w:fill="FFDCE0" w:val="clear"/>
          </w:tcPr>
          <w:p>
            <w:r>
              <w:rPr>
                <w:sz w:val="17"/>
              </w:rPr>
              <w:t>2026-09-09</w:t>
            </w:r>
          </w:p>
        </w:tc>
        <w:tc>
          <w:tcPr>
            <w:tcW w:type="dxa" w:w="1440"/>
            <w:shd w:fill="FFDCE0" w:val="clear"/>
          </w:tcPr>
          <w:p>
            <w:r>
              <w:rPr>
                <w:sz w:val="17"/>
              </w:rPr>
              <w:t>1,807</w:t>
            </w:r>
          </w:p>
        </w:tc>
        <w:tc>
          <w:tcPr>
            <w:tcW w:type="dxa" w:w="1440"/>
            <w:shd w:fill="FFDCE0" w:val="clear"/>
          </w:tcPr>
          <w:p>
            <w:r>
              <w:rPr>
                <w:b/>
                <w:sz w:val="17"/>
              </w:rPr>
              <w:t>2,002</w:t>
            </w:r>
          </w:p>
        </w:tc>
        <w:tc>
          <w:tcPr>
            <w:tcW w:type="dxa" w:w="1440"/>
            <w:shd w:fill="FFDCE0" w:val="clear"/>
          </w:tcPr>
          <w:p>
            <w:r>
              <w:rPr>
                <w:sz w:val="17"/>
              </w:rPr>
              <w:t>2,197</w:t>
            </w:r>
          </w:p>
        </w:tc>
        <w:tc>
          <w:tcPr>
            <w:tcW w:type="dxa" w:w="1440"/>
            <w:shd w:fill="FFDCE0" w:val="clear"/>
          </w:tcPr>
          <w:p>
            <w:r>
              <w:rPr>
                <w:b/>
                <w:color w:val="C00000"/>
                <w:sz w:val="17"/>
              </w:rPr>
              <w:t>-25.6%</w:t>
            </w:r>
          </w:p>
        </w:tc>
      </w:tr>
      <w:tr>
        <w:tc>
          <w:tcPr>
            <w:tcW w:type="dxa" w:w="1440"/>
            <w:shd w:fill="FFDCE0" w:val="clear"/>
          </w:tcPr>
          <w:p>
            <w:r>
              <w:rPr>
                <w:sz w:val="17"/>
              </w:rPr>
              <w:t>J+5  ⭐</w:t>
            </w:r>
          </w:p>
        </w:tc>
        <w:tc>
          <w:tcPr>
            <w:tcW w:type="dxa" w:w="1440"/>
            <w:shd w:fill="FFDCE0" w:val="clear"/>
          </w:tcPr>
          <w:p>
            <w:r>
              <w:rPr>
                <w:sz w:val="17"/>
              </w:rPr>
              <w:t>2026-09-10</w:t>
            </w:r>
          </w:p>
        </w:tc>
        <w:tc>
          <w:tcPr>
            <w:tcW w:type="dxa" w:w="1440"/>
            <w:shd w:fill="FFDCE0" w:val="clear"/>
          </w:tcPr>
          <w:p>
            <w:r>
              <w:rPr>
                <w:sz w:val="17"/>
              </w:rPr>
              <w:t>1,682</w:t>
            </w:r>
          </w:p>
        </w:tc>
        <w:tc>
          <w:tcPr>
            <w:tcW w:type="dxa" w:w="1440"/>
            <w:shd w:fill="FFDCE0" w:val="clear"/>
          </w:tcPr>
          <w:p>
            <w:r>
              <w:rPr>
                <w:b/>
                <w:sz w:val="17"/>
              </w:rPr>
              <w:t>1,887</w:t>
            </w:r>
          </w:p>
        </w:tc>
        <w:tc>
          <w:tcPr>
            <w:tcW w:type="dxa" w:w="1440"/>
            <w:shd w:fill="FFDCE0" w:val="clear"/>
          </w:tcPr>
          <w:p>
            <w:r>
              <w:rPr>
                <w:sz w:val="17"/>
              </w:rPr>
              <w:t>2,093</w:t>
            </w:r>
          </w:p>
        </w:tc>
        <w:tc>
          <w:tcPr>
            <w:tcW w:type="dxa" w:w="1440"/>
            <w:shd w:fill="FFDCE0" w:val="clear"/>
          </w:tcPr>
          <w:p>
            <w:r>
              <w:rPr>
                <w:b/>
                <w:color w:val="C00000"/>
                <w:sz w:val="17"/>
              </w:rPr>
              <w:t>-29.8%</w:t>
            </w:r>
          </w:p>
        </w:tc>
      </w:tr>
      <w:tr>
        <w:tc>
          <w:tcPr>
            <w:tcW w:type="dxa" w:w="1440"/>
            <w:shd w:fill="FFDCE0" w:val="clear"/>
          </w:tcPr>
          <w:p>
            <w:r>
              <w:rPr>
                <w:sz w:val="17"/>
              </w:rPr>
              <w:t>J+6  ⭐</w:t>
            </w:r>
          </w:p>
        </w:tc>
        <w:tc>
          <w:tcPr>
            <w:tcW w:type="dxa" w:w="1440"/>
            <w:shd w:fill="FFDCE0" w:val="clear"/>
          </w:tcPr>
          <w:p>
            <w:r>
              <w:rPr>
                <w:sz w:val="17"/>
              </w:rPr>
              <w:t>2026-09-11</w:t>
            </w:r>
          </w:p>
        </w:tc>
        <w:tc>
          <w:tcPr>
            <w:tcW w:type="dxa" w:w="1440"/>
            <w:shd w:fill="FFDCE0" w:val="clear"/>
          </w:tcPr>
          <w:p>
            <w:r>
              <w:rPr>
                <w:sz w:val="17"/>
              </w:rPr>
              <w:t>1,582</w:t>
            </w:r>
          </w:p>
        </w:tc>
        <w:tc>
          <w:tcPr>
            <w:tcW w:type="dxa" w:w="1440"/>
            <w:shd w:fill="FFDCE0" w:val="clear"/>
          </w:tcPr>
          <w:p>
            <w:r>
              <w:rPr>
                <w:b/>
                <w:sz w:val="17"/>
              </w:rPr>
              <w:t>1,797</w:t>
            </w:r>
          </w:p>
        </w:tc>
        <w:tc>
          <w:tcPr>
            <w:tcW w:type="dxa" w:w="1440"/>
            <w:shd w:fill="FFDCE0" w:val="clear"/>
          </w:tcPr>
          <w:p>
            <w:r>
              <w:rPr>
                <w:sz w:val="17"/>
              </w:rPr>
              <w:t>2,011</w:t>
            </w:r>
          </w:p>
        </w:tc>
        <w:tc>
          <w:tcPr>
            <w:tcW w:type="dxa" w:w="1440"/>
            <w:shd w:fill="FFDCE0" w:val="clear"/>
          </w:tcPr>
          <w:p>
            <w:r>
              <w:rPr>
                <w:b/>
                <w:color w:val="C00000"/>
                <w:sz w:val="17"/>
              </w:rPr>
              <w:t>-33.2%</w:t>
            </w:r>
          </w:p>
        </w:tc>
      </w:tr>
      <w:tr>
        <w:tc>
          <w:tcPr>
            <w:tcW w:type="dxa" w:w="1440"/>
            <w:shd w:fill="FFDCE0" w:val="clear"/>
          </w:tcPr>
          <w:p>
            <w:r>
              <w:rPr>
                <w:sz w:val="17"/>
              </w:rPr>
              <w:t>J+7  ⭐</w:t>
            </w:r>
          </w:p>
        </w:tc>
        <w:tc>
          <w:tcPr>
            <w:tcW w:type="dxa" w:w="1440"/>
            <w:shd w:fill="FFDCE0" w:val="clear"/>
          </w:tcPr>
          <w:p>
            <w:r>
              <w:rPr>
                <w:sz w:val="17"/>
              </w:rPr>
              <w:t>2026-09-14</w:t>
            </w:r>
          </w:p>
        </w:tc>
        <w:tc>
          <w:tcPr>
            <w:tcW w:type="dxa" w:w="1440"/>
            <w:shd w:fill="FFDCE0" w:val="clear"/>
          </w:tcPr>
          <w:p>
            <w:r>
              <w:rPr>
                <w:sz w:val="17"/>
              </w:rPr>
              <w:t>1,503</w:t>
            </w:r>
          </w:p>
        </w:tc>
        <w:tc>
          <w:tcPr>
            <w:tcW w:type="dxa" w:w="1440"/>
            <w:shd w:fill="FFDCE0" w:val="clear"/>
          </w:tcPr>
          <w:p>
            <w:r>
              <w:rPr>
                <w:b/>
                <w:sz w:val="17"/>
              </w:rPr>
              <w:t>1,725</w:t>
            </w:r>
          </w:p>
        </w:tc>
        <w:tc>
          <w:tcPr>
            <w:tcW w:type="dxa" w:w="1440"/>
            <w:shd w:fill="FFDCE0" w:val="clear"/>
          </w:tcPr>
          <w:p>
            <w:r>
              <w:rPr>
                <w:sz w:val="17"/>
              </w:rPr>
              <w:t>1,948</w:t>
            </w:r>
          </w:p>
        </w:tc>
        <w:tc>
          <w:tcPr>
            <w:tcW w:type="dxa" w:w="1440"/>
            <w:shd w:fill="FFDCE0" w:val="clear"/>
          </w:tcPr>
          <w:p>
            <w:r>
              <w:rPr>
                <w:b/>
                <w:color w:val="C00000"/>
                <w:sz w:val="17"/>
              </w:rPr>
              <w:t>-35.9%</w:t>
            </w:r>
          </w:p>
        </w:tc>
      </w:tr>
      <w:tr>
        <w:tc>
          <w:tcPr>
            <w:tcW w:type="dxa" w:w="1440"/>
            <w:shd w:fill="FFDCE0" w:val="clear"/>
          </w:tcPr>
          <w:p>
            <w:r>
              <w:rPr>
                <w:sz w:val="17"/>
              </w:rPr>
              <w:t>J+8  ⭐</w:t>
            </w:r>
          </w:p>
        </w:tc>
        <w:tc>
          <w:tcPr>
            <w:tcW w:type="dxa" w:w="1440"/>
            <w:shd w:fill="FFDCE0" w:val="clear"/>
          </w:tcPr>
          <w:p>
            <w:r>
              <w:rPr>
                <w:sz w:val="17"/>
              </w:rPr>
              <w:t>2026-09-15</w:t>
            </w:r>
          </w:p>
        </w:tc>
        <w:tc>
          <w:tcPr>
            <w:tcW w:type="dxa" w:w="1440"/>
            <w:shd w:fill="FFDCE0" w:val="clear"/>
          </w:tcPr>
          <w:p>
            <w:r>
              <w:rPr>
                <w:sz w:val="17"/>
              </w:rPr>
              <w:t>1,438</w:t>
            </w:r>
          </w:p>
        </w:tc>
        <w:tc>
          <w:tcPr>
            <w:tcW w:type="dxa" w:w="1440"/>
            <w:shd w:fill="FFDCE0" w:val="clear"/>
          </w:tcPr>
          <w:p>
            <w:r>
              <w:rPr>
                <w:b/>
                <w:sz w:val="17"/>
              </w:rPr>
              <w:t>1,668</w:t>
            </w:r>
          </w:p>
        </w:tc>
        <w:tc>
          <w:tcPr>
            <w:tcW w:type="dxa" w:w="1440"/>
            <w:shd w:fill="FFDCE0" w:val="clear"/>
          </w:tcPr>
          <w:p>
            <w:r>
              <w:rPr>
                <w:sz w:val="17"/>
              </w:rPr>
              <w:t>1,898</w:t>
            </w:r>
          </w:p>
        </w:tc>
        <w:tc>
          <w:tcPr>
            <w:tcW w:type="dxa" w:w="1440"/>
            <w:shd w:fill="FFDCE0" w:val="clear"/>
          </w:tcPr>
          <w:p>
            <w:r>
              <w:rPr>
                <w:b/>
                <w:color w:val="C00000"/>
                <w:sz w:val="17"/>
              </w:rPr>
              <w:t>-38.0%</w:t>
            </w:r>
          </w:p>
        </w:tc>
      </w:tr>
      <w:tr>
        <w:tc>
          <w:tcPr>
            <w:tcW w:type="dxa" w:w="1440"/>
            <w:shd w:fill="FFDCE0" w:val="clear"/>
          </w:tcPr>
          <w:p>
            <w:r>
              <w:rPr>
                <w:sz w:val="17"/>
              </w:rPr>
              <w:t>J+9  ⭐</w:t>
            </w:r>
          </w:p>
        </w:tc>
        <w:tc>
          <w:tcPr>
            <w:tcW w:type="dxa" w:w="1440"/>
            <w:shd w:fill="FFDCE0" w:val="clear"/>
          </w:tcPr>
          <w:p>
            <w:r>
              <w:rPr>
                <w:sz w:val="17"/>
              </w:rPr>
              <w:t>2026-09-16</w:t>
            </w:r>
          </w:p>
        </w:tc>
        <w:tc>
          <w:tcPr>
            <w:tcW w:type="dxa" w:w="1440"/>
            <w:shd w:fill="FFDCE0" w:val="clear"/>
          </w:tcPr>
          <w:p>
            <w:r>
              <w:rPr>
                <w:sz w:val="17"/>
              </w:rPr>
              <w:t>1,383</w:t>
            </w:r>
          </w:p>
        </w:tc>
        <w:tc>
          <w:tcPr>
            <w:tcW w:type="dxa" w:w="1440"/>
            <w:shd w:fill="FFDCE0" w:val="clear"/>
          </w:tcPr>
          <w:p>
            <w:r>
              <w:rPr>
                <w:b/>
                <w:sz w:val="17"/>
              </w:rPr>
              <w:t>1,620</w:t>
            </w:r>
          </w:p>
        </w:tc>
        <w:tc>
          <w:tcPr>
            <w:tcW w:type="dxa" w:w="1440"/>
            <w:shd w:fill="FFDCE0" w:val="clear"/>
          </w:tcPr>
          <w:p>
            <w:r>
              <w:rPr>
                <w:sz w:val="17"/>
              </w:rPr>
              <w:t>1,857</w:t>
            </w:r>
          </w:p>
        </w:tc>
        <w:tc>
          <w:tcPr>
            <w:tcW w:type="dxa" w:w="1440"/>
            <w:shd w:fill="FFDCE0" w:val="clear"/>
          </w:tcPr>
          <w:p>
            <w:r>
              <w:rPr>
                <w:b/>
                <w:color w:val="C00000"/>
                <w:sz w:val="17"/>
              </w:rPr>
              <w:t>-39.8%</w:t>
            </w:r>
          </w:p>
        </w:tc>
      </w:tr>
      <w:tr>
        <w:tc>
          <w:tcPr>
            <w:tcW w:type="dxa" w:w="1440"/>
            <w:shd w:fill="FFDCE0" w:val="clear"/>
          </w:tcPr>
          <w:p>
            <w:r>
              <w:rPr>
                <w:sz w:val="17"/>
              </w:rPr>
              <w:t>J+10  ⭐</w:t>
            </w:r>
          </w:p>
        </w:tc>
        <w:tc>
          <w:tcPr>
            <w:tcW w:type="dxa" w:w="1440"/>
            <w:shd w:fill="FFDCE0" w:val="clear"/>
          </w:tcPr>
          <w:p>
            <w:r>
              <w:rPr>
                <w:sz w:val="17"/>
              </w:rPr>
              <w:t>2026-09-17</w:t>
            </w:r>
          </w:p>
        </w:tc>
        <w:tc>
          <w:tcPr>
            <w:tcW w:type="dxa" w:w="1440"/>
            <w:shd w:fill="FFDCE0" w:val="clear"/>
          </w:tcPr>
          <w:p>
            <w:r>
              <w:rPr>
                <w:sz w:val="17"/>
              </w:rPr>
              <w:t>1,336</w:t>
            </w:r>
          </w:p>
        </w:tc>
        <w:tc>
          <w:tcPr>
            <w:tcW w:type="dxa" w:w="1440"/>
            <w:shd w:fill="FFDCE0" w:val="clear"/>
          </w:tcPr>
          <w:p>
            <w:r>
              <w:rPr>
                <w:b/>
                <w:sz w:val="17"/>
              </w:rPr>
              <w:t>1,579</w:t>
            </w:r>
          </w:p>
        </w:tc>
        <w:tc>
          <w:tcPr>
            <w:tcW w:type="dxa" w:w="1440"/>
            <w:shd w:fill="FFDCE0" w:val="clear"/>
          </w:tcPr>
          <w:p>
            <w:r>
              <w:rPr>
                <w:sz w:val="17"/>
              </w:rPr>
              <w:t>1,822</w:t>
            </w:r>
          </w:p>
        </w:tc>
        <w:tc>
          <w:tcPr>
            <w:tcW w:type="dxa" w:w="1440"/>
            <w:shd w:fill="FFDCE0" w:val="clear"/>
          </w:tcPr>
          <w:p>
            <w:r>
              <w:rPr>
                <w:b/>
                <w:color w:val="C00000"/>
                <w:sz w:val="17"/>
              </w:rPr>
              <w:t>-41.3%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**RAPPORT D'ANALYSE FINANCIÈRE — STAC (SETAO)**</w:t>
        <w:br/>
        <w:t>**Date de l'analyse : 03 septembre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STAC s'établit à 36,15 milliards FCFA, un niveau relativement modeste sur la BRVM, reflétant une société de taille moyenne dans le secteur du BTP. Le BPA est négatif à -7 FCFA, ce qui traduit une perte nette par action et rend le PER non significatif (-374,4x), signalant que le marché capitalise des pertes. Le P/B de 101,34x est extrêmement élevé, indiquant que les investisseurs paient une prime considérable par rapport à la valeur comptable des capitaux propres, qui sont très faibles (356,75 millions FCFA). Cette situation est typique d'une action spéculative où le marché anticipe un retournement majeur, mais elle expose à un risque de correction sévère si les fondamentaux ne s'améliorent pas rapidement.</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STAC a enregistré une chute vertigineuse de -25,38%, avec une dernière séance en baisse de -4,44% à 2 690 FCFA. Le titre a évolué dans une fourchette large de 2 515 FCFA (plus bas) à 3 640 FCFA (plus haut), illustrant une forte volatilité et une pression vendeuse persistante. La moyenne du cours sur la période (3 002 FCFA) est supérieure à la médiane (2 958 FCFA), indiquant une asymétrie positive (skewness de 0,437) avec des épisodes de hausse rapide suivis de corrections. L'écart-type de 326 FCFA (CV=10,9%) montre une dispersion modérée, tandis que le kurtosis de -0,974 (mésokurtique) suggère une distribution proche de la normale, sans pics de risque extrêmes. La volatilité annualisée de 60,3% est extrêmement élevée, classant STAC parmi les titres les plus risqués de la cote, bien au-delà du seuil de 30% considéré comme élevé.</w:t>
      </w:r>
    </w:p>
    <w:p>
      <w:pPr>
        <w:spacing w:after="120" w:line="276" w:lineRule="auto"/>
      </w:pPr>
      <w:r>
        <w:t>---</w:t>
      </w:r>
    </w:p>
    <w:p>
      <w:pPr>
        <w:spacing w:after="120" w:line="276" w:lineRule="auto"/>
      </w:pPr>
      <w:r>
        <w:t>### PARTIE 2 : ANALYSE TECHNIQUE DÉTAILLÉE</w:t>
      </w:r>
    </w:p>
    <w:p>
      <w:pPr>
        <w:spacing w:after="120" w:line="276" w:lineRule="auto"/>
      </w:pPr>
      <w:r>
        <w:t>**Moyennes Mobiles :** La MM20 (2 637 FCFA) est nettement inférieure à la MM50 (2 951,6 FCFA), et le cours actuel (2 690 FCFA) se situe entre les deux, mais sous la MM50. Cette configuration en croix baissière (MM20 &lt; MM50) confirme une tendance de fond négative. La décision de "Vente" est justifiée par le fait que le titre reste sous sa moyenne à long terme, indiquant que le rebond actuel est fragile et pourrait être un simple rattrapage technique.</w:t>
      </w:r>
    </w:p>
    <w:p>
      <w:pPr>
        <w:spacing w:after="120" w:line="276" w:lineRule="auto"/>
      </w:pPr>
      <w:r>
        <w:t>**Bandes de Bollinger :** Le cours (2 690 FCFA) se positionne près de la borne inférieure (2 464,88 FCFA), après avoir touché des niveaux plus élevés. L'écart entre les bornes (2 809,12 - 2 464,88) est large, reflétant la forte volatilité du titre. La décision "Neutre" s'explique par le fait que le cours n'est pas en situation de surachat ni de survente extrême, mais la proximité de la borne inférieure suggère un risque de poursuite de la baisse ou un potentiel rebond technique.</w:t>
      </w:r>
    </w:p>
    <w:p>
      <w:pPr>
        <w:spacing w:after="120" w:line="276" w:lineRule="auto"/>
      </w:pPr>
      <w:r>
        <w:t>**MACD :** Le MACD (-47,136) est négatif mais se situe au-dessus de sa ligne de signal (-88,875), formant une divergence positive. Cette configuration indique un ralentissement du momentum baissier et une possible inversion de tendance à court terme. La décision "Achat" est cohérente avec ce croisement haussier, mais elle doit être confirmée par une remontée du MACD au-dessus de zéro pour être pleinement valide.</w:t>
      </w:r>
    </w:p>
    <w:p>
      <w:pPr>
        <w:spacing w:after="120" w:line="276" w:lineRule="auto"/>
      </w:pPr>
      <w:r>
        <w:t>**RSI :** Le RSI à 52,632 est en zone neutre (entre 30 et 70), indiquant un équilibre entre pressions acheteuses et vendeuses. Cette valeur suggère que le titre n'est ni suracheté ni survendu, laissant place à une évolution directionnelle. La décision "Neutre" est appropriée, mais un dépassement de 70 signalerait un surachat, tandis qu'une chute sous 30 indiquerait une survente.</w:t>
      </w:r>
    </w:p>
    <w:p>
      <w:pPr>
        <w:spacing w:after="120" w:line="276" w:lineRule="auto"/>
      </w:pPr>
      <w:r>
        <w:t>**Stochastique :** Le %K (53,333) est inférieur au %D (82,778), formant un croisement baissier récent. Cette configuration indique un affaiblissement du momentum haussier à court terme, malgré des niveaux encore élevés. La décision "Neutre" reflète l'incertitude, mais le croisement %K &lt; %D est un signal de prudence pour les acheteurs.</w:t>
      </w:r>
    </w:p>
    <w:p>
      <w:pPr>
        <w:spacing w:after="120" w:line="276" w:lineRule="auto"/>
      </w:pPr>
      <w:r>
        <w:t>**Conclusion technique :** Les indicateurs sont globalement mitigés, avec un MACD légèrement positif contrastant avec des moyennes mobiles baissières et un stochastique en croisement négatif. Le RSI neutre et les bandes de Bollinger larges suggèrent une phase de consolidation après la forte baisse. La tendance de fond reste baissière, mais des signes de stabilisation apparaissent à court terme, nécessitant une confirmation par le passage du cours au-dessus de la MM20 (2 637 FCFA) et idéalement de la MM50 (2 951 FCFA).</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révèlent une situation financière toujours critique pour STAC. Le chiffre d'affaires s'établit à 3,878 milliards FCFA, en forte croissance de +116,3% par rapport à 2024, mais le résultat net reste déficitaire à -96,56 millions FCFA, avec une marge nette de -2,49%. Le ROE est profondément négatif à -27,07%, et le ROA à -1,77%, traduisant une incapacité à générer de la rentabilité sur les capitaux propres et les actifs. La structure financière est très fragile : les capitaux propres ne représentent que 6,55% du total bilan (autonomie financière très faible), et le ratio d'endettement est colossal à 93,45%. Le BFR est négatif (-930,47 millions FCFA), ce qui est un point positif pour une entreprise, indiquant que les ressources à court terme couvrent les besoins d'exploitation. La trésorerie nette positive de 1,330 milliard FCFA offre un coussin de liquidité, mais elle est consommée par des flux opérationnels négatifs de -2,212 milliards FCFA.</w:t>
      </w:r>
    </w:p>
    <w:p>
      <w:pPr>
        <w:spacing w:after="120" w:line="276" w:lineRule="auto"/>
      </w:pPr>
      <w:r>
        <w:t>**Les rapports trimestriels 2025** montrent une dynamique contrastée. Le rapport du S1 2025 (date inconnue) indique un CA de 2 271 millions FCFA (+290% vs S1 2024), porté par le chantier de l'aéroport d'Abidjan, mais une perte nette aggravée de -557 millions FCFA (+77% vs S1 2024), en raison d'une perte d'exploitation de -543 millions FCFA et d'un effondrement du résultat financier (4 millions FCFA vs 271 millions). Le rapport du 3e trimestre 2025 (cumul 9 mois) montre un CA de 3 456 millions FCFA (+176% vs 9 mois 2024), avec une perte nette réduite à -477 millions FCFA (-22% vs 2024), grâce à une amélioration de 50% de la perte d'exploitation (-456 millions FCFA). La direction maintient une prévision de CA annuel de 4 milliards FCFA pour 2025, ce qui implique un T4 très faible. En croisant ces données avec les états financiers 2024 (CA de 1 793 millions FCFA, perte de -348 millions FCFA), on observe une reprise d'activité significative mais une rentabilité qui reste structurellement déficitaire. Les rapports historiques de 2020-2021 montrent que la société était capable de générer des bénéfices substantiels (2,32 milliards FCFA en 2020), mais la chute de 2023-2024 a profondément érodé la structure financière. **On estime que l'exercice 2025 devrait se solder par une perte nette comprise entre -400 et -500 millions FCFA**, malgré la croissance du CA, en raison de la faiblesse des marges opérationnelles et de la dépendance à un seul projet. La recommandation fondamentale est **VENTE**, car la société reste en situation de fragilité extrême avec des capitaux propres très faibles (356,75 millions FCFA) et une capacité de remboursement de la dette de 77,5 ans, signe d'une insolvabilité potentielle à moyen terme.</w:t>
      </w:r>
    </w:p>
    <w:p>
      <w:pPr>
        <w:spacing w:after="120" w:line="276" w:lineRule="auto"/>
      </w:pPr>
      <w:r>
        <w:t>---</w:t>
      </w:r>
    </w:p>
    <w:p>
      <w:pPr>
        <w:spacing w:after="120" w:line="276" w:lineRule="auto"/>
      </w:pPr>
      <w:r>
        <w:t>### PARTIE 4 : CONCLUSION D'INVESTISSEMENT</w:t>
      </w:r>
    </w:p>
    <w:p>
      <w:pPr>
        <w:spacing w:after="120" w:line="276" w:lineRule="auto"/>
      </w:pPr>
      <w:r>
        <w:t>La synthèse globale fait ressortir une situation très dégradée pour STAC. **Sur le plan de la valorisation**, le PER négatif et le P/B de 101x indiquent une surévaluation flagrante par rapport aux fondamentaux, avec un marché qui spécule sur un redressement hypothétique. **Le comportement du cours** est préoccupant avec une chute de -25,38% sur 100 jours, une volatilité annualisée de 60,3% et une tendance baissière confirmée par les moyennes mobiles. **Les signaux techniques** sont mitigés, avec un MACD légèrement positif mais des indicateurs de tendance toujours négatifs, suggérant une possible stabilisation à court terme sans retournement majeur. **Les fondamentaux** sont très faibles : pertes récurrentes, capitaux propres quasi inexistants, endettement massif, et dépendance à un seul projet (aéroport d'Abidjan) qui ne génère pas encore de rentabilité. **Les prédictions IA** pour les 10 prochains jours (2510 à 1887 FCFA) confirment une poursuite de la baisse, avec une chute potentielle de -30% par rapport au cours actuel. La convergence entre la valorisation excessive, la tendance technique baissière, les fondamentaux dégradés et les prédictions IA négatives est frappante. **Recommandation finale : VENTE FORTE**. Le niveau de confiance est **Élevé** (convergence de tous les signaux), le risque global est **Élevé** (volatilité extrême, risque de faillite, dilution potentielle). L'horizon d'investissement optimal est le **court terme (&lt; 3 mois)** pour les vendeurs, mais pour les investisseurs existants, une sortie immédiate est conseillée. Les investisseurs spéculatifs pourraient surveiller une éventuelle recapitalisation ou un nouveau contrat majeur, mais le risque de perte en capital est très significatif.</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395.10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3,704 titres</w:t>
            </w:r>
          </w:p>
        </w:tc>
        <w:tc>
          <w:tcPr>
            <w:tcW w:type="dxa" w:w="2268"/>
            <w:shd w:fill="FFF2CC" w:val="clear"/>
          </w:tcPr>
          <w:p>
            <w:r>
              <w:rPr>
                <w:b/>
                <w:color w:val="503200"/>
                <w:sz w:val="16"/>
              </w:rPr>
              <w:t xml:space="preserve">Cours actuel : </w:t>
            </w:r>
            <w:r>
              <w:rPr>
                <w:color w:val="000000"/>
                <w:sz w:val="17"/>
              </w:rPr>
              <w:t>22,005 FCFA</w:t>
            </w:r>
          </w:p>
          <w:p>
            <w:r>
              <w:rPr>
                <w:b/>
                <w:color w:val="503200"/>
                <w:sz w:val="16"/>
              </w:rPr>
              <w:t xml:space="preserve">Var. 100 jours : </w:t>
            </w:r>
            <w:r>
              <w:rPr>
                <w:b/>
                <w:color w:val="007800"/>
                <w:sz w:val="17"/>
              </w:rPr>
              <w:t>+3.67%</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19,705 FCFA</w:t>
            </w:r>
          </w:p>
          <w:p>
            <w:r>
              <w:rPr>
                <w:b/>
                <w:color w:val="503200"/>
                <w:sz w:val="16"/>
              </w:rPr>
              <w:t xml:space="preserve">Volatilité ann. : </w:t>
            </w:r>
            <w:r>
              <w:rPr>
                <w:color w:val="000000"/>
                <w:sz w:val="17"/>
              </w:rPr>
              <w:t>36.4%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6.10% (Moyenne) — μ=22,321 FCFA, σ=1,361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β=0.4381 (Défensif) — Cov=0.000016, Var(idx)=0.000036, ρ=0.114,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3,704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σ_j=2.29%/j (Stable) — Vol. annualisée≈36.4%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2026-09-04</w:t>
            </w:r>
          </w:p>
        </w:tc>
        <w:tc>
          <w:tcPr>
            <w:tcW w:type="dxa" w:w="1440"/>
            <w:shd w:fill="C6EFCE" w:val="clear"/>
          </w:tcPr>
          <w:p>
            <w:r>
              <w:rPr>
                <w:sz w:val="17"/>
              </w:rPr>
              <w:t>21,381</w:t>
            </w:r>
          </w:p>
        </w:tc>
        <w:tc>
          <w:tcPr>
            <w:tcW w:type="dxa" w:w="1440"/>
            <w:shd w:fill="C6EFCE" w:val="clear"/>
          </w:tcPr>
          <w:p>
            <w:r>
              <w:rPr>
                <w:b/>
                <w:sz w:val="17"/>
              </w:rPr>
              <w:t>22,452</w:t>
            </w:r>
          </w:p>
        </w:tc>
        <w:tc>
          <w:tcPr>
            <w:tcW w:type="dxa" w:w="1440"/>
            <w:shd w:fill="C6EFCE" w:val="clear"/>
          </w:tcPr>
          <w:p>
            <w:r>
              <w:rPr>
                <w:sz w:val="17"/>
              </w:rPr>
              <w:t>23,524</w:t>
            </w:r>
          </w:p>
        </w:tc>
        <w:tc>
          <w:tcPr>
            <w:tcW w:type="dxa" w:w="1440"/>
            <w:shd w:fill="C6EFCE" w:val="clear"/>
          </w:tcPr>
          <w:p>
            <w:r>
              <w:rPr>
                <w:b/>
                <w:color w:val="008000"/>
                <w:sz w:val="17"/>
              </w:rPr>
              <w:t>+2.0%</w:t>
            </w:r>
          </w:p>
        </w:tc>
      </w:tr>
      <w:tr>
        <w:tc>
          <w:tcPr>
            <w:tcW w:type="dxa" w:w="1440"/>
            <w:shd w:fill="C6EFCE" w:val="clear"/>
          </w:tcPr>
          <w:p>
            <w:r>
              <w:rPr>
                <w:sz w:val="17"/>
              </w:rPr>
              <w:t>J+2  ⭐</w:t>
            </w:r>
          </w:p>
        </w:tc>
        <w:tc>
          <w:tcPr>
            <w:tcW w:type="dxa" w:w="1440"/>
            <w:shd w:fill="C6EFCE" w:val="clear"/>
          </w:tcPr>
          <w:p>
            <w:r>
              <w:rPr>
                <w:sz w:val="17"/>
              </w:rPr>
              <w:t>2026-09-07</w:t>
            </w:r>
          </w:p>
        </w:tc>
        <w:tc>
          <w:tcPr>
            <w:tcW w:type="dxa" w:w="1440"/>
            <w:shd w:fill="C6EFCE" w:val="clear"/>
          </w:tcPr>
          <w:p>
            <w:r>
              <w:rPr>
                <w:sz w:val="17"/>
              </w:rPr>
              <w:t>21,098</w:t>
            </w:r>
          </w:p>
        </w:tc>
        <w:tc>
          <w:tcPr>
            <w:tcW w:type="dxa" w:w="1440"/>
            <w:shd w:fill="C6EFCE" w:val="clear"/>
          </w:tcPr>
          <w:p>
            <w:r>
              <w:rPr>
                <w:b/>
                <w:sz w:val="17"/>
              </w:rPr>
              <w:t>22,625</w:t>
            </w:r>
          </w:p>
        </w:tc>
        <w:tc>
          <w:tcPr>
            <w:tcW w:type="dxa" w:w="1440"/>
            <w:shd w:fill="C6EFCE" w:val="clear"/>
          </w:tcPr>
          <w:p>
            <w:r>
              <w:rPr>
                <w:sz w:val="17"/>
              </w:rPr>
              <w:t>24,152</w:t>
            </w:r>
          </w:p>
        </w:tc>
        <w:tc>
          <w:tcPr>
            <w:tcW w:type="dxa" w:w="1440"/>
            <w:shd w:fill="C6EFCE" w:val="clear"/>
          </w:tcPr>
          <w:p>
            <w:r>
              <w:rPr>
                <w:b/>
                <w:color w:val="008000"/>
                <w:sz w:val="17"/>
              </w:rPr>
              <w:t>+2.8%</w:t>
            </w:r>
          </w:p>
        </w:tc>
      </w:tr>
      <w:tr>
        <w:tc>
          <w:tcPr>
            <w:tcW w:type="dxa" w:w="1440"/>
            <w:shd w:fill="C6EFCE" w:val="clear"/>
          </w:tcPr>
          <w:p>
            <w:r>
              <w:rPr>
                <w:sz w:val="17"/>
              </w:rPr>
              <w:t>J+3  ⭐</w:t>
            </w:r>
          </w:p>
        </w:tc>
        <w:tc>
          <w:tcPr>
            <w:tcW w:type="dxa" w:w="1440"/>
            <w:shd w:fill="C6EFCE" w:val="clear"/>
          </w:tcPr>
          <w:p>
            <w:r>
              <w:rPr>
                <w:sz w:val="17"/>
              </w:rPr>
              <w:t>2026-09-08</w:t>
            </w:r>
          </w:p>
        </w:tc>
        <w:tc>
          <w:tcPr>
            <w:tcW w:type="dxa" w:w="1440"/>
            <w:shd w:fill="C6EFCE" w:val="clear"/>
          </w:tcPr>
          <w:p>
            <w:r>
              <w:rPr>
                <w:sz w:val="17"/>
              </w:rPr>
              <w:t>20,936</w:t>
            </w:r>
          </w:p>
        </w:tc>
        <w:tc>
          <w:tcPr>
            <w:tcW w:type="dxa" w:w="1440"/>
            <w:shd w:fill="C6EFCE" w:val="clear"/>
          </w:tcPr>
          <w:p>
            <w:r>
              <w:rPr>
                <w:b/>
                <w:sz w:val="17"/>
              </w:rPr>
              <w:t>22,823</w:t>
            </w:r>
          </w:p>
        </w:tc>
        <w:tc>
          <w:tcPr>
            <w:tcW w:type="dxa" w:w="1440"/>
            <w:shd w:fill="C6EFCE" w:val="clear"/>
          </w:tcPr>
          <w:p>
            <w:r>
              <w:rPr>
                <w:sz w:val="17"/>
              </w:rPr>
              <w:t>24,709</w:t>
            </w:r>
          </w:p>
        </w:tc>
        <w:tc>
          <w:tcPr>
            <w:tcW w:type="dxa" w:w="1440"/>
            <w:shd w:fill="C6EFCE" w:val="clear"/>
          </w:tcPr>
          <w:p>
            <w:r>
              <w:rPr>
                <w:b/>
                <w:color w:val="008000"/>
                <w:sz w:val="17"/>
              </w:rPr>
              <w:t>+3.7%</w:t>
            </w:r>
          </w:p>
        </w:tc>
      </w:tr>
      <w:tr>
        <w:tc>
          <w:tcPr>
            <w:tcW w:type="dxa" w:w="1440"/>
            <w:shd w:fill="C6EFCE" w:val="clear"/>
          </w:tcPr>
          <w:p>
            <w:r>
              <w:rPr>
                <w:sz w:val="17"/>
              </w:rPr>
              <w:t>J+4  ⭐</w:t>
            </w:r>
          </w:p>
        </w:tc>
        <w:tc>
          <w:tcPr>
            <w:tcW w:type="dxa" w:w="1440"/>
            <w:shd w:fill="C6EFCE" w:val="clear"/>
          </w:tcPr>
          <w:p>
            <w:r>
              <w:rPr>
                <w:sz w:val="17"/>
              </w:rPr>
              <w:t>2026-09-09</w:t>
            </w:r>
          </w:p>
        </w:tc>
        <w:tc>
          <w:tcPr>
            <w:tcW w:type="dxa" w:w="1440"/>
            <w:shd w:fill="C6EFCE" w:val="clear"/>
          </w:tcPr>
          <w:p>
            <w:r>
              <w:rPr>
                <w:sz w:val="17"/>
              </w:rPr>
              <w:t>20,838</w:t>
            </w:r>
          </w:p>
        </w:tc>
        <w:tc>
          <w:tcPr>
            <w:tcW w:type="dxa" w:w="1440"/>
            <w:shd w:fill="C6EFCE" w:val="clear"/>
          </w:tcPr>
          <w:p>
            <w:r>
              <w:rPr>
                <w:b/>
                <w:sz w:val="17"/>
              </w:rPr>
              <w:t>23,037</w:t>
            </w:r>
          </w:p>
        </w:tc>
        <w:tc>
          <w:tcPr>
            <w:tcW w:type="dxa" w:w="1440"/>
            <w:shd w:fill="C6EFCE" w:val="clear"/>
          </w:tcPr>
          <w:p>
            <w:r>
              <w:rPr>
                <w:sz w:val="17"/>
              </w:rPr>
              <w:t>25,236</w:t>
            </w:r>
          </w:p>
        </w:tc>
        <w:tc>
          <w:tcPr>
            <w:tcW w:type="dxa" w:w="1440"/>
            <w:shd w:fill="C6EFCE" w:val="clear"/>
          </w:tcPr>
          <w:p>
            <w:r>
              <w:rPr>
                <w:b/>
                <w:color w:val="008000"/>
                <w:sz w:val="17"/>
              </w:rPr>
              <w:t>+4.7%</w:t>
            </w:r>
          </w:p>
        </w:tc>
      </w:tr>
      <w:tr>
        <w:tc>
          <w:tcPr>
            <w:tcW w:type="dxa" w:w="1440"/>
            <w:shd w:fill="C6EFCE" w:val="clear"/>
          </w:tcPr>
          <w:p>
            <w:r>
              <w:rPr>
                <w:sz w:val="17"/>
              </w:rPr>
              <w:t>J+5  ⭐</w:t>
            </w:r>
          </w:p>
        </w:tc>
        <w:tc>
          <w:tcPr>
            <w:tcW w:type="dxa" w:w="1440"/>
            <w:shd w:fill="C6EFCE" w:val="clear"/>
          </w:tcPr>
          <w:p>
            <w:r>
              <w:rPr>
                <w:sz w:val="17"/>
              </w:rPr>
              <w:t>2026-09-10</w:t>
            </w:r>
          </w:p>
        </w:tc>
        <w:tc>
          <w:tcPr>
            <w:tcW w:type="dxa" w:w="1440"/>
            <w:shd w:fill="C6EFCE" w:val="clear"/>
          </w:tcPr>
          <w:p>
            <w:r>
              <w:rPr>
                <w:sz w:val="17"/>
              </w:rPr>
              <w:t>20,780</w:t>
            </w:r>
          </w:p>
        </w:tc>
        <w:tc>
          <w:tcPr>
            <w:tcW w:type="dxa" w:w="1440"/>
            <w:shd w:fill="C6EFCE" w:val="clear"/>
          </w:tcPr>
          <w:p>
            <w:r>
              <w:rPr>
                <w:b/>
                <w:sz w:val="17"/>
              </w:rPr>
              <w:t>23,263</w:t>
            </w:r>
          </w:p>
        </w:tc>
        <w:tc>
          <w:tcPr>
            <w:tcW w:type="dxa" w:w="1440"/>
            <w:shd w:fill="C6EFCE" w:val="clear"/>
          </w:tcPr>
          <w:p>
            <w:r>
              <w:rPr>
                <w:sz w:val="17"/>
              </w:rPr>
              <w:t>25,745</w:t>
            </w:r>
          </w:p>
        </w:tc>
        <w:tc>
          <w:tcPr>
            <w:tcW w:type="dxa" w:w="1440"/>
            <w:shd w:fill="C6EFCE" w:val="clear"/>
          </w:tcPr>
          <w:p>
            <w:r>
              <w:rPr>
                <w:b/>
                <w:color w:val="008000"/>
                <w:sz w:val="17"/>
              </w:rPr>
              <w:t>+5.7%</w:t>
            </w:r>
          </w:p>
        </w:tc>
      </w:tr>
      <w:tr>
        <w:tc>
          <w:tcPr>
            <w:tcW w:type="dxa" w:w="1440"/>
            <w:shd w:fill="C6EFCE" w:val="clear"/>
          </w:tcPr>
          <w:p>
            <w:r>
              <w:rPr>
                <w:sz w:val="17"/>
              </w:rPr>
              <w:t>J+6  ⭐</w:t>
            </w:r>
          </w:p>
        </w:tc>
        <w:tc>
          <w:tcPr>
            <w:tcW w:type="dxa" w:w="1440"/>
            <w:shd w:fill="C6EFCE" w:val="clear"/>
          </w:tcPr>
          <w:p>
            <w:r>
              <w:rPr>
                <w:sz w:val="17"/>
              </w:rPr>
              <w:t>2026-09-11</w:t>
            </w:r>
          </w:p>
        </w:tc>
        <w:tc>
          <w:tcPr>
            <w:tcW w:type="dxa" w:w="1440"/>
            <w:shd w:fill="C6EFCE" w:val="clear"/>
          </w:tcPr>
          <w:p>
            <w:r>
              <w:rPr>
                <w:sz w:val="17"/>
              </w:rPr>
              <w:t>20,750</w:t>
            </w:r>
          </w:p>
        </w:tc>
        <w:tc>
          <w:tcPr>
            <w:tcW w:type="dxa" w:w="1440"/>
            <w:shd w:fill="C6EFCE" w:val="clear"/>
          </w:tcPr>
          <w:p>
            <w:r>
              <w:rPr>
                <w:b/>
                <w:sz w:val="17"/>
              </w:rPr>
              <w:t>23,497</w:t>
            </w:r>
          </w:p>
        </w:tc>
        <w:tc>
          <w:tcPr>
            <w:tcW w:type="dxa" w:w="1440"/>
            <w:shd w:fill="C6EFCE" w:val="clear"/>
          </w:tcPr>
          <w:p>
            <w:r>
              <w:rPr>
                <w:sz w:val="17"/>
              </w:rPr>
              <w:t>26,244</w:t>
            </w:r>
          </w:p>
        </w:tc>
        <w:tc>
          <w:tcPr>
            <w:tcW w:type="dxa" w:w="1440"/>
            <w:shd w:fill="C6EFCE" w:val="clear"/>
          </w:tcPr>
          <w:p>
            <w:r>
              <w:rPr>
                <w:b/>
                <w:color w:val="008000"/>
                <w:sz w:val="17"/>
              </w:rPr>
              <w:t>+6.8%</w:t>
            </w:r>
          </w:p>
        </w:tc>
      </w:tr>
      <w:tr>
        <w:tc>
          <w:tcPr>
            <w:tcW w:type="dxa" w:w="1440"/>
            <w:shd w:fill="C6EFCE" w:val="clear"/>
          </w:tcPr>
          <w:p>
            <w:r>
              <w:rPr>
                <w:sz w:val="17"/>
              </w:rPr>
              <w:t>J+7  ⭐</w:t>
            </w:r>
          </w:p>
        </w:tc>
        <w:tc>
          <w:tcPr>
            <w:tcW w:type="dxa" w:w="1440"/>
            <w:shd w:fill="C6EFCE" w:val="clear"/>
          </w:tcPr>
          <w:p>
            <w:r>
              <w:rPr>
                <w:sz w:val="17"/>
              </w:rPr>
              <w:t>2026-09-14</w:t>
            </w:r>
          </w:p>
        </w:tc>
        <w:tc>
          <w:tcPr>
            <w:tcW w:type="dxa" w:w="1440"/>
            <w:shd w:fill="C6EFCE" w:val="clear"/>
          </w:tcPr>
          <w:p>
            <w:r>
              <w:rPr>
                <w:sz w:val="17"/>
              </w:rPr>
              <w:t>20,728</w:t>
            </w:r>
          </w:p>
        </w:tc>
        <w:tc>
          <w:tcPr>
            <w:tcW w:type="dxa" w:w="1440"/>
            <w:shd w:fill="C6EFCE" w:val="clear"/>
          </w:tcPr>
          <w:p>
            <w:r>
              <w:rPr>
                <w:b/>
                <w:sz w:val="17"/>
              </w:rPr>
              <w:t>23,723</w:t>
            </w:r>
          </w:p>
        </w:tc>
        <w:tc>
          <w:tcPr>
            <w:tcW w:type="dxa" w:w="1440"/>
            <w:shd w:fill="C6EFCE" w:val="clear"/>
          </w:tcPr>
          <w:p>
            <w:r>
              <w:rPr>
                <w:sz w:val="17"/>
              </w:rPr>
              <w:t>26,719</w:t>
            </w:r>
          </w:p>
        </w:tc>
        <w:tc>
          <w:tcPr>
            <w:tcW w:type="dxa" w:w="1440"/>
            <w:shd w:fill="C6EFCE" w:val="clear"/>
          </w:tcPr>
          <w:p>
            <w:r>
              <w:rPr>
                <w:b/>
                <w:color w:val="008000"/>
                <w:sz w:val="17"/>
              </w:rPr>
              <w:t>+7.8%</w:t>
            </w:r>
          </w:p>
        </w:tc>
      </w:tr>
      <w:tr>
        <w:tc>
          <w:tcPr>
            <w:tcW w:type="dxa" w:w="1440"/>
            <w:shd w:fill="C6EFCE" w:val="clear"/>
          </w:tcPr>
          <w:p>
            <w:r>
              <w:rPr>
                <w:sz w:val="17"/>
              </w:rPr>
              <w:t>J+8  ⭐</w:t>
            </w:r>
          </w:p>
        </w:tc>
        <w:tc>
          <w:tcPr>
            <w:tcW w:type="dxa" w:w="1440"/>
            <w:shd w:fill="C6EFCE" w:val="clear"/>
          </w:tcPr>
          <w:p>
            <w:r>
              <w:rPr>
                <w:sz w:val="17"/>
              </w:rPr>
              <w:t>2026-09-15</w:t>
            </w:r>
          </w:p>
        </w:tc>
        <w:tc>
          <w:tcPr>
            <w:tcW w:type="dxa" w:w="1440"/>
            <w:shd w:fill="C6EFCE" w:val="clear"/>
          </w:tcPr>
          <w:p>
            <w:r>
              <w:rPr>
                <w:sz w:val="17"/>
              </w:rPr>
              <w:t>20,713</w:t>
            </w:r>
          </w:p>
        </w:tc>
        <w:tc>
          <w:tcPr>
            <w:tcW w:type="dxa" w:w="1440"/>
            <w:shd w:fill="C6EFCE" w:val="clear"/>
          </w:tcPr>
          <w:p>
            <w:r>
              <w:rPr>
                <w:b/>
                <w:sz w:val="17"/>
              </w:rPr>
              <w:t>23,946</w:t>
            </w:r>
          </w:p>
        </w:tc>
        <w:tc>
          <w:tcPr>
            <w:tcW w:type="dxa" w:w="1440"/>
            <w:shd w:fill="C6EFCE" w:val="clear"/>
          </w:tcPr>
          <w:p>
            <w:r>
              <w:rPr>
                <w:sz w:val="17"/>
              </w:rPr>
              <w:t>27,178</w:t>
            </w:r>
          </w:p>
        </w:tc>
        <w:tc>
          <w:tcPr>
            <w:tcW w:type="dxa" w:w="1440"/>
            <w:shd w:fill="C6EFCE" w:val="clear"/>
          </w:tcPr>
          <w:p>
            <w:r>
              <w:rPr>
                <w:b/>
                <w:color w:val="008000"/>
                <w:sz w:val="17"/>
              </w:rPr>
              <w:t>+8.8%</w:t>
            </w:r>
          </w:p>
        </w:tc>
      </w:tr>
      <w:tr>
        <w:tc>
          <w:tcPr>
            <w:tcW w:type="dxa" w:w="1440"/>
            <w:shd w:fill="C6EFCE" w:val="clear"/>
          </w:tcPr>
          <w:p>
            <w:r>
              <w:rPr>
                <w:sz w:val="17"/>
              </w:rPr>
              <w:t>J+9  ⭐</w:t>
            </w:r>
          </w:p>
        </w:tc>
        <w:tc>
          <w:tcPr>
            <w:tcW w:type="dxa" w:w="1440"/>
            <w:shd w:fill="C6EFCE" w:val="clear"/>
          </w:tcPr>
          <w:p>
            <w:r>
              <w:rPr>
                <w:sz w:val="17"/>
              </w:rPr>
              <w:t>2026-09-16</w:t>
            </w:r>
          </w:p>
        </w:tc>
        <w:tc>
          <w:tcPr>
            <w:tcW w:type="dxa" w:w="1440"/>
            <w:shd w:fill="C6EFCE" w:val="clear"/>
          </w:tcPr>
          <w:p>
            <w:r>
              <w:rPr>
                <w:sz w:val="17"/>
              </w:rPr>
              <w:t>20,717</w:t>
            </w:r>
          </w:p>
        </w:tc>
        <w:tc>
          <w:tcPr>
            <w:tcW w:type="dxa" w:w="1440"/>
            <w:shd w:fill="C6EFCE" w:val="clear"/>
          </w:tcPr>
          <w:p>
            <w:r>
              <w:rPr>
                <w:b/>
                <w:sz w:val="17"/>
              </w:rPr>
              <w:t>24,178</w:t>
            </w:r>
          </w:p>
        </w:tc>
        <w:tc>
          <w:tcPr>
            <w:tcW w:type="dxa" w:w="1440"/>
            <w:shd w:fill="C6EFCE" w:val="clear"/>
          </w:tcPr>
          <w:p>
            <w:r>
              <w:rPr>
                <w:sz w:val="17"/>
              </w:rPr>
              <w:t>27,640</w:t>
            </w:r>
          </w:p>
        </w:tc>
        <w:tc>
          <w:tcPr>
            <w:tcW w:type="dxa" w:w="1440"/>
            <w:shd w:fill="C6EFCE" w:val="clear"/>
          </w:tcPr>
          <w:p>
            <w:r>
              <w:rPr>
                <w:b/>
                <w:color w:val="008000"/>
                <w:sz w:val="17"/>
              </w:rPr>
              <w:t>+9.9%</w:t>
            </w:r>
          </w:p>
        </w:tc>
      </w:tr>
      <w:tr>
        <w:tc>
          <w:tcPr>
            <w:tcW w:type="dxa" w:w="1440"/>
            <w:shd w:fill="C6EFCE" w:val="clear"/>
          </w:tcPr>
          <w:p>
            <w:r>
              <w:rPr>
                <w:sz w:val="17"/>
              </w:rPr>
              <w:t>J+10  ⭐</w:t>
            </w:r>
          </w:p>
        </w:tc>
        <w:tc>
          <w:tcPr>
            <w:tcW w:type="dxa" w:w="1440"/>
            <w:shd w:fill="C6EFCE" w:val="clear"/>
          </w:tcPr>
          <w:p>
            <w:r>
              <w:rPr>
                <w:sz w:val="17"/>
              </w:rPr>
              <w:t>2026-09-17</w:t>
            </w:r>
          </w:p>
        </w:tc>
        <w:tc>
          <w:tcPr>
            <w:tcW w:type="dxa" w:w="1440"/>
            <w:shd w:fill="C6EFCE" w:val="clear"/>
          </w:tcPr>
          <w:p>
            <w:r>
              <w:rPr>
                <w:sz w:val="17"/>
              </w:rPr>
              <w:t>20,727</w:t>
            </w:r>
          </w:p>
        </w:tc>
        <w:tc>
          <w:tcPr>
            <w:tcW w:type="dxa" w:w="1440"/>
            <w:shd w:fill="C6EFCE" w:val="clear"/>
          </w:tcPr>
          <w:p>
            <w:r>
              <w:rPr>
                <w:b/>
                <w:sz w:val="17"/>
              </w:rPr>
              <w:t>24,412</w:t>
            </w:r>
          </w:p>
        </w:tc>
        <w:tc>
          <w:tcPr>
            <w:tcW w:type="dxa" w:w="1440"/>
            <w:shd w:fill="C6EFCE" w:val="clear"/>
          </w:tcPr>
          <w:p>
            <w:r>
              <w:rPr>
                <w:sz w:val="17"/>
              </w:rPr>
              <w:t>28,096</w:t>
            </w:r>
          </w:p>
        </w:tc>
        <w:tc>
          <w:tcPr>
            <w:tcW w:type="dxa" w:w="1440"/>
            <w:shd w:fill="C6EFCE" w:val="clear"/>
          </w:tcPr>
          <w:p>
            <w:r>
              <w:rPr>
                <w:b/>
                <w:color w:val="008000"/>
                <w:sz w:val="17"/>
              </w:rPr>
              <w:t>+10.9%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**RAPPORT D'ANALYSE FINANCIÈRE — STBC/SITAB (BRVM)**</w:t>
      </w:r>
    </w:p>
    <w:p>
      <w:pPr>
        <w:spacing w:after="120" w:line="276" w:lineRule="auto" w:before="240"/>
      </w:pPr>
      <w:r>
        <w:rPr>
          <w:b/>
          <w:color w:val="003366"/>
          <w:sz w:val="24"/>
        </w:rPr>
        <w:t>**PARTIE 0 : INDICATEURS DE VALORISATION BOURSIÈRE**</w:t>
      </w:r>
    </w:p>
    <w:p>
      <w:pPr>
        <w:spacing w:after="120" w:line="276" w:lineRule="auto"/>
      </w:pPr>
      <w:r>
        <w:t>La capitalisation boursière de 395,10 milliards FCFA positionne STBC comme l'une des valeurs majeures de la BRVM, reflétant son statut de leader sur le marché ivoirien du tabac. Avec un BPA de 2 014 FCFA, chaque action génère un bénéfice substantiel pour son détenteur. Le PER de 10,9x se situe dans la fourchette moyenne du marché (8-12x), indiquant une valorisation raisonnable par rapport aux bénéfices générés. Cependant, le P/B de 8,71x révèle une prime significative par rapport à la valeur comptable, témoignant des attentes élevées du marché quant à la performance future de l'entreprise. Enfin, l'EV/EBITDA de 7,9x confirme une valorisation opérationnelle modérée, dans une zone considérée comme raisonnable pour le secteur.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STBC affiche une progression modeste de +3,67%, avec une dernière séance quasi stable (+0,02%) à 22 005 FCFA. Le titre a évolué dans une fourchette de 19 705 FCFA (plus bas) à 25 000 FCFA (plus haut), démontrant une amplitude de trading significative d'environ 27%. La moyenne de 22 321 FCFA et la médiane de 22 168 FCFA sont très proches, indiquant une distribution relativement symétrique des cours, confirmée par le skewness de 0,231. L'écart-type de 1 368 FCFA (CV de 6,1%) révèle une dispersion modérée des prix autour de la moyenne. Le kurtosis de -0,946 (mésokurtique) suggère l'absence de mouvements extrêmes ou de pics inhabituels. La volatilité annualisée de 36,4% classe le titre dans la catégorie des valeurs à volatilité élevée, ce qui implique un risque de marché important pour les investisseurs.</w:t>
      </w:r>
    </w:p>
    <w:p>
      <w:pPr>
        <w:spacing w:after="120" w:line="276" w:lineRule="auto" w:before="240"/>
      </w:pPr>
      <w:r>
        <w:rPr>
          <w:b/>
          <w:color w:val="003366"/>
          <w:sz w:val="24"/>
        </w:rPr>
        <w:t>**PARTIE 2 : ANALYSE TECHNIQUE DÉTAILLÉE**</w:t>
      </w:r>
    </w:p>
    <w:p>
      <w:pPr>
        <w:spacing w:after="120" w:line="276" w:lineRule="auto"/>
      </w:pPr>
      <w:r>
        <w:t>**Moyennes Mobiles**: Le cours actuel de 22 005 FCFA se situe sous la MM20 (23 024,75 FCFA) et nettement sous la MM50 (23 432,2 FCFA), configuration baissière classique. La décision de Vente est justifiée par cette tendance négative à court et moyen terme, le titre n'ayant pas réussi à se maintenir au-dessus de ses moyennes mobiles clés.</w:t>
      </w:r>
    </w:p>
    <w:p>
      <w:pPr>
        <w:spacing w:after="120" w:line="276" w:lineRule="auto"/>
      </w:pPr>
      <w:r>
        <w:t>**Bandes de Bollinger**: Le prix évolue dans la partie inférieure des bandes, entre la borne inférieure à 21 015,64 FCFA et la borne supérieure à 25 033,86 FCFA. La position actuelle du cours, proche du milieu de l'intervalle, suggère une volatilité modérée. La décision Neutre reflète l'absence de signal directionnel fort, le titre n'étant ni en situation de surachat ni de survente extrême.</w:t>
      </w:r>
    </w:p>
    <w:p>
      <w:pPr>
        <w:spacing w:after="120" w:line="276" w:lineRule="auto"/>
      </w:pPr>
      <w:r>
        <w:t>**MACD**: La valeur MACD de -361,716 est inférieure à son signal (-260,769), confirmant une dynamique baissière. Cette divergence négative indique un momentum défavorable, justifiant la décision de Vente. La persistance de cette configuration suggère une pression vendeuse continue sur le titre.</w:t>
      </w:r>
    </w:p>
    <w:p>
      <w:pPr>
        <w:spacing w:after="120" w:line="276" w:lineRule="auto"/>
      </w:pPr>
      <w:r>
        <w:t>**RSI**: À 46,962, le RSI se positionne dans la zone neutre (30-70), indiquant un équilibre relatif entre pressions acheteuses et vendeuses. La décision Neutre est appropriée, le titre ne présentant ni condition de survente (potentiel rebond) ni de surachat (risque de correction).</w:t>
      </w:r>
    </w:p>
    <w:p>
      <w:pPr>
        <w:spacing w:after="120" w:line="276" w:lineRule="auto"/>
      </w:pPr>
      <w:r>
        <w:t>**Stochastique**: Avec %K à 34,934 et %D à 40,573, l'oscillateur stochastique évolue en zone neutre, sans croisement significatif. La décision Neutre reflète l'absence de signal directionnel clair, bien que la valeur de %K inférieure à %D suggère une légère pression baissière.</w:t>
      </w:r>
    </w:p>
    <w:p>
      <w:pPr>
        <w:spacing w:after="120" w:line="276" w:lineRule="auto"/>
      </w:pPr>
      <w:r>
        <w:t>**Conclusion technique**: La convergence des indicateurs techniques (MM et MACD en position de vente, RSI et Stochastique neutres) dessine un tableau mitigé avec une prédominance baissière à court terme. Le titre semble chercher un point d'équilibre après une période de consolidation, mais la pression vendeuse actuelle suggère une prudence à court terme.</w:t>
      </w:r>
    </w:p>
    <w:p>
      <w:pPr>
        <w:spacing w:after="120" w:line="276" w:lineRule="auto" w:before="240"/>
      </w:pPr>
      <w:r>
        <w:rPr>
          <w:b/>
          <w:color w:val="003366"/>
          <w:sz w:val="24"/>
        </w:rPr>
        <w:t>**PARTIE 3 : ANALYSE FONDAMENTALE (SECTION CRITIQUE)**</w:t>
      </w:r>
    </w:p>
    <w:p>
      <w:pPr>
        <w:spacing w:after="120" w:line="276" w:lineRule="auto"/>
      </w:pPr>
      <w:r>
        <w:t>En 2025, les données structurées révèlent une entreprise non bancaire avec un chiffre d'affaires impressionnant de 268,537 milliards FCFA, en croissance de 25,3% par rapport à 2024. Le résultat net s'établit à 36,158 milliards FCFA, avec une marge nette de 13,46%. Les ratios de rentabilité sont exceptionnels : ROE de 79,75% et ROA de 48,09%, démontrant une utilisation très efficace des capitaux propres et des actifs. La structure financière est saine avec une autonomie financière de 60,3%, une liquidité générale de 225% et une trésorerie nette substantielle de 30,763 milliards FCFA. Le BFR de 5,639 milliards FCFA et le délai clients de 42,57 jours indiquent une gestion correcte du cycle d'exploitation. Les rapports trimestriels 2025 montrent une progression remarquable au T1 (+146% de résultat net), suivie d'une dégradation progressive (T3 : +9%, T4 : -74%), illustrant l'impact de la hausse des droits d'accises (de 49% à 70%) sur la rentabilité. Le rapport T1 2026 (croissance du CA de +12% à 68,8 milliards FCFA) suggère un redressement de l'activité, bien que le résultat net reste stable (-1%). Les rapports de 2026 recommandent unanimement de conserver le titre, soulignant la solidité financière mais la pression fiscale persistante.</w:t>
      </w:r>
    </w:p>
    <w:p>
      <w:pPr>
        <w:spacing w:after="120" w:line="276" w:lineRule="auto" w:before="240"/>
      </w:pPr>
      <w:r>
        <w:rPr>
          <w:b/>
          <w:color w:val="003366"/>
          <w:sz w:val="24"/>
        </w:rPr>
        <w:t>**PARTIE 4 : CONCLUSION D'INVESTISSEMENT**</w:t>
      </w:r>
    </w:p>
    <w:p>
      <w:pPr>
        <w:spacing w:after="120" w:line="276" w:lineRule="auto"/>
      </w:pPr>
      <w:r>
        <w:t>La valorisation actuelle (PER de 10,9x, P/B de 8,71x) indique un titre correctement valorisé avec une prime comptable significative, tandis que le comportement du cours montre une stabilité relative avec une volatilité élevée (36,4%). Les signaux techniques sont mitigés, avec une tendance baissière à court terme (MM, MACD) mais des indicateurs neutres (RSI, Stochastique). Les fondamentaux restent solides malgré la pression fiscale, avec une croissance du CA soutenue et une rentabilité élevée. Les prédictions IA sur 10 jours (22 452 à 23 263 FCFA) suggèrent une trajectoire haussière modérée, contredisant légèrement les signaux techniques baissiers. La convergence entre fondamentaux solides et prédictions positives, malgré des signaux techniques mitigés, conduit à une recommandation **CONSERVER**. Le niveau de confiance est **Moyen**, le risque global est **Moyen**, et l'horizon d'investissement optimal serait à **moyen terme (3-12 mois)** pour bénéficier du redressement attendu de la rentabilité et de la politique de dividende attractive (rendement estimé autour de 8-9%).</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exceptionnelles du T4 2023 avec une croissance \u00e0 deux chiffres sur tous les indicateurs cl\u00e9s d\u00e9montrent la solidit\u00e9 du mod\u00e8le \u00e9conomique. Les perspectives 2024 restent favorables avec un management confiant sur le maintien des performances."}</w:t>
      </w:r>
    </w:p>
    <w:p>
      <w:pPr>
        <w:spacing w:before="40"/>
        <w:ind w:left="400"/>
      </w:pPr>
      <w:r>
        <w:rPr>
          <w:sz w:val="18"/>
        </w:rPr>
        <w:t>SITAB a réalisé un excellent 4ème trimestre 2023 avec une croissance significative de tous ses indicateurs financiers. Les volumes de ventes ont progressé de 9% par rapport au T4 2022, atteignant 1 933,1 millions de tiges. Le chiffre d'affaires a augmenté de 16% à 46,4 milliards FCFA tandis que le résultat d'exploitation a bondi de 66% à 5,0 milliards FCFA. Le résultat net s'établit à 5,1 milliards FCFA, en hausse de 67% par rapport à la même période de 2022. Cette performance résulte de la hausse des prix de vente des cigarettes FINE et de l'optimisation des charges organisationnelles.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'16%', 'volumes_ventes': '1 933,1 millions de tiges (T4 2023)', 'resultat_exploitation': '5,0 milliards FCFA (T4 2023)', 'croissance_resultat_net': '67%'}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 milliards FCFA (T4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46,4 milliards FCFA (T4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volumes de ventes de 9% au T4 2023 (1 933,1 millions de tiges vs 1 776,0 millions)</w:t>
      </w:r>
    </w:p>
    <w:p>
      <w:pPr>
        <w:pStyle w:val="ListBullet"/>
        <w:spacing w:before="20" w:after="20"/>
        <w:ind w:left="700"/>
      </w:pPr>
      <w:r>
        <w:rPr>
          <w:sz w:val="18"/>
        </w:rPr>
        <w:t>Progression du chiffre d'affaires de 16% à 46,4 milliards FCFA</w:t>
      </w:r>
    </w:p>
    <w:p>
      <w:pPr>
        <w:pStyle w:val="ListBullet"/>
        <w:spacing w:before="20" w:after="20"/>
        <w:ind w:left="700"/>
      </w:pPr>
      <w:r>
        <w:rPr>
          <w:sz w:val="18"/>
        </w:rPr>
        <w:t>Explosion du résultat d'exploitation de 66% à 5,0 milliards FCFA</w:t>
      </w:r>
    </w:p>
    <w:p>
      <w:pPr>
        <w:pStyle w:val="ListBullet"/>
        <w:spacing w:before="20" w:after="20"/>
        <w:ind w:left="700"/>
      </w:pPr>
      <w:r>
        <w:rPr>
          <w:sz w:val="18"/>
        </w:rPr>
        <w:t>Résultat net en hausse de 67% à 5,1 milliards FCFA</w:t>
      </w:r>
    </w:p>
    <w:p>
      <w:pPr>
        <w:pStyle w:val="ListBullet"/>
        <w:spacing w:before="20" w:after="20"/>
        <w:ind w:left="700"/>
      </w:pPr>
      <w:r>
        <w:rPr>
          <w:sz w:val="18"/>
        </w:rPr>
        <w:t>Impact positif de la hausse du prix de vente des cigarettes FINE</w:t>
      </w:r>
    </w:p>
    <w:p>
      <w:pPr>
        <w:pStyle w:val="ListBullet"/>
        <w:spacing w:before="20" w:after="20"/>
        <w:ind w:left="700"/>
      </w:pPr>
      <w:r>
        <w:rPr>
          <w:sz w:val="18"/>
        </w:rPr>
        <w:t>Optimisation réussie des charges et renforcement organisationnel</w:t>
      </w:r>
    </w:p>
    <w:p>
      <w:pPr>
        <w:spacing w:before="40"/>
        <w:ind w:left="400"/>
      </w:pPr>
      <w:r>
        <w:rPr>
          <w:b/>
          <w:color w:val="C05000"/>
          <w:sz w:val="18"/>
        </w:rPr>
        <w:t xml:space="preserve">⚠️ Risques : </w:t>
      </w:r>
      <w:r>
        <w:rPr>
          <w:sz w:val="18"/>
        </w:rPr>
        <w:t>["D\u00e9pendance aux fluctuations des prix des mati\u00e8res premi\u00e8res du tabac", "R\u00e9glementation de plus en plus stricte sur les produits du tabac", "Concurrence accrue sur le march\u00e9 des cigarettes en C\u00f4te d'Ivoire"]</w:t>
      </w:r>
    </w:p>
    <w:p>
      <w:pPr>
        <w:spacing w:before="40"/>
        <w:ind w:left="400"/>
      </w:pPr>
      <w:r>
        <w:rPr>
          <w:b/>
          <w:color w:val="0064A0"/>
          <w:sz w:val="18"/>
        </w:rPr>
        <w:t xml:space="preserve">🔮 Perspectives : </w:t>
      </w:r>
      <w:r>
        <w:rPr>
          <w:sz w:val="18"/>
        </w:rPr>
        <w:t>SITAB souhaite maintenir sa dynamique actuelle en 2024 en préservant des performances solides et en maintenant le niveau des ventes. L'entreprise vise à garantir l'obtention de résultats positifs pour l'année 2024 grâce à la poursuite de sa stratégie d'optimisation des charges et de renforcement org</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210.92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7,078 titres</w:t>
            </w:r>
          </w:p>
        </w:tc>
        <w:tc>
          <w:tcPr>
            <w:tcW w:type="dxa" w:w="2268"/>
            <w:shd w:fill="FFF2CC" w:val="clear"/>
          </w:tcPr>
          <w:p>
            <w:r>
              <w:rPr>
                <w:b/>
                <w:color w:val="503200"/>
                <w:sz w:val="16"/>
              </w:rPr>
              <w:t xml:space="preserve">Cours actuel : </w:t>
            </w:r>
            <w:r>
              <w:rPr>
                <w:color w:val="000000"/>
                <w:sz w:val="17"/>
              </w:rPr>
              <w:t>3,350 FCFA</w:t>
            </w:r>
          </w:p>
          <w:p>
            <w:r>
              <w:rPr>
                <w:b/>
                <w:color w:val="503200"/>
                <w:sz w:val="16"/>
              </w:rPr>
              <w:t xml:space="preserve">Var. 100 jours : </w:t>
            </w:r>
            <w:r>
              <w:rPr>
                <w:b/>
                <w:color w:val="007800"/>
                <w:sz w:val="17"/>
              </w:rPr>
              <w:t>+24.07%</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2,650 FCFA</w:t>
            </w:r>
          </w:p>
          <w:p>
            <w:r>
              <w:rPr>
                <w:b/>
                <w:color w:val="503200"/>
                <w:sz w:val="16"/>
              </w:rPr>
              <w:t xml:space="preserve">Volatilité ann. : </w:t>
            </w:r>
            <w:r>
              <w:rPr>
                <w:color w:val="000000"/>
                <w:sz w:val="17"/>
              </w:rPr>
              <w:t>40.4%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18.5/100 → Faible</w:t>
      </w:r>
    </w:p>
    <w:p>
      <w:pPr>
        <w:spacing w:before="40" w:after="80"/>
      </w:pPr>
      <w:r>
        <w:rPr>
          <w:rFonts w:ascii="Courier New" w:hAnsi="Courier New"/>
          <w:color w:val="006400"/>
          <w:sz w:val="18"/>
        </w:rPr>
        <w:t>███░░░░░░░░░░░░░░░░░  18.5/100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6.59% (Moyenne) — μ=2,931 FCFA, σ=193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β=-0.2790 (Contre-cyclique) — Cov=-0.000010, Var(idx)=0.000036, ρ=-0.066, n=97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7,078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σ_j=2.54%/j (Stable) — Vol. annualisée≈40.4%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2026-09-04</w:t>
            </w:r>
          </w:p>
        </w:tc>
        <w:tc>
          <w:tcPr>
            <w:tcW w:type="dxa" w:w="1440"/>
            <w:shd w:fill="FAFAFA" w:val="clear"/>
          </w:tcPr>
          <w:p>
            <w:r>
              <w:rPr>
                <w:sz w:val="17"/>
              </w:rPr>
              <w:t>3,155</w:t>
            </w:r>
          </w:p>
        </w:tc>
        <w:tc>
          <w:tcPr>
            <w:tcW w:type="dxa" w:w="1440"/>
            <w:shd w:fill="FAFAFA" w:val="clear"/>
          </w:tcPr>
          <w:p>
            <w:r>
              <w:rPr>
                <w:b/>
                <w:sz w:val="17"/>
              </w:rPr>
              <w:t>3,336</w:t>
            </w:r>
          </w:p>
        </w:tc>
        <w:tc>
          <w:tcPr>
            <w:tcW w:type="dxa" w:w="1440"/>
            <w:shd w:fill="FAFAFA" w:val="clear"/>
          </w:tcPr>
          <w:p>
            <w:r>
              <w:rPr>
                <w:sz w:val="17"/>
              </w:rPr>
              <w:t>3,516</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2026-09-07</w:t>
            </w:r>
          </w:p>
        </w:tc>
        <w:tc>
          <w:tcPr>
            <w:tcW w:type="dxa" w:w="1440"/>
            <w:shd w:fill="FAFAFA" w:val="clear"/>
          </w:tcPr>
          <w:p>
            <w:r>
              <w:rPr>
                <w:sz w:val="17"/>
              </w:rPr>
              <w:t>3,066</w:t>
            </w:r>
          </w:p>
        </w:tc>
        <w:tc>
          <w:tcPr>
            <w:tcW w:type="dxa" w:w="1440"/>
            <w:shd w:fill="FAFAFA" w:val="clear"/>
          </w:tcPr>
          <w:p>
            <w:r>
              <w:rPr>
                <w:b/>
                <w:sz w:val="17"/>
              </w:rPr>
              <w:t>3,320</w:t>
            </w:r>
          </w:p>
        </w:tc>
        <w:tc>
          <w:tcPr>
            <w:tcW w:type="dxa" w:w="1440"/>
            <w:shd w:fill="FAFAFA" w:val="clear"/>
          </w:tcPr>
          <w:p>
            <w:r>
              <w:rPr>
                <w:sz w:val="17"/>
              </w:rPr>
              <w:t>3,575</w:t>
            </w:r>
          </w:p>
        </w:tc>
        <w:tc>
          <w:tcPr>
            <w:tcW w:type="dxa" w:w="1440"/>
            <w:shd w:fill="FAFAFA" w:val="clear"/>
          </w:tcPr>
          <w:p>
            <w:r>
              <w:rPr>
                <w:b/>
                <w:color w:val="C00000"/>
                <w:sz w:val="17"/>
              </w:rPr>
              <w:t>-0.9%</w:t>
            </w:r>
          </w:p>
        </w:tc>
      </w:tr>
      <w:tr>
        <w:tc>
          <w:tcPr>
            <w:tcW w:type="dxa" w:w="1440"/>
            <w:shd w:fill="FAFAFA" w:val="clear"/>
          </w:tcPr>
          <w:p>
            <w:r>
              <w:rPr>
                <w:sz w:val="17"/>
              </w:rPr>
              <w:t>J+3  ⭐</w:t>
            </w:r>
          </w:p>
        </w:tc>
        <w:tc>
          <w:tcPr>
            <w:tcW w:type="dxa" w:w="1440"/>
            <w:shd w:fill="FAFAFA" w:val="clear"/>
          </w:tcPr>
          <w:p>
            <w:r>
              <w:rPr>
                <w:sz w:val="17"/>
              </w:rPr>
              <w:t>2026-09-08</w:t>
            </w:r>
          </w:p>
        </w:tc>
        <w:tc>
          <w:tcPr>
            <w:tcW w:type="dxa" w:w="1440"/>
            <w:shd w:fill="FAFAFA" w:val="clear"/>
          </w:tcPr>
          <w:p>
            <w:r>
              <w:rPr>
                <w:sz w:val="17"/>
              </w:rPr>
              <w:t>2,998</w:t>
            </w:r>
          </w:p>
        </w:tc>
        <w:tc>
          <w:tcPr>
            <w:tcW w:type="dxa" w:w="1440"/>
            <w:shd w:fill="FAFAFA" w:val="clear"/>
          </w:tcPr>
          <w:p>
            <w:r>
              <w:rPr>
                <w:b/>
                <w:sz w:val="17"/>
              </w:rPr>
              <w:t>3,308</w:t>
            </w:r>
          </w:p>
        </w:tc>
        <w:tc>
          <w:tcPr>
            <w:tcW w:type="dxa" w:w="1440"/>
            <w:shd w:fill="FAFAFA" w:val="clear"/>
          </w:tcPr>
          <w:p>
            <w:r>
              <w:rPr>
                <w:sz w:val="17"/>
              </w:rPr>
              <w:t>3,618</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2026-09-09</w:t>
            </w:r>
          </w:p>
        </w:tc>
        <w:tc>
          <w:tcPr>
            <w:tcW w:type="dxa" w:w="1440"/>
            <w:shd w:fill="FAFAFA" w:val="clear"/>
          </w:tcPr>
          <w:p>
            <w:r>
              <w:rPr>
                <w:sz w:val="17"/>
              </w:rPr>
              <w:t>2,938</w:t>
            </w:r>
          </w:p>
        </w:tc>
        <w:tc>
          <w:tcPr>
            <w:tcW w:type="dxa" w:w="1440"/>
            <w:shd w:fill="FAFAFA" w:val="clear"/>
          </w:tcPr>
          <w:p>
            <w:r>
              <w:rPr>
                <w:b/>
                <w:sz w:val="17"/>
              </w:rPr>
              <w:t>3,296</w:t>
            </w:r>
          </w:p>
        </w:tc>
        <w:tc>
          <w:tcPr>
            <w:tcW w:type="dxa" w:w="1440"/>
            <w:shd w:fill="FAFAFA" w:val="clear"/>
          </w:tcPr>
          <w:p>
            <w:r>
              <w:rPr>
                <w:sz w:val="17"/>
              </w:rPr>
              <w:t>3,653</w:t>
            </w:r>
          </w:p>
        </w:tc>
        <w:tc>
          <w:tcPr>
            <w:tcW w:type="dxa" w:w="1440"/>
            <w:shd w:fill="FAFAFA" w:val="clear"/>
          </w:tcPr>
          <w:p>
            <w:r>
              <w:rPr>
                <w:b/>
                <w:color w:val="C00000"/>
                <w:sz w:val="17"/>
              </w:rPr>
              <w:t>-1.6%</w:t>
            </w:r>
          </w:p>
        </w:tc>
      </w:tr>
      <w:tr>
        <w:tc>
          <w:tcPr>
            <w:tcW w:type="dxa" w:w="1440"/>
            <w:shd w:fill="FAFAFA" w:val="clear"/>
          </w:tcPr>
          <w:p>
            <w:r>
              <w:rPr>
                <w:sz w:val="17"/>
              </w:rPr>
              <w:t>J+5  ⭐</w:t>
            </w:r>
          </w:p>
        </w:tc>
        <w:tc>
          <w:tcPr>
            <w:tcW w:type="dxa" w:w="1440"/>
            <w:shd w:fill="FAFAFA" w:val="clear"/>
          </w:tcPr>
          <w:p>
            <w:r>
              <w:rPr>
                <w:sz w:val="17"/>
              </w:rPr>
              <w:t>2026-09-10</w:t>
            </w:r>
          </w:p>
        </w:tc>
        <w:tc>
          <w:tcPr>
            <w:tcW w:type="dxa" w:w="1440"/>
            <w:shd w:fill="FAFAFA" w:val="clear"/>
          </w:tcPr>
          <w:p>
            <w:r>
              <w:rPr>
                <w:sz w:val="17"/>
              </w:rPr>
              <w:t>2,886</w:t>
            </w:r>
          </w:p>
        </w:tc>
        <w:tc>
          <w:tcPr>
            <w:tcW w:type="dxa" w:w="1440"/>
            <w:shd w:fill="FAFAFA" w:val="clear"/>
          </w:tcPr>
          <w:p>
            <w:r>
              <w:rPr>
                <w:b/>
                <w:sz w:val="17"/>
              </w:rPr>
              <w:t>3,283</w:t>
            </w:r>
          </w:p>
        </w:tc>
        <w:tc>
          <w:tcPr>
            <w:tcW w:type="dxa" w:w="1440"/>
            <w:shd w:fill="FAFAFA" w:val="clear"/>
          </w:tcPr>
          <w:p>
            <w:r>
              <w:rPr>
                <w:sz w:val="17"/>
              </w:rPr>
              <w:t>3,681</w:t>
            </w:r>
          </w:p>
        </w:tc>
        <w:tc>
          <w:tcPr>
            <w:tcW w:type="dxa" w:w="1440"/>
            <w:shd w:fill="FAFAFA" w:val="clear"/>
          </w:tcPr>
          <w:p>
            <w:r>
              <w:rPr>
                <w:b/>
                <w:color w:val="C00000"/>
                <w:sz w:val="17"/>
              </w:rPr>
              <w:t>-2.0%</w:t>
            </w:r>
          </w:p>
        </w:tc>
      </w:tr>
      <w:tr>
        <w:tc>
          <w:tcPr>
            <w:tcW w:type="dxa" w:w="1440"/>
            <w:shd w:fill="FFDCE0" w:val="clear"/>
          </w:tcPr>
          <w:p>
            <w:r>
              <w:rPr>
                <w:sz w:val="17"/>
              </w:rPr>
              <w:t>J+6  ⭐</w:t>
            </w:r>
          </w:p>
        </w:tc>
        <w:tc>
          <w:tcPr>
            <w:tcW w:type="dxa" w:w="1440"/>
            <w:shd w:fill="FFDCE0" w:val="clear"/>
          </w:tcPr>
          <w:p>
            <w:r>
              <w:rPr>
                <w:sz w:val="17"/>
              </w:rPr>
              <w:t>2026-09-11</w:t>
            </w:r>
          </w:p>
        </w:tc>
        <w:tc>
          <w:tcPr>
            <w:tcW w:type="dxa" w:w="1440"/>
            <w:shd w:fill="FFDCE0" w:val="clear"/>
          </w:tcPr>
          <w:p>
            <w:r>
              <w:rPr>
                <w:sz w:val="17"/>
              </w:rPr>
              <w:t>2,837</w:t>
            </w:r>
          </w:p>
        </w:tc>
        <w:tc>
          <w:tcPr>
            <w:tcW w:type="dxa" w:w="1440"/>
            <w:shd w:fill="FFDCE0" w:val="clear"/>
          </w:tcPr>
          <w:p>
            <w:r>
              <w:rPr>
                <w:b/>
                <w:sz w:val="17"/>
              </w:rPr>
              <w:t>3,271</w:t>
            </w:r>
          </w:p>
        </w:tc>
        <w:tc>
          <w:tcPr>
            <w:tcW w:type="dxa" w:w="1440"/>
            <w:shd w:fill="FFDCE0" w:val="clear"/>
          </w:tcPr>
          <w:p>
            <w:r>
              <w:rPr>
                <w:sz w:val="17"/>
              </w:rPr>
              <w:t>3,706</w:t>
            </w:r>
          </w:p>
        </w:tc>
        <w:tc>
          <w:tcPr>
            <w:tcW w:type="dxa" w:w="1440"/>
            <w:shd w:fill="FFDCE0" w:val="clear"/>
          </w:tcPr>
          <w:p>
            <w:r>
              <w:rPr>
                <w:b/>
                <w:color w:val="C00000"/>
                <w:sz w:val="17"/>
              </w:rPr>
              <w:t>-2.3%</w:t>
            </w:r>
          </w:p>
        </w:tc>
      </w:tr>
      <w:tr>
        <w:tc>
          <w:tcPr>
            <w:tcW w:type="dxa" w:w="1440"/>
            <w:shd w:fill="FFDCE0" w:val="clear"/>
          </w:tcPr>
          <w:p>
            <w:r>
              <w:rPr>
                <w:sz w:val="17"/>
              </w:rPr>
              <w:t>J+7  ⭐</w:t>
            </w:r>
          </w:p>
        </w:tc>
        <w:tc>
          <w:tcPr>
            <w:tcW w:type="dxa" w:w="1440"/>
            <w:shd w:fill="FFDCE0" w:val="clear"/>
          </w:tcPr>
          <w:p>
            <w:r>
              <w:rPr>
                <w:sz w:val="17"/>
              </w:rPr>
              <w:t>2026-09-14</w:t>
            </w:r>
          </w:p>
        </w:tc>
        <w:tc>
          <w:tcPr>
            <w:tcW w:type="dxa" w:w="1440"/>
            <w:shd w:fill="FFDCE0" w:val="clear"/>
          </w:tcPr>
          <w:p>
            <w:r>
              <w:rPr>
                <w:sz w:val="17"/>
              </w:rPr>
              <w:t>2,792</w:t>
            </w:r>
          </w:p>
        </w:tc>
        <w:tc>
          <w:tcPr>
            <w:tcW w:type="dxa" w:w="1440"/>
            <w:shd w:fill="FFDCE0" w:val="clear"/>
          </w:tcPr>
          <w:p>
            <w:r>
              <w:rPr>
                <w:b/>
                <w:sz w:val="17"/>
              </w:rPr>
              <w:t>3,260</w:t>
            </w:r>
          </w:p>
        </w:tc>
        <w:tc>
          <w:tcPr>
            <w:tcW w:type="dxa" w:w="1440"/>
            <w:shd w:fill="FFDCE0" w:val="clear"/>
          </w:tcPr>
          <w:p>
            <w:r>
              <w:rPr>
                <w:sz w:val="17"/>
              </w:rPr>
              <w:t>3,727</w:t>
            </w:r>
          </w:p>
        </w:tc>
        <w:tc>
          <w:tcPr>
            <w:tcW w:type="dxa" w:w="1440"/>
            <w:shd w:fill="FFDCE0" w:val="clear"/>
          </w:tcPr>
          <w:p>
            <w:r>
              <w:rPr>
                <w:b/>
                <w:color w:val="C00000"/>
                <w:sz w:val="17"/>
              </w:rPr>
              <w:t>-2.7%</w:t>
            </w:r>
          </w:p>
        </w:tc>
      </w:tr>
      <w:tr>
        <w:tc>
          <w:tcPr>
            <w:tcW w:type="dxa" w:w="1440"/>
            <w:shd w:fill="FFDCE0" w:val="clear"/>
          </w:tcPr>
          <w:p>
            <w:r>
              <w:rPr>
                <w:sz w:val="17"/>
              </w:rPr>
              <w:t>J+8  ⭐</w:t>
            </w:r>
          </w:p>
        </w:tc>
        <w:tc>
          <w:tcPr>
            <w:tcW w:type="dxa" w:w="1440"/>
            <w:shd w:fill="FFDCE0" w:val="clear"/>
          </w:tcPr>
          <w:p>
            <w:r>
              <w:rPr>
                <w:sz w:val="17"/>
              </w:rPr>
              <w:t>2026-09-15</w:t>
            </w:r>
          </w:p>
        </w:tc>
        <w:tc>
          <w:tcPr>
            <w:tcW w:type="dxa" w:w="1440"/>
            <w:shd w:fill="FFDCE0" w:val="clear"/>
          </w:tcPr>
          <w:p>
            <w:r>
              <w:rPr>
                <w:sz w:val="17"/>
              </w:rPr>
              <w:t>2,750</w:t>
            </w:r>
          </w:p>
        </w:tc>
        <w:tc>
          <w:tcPr>
            <w:tcW w:type="dxa" w:w="1440"/>
            <w:shd w:fill="FFDCE0" w:val="clear"/>
          </w:tcPr>
          <w:p>
            <w:r>
              <w:rPr>
                <w:b/>
                <w:sz w:val="17"/>
              </w:rPr>
              <w:t>3,248</w:t>
            </w:r>
          </w:p>
        </w:tc>
        <w:tc>
          <w:tcPr>
            <w:tcW w:type="dxa" w:w="1440"/>
            <w:shd w:fill="FFDCE0" w:val="clear"/>
          </w:tcPr>
          <w:p>
            <w:r>
              <w:rPr>
                <w:sz w:val="17"/>
              </w:rPr>
              <w:t>3,746</w:t>
            </w:r>
          </w:p>
        </w:tc>
        <w:tc>
          <w:tcPr>
            <w:tcW w:type="dxa" w:w="1440"/>
            <w:shd w:fill="FFDCE0" w:val="clear"/>
          </w:tcPr>
          <w:p>
            <w:r>
              <w:rPr>
                <w:b/>
                <w:color w:val="C00000"/>
                <w:sz w:val="17"/>
              </w:rPr>
              <w:t>-3.0%</w:t>
            </w:r>
          </w:p>
        </w:tc>
      </w:tr>
      <w:tr>
        <w:tc>
          <w:tcPr>
            <w:tcW w:type="dxa" w:w="1440"/>
            <w:shd w:fill="FFDCE0" w:val="clear"/>
          </w:tcPr>
          <w:p>
            <w:r>
              <w:rPr>
                <w:sz w:val="17"/>
              </w:rPr>
              <w:t>J+9  ⭐</w:t>
            </w:r>
          </w:p>
        </w:tc>
        <w:tc>
          <w:tcPr>
            <w:tcW w:type="dxa" w:w="1440"/>
            <w:shd w:fill="FFDCE0" w:val="clear"/>
          </w:tcPr>
          <w:p>
            <w:r>
              <w:rPr>
                <w:sz w:val="17"/>
              </w:rPr>
              <w:t>2026-09-16</w:t>
            </w:r>
          </w:p>
        </w:tc>
        <w:tc>
          <w:tcPr>
            <w:tcW w:type="dxa" w:w="1440"/>
            <w:shd w:fill="FFDCE0" w:val="clear"/>
          </w:tcPr>
          <w:p>
            <w:r>
              <w:rPr>
                <w:sz w:val="17"/>
              </w:rPr>
              <w:t>2,710</w:t>
            </w:r>
          </w:p>
        </w:tc>
        <w:tc>
          <w:tcPr>
            <w:tcW w:type="dxa" w:w="1440"/>
            <w:shd w:fill="FFDCE0" w:val="clear"/>
          </w:tcPr>
          <w:p>
            <w:r>
              <w:rPr>
                <w:b/>
                <w:sz w:val="17"/>
              </w:rPr>
              <w:t>3,237</w:t>
            </w:r>
          </w:p>
        </w:tc>
        <w:tc>
          <w:tcPr>
            <w:tcW w:type="dxa" w:w="1440"/>
            <w:shd w:fill="FFDCE0" w:val="clear"/>
          </w:tcPr>
          <w:p>
            <w:r>
              <w:rPr>
                <w:sz w:val="17"/>
              </w:rPr>
              <w:t>3,763</w:t>
            </w:r>
          </w:p>
        </w:tc>
        <w:tc>
          <w:tcPr>
            <w:tcW w:type="dxa" w:w="1440"/>
            <w:shd w:fill="FFDCE0" w:val="clear"/>
          </w:tcPr>
          <w:p>
            <w:r>
              <w:rPr>
                <w:b/>
                <w:color w:val="C00000"/>
                <w:sz w:val="17"/>
              </w:rPr>
              <w:t>-3.4%</w:t>
            </w:r>
          </w:p>
        </w:tc>
      </w:tr>
      <w:tr>
        <w:tc>
          <w:tcPr>
            <w:tcW w:type="dxa" w:w="1440"/>
            <w:shd w:fill="FFDCE0" w:val="clear"/>
          </w:tcPr>
          <w:p>
            <w:r>
              <w:rPr>
                <w:sz w:val="17"/>
              </w:rPr>
              <w:t>J+10  ⭐</w:t>
            </w:r>
          </w:p>
        </w:tc>
        <w:tc>
          <w:tcPr>
            <w:tcW w:type="dxa" w:w="1440"/>
            <w:shd w:fill="FFDCE0" w:val="clear"/>
          </w:tcPr>
          <w:p>
            <w:r>
              <w:rPr>
                <w:sz w:val="17"/>
              </w:rPr>
              <w:t>2026-09-17</w:t>
            </w:r>
          </w:p>
        </w:tc>
        <w:tc>
          <w:tcPr>
            <w:tcW w:type="dxa" w:w="1440"/>
            <w:shd w:fill="FFDCE0" w:val="clear"/>
          </w:tcPr>
          <w:p>
            <w:r>
              <w:rPr>
                <w:sz w:val="17"/>
              </w:rPr>
              <w:t>2,673</w:t>
            </w:r>
          </w:p>
        </w:tc>
        <w:tc>
          <w:tcPr>
            <w:tcW w:type="dxa" w:w="1440"/>
            <w:shd w:fill="FFDCE0" w:val="clear"/>
          </w:tcPr>
          <w:p>
            <w:r>
              <w:rPr>
                <w:b/>
                <w:sz w:val="17"/>
              </w:rPr>
              <w:t>3,226</w:t>
            </w:r>
          </w:p>
        </w:tc>
        <w:tc>
          <w:tcPr>
            <w:tcW w:type="dxa" w:w="1440"/>
            <w:shd w:fill="FFDCE0" w:val="clear"/>
          </w:tcPr>
          <w:p>
            <w:r>
              <w:rPr>
                <w:sz w:val="17"/>
              </w:rPr>
              <w:t>3,778</w:t>
            </w:r>
          </w:p>
        </w:tc>
        <w:tc>
          <w:tcPr>
            <w:tcW w:type="dxa" w:w="1440"/>
            <w:shd w:fill="FFDCE0" w:val="clear"/>
          </w:tcPr>
          <w:p>
            <w:r>
              <w:rPr>
                <w:b/>
                <w:color w:val="C00000"/>
                <w:sz w:val="17"/>
              </w:rPr>
              <w:t>-3.7%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TOTALENERGIES MARKETING CÔTE D'IVOIRE (TTLC)**</w:t>
        <w:br/>
        <w:t>**Date de l'analyse : 03 septembre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TTLC s'établit à 210,92 milliards FCFA, ce qui en fait l'une des valeurs les plus significatives de la cote, reflétant la position dominante de la filiale ivoirienne du géant pétrolier. Avec un BPA de 144 FCFA, le titre se négocie à un PER de 23,2x, nettement supérieur à la moyenne historique de la BRVM (8-12x). Ce niveau élevé suggère que le marché intègre des attentes de croissance future ou une prime de qualité, mais expose également le titre à un risque de correction si ces attentes ne se matérialisent pas. Le P/B de 5,83x confirme cette prime, le marché valorisant fortement les actifs nets de la société, tandis que l'EV/EBITDA de 11,9x, bien que dans la fourchette haute, reste plus mesuré, indiquant une valorisation exigeante qui laisse peu de marge d'erreur.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TTLC a enregistré une progression remarquable de +24,07%, malgré un léger repli de -1,18% lors de la dernière séance, pour s'établir à 3 350 FCFA. Le titre a évolué dans une fourchette de 2 650 à 3 595 FCFA, démontrant une dynamique haussière soutenue. Les statistiques descriptives révèlent un cours moyen de 2 931 FCFA et une médiane de 2 890 FCFA, l'écart entre les deux indiquant une distribution asymétrique. Le coefficient de variation de 6,6% suggère une dispersion modérée autour de la moyenne. Le kurtosis positif (1,636) signale un risque de mouvements extrêmes, tandis que le skewness positif (1,445) indique que le cours a passé plus de temps sous la moyenne, suggérant une progression par à-coups. La volatilité annualisée de 40,4% classe TTLC comme un actif à forte volatilité, nécessitant une gestion de risque rigoureuse.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3 350 FCFA se positionne nettement au-dessus de la MM20 (3 231,5 FCFA) et de la MM50 (3 038,3 FCFA). Cette configuration haussière, où les moyennes courtes sont inférieures au prix, confirme la tendance positive. La décision d'achat est justifiée par la vigueur de la tendance, bien que l'écart croissant avec la MM20 puisse signaler une condition de surachat temporaire.</w:t>
      </w:r>
    </w:p>
    <w:p>
      <w:pPr>
        <w:spacing w:after="120" w:line="276" w:lineRule="auto"/>
      </w:pPr>
      <w:r>
        <w:t>**Bandes de Bollinger :** Le prix se situe à 3 350 FCFA, entre la borne inférieure (2 810,2 FCFA) et la borne supérieure (3 652,8 FCFA), plus près de cette dernière. Cette position indique une pression acheteuse soutenue sans atteindre des niveaux extrêmes de surachat. La décision neutre est appropriée, le marché laissant place à une possible poursuite de la hausse ou à une consolidation.</w:t>
      </w:r>
    </w:p>
    <w:p>
      <w:pPr>
        <w:spacing w:after="120" w:line="276" w:lineRule="auto"/>
      </w:pPr>
      <w:r>
        <w:t>**MACD :** Le MACD (117,7) est légèrement supérieur à son signal (116,7), avec un écart positif mais modeste. Cette configuration signale un momentum haussier qui, bien que toujours en place, montre des signes de ralentissement. La décision d'achat reste valide, mais l'attention doit être portée sur un éventuel croisement baissier qui invaliderait le signal.</w:t>
      </w:r>
    </w:p>
    <w:p>
      <w:pPr>
        <w:spacing w:after="120" w:line="276" w:lineRule="auto"/>
      </w:pPr>
      <w:r>
        <w:t>**RSI :** À 67,2, le RSI se situe en zone neutre, proche du seuil de surachat (70). Cette valeur indique une pression acheteuse significative sans être excessive. La décision neutre est cohérente, laissant envisager une poursuite de la hausse ou une correction technique.</w:t>
      </w:r>
    </w:p>
    <w:p>
      <w:pPr>
        <w:spacing w:after="120" w:line="276" w:lineRule="auto"/>
      </w:pPr>
      <w:r>
        <w:t>**Stochastique :** Le %K (44,9) est inférieur au %D (59,1), indiquant un momentum baissier à court terme. Ce croisement négatif suggère une possible consolidation après la récente hausse. La décision neutre est justifiée, le marché semblant reprendre son souffle.</w:t>
      </w:r>
    </w:p>
    <w:p>
      <w:pPr>
        <w:spacing w:after="120" w:line="276" w:lineRule="auto"/>
      </w:pPr>
      <w:r>
        <w:t>**Conclusion technique :** Les indicateurs de tendance (MM, MACD) sont positifs, tandis que les oscillateurs (RSI, Stochastique) indiquent une phase de consolidation. Cette divergence suggère que la tendance haussière de fond reste intacte, mais qu'un repli technique à court terme est possible. Les bandes de Bollinger confirment cette lecture, avec un prix évoluant dans la partie supérieure sans excès. Le scénario le plus probable est une stabilisation avant une reprise de la tendance haussière.</w:t>
      </w:r>
    </w:p>
    <w:p>
      <w:pPr>
        <w:spacing w:after="120" w:line="276" w:lineRule="auto"/>
      </w:pPr>
      <w:r>
        <w:t>---</w:t>
      </w:r>
    </w:p>
    <w:p>
      <w:pPr>
        <w:spacing w:after="120" w:line="276" w:lineRule="auto"/>
      </w:pPr>
      <w:r>
        <w:t>### PARTIE 3 : ANALYSE FONDAMENTALE (SECTION CRITIQUE)</w:t>
      </w:r>
    </w:p>
    <w:p>
      <w:pPr>
        <w:spacing w:after="120" w:line="276" w:lineRule="auto"/>
      </w:pPr>
      <w:r>
        <w:t>En 2025, TTLC a réalisé un chiffre d'affaires de 588,7 milliards FCFA, en baisse de 5,2% par rapport à 2024 (621,0 milliards FCFA), mais avec une amélioration notable de la rentabilité opérationnelle : le résultat d'exploitation a bondi de 18% à 12,3 milliards FCFA et l'EBE de 12% à 22,3 milliards FCFA. Le résultat net s'établit à 9,09 milliards FCFA, en léger repli de 3%, avec une marge nette de 1,54%. La société affiche un ROE exceptionnel de 25,1% et un ROA de 4,8%. Le BFR négatif de -9,66 milliards FCFA est un signe de bonne santé, indiquant que l'entreprise finance son cycle d'exploitation grâce à ses fournisseurs. Le rapport annuel 2025 (analysé le 02/06/2026) souligne une politique de dividende généreuse de 10 milliards FCFA (taux de distribution &gt;100%), mais alerte sur une trésorerie nette négative de -21,9 milliards FCFA et un endettement croissant. Les rapports trimestriels 2025 montrent une tendance à la baisse (S1 : -25,5% de résultat net, 9 mois : -30,2%), principalement due à un effet de base défavorable. Cependant, le rapport T1 2026 (publié en 2026) indique un rebond : CA de 154,4 milliards FCFA (+4,3%) et résultat net de 2,33 milliards FCFA (+5,5%), laissant présager une année 2026 plus favorable. En tant qu'entreprise de distribution, l'analyse se concentre sur la gestion du BFR et des marges, qui s'améliorent, mais la dépendance aux crédits bancaires à court terme et la volatilité des prix du pétrole restent des risques majeurs.</w:t>
      </w:r>
    </w:p>
    <w:p>
      <w:pPr>
        <w:spacing w:after="120" w:line="276" w:lineRule="auto"/>
      </w:pPr>
      <w:r>
        <w:t>---</w:t>
      </w:r>
    </w:p>
    <w:p>
      <w:pPr>
        <w:spacing w:after="120" w:line="276" w:lineRule="auto"/>
      </w:pPr>
      <w:r>
        <w:t>### PARTIE 4 : CONCLUSION D'INVESTISSEMENT</w:t>
      </w:r>
    </w:p>
    <w:p>
      <w:pPr>
        <w:spacing w:after="120" w:line="276" w:lineRule="auto"/>
      </w:pPr>
      <w:r>
        <w:t>La valorisation de TTLC est exigeante, avec un PER de 23,2x et un P/B de 5,83x, nettement supérieurs aux moyennes du marché, ce qui reflète une prime de qualité mais limite le potentiel de hausse. Le comportement du cours est haussier sur 100 jours (+24%), avec une volatilité élevée (40,4%) et une distribution statistique indiquant des mouvements par à-coups. Les signaux techniques sont partagés : la tendance de fond (MM, MACD) est positive, mais les oscillateurs (RSI, Stochastique) suggèrent une consolidation à court terme. Fondamentalement, la société est solide avec un ROE de 25,1%, mais fait face à une dégradation de sa trésorerie et à un repli de son activité en 2025. Les prédictions IA pour les 10 prochains jours (3 336 à 3 283 FCFA) indiquent une légère correction, confirmant les signaux techniques de consolidation. En synthèse, les fondamentaux solides et la position de leader justifient une opinion positive à moyen terme, mais la valorisation élevée et les signaux techniques mitigés recommandent la prudence à court terme. **Recommandation : CONSERVER**, avec un niveau de confiance Moyen, un risque global Élevé, et un horizon d'investissement optimal à moyen terme (3-12 mois), en attendant une meilleure visibilité sur la soutenabilité de la politique de distribution et l'amélioration de la trésorerie.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125.42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2,645 titres</w:t>
            </w:r>
          </w:p>
        </w:tc>
        <w:tc>
          <w:tcPr>
            <w:tcW w:type="dxa" w:w="2268"/>
            <w:shd w:fill="FFF2CC" w:val="clear"/>
          </w:tcPr>
          <w:p>
            <w:r>
              <w:rPr>
                <w:b/>
                <w:color w:val="503200"/>
                <w:sz w:val="16"/>
              </w:rPr>
              <w:t xml:space="preserve">Cours actuel : </w:t>
            </w:r>
            <w:r>
              <w:rPr>
                <w:color w:val="000000"/>
                <w:sz w:val="17"/>
              </w:rPr>
              <w:t>3,850 FCFA</w:t>
            </w:r>
          </w:p>
          <w:p>
            <w:r>
              <w:rPr>
                <w:b/>
                <w:color w:val="503200"/>
                <w:sz w:val="16"/>
              </w:rPr>
              <w:t xml:space="preserve">Var. 100 jours : </w:t>
            </w:r>
            <w:r>
              <w:rPr>
                <w:b/>
                <w:color w:val="007800"/>
                <w:sz w:val="17"/>
              </w:rPr>
              <w:t>+18.46%</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47.7%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10.57% (Moyenne) — μ=3,527 FCFA, σ=373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β=0.7093 (Défensif) — Cov=0.000026, Var(idx)=0.000036, ρ=0.141,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2,645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σ_j=3.00%/j (Modérée) — Vol. annualisée≈47.7%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2026-09-04</w:t>
            </w:r>
          </w:p>
        </w:tc>
        <w:tc>
          <w:tcPr>
            <w:tcW w:type="dxa" w:w="1440"/>
            <w:shd w:fill="FFDCE0" w:val="clear"/>
          </w:tcPr>
          <w:p>
            <w:r>
              <w:rPr>
                <w:sz w:val="17"/>
              </w:rPr>
              <w:t>3,547</w:t>
            </w:r>
          </w:p>
        </w:tc>
        <w:tc>
          <w:tcPr>
            <w:tcW w:type="dxa" w:w="1440"/>
            <w:shd w:fill="FFDCE0" w:val="clear"/>
          </w:tcPr>
          <w:p>
            <w:r>
              <w:rPr>
                <w:b/>
                <w:sz w:val="17"/>
              </w:rPr>
              <w:t>3,692</w:t>
            </w:r>
          </w:p>
        </w:tc>
        <w:tc>
          <w:tcPr>
            <w:tcW w:type="dxa" w:w="1440"/>
            <w:shd w:fill="FFDCE0" w:val="clear"/>
          </w:tcPr>
          <w:p>
            <w:r>
              <w:rPr>
                <w:sz w:val="17"/>
              </w:rPr>
              <w:t>3,837</w:t>
            </w:r>
          </w:p>
        </w:tc>
        <w:tc>
          <w:tcPr>
            <w:tcW w:type="dxa" w:w="1440"/>
            <w:shd w:fill="FFDCE0" w:val="clear"/>
          </w:tcPr>
          <w:p>
            <w:r>
              <w:rPr>
                <w:b/>
                <w:color w:val="C00000"/>
                <w:sz w:val="17"/>
              </w:rPr>
              <w:t>-4.1%</w:t>
            </w:r>
          </w:p>
        </w:tc>
      </w:tr>
      <w:tr>
        <w:tc>
          <w:tcPr>
            <w:tcW w:type="dxa" w:w="1440"/>
            <w:shd w:fill="FFDCE0" w:val="clear"/>
          </w:tcPr>
          <w:p>
            <w:r>
              <w:rPr>
                <w:sz w:val="17"/>
              </w:rPr>
              <w:t>J+2  ⭐</w:t>
            </w:r>
          </w:p>
        </w:tc>
        <w:tc>
          <w:tcPr>
            <w:tcW w:type="dxa" w:w="1440"/>
            <w:shd w:fill="FFDCE0" w:val="clear"/>
          </w:tcPr>
          <w:p>
            <w:r>
              <w:rPr>
                <w:sz w:val="17"/>
              </w:rPr>
              <w:t>2026-09-07</w:t>
            </w:r>
          </w:p>
        </w:tc>
        <w:tc>
          <w:tcPr>
            <w:tcW w:type="dxa" w:w="1440"/>
            <w:shd w:fill="FFDCE0" w:val="clear"/>
          </w:tcPr>
          <w:p>
            <w:r>
              <w:rPr>
                <w:sz w:val="17"/>
              </w:rPr>
              <w:t>3,421</w:t>
            </w:r>
          </w:p>
        </w:tc>
        <w:tc>
          <w:tcPr>
            <w:tcW w:type="dxa" w:w="1440"/>
            <w:shd w:fill="FFDCE0" w:val="clear"/>
          </w:tcPr>
          <w:p>
            <w:r>
              <w:rPr>
                <w:b/>
                <w:sz w:val="17"/>
              </w:rPr>
              <w:t>3,621</w:t>
            </w:r>
          </w:p>
        </w:tc>
        <w:tc>
          <w:tcPr>
            <w:tcW w:type="dxa" w:w="1440"/>
            <w:shd w:fill="FFDCE0" w:val="clear"/>
          </w:tcPr>
          <w:p>
            <w:r>
              <w:rPr>
                <w:sz w:val="17"/>
              </w:rPr>
              <w:t>3,822</w:t>
            </w:r>
          </w:p>
        </w:tc>
        <w:tc>
          <w:tcPr>
            <w:tcW w:type="dxa" w:w="1440"/>
            <w:shd w:fill="FFDCE0" w:val="clear"/>
          </w:tcPr>
          <w:p>
            <w:r>
              <w:rPr>
                <w:b/>
                <w:color w:val="C00000"/>
                <w:sz w:val="17"/>
              </w:rPr>
              <w:t>-5.9%</w:t>
            </w:r>
          </w:p>
        </w:tc>
      </w:tr>
      <w:tr>
        <w:tc>
          <w:tcPr>
            <w:tcW w:type="dxa" w:w="1440"/>
            <w:shd w:fill="FFDCE0" w:val="clear"/>
          </w:tcPr>
          <w:p>
            <w:r>
              <w:rPr>
                <w:sz w:val="17"/>
              </w:rPr>
              <w:t>J+3  ⭐</w:t>
            </w:r>
          </w:p>
        </w:tc>
        <w:tc>
          <w:tcPr>
            <w:tcW w:type="dxa" w:w="1440"/>
            <w:shd w:fill="FFDCE0" w:val="clear"/>
          </w:tcPr>
          <w:p>
            <w:r>
              <w:rPr>
                <w:sz w:val="17"/>
              </w:rPr>
              <w:t>2026-09-08</w:t>
            </w:r>
          </w:p>
        </w:tc>
        <w:tc>
          <w:tcPr>
            <w:tcW w:type="dxa" w:w="1440"/>
            <w:shd w:fill="FFDCE0" w:val="clear"/>
          </w:tcPr>
          <w:p>
            <w:r>
              <w:rPr>
                <w:sz w:val="17"/>
              </w:rPr>
              <w:t>3,320</w:t>
            </w:r>
          </w:p>
        </w:tc>
        <w:tc>
          <w:tcPr>
            <w:tcW w:type="dxa" w:w="1440"/>
            <w:shd w:fill="FFDCE0" w:val="clear"/>
          </w:tcPr>
          <w:p>
            <w:r>
              <w:rPr>
                <w:b/>
                <w:sz w:val="17"/>
              </w:rPr>
              <w:t>3,562</w:t>
            </w:r>
          </w:p>
        </w:tc>
        <w:tc>
          <w:tcPr>
            <w:tcW w:type="dxa" w:w="1440"/>
            <w:shd w:fill="FFDCE0" w:val="clear"/>
          </w:tcPr>
          <w:p>
            <w:r>
              <w:rPr>
                <w:sz w:val="17"/>
              </w:rPr>
              <w:t>3,804</w:t>
            </w:r>
          </w:p>
        </w:tc>
        <w:tc>
          <w:tcPr>
            <w:tcW w:type="dxa" w:w="1440"/>
            <w:shd w:fill="FFDCE0" w:val="clear"/>
          </w:tcPr>
          <w:p>
            <w:r>
              <w:rPr>
                <w:b/>
                <w:color w:val="C00000"/>
                <w:sz w:val="17"/>
              </w:rPr>
              <w:t>-7.5%</w:t>
            </w:r>
          </w:p>
        </w:tc>
      </w:tr>
      <w:tr>
        <w:tc>
          <w:tcPr>
            <w:tcW w:type="dxa" w:w="1440"/>
            <w:shd w:fill="FFDCE0" w:val="clear"/>
          </w:tcPr>
          <w:p>
            <w:r>
              <w:rPr>
                <w:sz w:val="17"/>
              </w:rPr>
              <w:t>J+4  ⭐</w:t>
            </w:r>
          </w:p>
        </w:tc>
        <w:tc>
          <w:tcPr>
            <w:tcW w:type="dxa" w:w="1440"/>
            <w:shd w:fill="FFDCE0" w:val="clear"/>
          </w:tcPr>
          <w:p>
            <w:r>
              <w:rPr>
                <w:sz w:val="17"/>
              </w:rPr>
              <w:t>2026-09-09</w:t>
            </w:r>
          </w:p>
        </w:tc>
        <w:tc>
          <w:tcPr>
            <w:tcW w:type="dxa" w:w="1440"/>
            <w:shd w:fill="FFDCE0" w:val="clear"/>
          </w:tcPr>
          <w:p>
            <w:r>
              <w:rPr>
                <w:sz w:val="17"/>
              </w:rPr>
              <w:t>3,237</w:t>
            </w:r>
          </w:p>
        </w:tc>
        <w:tc>
          <w:tcPr>
            <w:tcW w:type="dxa" w:w="1440"/>
            <w:shd w:fill="FFDCE0" w:val="clear"/>
          </w:tcPr>
          <w:p>
            <w:r>
              <w:rPr>
                <w:b/>
                <w:sz w:val="17"/>
              </w:rPr>
              <w:t>3,512</w:t>
            </w:r>
          </w:p>
        </w:tc>
        <w:tc>
          <w:tcPr>
            <w:tcW w:type="dxa" w:w="1440"/>
            <w:shd w:fill="FFDCE0" w:val="clear"/>
          </w:tcPr>
          <w:p>
            <w:r>
              <w:rPr>
                <w:sz w:val="17"/>
              </w:rPr>
              <w:t>3,788</w:t>
            </w:r>
          </w:p>
        </w:tc>
        <w:tc>
          <w:tcPr>
            <w:tcW w:type="dxa" w:w="1440"/>
            <w:shd w:fill="FFDCE0" w:val="clear"/>
          </w:tcPr>
          <w:p>
            <w:r>
              <w:rPr>
                <w:b/>
                <w:color w:val="C00000"/>
                <w:sz w:val="17"/>
              </w:rPr>
              <w:t>-8.8%</w:t>
            </w:r>
          </w:p>
        </w:tc>
      </w:tr>
      <w:tr>
        <w:tc>
          <w:tcPr>
            <w:tcW w:type="dxa" w:w="1440"/>
            <w:shd w:fill="FFDCE0" w:val="clear"/>
          </w:tcPr>
          <w:p>
            <w:r>
              <w:rPr>
                <w:sz w:val="17"/>
              </w:rPr>
              <w:t>J+5  ⭐</w:t>
            </w:r>
          </w:p>
        </w:tc>
        <w:tc>
          <w:tcPr>
            <w:tcW w:type="dxa" w:w="1440"/>
            <w:shd w:fill="FFDCE0" w:val="clear"/>
          </w:tcPr>
          <w:p>
            <w:r>
              <w:rPr>
                <w:sz w:val="17"/>
              </w:rPr>
              <w:t>2026-09-10</w:t>
            </w:r>
          </w:p>
        </w:tc>
        <w:tc>
          <w:tcPr>
            <w:tcW w:type="dxa" w:w="1440"/>
            <w:shd w:fill="FFDCE0" w:val="clear"/>
          </w:tcPr>
          <w:p>
            <w:r>
              <w:rPr>
                <w:sz w:val="17"/>
              </w:rPr>
              <w:t>3,163</w:t>
            </w:r>
          </w:p>
        </w:tc>
        <w:tc>
          <w:tcPr>
            <w:tcW w:type="dxa" w:w="1440"/>
            <w:shd w:fill="FFDCE0" w:val="clear"/>
          </w:tcPr>
          <w:p>
            <w:r>
              <w:rPr>
                <w:b/>
                <w:sz w:val="17"/>
              </w:rPr>
              <w:t>3,467</w:t>
            </w:r>
          </w:p>
        </w:tc>
        <w:tc>
          <w:tcPr>
            <w:tcW w:type="dxa" w:w="1440"/>
            <w:shd w:fill="FFDCE0" w:val="clear"/>
          </w:tcPr>
          <w:p>
            <w:r>
              <w:rPr>
                <w:sz w:val="17"/>
              </w:rPr>
              <w:t>3,771</w:t>
            </w:r>
          </w:p>
        </w:tc>
        <w:tc>
          <w:tcPr>
            <w:tcW w:type="dxa" w:w="1440"/>
            <w:shd w:fill="FFDCE0" w:val="clear"/>
          </w:tcPr>
          <w:p>
            <w:r>
              <w:rPr>
                <w:b/>
                <w:color w:val="C00000"/>
                <w:sz w:val="17"/>
              </w:rPr>
              <w:t>-9.9%</w:t>
            </w:r>
          </w:p>
        </w:tc>
      </w:tr>
      <w:tr>
        <w:tc>
          <w:tcPr>
            <w:tcW w:type="dxa" w:w="1440"/>
            <w:shd w:fill="FFDCE0" w:val="clear"/>
          </w:tcPr>
          <w:p>
            <w:r>
              <w:rPr>
                <w:sz w:val="17"/>
              </w:rPr>
              <w:t>J+6  ⭐</w:t>
            </w:r>
          </w:p>
        </w:tc>
        <w:tc>
          <w:tcPr>
            <w:tcW w:type="dxa" w:w="1440"/>
            <w:shd w:fill="FFDCE0" w:val="clear"/>
          </w:tcPr>
          <w:p>
            <w:r>
              <w:rPr>
                <w:sz w:val="17"/>
              </w:rPr>
              <w:t>2026-09-11</w:t>
            </w:r>
          </w:p>
        </w:tc>
        <w:tc>
          <w:tcPr>
            <w:tcW w:type="dxa" w:w="1440"/>
            <w:shd w:fill="FFDCE0" w:val="clear"/>
          </w:tcPr>
          <w:p>
            <w:r>
              <w:rPr>
                <w:sz w:val="17"/>
              </w:rPr>
              <w:t>3,097</w:t>
            </w:r>
          </w:p>
        </w:tc>
        <w:tc>
          <w:tcPr>
            <w:tcW w:type="dxa" w:w="1440"/>
            <w:shd w:fill="FFDCE0" w:val="clear"/>
          </w:tcPr>
          <w:p>
            <w:r>
              <w:rPr>
                <w:b/>
                <w:sz w:val="17"/>
              </w:rPr>
              <w:t>3,426</w:t>
            </w:r>
          </w:p>
        </w:tc>
        <w:tc>
          <w:tcPr>
            <w:tcW w:type="dxa" w:w="1440"/>
            <w:shd w:fill="FFDCE0" w:val="clear"/>
          </w:tcPr>
          <w:p>
            <w:r>
              <w:rPr>
                <w:sz w:val="17"/>
              </w:rPr>
              <w:t>3,755</w:t>
            </w:r>
          </w:p>
        </w:tc>
        <w:tc>
          <w:tcPr>
            <w:tcW w:type="dxa" w:w="1440"/>
            <w:shd w:fill="FFDCE0" w:val="clear"/>
          </w:tcPr>
          <w:p>
            <w:r>
              <w:rPr>
                <w:b/>
                <w:color w:val="C00000"/>
                <w:sz w:val="17"/>
              </w:rPr>
              <w:t>-11.0%</w:t>
            </w:r>
          </w:p>
        </w:tc>
      </w:tr>
      <w:tr>
        <w:tc>
          <w:tcPr>
            <w:tcW w:type="dxa" w:w="1440"/>
            <w:shd w:fill="FFDCE0" w:val="clear"/>
          </w:tcPr>
          <w:p>
            <w:r>
              <w:rPr>
                <w:sz w:val="17"/>
              </w:rPr>
              <w:t>J+7  ⭐</w:t>
            </w:r>
          </w:p>
        </w:tc>
        <w:tc>
          <w:tcPr>
            <w:tcW w:type="dxa" w:w="1440"/>
            <w:shd w:fill="FFDCE0" w:val="clear"/>
          </w:tcPr>
          <w:p>
            <w:r>
              <w:rPr>
                <w:sz w:val="17"/>
              </w:rPr>
              <w:t>2026-09-14</w:t>
            </w:r>
          </w:p>
        </w:tc>
        <w:tc>
          <w:tcPr>
            <w:tcW w:type="dxa" w:w="1440"/>
            <w:shd w:fill="FFDCE0" w:val="clear"/>
          </w:tcPr>
          <w:p>
            <w:r>
              <w:rPr>
                <w:sz w:val="17"/>
              </w:rPr>
              <w:t>3,035</w:t>
            </w:r>
          </w:p>
        </w:tc>
        <w:tc>
          <w:tcPr>
            <w:tcW w:type="dxa" w:w="1440"/>
            <w:shd w:fill="FFDCE0" w:val="clear"/>
          </w:tcPr>
          <w:p>
            <w:r>
              <w:rPr>
                <w:b/>
                <w:sz w:val="17"/>
              </w:rPr>
              <w:t>3,387</w:t>
            </w:r>
          </w:p>
        </w:tc>
        <w:tc>
          <w:tcPr>
            <w:tcW w:type="dxa" w:w="1440"/>
            <w:shd w:fill="FFDCE0" w:val="clear"/>
          </w:tcPr>
          <w:p>
            <w:r>
              <w:rPr>
                <w:sz w:val="17"/>
              </w:rPr>
              <w:t>3,738</w:t>
            </w:r>
          </w:p>
        </w:tc>
        <w:tc>
          <w:tcPr>
            <w:tcW w:type="dxa" w:w="1440"/>
            <w:shd w:fill="FFDCE0" w:val="clear"/>
          </w:tcPr>
          <w:p>
            <w:r>
              <w:rPr>
                <w:b/>
                <w:color w:val="C00000"/>
                <w:sz w:val="17"/>
              </w:rPr>
              <w:t>-12.0%</w:t>
            </w:r>
          </w:p>
        </w:tc>
      </w:tr>
      <w:tr>
        <w:tc>
          <w:tcPr>
            <w:tcW w:type="dxa" w:w="1440"/>
            <w:shd w:fill="FFDCE0" w:val="clear"/>
          </w:tcPr>
          <w:p>
            <w:r>
              <w:rPr>
                <w:sz w:val="17"/>
              </w:rPr>
              <w:t>J+8  ⭐</w:t>
            </w:r>
          </w:p>
        </w:tc>
        <w:tc>
          <w:tcPr>
            <w:tcW w:type="dxa" w:w="1440"/>
            <w:shd w:fill="FFDCE0" w:val="clear"/>
          </w:tcPr>
          <w:p>
            <w:r>
              <w:rPr>
                <w:sz w:val="17"/>
              </w:rPr>
              <w:t>2026-09-15</w:t>
            </w:r>
          </w:p>
        </w:tc>
        <w:tc>
          <w:tcPr>
            <w:tcW w:type="dxa" w:w="1440"/>
            <w:shd w:fill="FFDCE0" w:val="clear"/>
          </w:tcPr>
          <w:p>
            <w:r>
              <w:rPr>
                <w:sz w:val="17"/>
              </w:rPr>
              <w:t>2,979</w:t>
            </w:r>
          </w:p>
        </w:tc>
        <w:tc>
          <w:tcPr>
            <w:tcW w:type="dxa" w:w="1440"/>
            <w:shd w:fill="FFDCE0" w:val="clear"/>
          </w:tcPr>
          <w:p>
            <w:r>
              <w:rPr>
                <w:b/>
                <w:sz w:val="17"/>
              </w:rPr>
              <w:t>3,350</w:t>
            </w:r>
          </w:p>
        </w:tc>
        <w:tc>
          <w:tcPr>
            <w:tcW w:type="dxa" w:w="1440"/>
            <w:shd w:fill="FFDCE0" w:val="clear"/>
          </w:tcPr>
          <w:p>
            <w:r>
              <w:rPr>
                <w:sz w:val="17"/>
              </w:rPr>
              <w:t>3,722</w:t>
            </w:r>
          </w:p>
        </w:tc>
        <w:tc>
          <w:tcPr>
            <w:tcW w:type="dxa" w:w="1440"/>
            <w:shd w:fill="FFDCE0" w:val="clear"/>
          </w:tcPr>
          <w:p>
            <w:r>
              <w:rPr>
                <w:b/>
                <w:color w:val="C00000"/>
                <w:sz w:val="17"/>
              </w:rPr>
              <w:t>-13.0%</w:t>
            </w:r>
          </w:p>
        </w:tc>
      </w:tr>
      <w:tr>
        <w:tc>
          <w:tcPr>
            <w:tcW w:type="dxa" w:w="1440"/>
            <w:shd w:fill="FFDCE0" w:val="clear"/>
          </w:tcPr>
          <w:p>
            <w:r>
              <w:rPr>
                <w:sz w:val="17"/>
              </w:rPr>
              <w:t>J+9  ⭐</w:t>
            </w:r>
          </w:p>
        </w:tc>
        <w:tc>
          <w:tcPr>
            <w:tcW w:type="dxa" w:w="1440"/>
            <w:shd w:fill="FFDCE0" w:val="clear"/>
          </w:tcPr>
          <w:p>
            <w:r>
              <w:rPr>
                <w:sz w:val="17"/>
              </w:rPr>
              <w:t>2026-09-16</w:t>
            </w:r>
          </w:p>
        </w:tc>
        <w:tc>
          <w:tcPr>
            <w:tcW w:type="dxa" w:w="1440"/>
            <w:shd w:fill="FFDCE0" w:val="clear"/>
          </w:tcPr>
          <w:p>
            <w:r>
              <w:rPr>
                <w:sz w:val="17"/>
              </w:rPr>
              <w:t>2,926</w:t>
            </w:r>
          </w:p>
        </w:tc>
        <w:tc>
          <w:tcPr>
            <w:tcW w:type="dxa" w:w="1440"/>
            <w:shd w:fill="FFDCE0" w:val="clear"/>
          </w:tcPr>
          <w:p>
            <w:r>
              <w:rPr>
                <w:b/>
                <w:sz w:val="17"/>
              </w:rPr>
              <w:t>3,316</w:t>
            </w:r>
          </w:p>
        </w:tc>
        <w:tc>
          <w:tcPr>
            <w:tcW w:type="dxa" w:w="1440"/>
            <w:shd w:fill="FFDCE0" w:val="clear"/>
          </w:tcPr>
          <w:p>
            <w:r>
              <w:rPr>
                <w:sz w:val="17"/>
              </w:rPr>
              <w:t>3,707</w:t>
            </w:r>
          </w:p>
        </w:tc>
        <w:tc>
          <w:tcPr>
            <w:tcW w:type="dxa" w:w="1440"/>
            <w:shd w:fill="FFDCE0" w:val="clear"/>
          </w:tcPr>
          <w:p>
            <w:r>
              <w:rPr>
                <w:b/>
                <w:color w:val="C00000"/>
                <w:sz w:val="17"/>
              </w:rPr>
              <w:t>-13.9%</w:t>
            </w:r>
          </w:p>
        </w:tc>
      </w:tr>
      <w:tr>
        <w:tc>
          <w:tcPr>
            <w:tcW w:type="dxa" w:w="1440"/>
            <w:shd w:fill="FFDCE0" w:val="clear"/>
          </w:tcPr>
          <w:p>
            <w:r>
              <w:rPr>
                <w:sz w:val="17"/>
              </w:rPr>
              <w:t>J+10  ⭐</w:t>
            </w:r>
          </w:p>
        </w:tc>
        <w:tc>
          <w:tcPr>
            <w:tcW w:type="dxa" w:w="1440"/>
            <w:shd w:fill="FFDCE0" w:val="clear"/>
          </w:tcPr>
          <w:p>
            <w:r>
              <w:rPr>
                <w:sz w:val="17"/>
              </w:rPr>
              <w:t>2026-09-17</w:t>
            </w:r>
          </w:p>
        </w:tc>
        <w:tc>
          <w:tcPr>
            <w:tcW w:type="dxa" w:w="1440"/>
            <w:shd w:fill="FFDCE0" w:val="clear"/>
          </w:tcPr>
          <w:p>
            <w:r>
              <w:rPr>
                <w:sz w:val="17"/>
              </w:rPr>
              <w:t>2,877</w:t>
            </w:r>
          </w:p>
        </w:tc>
        <w:tc>
          <w:tcPr>
            <w:tcW w:type="dxa" w:w="1440"/>
            <w:shd w:fill="FFDCE0" w:val="clear"/>
          </w:tcPr>
          <w:p>
            <w:r>
              <w:rPr>
                <w:b/>
                <w:sz w:val="17"/>
              </w:rPr>
              <w:t>3,284</w:t>
            </w:r>
          </w:p>
        </w:tc>
        <w:tc>
          <w:tcPr>
            <w:tcW w:type="dxa" w:w="1440"/>
            <w:shd w:fill="FFDCE0" w:val="clear"/>
          </w:tcPr>
          <w:p>
            <w:r>
              <w:rPr>
                <w:sz w:val="17"/>
              </w:rPr>
              <w:t>3,691</w:t>
            </w:r>
          </w:p>
        </w:tc>
        <w:tc>
          <w:tcPr>
            <w:tcW w:type="dxa" w:w="1440"/>
            <w:shd w:fill="FFDCE0" w:val="clear"/>
          </w:tcPr>
          <w:p>
            <w:r>
              <w:rPr>
                <w:b/>
                <w:color w:val="C00000"/>
                <w:sz w:val="17"/>
              </w:rPr>
              <w:t>-14.7%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pPr>
      <w:r>
        <w:t>**RAPPORT D'ANALYSE FINANCIÈRE — TOTALENERGIES MARKETING SÉNÉGAL (TTLS)**</w:t>
        <w:br/>
        <w:t>**Date de l'analyse : 3 septembre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TTLS s'établit à 125,42 milliards FCFA, ce qui positionne la société parmi les valeurs moyennes du marché de la BRVM, avec un poids significatif dans le compartiment des valeurs non financières. Le BPA de 208 FCFA par action, combiné à un cours de 3 850 FCFA, conduit à un PER de 18,5x, nettement supérieur à la moyenne historique de la BRVM (8-12x), indiquant que les investisseurs paient une prime substantielle pour la qualité du profil de la société. Le P/B de 4,44x confirme cette prime, le marché valorisant fortement les capitaux propres de l'entreprise, bien au-delà de leur valeur comptable. Enfin, l'EV/EBITDA de 7,9x, dans une fourchette de 5 à 10x, suggère une valorisation raisonnable de la capacité opérationnelle de l'entreprise, tempérant les signaux de cherté relatifs du PER et du P/B.</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TTLS affiche une progression de +18,46%, démontrant une dynamique haussière soutenue, malgré une légère consolidation de -0,13% lors de la dernière séance. Le cours a évolué dans une fourchette de 2 845 FCFA (plus bas) à 4 500 FCFA (plus haut), illustrant une amplitude de trading considérable de plus de 58%. La moyenne du cours sur la période (3 527 FCFA) est légèrement inférieure à la médiane (3 495 FCFA), suggérant une distribution quasi symétrique des prix, ce que confirme le skewness de 0,380. L'écart-type de 375 FCFA, avec un coefficient de variation de 10,6%, indique une dispersion modérée autour de la moyenne. Le kurtosis de -0,353 (mésokurtique) révèle une absence de pics extrêmes, typique d'une distribution normale. La volatilité annualisée de 47,7% classe le titre comme très volatil, un niveau élevé qui requiert une gestion prudente du risque.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(3 850 FCFA) se positionne au-dessus de la MM20 (3 733,5 FCFA) mais en dessous de la MM50 (3 826,1 FCFA). Cette configuration, où le prix est inférieur à la moyenne à moyen terme, génère un signal de vente, indiquant que la tendance de fond pourrait perdre de la vigueur après la récente hausse.</w:t>
      </w:r>
    </w:p>
    <w:p>
      <w:pPr>
        <w:spacing w:after="120" w:line="276" w:lineRule="auto"/>
      </w:pPr>
      <w:r>
        <w:t>**Bandes de Bollinger** : Le prix se situe entre la borne supérieure (3 992,3 FCFA) et la borne inférieure (3 474,7 FCFA), plus près de la borne haute. La position du cours dans la moitié supérieure des bandes, sans le toucher, suggère une volatilité normale et une absence de surachat ou de survente, d'où une décision neutre.</w:t>
      </w:r>
    </w:p>
    <w:p>
      <w:pPr>
        <w:spacing w:after="120" w:line="276" w:lineRule="auto"/>
      </w:pPr>
      <w:r>
        <w:t>**MACD** : La valeur du MACD (28,668) est nettement supérieure à sa ligne de signal (12,538), avec un écart positif croissant. Cette configuration indique un momentum haussier robuste, justifiant une décision d'achat. Le croisement haussier récent renforce ce signal positif.</w:t>
      </w:r>
    </w:p>
    <w:p>
      <w:pPr>
        <w:spacing w:after="120" w:line="276" w:lineRule="auto"/>
      </w:pPr>
      <w:r>
        <w:t>**RSI** : Le RSI s'établit à 61,905, dans la zone neutre (30-70), mais proche de la zone de surachat (70). Cette valeur suggère une pression acheteuse encore présente, sans pour autant signaler une correction imminente. La décision est neutre, mais une vigilance est de mise si le RSI dépasse 70.</w:t>
      </w:r>
    </w:p>
    <w:p>
      <w:pPr>
        <w:spacing w:after="120" w:line="276" w:lineRule="auto"/>
      </w:pPr>
      <w:r>
        <w:t>**Stochastique** : Le %K (69,737) et le %D (70,614) sont proches et évoluent dans la zone haute, sans croisement baissier net. Cette configuration indique un momentum haussier qui s'essouffle, mais sans signal de retournement clair. La décision reste neutre.</w:t>
      </w:r>
    </w:p>
    <w:p>
      <w:pPr>
        <w:spacing w:after="120" w:line="276" w:lineRule="auto"/>
      </w:pPr>
      <w:r>
        <w:t>**Conclusion technique** : La convergence des indicateurs est mitigée. Le MACD est clairement haussier, tandis que les moyennes mobiles et les oscillateurs (RSI, Stochastique) sont neutres, avec une légère prédominance baissière pour les MM. Cette divergence suggère une consolidation potentielle à court terme après la forte hausse récente, mais la tendance de fond reste positive tant que le cours se maintient au-dessus de la MM50.</w:t>
      </w:r>
    </w:p>
    <w:p>
      <w:pPr>
        <w:spacing w:after="120" w:line="276" w:lineRule="auto"/>
      </w:pPr>
      <w:r>
        <w:t>---</w:t>
      </w:r>
    </w:p>
    <w:p>
      <w:pPr>
        <w:spacing w:after="120" w:line="276" w:lineRule="auto"/>
      </w:pPr>
      <w:r>
        <w:t>### PARTIE 3 : ANALYSE FONDAMENTALE (SECTION CRITIQUE)</w:t>
      </w:r>
    </w:p>
    <w:p>
      <w:pPr>
        <w:spacing w:after="120" w:line="276" w:lineRule="auto"/>
      </w:pPr>
      <w:r>
        <w:t>En 2025, TTLS a réalisé un chiffre d'affaires de 455,209 milliards FCFA, en baisse de 6,1% par rapport à 2024 (484,945 milliards FCFA), principalement en raison de l'arrêt stratégique de la commercialisation du fuel lourd. Le résultat net s'établit à 6,779 milliards FCFA, contre 7,140 milliards en 2024, soit une contraction de 5,1%. La marge nette reste faible à 1,49%, typique du secteur de distribution pétrolière. Le ROE est excellent à 24,0%, démontrant une forte rentabilité des capitaux propres (28,239 milliards FCFA), tandis que le ROA est de 3,95%. Le BFR est négatif à -36,899 milliards FCFA, ce qui est très favorable, indiquant que l'entreprise finance son cycle d'exploitation grâce aux dettes fournisseurs (86,912 milliards FCFA) et bénéficie d'un délai fournisseurs (97,76 jours) supérieur au délai clients (47,43 jours). Les rapports du T1 2026 (daté du 31 mars 2026) indiquent une baisse du CA de 10% à 99,9 milliards FCFA due à la révision des prix à la pompe par l'État, mais une hausse du résultat d'exploitation de +28% et du résultat net de +5%, grâce à l'amélioration des marges sur les lubrifiants. Sur la base de ces données, on estime que l'exercice 2026 pourrait voir un résultat net stable ou en légère hausse, entre 6,8 et 7,2 milliards FCFA, si la tendance du T1 se maintient. La société conserve une position de leader avec 140 stations-service et une trésorerie nette positive de 13,941 milliards FCFA.</w:t>
      </w:r>
    </w:p>
    <w:p>
      <w:pPr>
        <w:spacing w:after="120" w:line="276" w:lineRule="auto"/>
      </w:pPr>
      <w:r>
        <w:t>---</w:t>
      </w:r>
    </w:p>
    <w:p>
      <w:pPr>
        <w:spacing w:after="120" w:line="276" w:lineRule="auto"/>
      </w:pPr>
      <w:r>
        <w:t>### PARTIE 4 : CONCLUSION D'INVESTISSEMENT</w:t>
      </w:r>
    </w:p>
    <w:p>
      <w:pPr>
        <w:spacing w:after="120" w:line="276" w:lineRule="auto"/>
      </w:pPr>
      <w:r>
        <w:t>La valorisation de TTLS (PER de 18,5x, P/B de 4,44x) est exigeante par rapport au marché, mais l'EV/EBITDA de 7,9x tempère cette cherté relative. Le comportement du cours sur 100 jours est haussier (+18,46%), avec une volatilité élevée de 47,7% et une distribution normale des prix, indiquant un marché actif mais sans extrême. Les signaux techniques sont mitigés, avec un MACD haussier contredit par des moyennes mobiles vendeuses et des oscillateurs neutres, suggérant une possible consolidation. Les fondamentaux sont solides, avec un ROE de 24%, un BFR négatif favorable et une trésorerie nette positive, malgré une baisse du CA et du résultat net en 2025. Les prédictions IA (3 692 FCFA à J+1, 3 467 FCFA à J+10) indiquent une trajectoire baissière à court terme, contredisant le momentum haussier récent. Cette divergence entre les signaux techniques et les prédictions, couplée à la valorisation élevée, suggère une prudence. **Recommandation finale : CONSERVER**. La convergence est partielle entre des fondamentaux solides, une valorisation élevée et des signaux techniques mixtes. Le niveau de confiance est **Moyen**, le risque global est **Élevé** en raison de la volatilité. L'horizon d'investissement optimal est le **moyen terme (3-12 mois)**, en attendant une clarification sur la politique de dividende et l'évolution des volumes.</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495.90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21 titres</w:t>
            </w:r>
          </w:p>
        </w:tc>
        <w:tc>
          <w:tcPr>
            <w:tcW w:type="dxa" w:w="2268"/>
            <w:shd w:fill="FFF2CC" w:val="clear"/>
          </w:tcPr>
          <w:p>
            <w:r>
              <w:rPr>
                <w:b/>
                <w:color w:val="503200"/>
                <w:sz w:val="16"/>
              </w:rPr>
              <w:t xml:space="preserve">Cours actuel : </w:t>
            </w:r>
            <w:r>
              <w:rPr>
                <w:color w:val="000000"/>
                <w:sz w:val="17"/>
              </w:rPr>
              <w:t>54,000 FCFA</w:t>
            </w:r>
          </w:p>
          <w:p>
            <w:r>
              <w:rPr>
                <w:b/>
                <w:color w:val="503200"/>
                <w:sz w:val="16"/>
              </w:rPr>
              <w:t xml:space="preserve">Var. 100 jours : </w:t>
            </w:r>
            <w:r>
              <w:rPr>
                <w:b/>
                <w:color w:val="B40000"/>
                <w:sz w:val="17"/>
              </w:rPr>
              <w:t>-21.74%</w:t>
            </w:r>
          </w:p>
          <w:p>
            <w:r>
              <w:rPr>
                <w:b/>
                <w:color w:val="503200"/>
                <w:sz w:val="16"/>
              </w:rPr>
              <w:t xml:space="preserve">Plus haut 100j : </w:t>
            </w:r>
            <w:r>
              <w:rPr>
                <w:color w:val="000000"/>
                <w:sz w:val="17"/>
              </w:rPr>
              <w:t>69,005 FCFA</w:t>
            </w:r>
          </w:p>
          <w:p>
            <w:r>
              <w:rPr>
                <w:b/>
                <w:color w:val="503200"/>
                <w:sz w:val="16"/>
              </w:rPr>
              <w:t xml:space="preserve">Plus bas 100j : </w:t>
            </w:r>
            <w:r>
              <w:rPr>
                <w:color w:val="000000"/>
                <w:sz w:val="17"/>
              </w:rPr>
              <w:t>50,000 FCFA</w:t>
            </w:r>
          </w:p>
          <w:p>
            <w:r>
              <w:rPr>
                <w:b/>
                <w:color w:val="503200"/>
                <w:sz w:val="16"/>
              </w:rPr>
              <w:t xml:space="preserve">Volatilité ann. : </w:t>
            </w:r>
            <w:r>
              <w:rPr>
                <w:color w:val="000000"/>
                <w:sz w:val="17"/>
              </w:rPr>
              <w:t>60.8%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24.8/100 → Moyen</w:t>
      </w:r>
    </w:p>
    <w:p>
      <w:pPr>
        <w:spacing w:before="40" w:after="80"/>
      </w:pPr>
      <w:r>
        <w:rPr>
          <w:rFonts w:ascii="Courier New" w:hAnsi="Courier New"/>
          <w:color w:val="825A00"/>
          <w:sz w:val="18"/>
        </w:rPr>
        <w:t>████░░░░░░░░░░░░░░░░  24.8/100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5.97% (Moyenne) — μ=56,392 FCFA, σ=3,366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β=0.2802 (Défensif) — Cov=0.000010, Var(idx)=0.000037, ρ=0.044,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21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σ_j=3.83%/j (Modérée) — Vol. annualisée≈60.8%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55/100  (Bon)</w:t>
      </w:r>
    </w:p>
    <w:p/>
    <w:p>
      <w:pPr>
        <w:jc w:val="center"/>
      </w:pPr>
      <w:r>
        <w:drawing>
          <wp:inline xmlns:a="http://schemas.openxmlformats.org/drawingml/2006/main" xmlns:pic="http://schemas.openxmlformats.org/drawingml/2006/picture">
            <wp:extent cx="5669280" cy="2603190"/>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2026-09-04</w:t>
            </w:r>
          </w:p>
        </w:tc>
        <w:tc>
          <w:tcPr>
            <w:tcW w:type="dxa" w:w="1440"/>
            <w:shd w:fill="C6EFCE" w:val="clear"/>
          </w:tcPr>
          <w:p>
            <w:r>
              <w:rPr>
                <w:sz w:val="17"/>
              </w:rPr>
              <w:t>51,990</w:t>
            </w:r>
          </w:p>
        </w:tc>
        <w:tc>
          <w:tcPr>
            <w:tcW w:type="dxa" w:w="1440"/>
            <w:shd w:fill="C6EFCE" w:val="clear"/>
          </w:tcPr>
          <w:p>
            <w:r>
              <w:rPr>
                <w:b/>
                <w:sz w:val="17"/>
              </w:rPr>
              <w:t>55,353</w:t>
            </w:r>
          </w:p>
        </w:tc>
        <w:tc>
          <w:tcPr>
            <w:tcW w:type="dxa" w:w="1440"/>
            <w:shd w:fill="C6EFCE" w:val="clear"/>
          </w:tcPr>
          <w:p>
            <w:r>
              <w:rPr>
                <w:sz w:val="17"/>
              </w:rPr>
              <w:t>58,717</w:t>
            </w:r>
          </w:p>
        </w:tc>
        <w:tc>
          <w:tcPr>
            <w:tcW w:type="dxa" w:w="1440"/>
            <w:shd w:fill="C6EFCE" w:val="clear"/>
          </w:tcPr>
          <w:p>
            <w:r>
              <w:rPr>
                <w:b/>
                <w:color w:val="008000"/>
                <w:sz w:val="17"/>
              </w:rPr>
              <w:t>+2.5%</w:t>
            </w:r>
          </w:p>
        </w:tc>
      </w:tr>
      <w:tr>
        <w:tc>
          <w:tcPr>
            <w:tcW w:type="dxa" w:w="1440"/>
            <w:shd w:fill="C6EFCE" w:val="clear"/>
          </w:tcPr>
          <w:p>
            <w:r>
              <w:rPr>
                <w:sz w:val="17"/>
              </w:rPr>
              <w:t>J+2  ⭐</w:t>
            </w:r>
          </w:p>
        </w:tc>
        <w:tc>
          <w:tcPr>
            <w:tcW w:type="dxa" w:w="1440"/>
            <w:shd w:fill="C6EFCE" w:val="clear"/>
          </w:tcPr>
          <w:p>
            <w:r>
              <w:rPr>
                <w:sz w:val="17"/>
              </w:rPr>
              <w:t>2026-09-07</w:t>
            </w:r>
          </w:p>
        </w:tc>
        <w:tc>
          <w:tcPr>
            <w:tcW w:type="dxa" w:w="1440"/>
            <w:shd w:fill="C6EFCE" w:val="clear"/>
          </w:tcPr>
          <w:p>
            <w:r>
              <w:rPr>
                <w:sz w:val="17"/>
              </w:rPr>
              <w:t>51,030</w:t>
            </w:r>
          </w:p>
        </w:tc>
        <w:tc>
          <w:tcPr>
            <w:tcW w:type="dxa" w:w="1440"/>
            <w:shd w:fill="C6EFCE" w:val="clear"/>
          </w:tcPr>
          <w:p>
            <w:r>
              <w:rPr>
                <w:b/>
                <w:sz w:val="17"/>
              </w:rPr>
              <w:t>55,828</w:t>
            </w:r>
          </w:p>
        </w:tc>
        <w:tc>
          <w:tcPr>
            <w:tcW w:type="dxa" w:w="1440"/>
            <w:shd w:fill="C6EFCE" w:val="clear"/>
          </w:tcPr>
          <w:p>
            <w:r>
              <w:rPr>
                <w:sz w:val="17"/>
              </w:rPr>
              <w:t>60,626</w:t>
            </w:r>
          </w:p>
        </w:tc>
        <w:tc>
          <w:tcPr>
            <w:tcW w:type="dxa" w:w="1440"/>
            <w:shd w:fill="C6EFCE" w:val="clear"/>
          </w:tcPr>
          <w:p>
            <w:r>
              <w:rPr>
                <w:b/>
                <w:color w:val="008000"/>
                <w:sz w:val="17"/>
              </w:rPr>
              <w:t>+3.4%</w:t>
            </w:r>
          </w:p>
        </w:tc>
      </w:tr>
      <w:tr>
        <w:tc>
          <w:tcPr>
            <w:tcW w:type="dxa" w:w="1440"/>
            <w:shd w:fill="C6EFCE" w:val="clear"/>
          </w:tcPr>
          <w:p>
            <w:r>
              <w:rPr>
                <w:sz w:val="17"/>
              </w:rPr>
              <w:t>J+3  ⭐</w:t>
            </w:r>
          </w:p>
        </w:tc>
        <w:tc>
          <w:tcPr>
            <w:tcW w:type="dxa" w:w="1440"/>
            <w:shd w:fill="C6EFCE" w:val="clear"/>
          </w:tcPr>
          <w:p>
            <w:r>
              <w:rPr>
                <w:sz w:val="17"/>
              </w:rPr>
              <w:t>2026-09-08</w:t>
            </w:r>
          </w:p>
        </w:tc>
        <w:tc>
          <w:tcPr>
            <w:tcW w:type="dxa" w:w="1440"/>
            <w:shd w:fill="C6EFCE" w:val="clear"/>
          </w:tcPr>
          <w:p>
            <w:r>
              <w:rPr>
                <w:sz w:val="17"/>
              </w:rPr>
              <w:t>50,476</w:t>
            </w:r>
          </w:p>
        </w:tc>
        <w:tc>
          <w:tcPr>
            <w:tcW w:type="dxa" w:w="1440"/>
            <w:shd w:fill="C6EFCE" w:val="clear"/>
          </w:tcPr>
          <w:p>
            <w:r>
              <w:rPr>
                <w:b/>
                <w:sz w:val="17"/>
              </w:rPr>
              <w:t>56,414</w:t>
            </w:r>
          </w:p>
        </w:tc>
        <w:tc>
          <w:tcPr>
            <w:tcW w:type="dxa" w:w="1440"/>
            <w:shd w:fill="C6EFCE" w:val="clear"/>
          </w:tcPr>
          <w:p>
            <w:r>
              <w:rPr>
                <w:sz w:val="17"/>
              </w:rPr>
              <w:t>62,352</w:t>
            </w:r>
          </w:p>
        </w:tc>
        <w:tc>
          <w:tcPr>
            <w:tcW w:type="dxa" w:w="1440"/>
            <w:shd w:fill="C6EFCE" w:val="clear"/>
          </w:tcPr>
          <w:p>
            <w:r>
              <w:rPr>
                <w:b/>
                <w:color w:val="008000"/>
                <w:sz w:val="17"/>
              </w:rPr>
              <w:t>+4.5%</w:t>
            </w:r>
          </w:p>
        </w:tc>
      </w:tr>
      <w:tr>
        <w:tc>
          <w:tcPr>
            <w:tcW w:type="dxa" w:w="1440"/>
            <w:shd w:fill="C6EFCE" w:val="clear"/>
          </w:tcPr>
          <w:p>
            <w:r>
              <w:rPr>
                <w:sz w:val="17"/>
              </w:rPr>
              <w:t>J+4  ⭐</w:t>
            </w:r>
          </w:p>
        </w:tc>
        <w:tc>
          <w:tcPr>
            <w:tcW w:type="dxa" w:w="1440"/>
            <w:shd w:fill="C6EFCE" w:val="clear"/>
          </w:tcPr>
          <w:p>
            <w:r>
              <w:rPr>
                <w:sz w:val="17"/>
              </w:rPr>
              <w:t>2026-09-09</w:t>
            </w:r>
          </w:p>
        </w:tc>
        <w:tc>
          <w:tcPr>
            <w:tcW w:type="dxa" w:w="1440"/>
            <w:shd w:fill="C6EFCE" w:val="clear"/>
          </w:tcPr>
          <w:p>
            <w:r>
              <w:rPr>
                <w:sz w:val="17"/>
              </w:rPr>
              <w:t>50,101</w:t>
            </w:r>
          </w:p>
        </w:tc>
        <w:tc>
          <w:tcPr>
            <w:tcW w:type="dxa" w:w="1440"/>
            <w:shd w:fill="C6EFCE" w:val="clear"/>
          </w:tcPr>
          <w:p>
            <w:r>
              <w:rPr>
                <w:b/>
                <w:sz w:val="17"/>
              </w:rPr>
              <w:t>57,033</w:t>
            </w:r>
          </w:p>
        </w:tc>
        <w:tc>
          <w:tcPr>
            <w:tcW w:type="dxa" w:w="1440"/>
            <w:shd w:fill="C6EFCE" w:val="clear"/>
          </w:tcPr>
          <w:p>
            <w:r>
              <w:rPr>
                <w:sz w:val="17"/>
              </w:rPr>
              <w:t>63,964</w:t>
            </w:r>
          </w:p>
        </w:tc>
        <w:tc>
          <w:tcPr>
            <w:tcW w:type="dxa" w:w="1440"/>
            <w:shd w:fill="C6EFCE" w:val="clear"/>
          </w:tcPr>
          <w:p>
            <w:r>
              <w:rPr>
                <w:b/>
                <w:color w:val="008000"/>
                <w:sz w:val="17"/>
              </w:rPr>
              <w:t>+5.6%</w:t>
            </w:r>
          </w:p>
        </w:tc>
      </w:tr>
      <w:tr>
        <w:tc>
          <w:tcPr>
            <w:tcW w:type="dxa" w:w="1440"/>
            <w:shd w:fill="C6EFCE" w:val="clear"/>
          </w:tcPr>
          <w:p>
            <w:r>
              <w:rPr>
                <w:sz w:val="17"/>
              </w:rPr>
              <w:t>J+5  ⭐</w:t>
            </w:r>
          </w:p>
        </w:tc>
        <w:tc>
          <w:tcPr>
            <w:tcW w:type="dxa" w:w="1440"/>
            <w:shd w:fill="C6EFCE" w:val="clear"/>
          </w:tcPr>
          <w:p>
            <w:r>
              <w:rPr>
                <w:sz w:val="17"/>
              </w:rPr>
              <w:t>2026-09-10</w:t>
            </w:r>
          </w:p>
        </w:tc>
        <w:tc>
          <w:tcPr>
            <w:tcW w:type="dxa" w:w="1440"/>
            <w:shd w:fill="C6EFCE" w:val="clear"/>
          </w:tcPr>
          <w:p>
            <w:r>
              <w:rPr>
                <w:sz w:val="17"/>
              </w:rPr>
              <w:t>49,829</w:t>
            </w:r>
          </w:p>
        </w:tc>
        <w:tc>
          <w:tcPr>
            <w:tcW w:type="dxa" w:w="1440"/>
            <w:shd w:fill="C6EFCE" w:val="clear"/>
          </w:tcPr>
          <w:p>
            <w:r>
              <w:rPr>
                <w:b/>
                <w:sz w:val="17"/>
              </w:rPr>
              <w:t>57,665</w:t>
            </w:r>
          </w:p>
        </w:tc>
        <w:tc>
          <w:tcPr>
            <w:tcW w:type="dxa" w:w="1440"/>
            <w:shd w:fill="C6EFCE" w:val="clear"/>
          </w:tcPr>
          <w:p>
            <w:r>
              <w:rPr>
                <w:sz w:val="17"/>
              </w:rPr>
              <w:t>65,501</w:t>
            </w:r>
          </w:p>
        </w:tc>
        <w:tc>
          <w:tcPr>
            <w:tcW w:type="dxa" w:w="1440"/>
            <w:shd w:fill="C6EFCE" w:val="clear"/>
          </w:tcPr>
          <w:p>
            <w:r>
              <w:rPr>
                <w:b/>
                <w:color w:val="008000"/>
                <w:sz w:val="17"/>
              </w:rPr>
              <w:t>+6.8%</w:t>
            </w:r>
          </w:p>
        </w:tc>
      </w:tr>
      <w:tr>
        <w:tc>
          <w:tcPr>
            <w:tcW w:type="dxa" w:w="1440"/>
            <w:shd w:fill="C6EFCE" w:val="clear"/>
          </w:tcPr>
          <w:p>
            <w:r>
              <w:rPr>
                <w:sz w:val="17"/>
              </w:rPr>
              <w:t>J+6  ⭐</w:t>
            </w:r>
          </w:p>
        </w:tc>
        <w:tc>
          <w:tcPr>
            <w:tcW w:type="dxa" w:w="1440"/>
            <w:shd w:fill="C6EFCE" w:val="clear"/>
          </w:tcPr>
          <w:p>
            <w:r>
              <w:rPr>
                <w:sz w:val="17"/>
              </w:rPr>
              <w:t>2026-09-11</w:t>
            </w:r>
          </w:p>
        </w:tc>
        <w:tc>
          <w:tcPr>
            <w:tcW w:type="dxa" w:w="1440"/>
            <w:shd w:fill="C6EFCE" w:val="clear"/>
          </w:tcPr>
          <w:p>
            <w:r>
              <w:rPr>
                <w:sz w:val="17"/>
              </w:rPr>
              <w:t>49,627</w:t>
            </w:r>
          </w:p>
        </w:tc>
        <w:tc>
          <w:tcPr>
            <w:tcW w:type="dxa" w:w="1440"/>
            <w:shd w:fill="C6EFCE" w:val="clear"/>
          </w:tcPr>
          <w:p>
            <w:r>
              <w:rPr>
                <w:b/>
                <w:sz w:val="17"/>
              </w:rPr>
              <w:t>58,306</w:t>
            </w:r>
          </w:p>
        </w:tc>
        <w:tc>
          <w:tcPr>
            <w:tcW w:type="dxa" w:w="1440"/>
            <w:shd w:fill="C6EFCE" w:val="clear"/>
          </w:tcPr>
          <w:p>
            <w:r>
              <w:rPr>
                <w:sz w:val="17"/>
              </w:rPr>
              <w:t>66,985</w:t>
            </w:r>
          </w:p>
        </w:tc>
        <w:tc>
          <w:tcPr>
            <w:tcW w:type="dxa" w:w="1440"/>
            <w:shd w:fill="C6EFCE" w:val="clear"/>
          </w:tcPr>
          <w:p>
            <w:r>
              <w:rPr>
                <w:b/>
                <w:color w:val="008000"/>
                <w:sz w:val="17"/>
              </w:rPr>
              <w:t>+8.0%</w:t>
            </w:r>
          </w:p>
        </w:tc>
      </w:tr>
      <w:tr>
        <w:tc>
          <w:tcPr>
            <w:tcW w:type="dxa" w:w="1440"/>
            <w:shd w:fill="C6EFCE" w:val="clear"/>
          </w:tcPr>
          <w:p>
            <w:r>
              <w:rPr>
                <w:sz w:val="17"/>
              </w:rPr>
              <w:t>J+7  ⭐</w:t>
            </w:r>
          </w:p>
        </w:tc>
        <w:tc>
          <w:tcPr>
            <w:tcW w:type="dxa" w:w="1440"/>
            <w:shd w:fill="C6EFCE" w:val="clear"/>
          </w:tcPr>
          <w:p>
            <w:r>
              <w:rPr>
                <w:sz w:val="17"/>
              </w:rPr>
              <w:t>2026-09-14</w:t>
            </w:r>
          </w:p>
        </w:tc>
        <w:tc>
          <w:tcPr>
            <w:tcW w:type="dxa" w:w="1440"/>
            <w:shd w:fill="C6EFCE" w:val="clear"/>
          </w:tcPr>
          <w:p>
            <w:r>
              <w:rPr>
                <w:sz w:val="17"/>
              </w:rPr>
              <w:t>49,474</w:t>
            </w:r>
          </w:p>
        </w:tc>
        <w:tc>
          <w:tcPr>
            <w:tcW w:type="dxa" w:w="1440"/>
            <w:shd w:fill="C6EFCE" w:val="clear"/>
          </w:tcPr>
          <w:p>
            <w:r>
              <w:rPr>
                <w:b/>
                <w:sz w:val="17"/>
              </w:rPr>
              <w:t>58,952</w:t>
            </w:r>
          </w:p>
        </w:tc>
        <w:tc>
          <w:tcPr>
            <w:tcW w:type="dxa" w:w="1440"/>
            <w:shd w:fill="C6EFCE" w:val="clear"/>
          </w:tcPr>
          <w:p>
            <w:r>
              <w:rPr>
                <w:sz w:val="17"/>
              </w:rPr>
              <w:t>68,431</w:t>
            </w:r>
          </w:p>
        </w:tc>
        <w:tc>
          <w:tcPr>
            <w:tcW w:type="dxa" w:w="1440"/>
            <w:shd w:fill="C6EFCE" w:val="clear"/>
          </w:tcPr>
          <w:p>
            <w:r>
              <w:rPr>
                <w:b/>
                <w:color w:val="008000"/>
                <w:sz w:val="17"/>
              </w:rPr>
              <w:t>+9.2%</w:t>
            </w:r>
          </w:p>
        </w:tc>
      </w:tr>
      <w:tr>
        <w:tc>
          <w:tcPr>
            <w:tcW w:type="dxa" w:w="1440"/>
            <w:shd w:fill="C6EFCE" w:val="clear"/>
          </w:tcPr>
          <w:p>
            <w:r>
              <w:rPr>
                <w:sz w:val="17"/>
              </w:rPr>
              <w:t>J+8  ⭐</w:t>
            </w:r>
          </w:p>
        </w:tc>
        <w:tc>
          <w:tcPr>
            <w:tcW w:type="dxa" w:w="1440"/>
            <w:shd w:fill="C6EFCE" w:val="clear"/>
          </w:tcPr>
          <w:p>
            <w:r>
              <w:rPr>
                <w:sz w:val="17"/>
              </w:rPr>
              <w:t>2026-09-15</w:t>
            </w:r>
          </w:p>
        </w:tc>
        <w:tc>
          <w:tcPr>
            <w:tcW w:type="dxa" w:w="1440"/>
            <w:shd w:fill="C6EFCE" w:val="clear"/>
          </w:tcPr>
          <w:p>
            <w:r>
              <w:rPr>
                <w:sz w:val="17"/>
              </w:rPr>
              <w:t>49,358</w:t>
            </w:r>
          </w:p>
        </w:tc>
        <w:tc>
          <w:tcPr>
            <w:tcW w:type="dxa" w:w="1440"/>
            <w:shd w:fill="C6EFCE" w:val="clear"/>
          </w:tcPr>
          <w:p>
            <w:r>
              <w:rPr>
                <w:b/>
                <w:sz w:val="17"/>
              </w:rPr>
              <w:t>59,603</w:t>
            </w:r>
          </w:p>
        </w:tc>
        <w:tc>
          <w:tcPr>
            <w:tcW w:type="dxa" w:w="1440"/>
            <w:shd w:fill="C6EFCE" w:val="clear"/>
          </w:tcPr>
          <w:p>
            <w:r>
              <w:rPr>
                <w:sz w:val="17"/>
              </w:rPr>
              <w:t>69,847</w:t>
            </w:r>
          </w:p>
        </w:tc>
        <w:tc>
          <w:tcPr>
            <w:tcW w:type="dxa" w:w="1440"/>
            <w:shd w:fill="C6EFCE" w:val="clear"/>
          </w:tcPr>
          <w:p>
            <w:r>
              <w:rPr>
                <w:b/>
                <w:color w:val="008000"/>
                <w:sz w:val="17"/>
              </w:rPr>
              <w:t>+10.4%</w:t>
            </w:r>
          </w:p>
        </w:tc>
      </w:tr>
      <w:tr>
        <w:tc>
          <w:tcPr>
            <w:tcW w:type="dxa" w:w="1440"/>
            <w:shd w:fill="C6EFCE" w:val="clear"/>
          </w:tcPr>
          <w:p>
            <w:r>
              <w:rPr>
                <w:sz w:val="17"/>
              </w:rPr>
              <w:t>J+9  ⭐</w:t>
            </w:r>
          </w:p>
        </w:tc>
        <w:tc>
          <w:tcPr>
            <w:tcW w:type="dxa" w:w="1440"/>
            <w:shd w:fill="C6EFCE" w:val="clear"/>
          </w:tcPr>
          <w:p>
            <w:r>
              <w:rPr>
                <w:sz w:val="17"/>
              </w:rPr>
              <w:t>2026-09-16</w:t>
            </w:r>
          </w:p>
        </w:tc>
        <w:tc>
          <w:tcPr>
            <w:tcW w:type="dxa" w:w="1440"/>
            <w:shd w:fill="C6EFCE" w:val="clear"/>
          </w:tcPr>
          <w:p>
            <w:r>
              <w:rPr>
                <w:sz w:val="17"/>
              </w:rPr>
              <w:t>49,271</w:t>
            </w:r>
          </w:p>
        </w:tc>
        <w:tc>
          <w:tcPr>
            <w:tcW w:type="dxa" w:w="1440"/>
            <w:shd w:fill="C6EFCE" w:val="clear"/>
          </w:tcPr>
          <w:p>
            <w:r>
              <w:rPr>
                <w:b/>
                <w:sz w:val="17"/>
              </w:rPr>
              <w:t>60,256</w:t>
            </w:r>
          </w:p>
        </w:tc>
        <w:tc>
          <w:tcPr>
            <w:tcW w:type="dxa" w:w="1440"/>
            <w:shd w:fill="C6EFCE" w:val="clear"/>
          </w:tcPr>
          <w:p>
            <w:r>
              <w:rPr>
                <w:sz w:val="17"/>
              </w:rPr>
              <w:t>71,241</w:t>
            </w:r>
          </w:p>
        </w:tc>
        <w:tc>
          <w:tcPr>
            <w:tcW w:type="dxa" w:w="1440"/>
            <w:shd w:fill="C6EFCE" w:val="clear"/>
          </w:tcPr>
          <w:p>
            <w:r>
              <w:rPr>
                <w:b/>
                <w:color w:val="008000"/>
                <w:sz w:val="17"/>
              </w:rPr>
              <w:t>+11.6%</w:t>
            </w:r>
          </w:p>
        </w:tc>
      </w:tr>
      <w:tr>
        <w:tc>
          <w:tcPr>
            <w:tcW w:type="dxa" w:w="1440"/>
            <w:shd w:fill="C6EFCE" w:val="clear"/>
          </w:tcPr>
          <w:p>
            <w:r>
              <w:rPr>
                <w:sz w:val="17"/>
              </w:rPr>
              <w:t>J+10  ⭐</w:t>
            </w:r>
          </w:p>
        </w:tc>
        <w:tc>
          <w:tcPr>
            <w:tcW w:type="dxa" w:w="1440"/>
            <w:shd w:fill="C6EFCE" w:val="clear"/>
          </w:tcPr>
          <w:p>
            <w:r>
              <w:rPr>
                <w:sz w:val="17"/>
              </w:rPr>
              <w:t>2026-09-17</w:t>
            </w:r>
          </w:p>
        </w:tc>
        <w:tc>
          <w:tcPr>
            <w:tcW w:type="dxa" w:w="1440"/>
            <w:shd w:fill="C6EFCE" w:val="clear"/>
          </w:tcPr>
          <w:p>
            <w:r>
              <w:rPr>
                <w:sz w:val="17"/>
              </w:rPr>
              <w:t>49,206</w:t>
            </w:r>
          </w:p>
        </w:tc>
        <w:tc>
          <w:tcPr>
            <w:tcW w:type="dxa" w:w="1440"/>
            <w:shd w:fill="C6EFCE" w:val="clear"/>
          </w:tcPr>
          <w:p>
            <w:r>
              <w:rPr>
                <w:b/>
                <w:sz w:val="17"/>
              </w:rPr>
              <w:t>60,912</w:t>
            </w:r>
          </w:p>
        </w:tc>
        <w:tc>
          <w:tcPr>
            <w:tcW w:type="dxa" w:w="1440"/>
            <w:shd w:fill="C6EFCE" w:val="clear"/>
          </w:tcPr>
          <w:p>
            <w:r>
              <w:rPr>
                <w:sz w:val="17"/>
              </w:rPr>
              <w:t>72,617</w:t>
            </w:r>
          </w:p>
        </w:tc>
        <w:tc>
          <w:tcPr>
            <w:tcW w:type="dxa" w:w="1440"/>
            <w:shd w:fill="C6EFCE" w:val="clear"/>
          </w:tcPr>
          <w:p>
            <w:r>
              <w:rPr>
                <w:b/>
                <w:color w:val="008000"/>
                <w:sz w:val="17"/>
              </w:rPr>
              <w:t>+12.8%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d'UNLC s'établit à 495,90 milliards FCFA, ce qui positionne la société parmi les valeurs moyennes du marché de la BRVM, où les grandes capitalisations dépassent souvent 1 000 milliards FCFA. Les ratios de valorisation (BPA, PER, P/B, EV/EBITDA) ne sont pas calculables, car les données financières structurées nécessaires à leur détermination sont manquantes dans la base. Toutefois, sur la base des rapports disponibles, le bénéfice net de 640 millions FCFA en 2023 impliquerait un PER extrêmement élevé (plus de 700 fois), traduisant une valorisation très généreuse au regard des bénéfices actuels. En l'absence de capitaux propres positifs (ils étaient négatifs à -10,6 milliards FCFA fin 2023), le ratio P/B n'a pas de signification économique pertinente. Les investisseurs valorisent donc principalement la marque et le potentiel de redressement plutôt que la performance financière immédiate.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UNLC a enregistré une baisse significative de 21,74%, passant de son plus haut à 69 005 FCFA à son plus bas à 50 000 FCFA, avec un cours actuel de 54 000 FCFA. La variation sur la dernière séance est nulle (+0,00%), indiquant une stabilisation temporaire après ce mouvement baissier. La moyenne du cours sur la période (56 392 FCFA) est supérieure à la médiane (56 060 FCFA), et le skewness positif de 0,592 confirme une asymétrie avec davantage de journées sous la moyenne, caractéristique d'une distribution avec des queues à gauche plus prononcées. L'écart-type de 3 383 FCFA représente un coefficient de variation de 6,0%, indiquant une dispersion modérée autour de la moyenne. Le kurtosis de 0,994 (mésokurtique) suggère un risque de pics limité, proche d'une distribution normale. La volatilité annualisée de 60,8% classe UNLC comme un titre à très forte volatilité (&gt;30%), reflétant une incertitude élevée et un profil de risque marqué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(54 495,5 FCFA) et la MM50 (54 094,8 FCFA) sont toutes deux légèrement inférieures au cours actuel de 54 000 FCFA, avec un écart très faible. La MM20 étant supérieure à la MM50, la configuration est légèrement haussière à court terme, d'où la décision d'Achat. Cependant, la proximité des trois valeurs indique une absence de tendance claire et un marché hésitant.</w:t>
      </w:r>
    </w:p>
    <w:p>
      <w:pPr>
        <w:spacing w:after="120" w:line="276" w:lineRule="auto"/>
      </w:pPr>
      <w:r>
        <w:t>**Bandes de Bollinger** : Le cours à 54 000 FCFA se situe dans la partie médiane du canal formé par la borne supérieure (58 545,85 FCFA) et la borne inférieure (50 445,15 FCFA). La position centrale du prix indique une volatilité modérée et l'absence de signal directionnel fort, justifiant la décision Neutre. Un mouvement vers l'une des bornes serait nécessaire pour générer un signal plus explicite.</w:t>
      </w:r>
    </w:p>
    <w:p>
      <w:pPr>
        <w:spacing w:after="120" w:line="276" w:lineRule="auto"/>
      </w:pPr>
      <w:r>
        <w:t>**MACD** : Le MACD affiche une valeur négative de -57,13, tandis que le signal est positif à +2,87. Cette divergence négative indique un momentum baissier persistant, avec le MACD sous sa ligne de signal, ce qui justifie la décision de Vente. La tendance de fond reste donc négative malgré la stabilisation récente du cours.</w:t>
      </w:r>
    </w:p>
    <w:p>
      <w:pPr>
        <w:spacing w:after="120" w:line="276" w:lineRule="auto"/>
      </w:pPr>
      <w:r>
        <w:t>**RSI** : Avec une valeur de 43,99, le RSI se situe dans la zone neutre (30-70), indiquant un marché ni suracheté ni survendu. Cette lecture Neutre suggère que le titre dispose d'une marge de manœuvre dans les deux directions, sans pression excessive des acheteurs ou des vendeurs.</w:t>
      </w:r>
    </w:p>
    <w:p>
      <w:pPr>
        <w:spacing w:after="120" w:line="276" w:lineRule="auto"/>
      </w:pPr>
      <w:r>
        <w:t>**Stochastique** : Le %K (33,33) est inférieur au %D (36,67), indiquant une configuration baissière à court terme, mais les deux valeurs restent dans la zone neutre. Le croisement n'est pas encore confirmé, et la décision Neutre reflète l'absence de signal directionnel fort.</w:t>
      </w:r>
    </w:p>
    <w:p>
      <w:pPr>
        <w:spacing w:after="120" w:line="276" w:lineRule="auto"/>
      </w:pPr>
      <w:r>
        <w:t>**Conclusion technique** : Les indicateurs techniques sont globalement mitigés, avec une légère divergence entre les moyennes mobiles (Achat) et le MACD (Vente). Le RSI et le Stochastique restent neutres, tandis que les bandes de Bollinger n'émettent pas de signal. Cette configuration suggère une phase de consolidation sans tendance dominante, avec un biais légèrement négatif confirmé par le MACD et la baisse récente de 21,74%.</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données financières structurées pour UNLC ne sont pas disponibles dans la base, mais les rapports annuels fournissent des informations essentielles. Pour l'exercice clos le 31 décembre 2023 (rapport daté du 2024-12-31, analysé en mars 2026), UNLC a réalisé un chiffre d'affaires de 24,34 milliards FCFA, stable par rapport à 2022, avec un bénéfice net de 640 millions FCFA (marge nette de 2,63%), après une perte massive de 6,91 milliards FCFA en 2022. Le résultat d'exploitation s'est nettement amélioré, passant de -6,26 milliards FCFA en 2022 à +3,34 milliards FCFA en 2023, grâce à une réduction des charges et une meilleure gestion opérationnelle. Cependant, les capitaux propres restent négatifs à -10,66 milliards FCFA et les dettes financières s'élèvent à 4,38 milliards FCFA, fragilisant la structure financière. Les rapports de 2022 (datés 2023-12-31) confirment une perte nette de 6,38 milliards FCFA pour un CA de 24,34 milliards FCFA, tandis que le rapport 2021 (daté 2022-12-31) indiquait un bénéfice de 6,09 milliards FCFA. Aucun dividende n'a été distribué depuis 2021, la priorité étant donnée à la reconstitution des capitaux propres. La tendance sur trois ans montre une amélioration progressive depuis la perte de 2022, mais la rentabilité reste très inférieure à la moyenne sectorielle des FMCG (5-10% de marge nette), et le redressement demeure fragile. On estime que l'exercice 2024 devrait confirmer cette amélioration si la stabilité du CA se maintient, mais sans données trimestrielles récentes, ces projections restent incertaines.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synthèse des quatre analyses révèle une situation contrastée pour UNLC. La valorisation boursière (495,9 milliards FCFA) apparaît très élevée au regard des bénéfices actuels, avec un PER implicite supérieur à 700 fois, indiquant une nette surévaluation. Le comportement du cours sur 100 jours est préoccupant avec une baisse de 21,74% et une volatilité annualisée de 60,8%, témoignant d'une incertitude élevée. Les signaux techniques sont mitigés : les moyennes mobiles suggèrent un achat timide, mais le MACD reste vendeur, et le RSI ainsi que le Stochastique sont neutres, indiquant une phase de consolidation sans direction claire. Fondamentalement, UNLC montre des signes de redressement (retour au bénéfice en 2023 après la perte de 2022), mais sa structure financière reste fragile avec des capitaux propres négatifs et une absence de dividende. Les prédictions IA pour les 10 prochains jours (55 353 à 57 665 FCFA) anticipent une hausse progressive d'environ 7%, ce qui contredit la tendance baissière récente mais pourrait refléter un rebond technique. Compte tenu de la divergence entre la valorisation élevée, les fondamentaux encore fragiles et les signaux techniques mitigés, la recommandation est **CONSERVER** avec un niveau de confiance **Faible** et un risque global **Élevé**. L'horizon d'investissement optimal serait le **moyen terme (3-12 mois)**, en attendant une confirmation durable du redressement financier et une stabilisation des capitaux propres avant d'envisager un renforcement de position.</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50.32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13,171 titres</w:t>
            </w:r>
          </w:p>
        </w:tc>
        <w:tc>
          <w:tcPr>
            <w:tcW w:type="dxa" w:w="2268"/>
            <w:shd w:fill="FFF2CC" w:val="clear"/>
          </w:tcPr>
          <w:p>
            <w:r>
              <w:rPr>
                <w:b/>
                <w:color w:val="503200"/>
                <w:sz w:val="16"/>
              </w:rPr>
              <w:t xml:space="preserve">Cours actuel : </w:t>
            </w:r>
            <w:r>
              <w:rPr>
                <w:color w:val="000000"/>
                <w:sz w:val="17"/>
              </w:rPr>
              <w:t>2,425 FCFA</w:t>
            </w:r>
          </w:p>
          <w:p>
            <w:r>
              <w:rPr>
                <w:b/>
                <w:color w:val="503200"/>
                <w:sz w:val="16"/>
              </w:rPr>
              <w:t xml:space="preserve">Var. 100 jours : </w:t>
            </w:r>
            <w:r>
              <w:rPr>
                <w:b/>
                <w:color w:val="007800"/>
                <w:sz w:val="17"/>
              </w:rPr>
              <w:t>+24.68%</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50.9%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18.6/100 → Faible</w:t>
      </w:r>
    </w:p>
    <w:p>
      <w:pPr>
        <w:spacing w:before="40" w:after="80"/>
      </w:pPr>
      <w:r>
        <w:rPr>
          <w:rFonts w:ascii="Courier New" w:hAnsi="Courier New"/>
          <w:color w:val="006400"/>
          <w:sz w:val="18"/>
        </w:rPr>
        <w:t>███░░░░░░░░░░░░░░░░░  18.6/100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12.86% (Moyenne) — μ=1,915 FCFA, σ=246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β=0.0114 (Défensif) — Cov=0.000000, Var(idx)=0.000036, ρ=0.002, n=97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13,171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σ_j=3.20%/j (Modérée) — Vol. annualisée≈50.9%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19287"/>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2026-09-04</w:t>
            </w:r>
          </w:p>
        </w:tc>
        <w:tc>
          <w:tcPr>
            <w:tcW w:type="dxa" w:w="1440"/>
            <w:shd w:fill="FAFAFA" w:val="clear"/>
          </w:tcPr>
          <w:p>
            <w:r>
              <w:rPr>
                <w:sz w:val="17"/>
              </w:rPr>
              <w:t>2,293</w:t>
            </w:r>
          </w:p>
        </w:tc>
        <w:tc>
          <w:tcPr>
            <w:tcW w:type="dxa" w:w="1440"/>
            <w:shd w:fill="FAFAFA" w:val="clear"/>
          </w:tcPr>
          <w:p>
            <w:r>
              <w:rPr>
                <w:b/>
                <w:sz w:val="17"/>
              </w:rPr>
              <w:t>2,402</w:t>
            </w:r>
          </w:p>
        </w:tc>
        <w:tc>
          <w:tcPr>
            <w:tcW w:type="dxa" w:w="1440"/>
            <w:shd w:fill="FAFAFA" w:val="clear"/>
          </w:tcPr>
          <w:p>
            <w:r>
              <w:rPr>
                <w:sz w:val="17"/>
              </w:rPr>
              <w:t>2,511</w:t>
            </w:r>
          </w:p>
        </w:tc>
        <w:tc>
          <w:tcPr>
            <w:tcW w:type="dxa" w:w="1440"/>
            <w:shd w:fill="FAFAFA" w:val="clear"/>
          </w:tcPr>
          <w:p>
            <w:r>
              <w:rPr>
                <w:b/>
                <w:color w:val="C00000"/>
                <w:sz w:val="17"/>
              </w:rPr>
              <w:t>-0.9%</w:t>
            </w:r>
          </w:p>
        </w:tc>
      </w:tr>
      <w:tr>
        <w:tc>
          <w:tcPr>
            <w:tcW w:type="dxa" w:w="1440"/>
            <w:shd w:fill="FAFAFA" w:val="clear"/>
          </w:tcPr>
          <w:p>
            <w:r>
              <w:rPr>
                <w:sz w:val="17"/>
              </w:rPr>
              <w:t>J+2  Moyenne</w:t>
            </w:r>
          </w:p>
        </w:tc>
        <w:tc>
          <w:tcPr>
            <w:tcW w:type="dxa" w:w="1440"/>
            <w:shd w:fill="FAFAFA" w:val="clear"/>
          </w:tcPr>
          <w:p>
            <w:r>
              <w:rPr>
                <w:sz w:val="17"/>
              </w:rPr>
              <w:t>2026-09-07</w:t>
            </w:r>
          </w:p>
        </w:tc>
        <w:tc>
          <w:tcPr>
            <w:tcW w:type="dxa" w:w="1440"/>
            <w:shd w:fill="FAFAFA" w:val="clear"/>
          </w:tcPr>
          <w:p>
            <w:r>
              <w:rPr>
                <w:sz w:val="17"/>
              </w:rPr>
              <w:t>2,234</w:t>
            </w:r>
          </w:p>
        </w:tc>
        <w:tc>
          <w:tcPr>
            <w:tcW w:type="dxa" w:w="1440"/>
            <w:shd w:fill="FAFAFA" w:val="clear"/>
          </w:tcPr>
          <w:p>
            <w:r>
              <w:rPr>
                <w:b/>
                <w:sz w:val="17"/>
              </w:rPr>
              <w:t>2,387</w:t>
            </w:r>
          </w:p>
        </w:tc>
        <w:tc>
          <w:tcPr>
            <w:tcW w:type="dxa" w:w="1440"/>
            <w:shd w:fill="FAFAFA" w:val="clear"/>
          </w:tcPr>
          <w:p>
            <w:r>
              <w:rPr>
                <w:sz w:val="17"/>
              </w:rPr>
              <w:t>2,540</w:t>
            </w:r>
          </w:p>
        </w:tc>
        <w:tc>
          <w:tcPr>
            <w:tcW w:type="dxa" w:w="1440"/>
            <w:shd w:fill="FAFAFA" w:val="clear"/>
          </w:tcPr>
          <w:p>
            <w:r>
              <w:rPr>
                <w:b/>
                <w:color w:val="C00000"/>
                <w:sz w:val="17"/>
              </w:rPr>
              <w:t>-1.6%</w:t>
            </w:r>
          </w:p>
        </w:tc>
      </w:tr>
      <w:tr>
        <w:tc>
          <w:tcPr>
            <w:tcW w:type="dxa" w:w="1440"/>
            <w:shd w:fill="FFDCE0" w:val="clear"/>
          </w:tcPr>
          <w:p>
            <w:r>
              <w:rPr>
                <w:sz w:val="17"/>
              </w:rPr>
              <w:t>J+3  Moyenne</w:t>
            </w:r>
          </w:p>
        </w:tc>
        <w:tc>
          <w:tcPr>
            <w:tcW w:type="dxa" w:w="1440"/>
            <w:shd w:fill="FFDCE0" w:val="clear"/>
          </w:tcPr>
          <w:p>
            <w:r>
              <w:rPr>
                <w:sz w:val="17"/>
              </w:rPr>
              <w:t>2026-09-08</w:t>
            </w:r>
          </w:p>
        </w:tc>
        <w:tc>
          <w:tcPr>
            <w:tcW w:type="dxa" w:w="1440"/>
            <w:shd w:fill="FFDCE0" w:val="clear"/>
          </w:tcPr>
          <w:p>
            <w:r>
              <w:rPr>
                <w:sz w:val="17"/>
              </w:rPr>
              <w:t>2,186</w:t>
            </w:r>
          </w:p>
        </w:tc>
        <w:tc>
          <w:tcPr>
            <w:tcW w:type="dxa" w:w="1440"/>
            <w:shd w:fill="FFDCE0" w:val="clear"/>
          </w:tcPr>
          <w:p>
            <w:r>
              <w:rPr>
                <w:b/>
                <w:sz w:val="17"/>
              </w:rPr>
              <w:t>2,372</w:t>
            </w:r>
          </w:p>
        </w:tc>
        <w:tc>
          <w:tcPr>
            <w:tcW w:type="dxa" w:w="1440"/>
            <w:shd w:fill="FFDCE0" w:val="clear"/>
          </w:tcPr>
          <w:p>
            <w:r>
              <w:rPr>
                <w:sz w:val="17"/>
              </w:rPr>
              <w:t>2,558</w:t>
            </w:r>
          </w:p>
        </w:tc>
        <w:tc>
          <w:tcPr>
            <w:tcW w:type="dxa" w:w="1440"/>
            <w:shd w:fill="FFDCE0" w:val="clear"/>
          </w:tcPr>
          <w:p>
            <w:r>
              <w:rPr>
                <w:b/>
                <w:color w:val="C00000"/>
                <w:sz w:val="17"/>
              </w:rPr>
              <w:t>-2.2%</w:t>
            </w:r>
          </w:p>
        </w:tc>
      </w:tr>
      <w:tr>
        <w:tc>
          <w:tcPr>
            <w:tcW w:type="dxa" w:w="1440"/>
            <w:shd w:fill="FFDCE0" w:val="clear"/>
          </w:tcPr>
          <w:p>
            <w:r>
              <w:rPr>
                <w:sz w:val="17"/>
              </w:rPr>
              <w:t>J+4  ⭐</w:t>
            </w:r>
          </w:p>
        </w:tc>
        <w:tc>
          <w:tcPr>
            <w:tcW w:type="dxa" w:w="1440"/>
            <w:shd w:fill="FFDCE0" w:val="clear"/>
          </w:tcPr>
          <w:p>
            <w:r>
              <w:rPr>
                <w:sz w:val="17"/>
              </w:rPr>
              <w:t>2026-09-09</w:t>
            </w:r>
          </w:p>
        </w:tc>
        <w:tc>
          <w:tcPr>
            <w:tcW w:type="dxa" w:w="1440"/>
            <w:shd w:fill="FFDCE0" w:val="clear"/>
          </w:tcPr>
          <w:p>
            <w:r>
              <w:rPr>
                <w:sz w:val="17"/>
              </w:rPr>
              <w:t>2,144</w:t>
            </w:r>
          </w:p>
        </w:tc>
        <w:tc>
          <w:tcPr>
            <w:tcW w:type="dxa" w:w="1440"/>
            <w:shd w:fill="FFDCE0" w:val="clear"/>
          </w:tcPr>
          <w:p>
            <w:r>
              <w:rPr>
                <w:b/>
                <w:sz w:val="17"/>
              </w:rPr>
              <w:t>2,357</w:t>
            </w:r>
          </w:p>
        </w:tc>
        <w:tc>
          <w:tcPr>
            <w:tcW w:type="dxa" w:w="1440"/>
            <w:shd w:fill="FFDCE0" w:val="clear"/>
          </w:tcPr>
          <w:p>
            <w:r>
              <w:rPr>
                <w:sz w:val="17"/>
              </w:rPr>
              <w:t>2,570</w:t>
            </w:r>
          </w:p>
        </w:tc>
        <w:tc>
          <w:tcPr>
            <w:tcW w:type="dxa" w:w="1440"/>
            <w:shd w:fill="FFDCE0" w:val="clear"/>
          </w:tcPr>
          <w:p>
            <w:r>
              <w:rPr>
                <w:b/>
                <w:color w:val="C00000"/>
                <w:sz w:val="17"/>
              </w:rPr>
              <w:t>-2.8%</w:t>
            </w:r>
          </w:p>
        </w:tc>
      </w:tr>
      <w:tr>
        <w:tc>
          <w:tcPr>
            <w:tcW w:type="dxa" w:w="1440"/>
            <w:shd w:fill="FFDCE0" w:val="clear"/>
          </w:tcPr>
          <w:p>
            <w:r>
              <w:rPr>
                <w:sz w:val="17"/>
              </w:rPr>
              <w:t>J+5  ⭐</w:t>
            </w:r>
          </w:p>
        </w:tc>
        <w:tc>
          <w:tcPr>
            <w:tcW w:type="dxa" w:w="1440"/>
            <w:shd w:fill="FFDCE0" w:val="clear"/>
          </w:tcPr>
          <w:p>
            <w:r>
              <w:rPr>
                <w:sz w:val="17"/>
              </w:rPr>
              <w:t>2026-09-10</w:t>
            </w:r>
          </w:p>
        </w:tc>
        <w:tc>
          <w:tcPr>
            <w:tcW w:type="dxa" w:w="1440"/>
            <w:shd w:fill="FFDCE0" w:val="clear"/>
          </w:tcPr>
          <w:p>
            <w:r>
              <w:rPr>
                <w:sz w:val="17"/>
              </w:rPr>
              <w:t>2,106</w:t>
            </w:r>
          </w:p>
        </w:tc>
        <w:tc>
          <w:tcPr>
            <w:tcW w:type="dxa" w:w="1440"/>
            <w:shd w:fill="FFDCE0" w:val="clear"/>
          </w:tcPr>
          <w:p>
            <w:r>
              <w:rPr>
                <w:b/>
                <w:sz w:val="17"/>
              </w:rPr>
              <w:t>2,343</w:t>
            </w:r>
          </w:p>
        </w:tc>
        <w:tc>
          <w:tcPr>
            <w:tcW w:type="dxa" w:w="1440"/>
            <w:shd w:fill="FFDCE0" w:val="clear"/>
          </w:tcPr>
          <w:p>
            <w:r>
              <w:rPr>
                <w:sz w:val="17"/>
              </w:rPr>
              <w:t>2,580</w:t>
            </w:r>
          </w:p>
        </w:tc>
        <w:tc>
          <w:tcPr>
            <w:tcW w:type="dxa" w:w="1440"/>
            <w:shd w:fill="FFDCE0" w:val="clear"/>
          </w:tcPr>
          <w:p>
            <w:r>
              <w:rPr>
                <w:b/>
                <w:color w:val="C00000"/>
                <w:sz w:val="17"/>
              </w:rPr>
              <w:t>-3.4%</w:t>
            </w:r>
          </w:p>
        </w:tc>
      </w:tr>
      <w:tr>
        <w:tc>
          <w:tcPr>
            <w:tcW w:type="dxa" w:w="1440"/>
            <w:shd w:fill="FFDCE0" w:val="clear"/>
          </w:tcPr>
          <w:p>
            <w:r>
              <w:rPr>
                <w:sz w:val="17"/>
              </w:rPr>
              <w:t>J+6  ⭐</w:t>
            </w:r>
          </w:p>
        </w:tc>
        <w:tc>
          <w:tcPr>
            <w:tcW w:type="dxa" w:w="1440"/>
            <w:shd w:fill="FFDCE0" w:val="clear"/>
          </w:tcPr>
          <w:p>
            <w:r>
              <w:rPr>
                <w:sz w:val="17"/>
              </w:rPr>
              <w:t>2026-09-11</w:t>
            </w:r>
          </w:p>
        </w:tc>
        <w:tc>
          <w:tcPr>
            <w:tcW w:type="dxa" w:w="1440"/>
            <w:shd w:fill="FFDCE0" w:val="clear"/>
          </w:tcPr>
          <w:p>
            <w:r>
              <w:rPr>
                <w:sz w:val="17"/>
              </w:rPr>
              <w:t>2,071</w:t>
            </w:r>
          </w:p>
        </w:tc>
        <w:tc>
          <w:tcPr>
            <w:tcW w:type="dxa" w:w="1440"/>
            <w:shd w:fill="FFDCE0" w:val="clear"/>
          </w:tcPr>
          <w:p>
            <w:r>
              <w:rPr>
                <w:b/>
                <w:sz w:val="17"/>
              </w:rPr>
              <w:t>2,329</w:t>
            </w:r>
          </w:p>
        </w:tc>
        <w:tc>
          <w:tcPr>
            <w:tcW w:type="dxa" w:w="1440"/>
            <w:shd w:fill="FFDCE0" w:val="clear"/>
          </w:tcPr>
          <w:p>
            <w:r>
              <w:rPr>
                <w:sz w:val="17"/>
              </w:rPr>
              <w:t>2,587</w:t>
            </w:r>
          </w:p>
        </w:tc>
        <w:tc>
          <w:tcPr>
            <w:tcW w:type="dxa" w:w="1440"/>
            <w:shd w:fill="FFDCE0" w:val="clear"/>
          </w:tcPr>
          <w:p>
            <w:r>
              <w:rPr>
                <w:b/>
                <w:color w:val="C00000"/>
                <w:sz w:val="17"/>
              </w:rPr>
              <w:t>-4.0%</w:t>
            </w:r>
          </w:p>
        </w:tc>
      </w:tr>
      <w:tr>
        <w:tc>
          <w:tcPr>
            <w:tcW w:type="dxa" w:w="1440"/>
            <w:shd w:fill="FFDCE0" w:val="clear"/>
          </w:tcPr>
          <w:p>
            <w:r>
              <w:rPr>
                <w:sz w:val="17"/>
              </w:rPr>
              <w:t>J+7  ⭐</w:t>
            </w:r>
          </w:p>
        </w:tc>
        <w:tc>
          <w:tcPr>
            <w:tcW w:type="dxa" w:w="1440"/>
            <w:shd w:fill="FFDCE0" w:val="clear"/>
          </w:tcPr>
          <w:p>
            <w:r>
              <w:rPr>
                <w:sz w:val="17"/>
              </w:rPr>
              <w:t>2026-09-14</w:t>
            </w:r>
          </w:p>
        </w:tc>
        <w:tc>
          <w:tcPr>
            <w:tcW w:type="dxa" w:w="1440"/>
            <w:shd w:fill="FFDCE0" w:val="clear"/>
          </w:tcPr>
          <w:p>
            <w:r>
              <w:rPr>
                <w:sz w:val="17"/>
              </w:rPr>
              <w:t>2,038</w:t>
            </w:r>
          </w:p>
        </w:tc>
        <w:tc>
          <w:tcPr>
            <w:tcW w:type="dxa" w:w="1440"/>
            <w:shd w:fill="FFDCE0" w:val="clear"/>
          </w:tcPr>
          <w:p>
            <w:r>
              <w:rPr>
                <w:b/>
                <w:sz w:val="17"/>
              </w:rPr>
              <w:t>2,315</w:t>
            </w:r>
          </w:p>
        </w:tc>
        <w:tc>
          <w:tcPr>
            <w:tcW w:type="dxa" w:w="1440"/>
            <w:shd w:fill="FFDCE0" w:val="clear"/>
          </w:tcPr>
          <w:p>
            <w:r>
              <w:rPr>
                <w:sz w:val="17"/>
              </w:rPr>
              <w:t>2,592</w:t>
            </w:r>
          </w:p>
        </w:tc>
        <w:tc>
          <w:tcPr>
            <w:tcW w:type="dxa" w:w="1440"/>
            <w:shd w:fill="FFDCE0" w:val="clear"/>
          </w:tcPr>
          <w:p>
            <w:r>
              <w:rPr>
                <w:b/>
                <w:color w:val="C00000"/>
                <w:sz w:val="17"/>
              </w:rPr>
              <w:t>-4.5%</w:t>
            </w:r>
          </w:p>
        </w:tc>
      </w:tr>
      <w:tr>
        <w:tc>
          <w:tcPr>
            <w:tcW w:type="dxa" w:w="1440"/>
            <w:shd w:fill="FFDCE0" w:val="clear"/>
          </w:tcPr>
          <w:p>
            <w:r>
              <w:rPr>
                <w:sz w:val="17"/>
              </w:rPr>
              <w:t>J+8  ⭐</w:t>
            </w:r>
          </w:p>
        </w:tc>
        <w:tc>
          <w:tcPr>
            <w:tcW w:type="dxa" w:w="1440"/>
            <w:shd w:fill="FFDCE0" w:val="clear"/>
          </w:tcPr>
          <w:p>
            <w:r>
              <w:rPr>
                <w:sz w:val="17"/>
              </w:rPr>
              <w:t>2026-09-15</w:t>
            </w:r>
          </w:p>
        </w:tc>
        <w:tc>
          <w:tcPr>
            <w:tcW w:type="dxa" w:w="1440"/>
            <w:shd w:fill="FFDCE0" w:val="clear"/>
          </w:tcPr>
          <w:p>
            <w:r>
              <w:rPr>
                <w:sz w:val="17"/>
              </w:rPr>
              <w:t>2,007</w:t>
            </w:r>
          </w:p>
        </w:tc>
        <w:tc>
          <w:tcPr>
            <w:tcW w:type="dxa" w:w="1440"/>
            <w:shd w:fill="FFDCE0" w:val="clear"/>
          </w:tcPr>
          <w:p>
            <w:r>
              <w:rPr>
                <w:b/>
                <w:sz w:val="17"/>
              </w:rPr>
              <w:t>2,301</w:t>
            </w:r>
          </w:p>
        </w:tc>
        <w:tc>
          <w:tcPr>
            <w:tcW w:type="dxa" w:w="1440"/>
            <w:shd w:fill="FFDCE0" w:val="clear"/>
          </w:tcPr>
          <w:p>
            <w:r>
              <w:rPr>
                <w:sz w:val="17"/>
              </w:rPr>
              <w:t>2,596</w:t>
            </w:r>
          </w:p>
        </w:tc>
        <w:tc>
          <w:tcPr>
            <w:tcW w:type="dxa" w:w="1440"/>
            <w:shd w:fill="FFDCE0" w:val="clear"/>
          </w:tcPr>
          <w:p>
            <w:r>
              <w:rPr>
                <w:b/>
                <w:color w:val="C00000"/>
                <w:sz w:val="17"/>
              </w:rPr>
              <w:t>-5.1%</w:t>
            </w:r>
          </w:p>
        </w:tc>
      </w:tr>
      <w:tr>
        <w:tc>
          <w:tcPr>
            <w:tcW w:type="dxa" w:w="1440"/>
            <w:shd w:fill="FFDCE0" w:val="clear"/>
          </w:tcPr>
          <w:p>
            <w:r>
              <w:rPr>
                <w:sz w:val="17"/>
              </w:rPr>
              <w:t>J+9  ⭐</w:t>
            </w:r>
          </w:p>
        </w:tc>
        <w:tc>
          <w:tcPr>
            <w:tcW w:type="dxa" w:w="1440"/>
            <w:shd w:fill="FFDCE0" w:val="clear"/>
          </w:tcPr>
          <w:p>
            <w:r>
              <w:rPr>
                <w:sz w:val="17"/>
              </w:rPr>
              <w:t>2026-09-16</w:t>
            </w:r>
          </w:p>
        </w:tc>
        <w:tc>
          <w:tcPr>
            <w:tcW w:type="dxa" w:w="1440"/>
            <w:shd w:fill="FFDCE0" w:val="clear"/>
          </w:tcPr>
          <w:p>
            <w:r>
              <w:rPr>
                <w:sz w:val="17"/>
              </w:rPr>
              <w:t>1,977</w:t>
            </w:r>
          </w:p>
        </w:tc>
        <w:tc>
          <w:tcPr>
            <w:tcW w:type="dxa" w:w="1440"/>
            <w:shd w:fill="FFDCE0" w:val="clear"/>
          </w:tcPr>
          <w:p>
            <w:r>
              <w:rPr>
                <w:b/>
                <w:sz w:val="17"/>
              </w:rPr>
              <w:t>2,288</w:t>
            </w:r>
          </w:p>
        </w:tc>
        <w:tc>
          <w:tcPr>
            <w:tcW w:type="dxa" w:w="1440"/>
            <w:shd w:fill="FFDCE0" w:val="clear"/>
          </w:tcPr>
          <w:p>
            <w:r>
              <w:rPr>
                <w:sz w:val="17"/>
              </w:rPr>
              <w:t>2,598</w:t>
            </w:r>
          </w:p>
        </w:tc>
        <w:tc>
          <w:tcPr>
            <w:tcW w:type="dxa" w:w="1440"/>
            <w:shd w:fill="FFDCE0" w:val="clear"/>
          </w:tcPr>
          <w:p>
            <w:r>
              <w:rPr>
                <w:b/>
                <w:color w:val="C00000"/>
                <w:sz w:val="17"/>
              </w:rPr>
              <w:t>-5.7%</w:t>
            </w:r>
          </w:p>
        </w:tc>
      </w:tr>
      <w:tr>
        <w:tc>
          <w:tcPr>
            <w:tcW w:type="dxa" w:w="1440"/>
            <w:shd w:fill="FFDCE0" w:val="clear"/>
          </w:tcPr>
          <w:p>
            <w:r>
              <w:rPr>
                <w:sz w:val="17"/>
              </w:rPr>
              <w:t>J+10  ⭐</w:t>
            </w:r>
          </w:p>
        </w:tc>
        <w:tc>
          <w:tcPr>
            <w:tcW w:type="dxa" w:w="1440"/>
            <w:shd w:fill="FFDCE0" w:val="clear"/>
          </w:tcPr>
          <w:p>
            <w:r>
              <w:rPr>
                <w:sz w:val="17"/>
              </w:rPr>
              <w:t>2026-09-17</w:t>
            </w:r>
          </w:p>
        </w:tc>
        <w:tc>
          <w:tcPr>
            <w:tcW w:type="dxa" w:w="1440"/>
            <w:shd w:fill="FFDCE0" w:val="clear"/>
          </w:tcPr>
          <w:p>
            <w:r>
              <w:rPr>
                <w:sz w:val="17"/>
              </w:rPr>
              <w:t>1,949</w:t>
            </w:r>
          </w:p>
        </w:tc>
        <w:tc>
          <w:tcPr>
            <w:tcW w:type="dxa" w:w="1440"/>
            <w:shd w:fill="FFDCE0" w:val="clear"/>
          </w:tcPr>
          <w:p>
            <w:r>
              <w:rPr>
                <w:b/>
                <w:sz w:val="17"/>
              </w:rPr>
              <w:t>2,274</w:t>
            </w:r>
          </w:p>
        </w:tc>
        <w:tc>
          <w:tcPr>
            <w:tcW w:type="dxa" w:w="1440"/>
            <w:shd w:fill="FFDCE0" w:val="clear"/>
          </w:tcPr>
          <w:p>
            <w:r>
              <w:rPr>
                <w:sz w:val="17"/>
              </w:rPr>
              <w:t>2,600</w:t>
            </w:r>
          </w:p>
        </w:tc>
        <w:tc>
          <w:tcPr>
            <w:tcW w:type="dxa" w:w="1440"/>
            <w:shd w:fill="FFDCE0" w:val="clear"/>
          </w:tcPr>
          <w:p>
            <w:r>
              <w:rPr>
                <w:b/>
                <w:color w:val="C00000"/>
                <w:sz w:val="17"/>
              </w:rPr>
              <w:t>-6.2%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d'UNXC s'établit à 50,32 milliards FCFA, ce qui la positionne comme une valeur de taille moyenne sur la BRVM. Le BPA est négatif à -105 FCFA, reflétant la perte nette de l'exercice 2024. Par conséquent, le PER est négatif (-23,0x), ce qui signifie que les investisseurs ne peuvent pas évaluer le titre sur la base de ses bénéfices actuels ; ils achètent des pertes. En revanche, le P/B de 3,23x indique que le marché valorise l'actif net de la société à plus de trois fois sa valeur comptable, ce qui suggère une prime de croissance ou des actifs immatériels non comptabilisés. Cette prime est spéculative, car elle n'est pas soutenue par la rentabilité actuelle. Le ratio EV/EBITDA n'est pas calculable, l'EBITDA étant négatif, ce qui confirme l'absence de capacité bénéficiaire opérationnelle à ce stade.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UNXC a enregistré une progression spectaculaire de +24,68%, mais a légèrement reculé de -1,02% lors de la dernière séance, clôturant à 2 425 FCFA. Le titre a évolué dans une fourchette très large, entre un plus bas de 1 250 FCFA et un plus haut de 2 495 FCFA, démontrant une forte dynamique haussière sur la période. Le cours actuel est nettement supérieur à la moyenne (1 915 FCFA) et à la médiane (1 900 FCFA), dont la quasi-égalité indique une distribution relativement symétrique des prix autour du centre. L'écart-type de 247 FCFA (CV de 12,9%) montre une dispersion modérée. Le kurtosis excédentaire positif (1,328) signale un risque de mouvements extrêmes (queues épaisses), tandis que le skewness légèrement positif (0,285) confirme une asymétrie vers les fortes hausses. La volatilité annualisée de 50,9% classe le titre comme extrêmement risqué, bien au-delà du seuil de 30% considéré comme élevé.</w:t>
      </w:r>
    </w:p>
    <w:p>
      <w:pPr>
        <w:spacing w:after="120" w:line="276" w:lineRule="auto" w:before="240"/>
      </w:pPr>
      <w:r>
        <w:rPr>
          <w:b/>
          <w:color w:val="003366"/>
          <w:sz w:val="24"/>
        </w:rPr>
        <w:t>**PARTIE 2 : ANALYSE TECHNIQUE DÉTAILLÉE**</w:t>
      </w:r>
    </w:p>
    <w:p>
      <w:pPr>
        <w:spacing w:after="120" w:line="276" w:lineRule="auto"/>
      </w:pPr>
      <w:r>
        <w:t>**Moyennes Mobiles**: Le cours actuel (2 425 FCFA) est largement au-dessus de la MM20 (2 237,5 FCFA) et de la MM50 (1 940,9 FCFA), qui sont dans une configuration haussière (MM20 &gt; MM50). Cette dynamique positive génère un signal d'achat, indiquant une forte tendance haussière à court et moyen terme.</w:t>
      </w:r>
    </w:p>
    <w:p>
      <w:pPr>
        <w:spacing w:after="120" w:line="276" w:lineRule="auto"/>
      </w:pPr>
      <w:r>
        <w:t>**Bandes de Bollinger**: Le prix se situe à 2 425 FCFA, entre la borne supérieure (2 735 FCFA) et la borne inférieure (1 740 FCFA). La position du cours dans la partie supérieure de la bande indique une pression acheteuse soutenue, mais sans atteindre la zone d'extension excessive. La décision est neutre, suggérant une poursuite de la tendance sans surachat immédiat.</w:t>
      </w:r>
    </w:p>
    <w:p>
      <w:pPr>
        <w:spacing w:after="120" w:line="276" w:lineRule="auto"/>
      </w:pPr>
      <w:r>
        <w:t>**MACD**: La ligne MACD (156,59) est au-dessus de sa ligne de signal (153,87), indiquant un momentum haussier positif. Bien que l'écart soit encore modeste, le croisement récent et la valeur positive des deux lignes confirment la dynamique d'achat.</w:t>
      </w:r>
    </w:p>
    <w:p>
      <w:pPr>
        <w:spacing w:after="120" w:line="276" w:lineRule="auto"/>
      </w:pPr>
      <w:r>
        <w:t>**RSI**: Le RSI est à 81,699, une valeur très élevée, bien au-dessus du seuil de surachat de 70. Cela indique que le titre est fortement suracheté à court terme, ce qui pourrait précéder un repli technique ou une consolidation. La décision est clairement une vente pour les traders à court terme.</w:t>
      </w:r>
    </w:p>
    <w:p>
      <w:pPr>
        <w:spacing w:after="120" w:line="276" w:lineRule="auto"/>
      </w:pPr>
      <w:r>
        <w:t>**Stochastique**: Les valeurs de %K (85,86) et %D (89,95) sont toutes deux dans la zone de surachat (&gt;80). Le croisement de %K sous %D pourrait signaler un retournement baissier imminent. La décision est une vente, confirmant la prudence après la forte hausse.</w:t>
      </w:r>
    </w:p>
    <w:p>
      <w:pPr>
        <w:spacing w:after="120" w:line="276" w:lineRule="auto"/>
      </w:pPr>
      <w:r>
        <w:t>**Conclusion technique**: Les indicateurs de tendance (MM, MACD) sont positifs, mais les oscillateurs de momentum (RSI, Stochastique) sont en surachat extrême. Cette divergence suggère que la tendance haussière de fond est intacte, mais qu'un repli technique ou une phase de consolidation est probable à très court terme avant une éventuelle reprise.</w:t>
      </w:r>
    </w:p>
    <w:p>
      <w:pPr>
        <w:spacing w:after="120" w:line="276" w:lineRule="auto" w:before="240"/>
      </w:pPr>
      <w:r>
        <w:rPr>
          <w:b/>
          <w:color w:val="003366"/>
          <w:sz w:val="24"/>
        </w:rPr>
        <w:t>**PARTIE 3 : ANALYSE FONDAMENTALE (SECTION CRITIQUE)**</w:t>
      </w:r>
    </w:p>
    <w:p>
      <w:pPr>
        <w:spacing w:after="120" w:line="276" w:lineRule="auto"/>
      </w:pPr>
      <w:r>
        <w:t>En 2024, selon les données structurées, UNXC a réalisé un chiffre d'affaires de 27,333 milliards FCFA, en hausse de 15,4% par rapport à 2023, mais a enregistré une perte nette de -2,189 milliards FCFA, contre un bénéfice de 4,188 milliards FCFA en 2023 (selon le rapport des états financiers 2024). La marge nette est profondément négative à -8,0%, et le ROE est de -14,04%, illustrant une destruction de valeur pour les actionnaires. Le BFR est positif à 2,149 milliards FCFA, ce qui est défavorable pour une entreprise, et le délai de stockage est très long (254,72 jours), immobilisant du capital. Les rapports trimestriels de 2025 montrent une amélioration spectaculaire du résultat net grâce à une cession-bail exceptionnelle de terrain (bénéfice de 8,2 milliards au S1 2025), mais le résultat des activités ordinaires reste déficitaire (-314 millions au S1 2025). Le rapport du S1 2026 (publié en 2026) est plus encourageant : le résultat d'exploitation redevient positif à 771 millions FCFA, et le résultat net est de 771 millions FCFA, contre une perte opérationnelle l'année précédente. On estime que l'exercice 2026 pourrait marquer un retour à l'équilibre durable si cette tendance se confirme au S2. La société reste néanmoins fragile, avec des pertes cumulées importantes et un redressement dépendant de la maîtrise des coûts.</w:t>
      </w:r>
    </w:p>
    <w:p>
      <w:pPr>
        <w:spacing w:after="120" w:line="276" w:lineRule="auto" w:before="240"/>
      </w:pPr>
      <w:r>
        <w:rPr>
          <w:b/>
          <w:color w:val="003366"/>
          <w:sz w:val="24"/>
        </w:rPr>
        <w:t>**PARTIE 4 : CONCLUSION D'INVESTISSEMENT**</w:t>
      </w:r>
    </w:p>
    <w:p>
      <w:pPr>
        <w:spacing w:after="120" w:line="276" w:lineRule="auto"/>
      </w:pPr>
      <w:r>
        <w:t>La valorisation d'UNXC est spéculative, avec un PER négatif et un P/B élevé, indiquant que le marché anticipe un redressement futur. Le comportement du cours est extrêmement haussier sur 100 jours (+24,68%), mais la volatilité annualisée de 50,9% et les statistiques (kurtosis élevé) signalent un risque majeur de mouvements brusques. Les signaux techniques sont mitigés : la tendance de fond (MM, MACD) est positive, mais les oscillateurs (RSI, Stochastique) sont en surachat extrême, suggérant un repli imminent. Fondamentalement, la société est en pleine phase de redressement : après une perte en 2024, les résultats de 2025 ont été artificiellement gonflés par une cession exceptionnelle, mais le S1 2026 montre enfin une rentabilité opérationnelle positive, ce qui est un signal fort. Les prédictions IA prévoient une baisse progressive du cours vers 2 343 FCFA sur 10 jours, ce qui contredit la tendance haussière récente et confirme le scénario de correction technique. En synthèse, la convergence entre la surchauffe technique et la prédiction IA suggère une pause dans la hausse. **Recommandation : CONSERVER**, avec un niveau de confiance **Moyen** et un risque global **Élevé**. L'horizon d'investissement optimal est le **moyen terme (3-12 mois)**, en attendant la confirmation d'une rentabilité récurrente sur l'ensemble de l'exercice 2026.</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48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