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18/09/2026 à 09:07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CFAC  (score 81/100)</w:t>
      </w:r>
    </w:p>
    <w:p>
      <w:pPr>
        <w:spacing w:before="20" w:after="20"/>
        <w:ind w:left="360" w:right="360"/>
        <w:shd w:val="clear" w:color="auto" w:fill="EBF5FB"/>
      </w:pPr>
      <w:r>
        <w:rPr>
          <w:b/>
          <w:sz w:val="19"/>
        </w:rPr>
        <w:t xml:space="preserve">Secteur surperformant :  </w:t>
      </w:r>
      <w:r>
        <w:rPr>
          <w:color w:val="008000"/>
          <w:sz w:val="19"/>
        </w:rPr>
        <w:t>SERVICES PUBLICS  (+95.1%)</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11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548.07 points </w:t>
      </w:r>
      <w:r>
        <w:rPr>
          <w:color w:val="C00000"/>
        </w:rPr>
        <w:t>(-0.27%)</w:t>
      </w:r>
      <w:r>
        <w:t xml:space="preserve"> sur la séance. </w:t>
      </w:r>
      <w:r>
        <w:t>La capitalisation globale du marché atteint 21 134,211 milliards FCFA.</w:t>
      </w:r>
    </w:p>
    <w:p/>
    <w:p>
      <w:pPr>
        <w:pStyle w:val="Heading3"/>
      </w:pPr>
      <w:r>
        <w:t>📊 Évolution de l'indice BRVM Composite (100 derniers jours)</w:t>
      </w:r>
    </w:p>
    <w:p>
      <w:r>
        <w:rPr>
          <w:b/>
        </w:rPr>
        <w:t xml:space="preserve">BRVM Composite — </w:t>
      </w:r>
      <w:r>
        <w:t xml:space="preserve">Sur les 100 derniers jours de cotation (2026-04-23 au 2026-09-17), l'indice BRVM Composite a évolué de </w:t>
      </w:r>
      <w:r>
        <w:rPr>
          <w:b/>
          <w:color w:val="008000"/>
        </w:rPr>
        <w:t>+36.34%</w:t>
      </w:r>
      <w:r>
        <w:t>, passant de 402.00 pts à 548.07 pts. Le plus haut atteint est 555.90 pts et le plus bas 401.60 pts. Sur l'ensemble de la période, la moyenne de l'indice s'établit à 467.79 pts, la médiane à 467.18 pts et le mode à 401.60 pts</w:t>
      </w:r>
      <w:r>
        <w:t xml:space="preserve"> (asymétrie positive — plus de jours sous la moyenne). </w:t>
      </w:r>
      <w:r>
        <w:t xml:space="preserve">L'écart-type de 47.22 pts (CV=10.1%) traduit une modérée dispersion des cotations. Le kurtosis de -0.96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+36.36%</w:t>
      </w:r>
      <w:r>
        <w:t xml:space="preserve"> sur la période, passant de 15 499,365 Mds FCFA à 21 134,211 Mds FCFA. Le pic de capitalisation observé est de 21 436,336 Mds FCFA et le plancher de 15 482,993 Mds FCFA. La moyenne de la capitalisation sur la période s'établit à 18 029,561 Mds FCFA, la médiane à 17 997,224 Mds FCFA et le mode à 15 482,993 Mds FCFA</w:t>
      </w:r>
      <w:r>
        <w:t xml:space="preserve"> (asymétrie positive). </w:t>
      </w:r>
      <w:r>
        <w:t>L'écart-type de 1 822,852 Mds FCFA (CV=10.1%) reflète une modérée variabilité de la valorisation du marché. Le kurtosis de -0.96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CFAC - CFAC - CFAO MOTORS CI</w:t>
      </w:r>
      <w:r>
        <w:t xml:space="preserve"> | Prix: 1650 FCFA | </w:t>
      </w:r>
      <w:r>
        <w:rPr>
          <w:b/>
          <w:color w:val="008000"/>
        </w:rPr>
        <w:t>ACHAT FORT</w:t>
      </w:r>
      <w:r>
        <w:t xml:space="preserve"> | Confiance: Élevée | Risque: Faible</w:t>
      </w:r>
    </w:p>
    <w:p>
      <w:pPr>
        <w:pStyle w:val="ListNumber"/>
      </w:pPr>
      <w:r>
        <w:rPr>
          <w:b/>
        </w:rPr>
        <w:t>ETIT - ETIT - Ecobank Transnational Incorporated Togo</w:t>
      </w:r>
      <w:r>
        <w:t xml:space="preserve"> | Prix: 70 FCFA | </w:t>
      </w:r>
      <w:r>
        <w:rPr>
          <w:b/>
          <w:color w:val="008000"/>
        </w:rPr>
        <w:t>ACHAT FORT</w:t>
      </w:r>
      <w:r>
        <w:t xml:space="preserve"> | Confiance: Élevée | Risque: Moyen</w:t>
      </w:r>
    </w:p>
    <w:p>
      <w:pPr>
        <w:pStyle w:val="ListNumber"/>
      </w:pPr>
      <w:r>
        <w:rPr>
          <w:b/>
        </w:rPr>
        <w:t>ABJC - ABJC - SERVAIR ABIDJAN CI</w:t>
      </w:r>
      <w:r>
        <w:t xml:space="preserve"> | Prix: 4050 FCFA | </w:t>
      </w:r>
      <w:r>
        <w:rPr>
          <w:b/>
          <w:color w:val="008000"/>
        </w:rPr>
        <w:t>ACHAT</w:t>
      </w:r>
      <w:r>
        <w:t xml:space="preserve"> | Confiance: Faible | Risque: Faible</w:t>
      </w:r>
    </w:p>
    <w:p>
      <w:pPr>
        <w:pStyle w:val="ListNumber"/>
      </w:pPr>
      <w:r>
        <w:rPr>
          <w:b/>
        </w:rPr>
        <w:t>BICB - BIIC BN - Banque internationale pour le commerce du benin</w:t>
      </w:r>
      <w:r>
        <w:t xml:space="preserve"> | Prix: 10435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31250 FCFA | </w:t>
      </w:r>
      <w:r>
        <w:rPr>
          <w:b/>
          <w:color w:val="008000"/>
        </w:rPr>
        <w:t>ACHAT</w:t>
      </w:r>
      <w:r>
        <w:t xml:space="preserve"> | Confiance: Moyen | Risque: Moyen</w:t>
      </w:r>
    </w:p>
    <w:p>
      <w:pPr>
        <w:pStyle w:val="ListNumber"/>
      </w:pPr>
      <w:r>
        <w:rPr>
          <w:b/>
        </w:rPr>
        <w:t>BNBC - BNBC - BERNABE CI</w:t>
      </w:r>
      <w:r>
        <w:t xml:space="preserve"> | Prix: 2060 FCFA | </w:t>
      </w:r>
      <w:r>
        <w:rPr>
          <w:b/>
          <w:color w:val="008000"/>
        </w:rPr>
        <w:t>ACHAT</w:t>
      </w:r>
      <w:r>
        <w:t xml:space="preserve"> | Confiance: Élevée | Risque: Faible</w:t>
      </w:r>
    </w:p>
    <w:p>
      <w:pPr>
        <w:pStyle w:val="ListNumber"/>
      </w:pPr>
      <w:r>
        <w:rPr>
          <w:b/>
        </w:rPr>
        <w:t>BOAB - BANK OF AFRICA BENIN</w:t>
      </w:r>
      <w:r>
        <w:t xml:space="preserve"> | Prix: 10100 FCFA | </w:t>
      </w:r>
      <w:r>
        <w:rPr>
          <w:b/>
          <w:color w:val="008000"/>
        </w:rPr>
        <w:t>ACHAT</w:t>
      </w:r>
      <w:r>
        <w:t xml:space="preserve"> | Confiance: Moyen | Risque: Moyen</w:t>
      </w:r>
    </w:p>
    <w:p>
      <w:pPr>
        <w:pStyle w:val="ListNumber"/>
      </w:pPr>
      <w:r>
        <w:rPr>
          <w:b/>
        </w:rPr>
        <w:t>BOABF - BANK OF AFRICA BURKINA FASO</w:t>
      </w:r>
      <w:r>
        <w:t xml:space="preserve"> | Prix: 8000 FCFA | </w:t>
      </w:r>
      <w:r>
        <w:rPr>
          <w:b/>
          <w:color w:val="008000"/>
        </w:rPr>
        <w:t>ACHAT</w:t>
      </w:r>
      <w:r>
        <w:t xml:space="preserve"> | Confiance: Élevée | Risque: Moyen</w:t>
      </w:r>
    </w:p>
    <w:p>
      <w:pPr>
        <w:pStyle w:val="ListNumber"/>
      </w:pPr>
      <w:r>
        <w:rPr>
          <w:b/>
        </w:rPr>
        <w:t>BOAC - BANK OF AFRICA COTE D'IVOIRE</w:t>
      </w:r>
      <w:r>
        <w:t xml:space="preserve"> | Prix: 12000 FCFA | </w:t>
      </w:r>
      <w:r>
        <w:rPr>
          <w:b/>
          <w:color w:val="008000"/>
        </w:rPr>
        <w:t>ACHAT</w:t>
      </w:r>
      <w:r>
        <w:t xml:space="preserve"> | Confiance: Élevée | Risque: Moyen</w:t>
      </w:r>
    </w:p>
    <w:p>
      <w:pPr>
        <w:pStyle w:val="ListNumber"/>
      </w:pPr>
      <w:r>
        <w:rPr>
          <w:b/>
        </w:rPr>
        <w:t>BOAM - BANK OF AFRICA MALI</w:t>
      </w:r>
      <w:r>
        <w:t xml:space="preserve"> | Prix: 6900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95.12%</w:t>
      </w:r>
      <w:r>
        <w:t xml:space="preserve">  |  </w:t>
      </w:r>
      <w:r>
        <w:rPr>
          <w:b/>
        </w:rPr>
        <w:t xml:space="preserve">vs BRVM Composite: </w:t>
      </w:r>
      <w:r>
        <w:rPr>
          <w:b/>
          <w:color w:val="008000"/>
        </w:rPr>
        <w:t>+58.78%  🟢 Surperformance</w:t>
      </w:r>
      <w:r>
        <w:br/>
      </w:r>
      <w:r>
        <w:rPr>
          <w:b/>
        </w:rPr>
        <w:t xml:space="preserve">Sentiment général: </w:t>
      </w:r>
      <w:r>
        <w:t xml:space="preserve">ACHAT  |  </w:t>
      </w:r>
      <w:r>
        <w:rPr>
          <w:b/>
        </w:rPr>
        <w:t xml:space="preserve">Risque moyen: </w:t>
      </w:r>
      <w:r>
        <w:t xml:space="preserve">Moyen  |  </w:t>
      </w:r>
      <w:r>
        <w:rPr>
          <w:b/>
        </w:rPr>
        <w:t xml:space="preserve">Prix moyen: </w:t>
      </w:r>
      <w:r>
        <w:t>9998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46.59%</w:t>
      </w:r>
      <w:r>
        <w:t xml:space="preserve">  |  </w:t>
      </w:r>
      <w:r>
        <w:rPr>
          <w:b/>
        </w:rPr>
        <w:t xml:space="preserve">vs BRVM Composite: </w:t>
      </w:r>
      <w:r>
        <w:rPr>
          <w:b/>
          <w:color w:val="008000"/>
        </w:rPr>
        <w:t>+10.25%  🟢 Surperformance</w:t>
      </w:r>
      <w:r>
        <w:br/>
      </w:r>
      <w:r>
        <w:rPr>
          <w:b/>
        </w:rPr>
        <w:t xml:space="preserve">Sentiment général: </w:t>
      </w:r>
      <w:r>
        <w:t xml:space="preserve">ACHAT  |  </w:t>
      </w:r>
      <w:r>
        <w:rPr>
          <w:b/>
        </w:rPr>
        <w:t xml:space="preserve">Risque moyen: </w:t>
      </w:r>
      <w:r>
        <w:t xml:space="preserve">Moyen  |  </w:t>
      </w:r>
      <w:r>
        <w:rPr>
          <w:b/>
        </w:rPr>
        <w:t xml:space="preserve">Prix moyen: </w:t>
      </w:r>
      <w:r>
        <w:t>13914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35.26%</w:t>
      </w:r>
      <w:r>
        <w:t xml:space="preserve">  |  </w:t>
      </w:r>
      <w:r>
        <w:rPr>
          <w:b/>
        </w:rPr>
        <w:t xml:space="preserve">vs BRVM Composite: </w:t>
      </w:r>
      <w:r>
        <w:rPr>
          <w:b/>
          <w:color w:val="C00000"/>
        </w:rPr>
        <w:t>-1.08%  🔴 Sous-performance</w:t>
      </w:r>
      <w:r>
        <w:br/>
      </w:r>
      <w:r>
        <w:rPr>
          <w:b/>
        </w:rPr>
        <w:t xml:space="preserve">Sentiment général: </w:t>
      </w:r>
      <w:r>
        <w:t xml:space="preserve">ACHAT  |  </w:t>
      </w:r>
      <w:r>
        <w:rPr>
          <w:b/>
        </w:rPr>
        <w:t xml:space="preserve">Risque moyen: </w:t>
      </w:r>
      <w:r>
        <w:t xml:space="preserve">Moyen  |  </w:t>
      </w:r>
      <w:r>
        <w:rPr>
          <w:b/>
        </w:rPr>
        <w:t xml:space="preserve">Prix moyen: </w:t>
      </w:r>
      <w:r>
        <w:t>6762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30.99%</w:t>
      </w:r>
      <w:r>
        <w:t xml:space="preserve">  |  </w:t>
      </w:r>
      <w:r>
        <w:rPr>
          <w:b/>
        </w:rPr>
        <w:t xml:space="preserve">vs BRVM Composite: </w:t>
      </w:r>
      <w:r>
        <w:rPr>
          <w:b/>
          <w:color w:val="C00000"/>
        </w:rPr>
        <w:t>-5.35%  🔴 Sous-performance</w:t>
      </w:r>
      <w:r>
        <w:br/>
      </w:r>
      <w:r>
        <w:rPr>
          <w:b/>
        </w:rPr>
        <w:t xml:space="preserve">Sentiment général: </w:t>
      </w:r>
      <w:r>
        <w:t xml:space="preserve">ACHAT  |  </w:t>
      </w:r>
      <w:r>
        <w:rPr>
          <w:b/>
        </w:rPr>
        <w:t xml:space="preserve">Risque moyen: </w:t>
      </w:r>
      <w:r>
        <w:t xml:space="preserve">Moyen  |  </w:t>
      </w:r>
      <w:r>
        <w:rPr>
          <w:b/>
        </w:rPr>
        <w:t xml:space="preserve">Prix moyen: </w:t>
      </w:r>
      <w:r>
        <w:t>21447 FCFA</w:t>
        <w:br/>
      </w:r>
      <w:r>
        <w:rPr>
          <w:b/>
        </w:rPr>
        <w:br/>
        <w:t xml:space="preserve">Sociétés: </w:t>
      </w:r>
      <w:r>
        <w:t>ONTBF (ONTBF - ONATEL BURKINA FASO), ORAC (ORAC - ORANGE COTE D'IVOIRE), SNTS (SNTS - SONATEL SN)</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21.54%</w:t>
      </w:r>
      <w:r>
        <w:t xml:space="preserve">  |  </w:t>
      </w:r>
      <w:r>
        <w:rPr>
          <w:b/>
        </w:rPr>
        <w:t xml:space="preserve">vs BRVM Composite: </w:t>
      </w:r>
      <w:r>
        <w:rPr>
          <w:b/>
          <w:color w:val="C00000"/>
        </w:rPr>
        <w:t>-14.80%  🔴 Sous-performance</w:t>
      </w:r>
      <w:r>
        <w:br/>
      </w:r>
      <w:r>
        <w:rPr>
          <w:b/>
        </w:rPr>
        <w:t xml:space="preserve">Sentiment général: </w:t>
      </w:r>
      <w:r>
        <w:t xml:space="preserve">ACHAT  |  </w:t>
      </w:r>
      <w:r>
        <w:rPr>
          <w:b/>
        </w:rPr>
        <w:t xml:space="preserve">Risque moyen: </w:t>
      </w:r>
      <w:r>
        <w:t xml:space="preserve">Faible  |  </w:t>
      </w:r>
      <w:r>
        <w:rPr>
          <w:b/>
        </w:rPr>
        <w:t xml:space="preserve">Prix moyen: </w:t>
      </w:r>
      <w:r>
        <w:t>18340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20.68%</w:t>
      </w:r>
      <w:r>
        <w:t xml:space="preserve">  |  </w:t>
      </w:r>
      <w:r>
        <w:rPr>
          <w:b/>
        </w:rPr>
        <w:t xml:space="preserve">vs BRVM Composite: </w:t>
      </w:r>
      <w:r>
        <w:rPr>
          <w:b/>
          <w:color w:val="C00000"/>
        </w:rPr>
        <w:t>-15.65%  🔴 Sous-performance</w:t>
      </w:r>
      <w:r>
        <w:br/>
      </w:r>
      <w:r>
        <w:rPr>
          <w:b/>
        </w:rPr>
        <w:t xml:space="preserve">Sentiment général: </w:t>
      </w:r>
      <w:r>
        <w:t xml:space="preserve">ACHAT  |  </w:t>
      </w:r>
      <w:r>
        <w:rPr>
          <w:b/>
        </w:rPr>
        <w:t xml:space="preserve">Risque moyen: </w:t>
      </w:r>
      <w:r>
        <w:t xml:space="preserve">Faible  |  </w:t>
      </w:r>
      <w:r>
        <w:rPr>
          <w:b/>
        </w:rPr>
        <w:t xml:space="preserve">Prix moyen: </w:t>
      </w:r>
      <w:r>
        <w:t>3029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-1.97%</w:t>
      </w:r>
      <w:r>
        <w:t xml:space="preserve">  |  </w:t>
      </w:r>
      <w:r>
        <w:rPr>
          <w:b/>
        </w:rPr>
        <w:t xml:space="preserve">vs BRVM Composite: </w:t>
      </w:r>
      <w:r>
        <w:rPr>
          <w:b/>
          <w:color w:val="C00000"/>
        </w:rPr>
        <w:t>-38.31%  🔴 Sous-performance</w:t>
      </w:r>
      <w:r>
        <w:br/>
      </w:r>
      <w:r>
        <w:rPr>
          <w:b/>
        </w:rPr>
        <w:t xml:space="preserve">Sentiment général: </w:t>
      </w:r>
      <w:r>
        <w:t xml:space="preserve">ACHAT  |  </w:t>
      </w:r>
      <w:r>
        <w:rPr>
          <w:b/>
        </w:rPr>
        <w:t xml:space="preserve">Risque moyen: </w:t>
      </w:r>
      <w:r>
        <w:t xml:space="preserve">Faible  |  </w:t>
      </w:r>
      <w:r>
        <w:rPr>
          <w:b/>
        </w:rPr>
        <w:t xml:space="preserve">Prix moyen: </w:t>
      </w:r>
      <w:r>
        <w:t>2443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BOABF, BOAC, BOAN, BOAS, CABC, CFAC, CIEC, FTSC, NEIC, NTLC, PALC, SAFC, SGBC, SIVC, SMBC, SPHC,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BICC, BOAB, BOAM, CBIBF, ECOC, ETIT, NSBC, ONTBF, ORAC, ORGT, SCRC, SDCC, SDSC, SEMC, SIBC, SOGC, TTLC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BICB, LNBB, PRSC, SHEC, SICC, SLBC, SNTS, STAC,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2095377</w:t>
            </w:r>
          </w:p>
        </w:tc>
        <w:tc>
          <w:tcPr>
            <w:tcW w:type="dxa" w:w="1728"/>
          </w:tcPr>
          <w:p>
            <w:r>
              <w:t>141509064 FCFA</w:t>
            </w:r>
          </w:p>
        </w:tc>
        <w:tc>
          <w:tcPr>
            <w:tcW w:type="dxa" w:w="1728"/>
          </w:tcPr>
          <w:p>
            <w:r>
              <w:t>133.33%</w:t>
            </w:r>
          </w:p>
        </w:tc>
        <w:tc>
          <w:tcPr>
            <w:tcW w:type="dxa" w:w="1728"/>
          </w:tcPr>
          <w:p>
            <w:r>
              <w:t>ACHAT FORT</w:t>
            </w:r>
          </w:p>
        </w:tc>
      </w:tr>
      <w:tr>
        <w:tc>
          <w:tcPr>
            <w:tcW w:type="dxa" w:w="1728"/>
          </w:tcPr>
          <w:p>
            <w:r>
              <w:t>SDSC (SDSC - AFRICA GLOBAL LOGISTICS CI)</w:t>
            </w:r>
          </w:p>
        </w:tc>
        <w:tc>
          <w:tcPr>
            <w:tcW w:type="dxa" w:w="1728"/>
          </w:tcPr>
          <w:p>
            <w:r>
              <w:t>17383</w:t>
            </w:r>
          </w:p>
        </w:tc>
        <w:tc>
          <w:tcPr>
            <w:tcW w:type="dxa" w:w="1728"/>
          </w:tcPr>
          <w:p>
            <w:r>
              <w:t>49649800 FCFA</w:t>
            </w:r>
          </w:p>
        </w:tc>
        <w:tc>
          <w:tcPr>
            <w:tcW w:type="dxa" w:w="1728"/>
          </w:tcPr>
          <w:p>
            <w:r>
              <w:t>59.89%</w:t>
            </w:r>
          </w:p>
        </w:tc>
        <w:tc>
          <w:tcPr>
            <w:tcW w:type="dxa" w:w="1728"/>
          </w:tcPr>
          <w:p>
            <w:r>
              <w:t>ACHAT</w:t>
            </w:r>
          </w:p>
        </w:tc>
      </w:tr>
      <w:tr>
        <w:tc>
          <w:tcPr>
            <w:tcW w:type="dxa" w:w="1728"/>
          </w:tcPr>
          <w:p>
            <w:r>
              <w:t>BICB (BIIC BN - Banque internationale pour le commerce du benin)</w:t>
            </w:r>
          </w:p>
        </w:tc>
        <w:tc>
          <w:tcPr>
            <w:tcW w:type="dxa" w:w="1728"/>
          </w:tcPr>
          <w:p>
            <w:r>
              <w:t>17042</w:t>
            </w:r>
          </w:p>
        </w:tc>
        <w:tc>
          <w:tcPr>
            <w:tcW w:type="dxa" w:w="1728"/>
          </w:tcPr>
          <w:p>
            <w:r>
              <w:t>155960915 FCFA</w:t>
            </w:r>
          </w:p>
        </w:tc>
        <w:tc>
          <w:tcPr>
            <w:tcW w:type="dxa" w:w="1728"/>
          </w:tcPr>
          <w:p>
            <w:r>
              <w:t>102.62%</w:t>
            </w:r>
          </w:p>
        </w:tc>
        <w:tc>
          <w:tcPr>
            <w:tcW w:type="dxa" w:w="1728"/>
          </w:tcPr>
          <w:p>
            <w:r>
              <w:t>ACHAT</w:t>
            </w:r>
          </w:p>
        </w:tc>
      </w:tr>
      <w:tr>
        <w:tc>
          <w:tcPr>
            <w:tcW w:type="dxa" w:w="1728"/>
          </w:tcPr>
          <w:p>
            <w:r>
              <w:t>SIBC (SIBC - SOCIETE IVOIRIENNE DE BANQUE)</w:t>
            </w:r>
          </w:p>
        </w:tc>
        <w:tc>
          <w:tcPr>
            <w:tcW w:type="dxa" w:w="1728"/>
          </w:tcPr>
          <w:p>
            <w:r>
              <w:t>15318</w:t>
            </w:r>
          </w:p>
        </w:tc>
        <w:tc>
          <w:tcPr>
            <w:tcW w:type="dxa" w:w="1728"/>
          </w:tcPr>
          <w:p>
            <w:r>
              <w:t>139955943 FCFA</w:t>
            </w:r>
          </w:p>
        </w:tc>
        <w:tc>
          <w:tcPr>
            <w:tcW w:type="dxa" w:w="1728"/>
          </w:tcPr>
          <w:p>
            <w:r>
              <w:t>33.73%</w:t>
            </w:r>
          </w:p>
        </w:tc>
        <w:tc>
          <w:tcPr>
            <w:tcW w:type="dxa" w:w="1728"/>
          </w:tcPr>
          <w:p>
            <w:r>
              <w:t>ACHAT</w:t>
            </w:r>
          </w:p>
        </w:tc>
      </w:tr>
      <w:tr>
        <w:tc>
          <w:tcPr>
            <w:tcW w:type="dxa" w:w="1728"/>
          </w:tcPr>
          <w:p>
            <w:r>
              <w:t>BOAS (BANK OF AFRICA SENEGAL)</w:t>
            </w:r>
          </w:p>
        </w:tc>
        <w:tc>
          <w:tcPr>
            <w:tcW w:type="dxa" w:w="1728"/>
          </w:tcPr>
          <w:p>
            <w:r>
              <w:t>14433</w:t>
            </w:r>
          </w:p>
        </w:tc>
        <w:tc>
          <w:tcPr>
            <w:tcW w:type="dxa" w:w="1728"/>
          </w:tcPr>
          <w:p>
            <w:r>
              <w:t>118111651 FCFA</w:t>
            </w:r>
          </w:p>
        </w:tc>
        <w:tc>
          <w:tcPr>
            <w:tcW w:type="dxa" w:w="1728"/>
          </w:tcPr>
          <w:p>
            <w:r>
              <w:t>20.44%</w:t>
            </w:r>
          </w:p>
        </w:tc>
        <w:tc>
          <w:tcPr>
            <w:tcW w:type="dxa" w:w="1728"/>
          </w:tcPr>
          <w:p>
            <w:r>
              <w:t>ACHAT</w:t>
            </w:r>
          </w:p>
        </w:tc>
      </w:tr>
      <w:tr>
        <w:tc>
          <w:tcPr>
            <w:tcW w:type="dxa" w:w="1728"/>
          </w:tcPr>
          <w:p>
            <w:r>
              <w:t>UNXC (UNXC - UNIWAX COTE D'IVOIRE)</w:t>
            </w:r>
          </w:p>
        </w:tc>
        <w:tc>
          <w:tcPr>
            <w:tcW w:type="dxa" w:w="1728"/>
          </w:tcPr>
          <w:p>
            <w:r>
              <w:t>13300</w:t>
            </w:r>
          </w:p>
        </w:tc>
        <w:tc>
          <w:tcPr>
            <w:tcW w:type="dxa" w:w="1728"/>
          </w:tcPr>
          <w:p>
            <w:r>
              <w:t>32038779 FCFA</w:t>
            </w:r>
          </w:p>
        </w:tc>
        <w:tc>
          <w:tcPr>
            <w:tcW w:type="dxa" w:w="1728"/>
          </w:tcPr>
          <w:p>
            <w:r>
              <w:t>19.59%</w:t>
            </w:r>
          </w:p>
        </w:tc>
        <w:tc>
          <w:tcPr>
            <w:tcW w:type="dxa" w:w="1728"/>
          </w:tcPr>
          <w:p>
            <w:r>
              <w:t>ACHAT</w:t>
            </w:r>
          </w:p>
        </w:tc>
      </w:tr>
      <w:tr>
        <w:tc>
          <w:tcPr>
            <w:tcW w:type="dxa" w:w="1728"/>
          </w:tcPr>
          <w:p>
            <w:r>
              <w:t>SNTS (SNTS - SONATEL SN)</w:t>
            </w:r>
          </w:p>
        </w:tc>
        <w:tc>
          <w:tcPr>
            <w:tcW w:type="dxa" w:w="1728"/>
          </w:tcPr>
          <w:p>
            <w:r>
              <w:t>13006</w:t>
            </w:r>
          </w:p>
        </w:tc>
        <w:tc>
          <w:tcPr>
            <w:tcW w:type="dxa" w:w="1728"/>
          </w:tcPr>
          <w:p>
            <w:r>
              <w:t>488955874 FCFA</w:t>
            </w:r>
          </w:p>
        </w:tc>
        <w:tc>
          <w:tcPr>
            <w:tcW w:type="dxa" w:w="1728"/>
          </w:tcPr>
          <w:p>
            <w:r>
              <w:t>37.72%</w:t>
            </w:r>
          </w:p>
        </w:tc>
        <w:tc>
          <w:tcPr>
            <w:tcW w:type="dxa" w:w="1728"/>
          </w:tcPr>
          <w:p>
            <w:r>
              <w:t>ACHAT</w:t>
            </w:r>
          </w:p>
        </w:tc>
      </w:tr>
      <w:tr>
        <w:tc>
          <w:tcPr>
            <w:tcW w:type="dxa" w:w="1728"/>
          </w:tcPr>
          <w:p>
            <w:r>
              <w:t>BOAC (BANK OF AFRICA COTE D'IVOIRE)</w:t>
            </w:r>
          </w:p>
        </w:tc>
        <w:tc>
          <w:tcPr>
            <w:tcW w:type="dxa" w:w="1728"/>
          </w:tcPr>
          <w:p>
            <w:r>
              <w:t>11456</w:t>
            </w:r>
          </w:p>
        </w:tc>
        <w:tc>
          <w:tcPr>
            <w:tcW w:type="dxa" w:w="1728"/>
          </w:tcPr>
          <w:p>
            <w:r>
              <w:t>143968909 FCFA</w:t>
            </w:r>
          </w:p>
        </w:tc>
        <w:tc>
          <w:tcPr>
            <w:tcW w:type="dxa" w:w="1728"/>
          </w:tcPr>
          <w:p>
            <w:r>
              <w:t>41.18%</w:t>
            </w:r>
          </w:p>
        </w:tc>
        <w:tc>
          <w:tcPr>
            <w:tcW w:type="dxa" w:w="1728"/>
          </w:tcPr>
          <w:p>
            <w:r>
              <w:t>ACHAT</w:t>
            </w:r>
          </w:p>
        </w:tc>
      </w:tr>
      <w:tr>
        <w:tc>
          <w:tcPr>
            <w:tcW w:type="dxa" w:w="1728"/>
          </w:tcPr>
          <w:p>
            <w:r>
              <w:t>SAFC (SAFCA CI)</w:t>
            </w:r>
          </w:p>
        </w:tc>
        <w:tc>
          <w:tcPr>
            <w:tcW w:type="dxa" w:w="1728"/>
          </w:tcPr>
          <w:p>
            <w:r>
              <w:t>10895</w:t>
            </w:r>
          </w:p>
        </w:tc>
        <w:tc>
          <w:tcPr>
            <w:tcW w:type="dxa" w:w="1728"/>
          </w:tcPr>
          <w:p>
            <w:r>
              <w:t>60707762 FCFA</w:t>
            </w:r>
          </w:p>
        </w:tc>
        <w:tc>
          <w:tcPr>
            <w:tcW w:type="dxa" w:w="1728"/>
          </w:tcPr>
          <w:p>
            <w:r>
              <w:t>24.29%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4060</w:t>
            </w:r>
          </w:p>
        </w:tc>
        <w:tc>
          <w:tcPr>
            <w:tcW w:type="dxa" w:w="1728"/>
          </w:tcPr>
          <w:p>
            <w:r>
              <w:t>13103883 FCFA</w:t>
            </w:r>
          </w:p>
        </w:tc>
        <w:tc>
          <w:tcPr>
            <w:tcW w:type="dxa" w:w="1728"/>
          </w:tcPr>
          <w:p>
            <w:r>
              <w:t>1.38%</w:t>
            </w:r>
          </w:p>
        </w:tc>
        <w:tc>
          <w:tcPr>
            <w:tcW w:type="dxa" w:w="1728"/>
          </w:tcPr>
          <w:p>
            <w:r>
              <w:t>ACHAT</w:t>
            </w:r>
          </w:p>
        </w:tc>
      </w:tr>
      <w:tr>
        <w:tc>
          <w:tcPr>
            <w:tcW w:type="dxa" w:w="1728"/>
          </w:tcPr>
          <w:p>
            <w:r>
              <w:t>SOGC (SOGC - Société des caoutchoucs de Grand-Béréby)</w:t>
            </w:r>
          </w:p>
        </w:tc>
        <w:tc>
          <w:tcPr>
            <w:tcW w:type="dxa" w:w="1728"/>
          </w:tcPr>
          <w:p>
            <w:r>
              <w:t>3976</w:t>
            </w:r>
          </w:p>
        </w:tc>
        <w:tc>
          <w:tcPr>
            <w:tcW w:type="dxa" w:w="1728"/>
          </w:tcPr>
          <w:p>
            <w:r>
              <w:t>32858992 FCFA</w:t>
            </w:r>
          </w:p>
        </w:tc>
        <w:tc>
          <w:tcPr>
            <w:tcW w:type="dxa" w:w="1728"/>
          </w:tcPr>
          <w:p>
            <w:r>
              <w:t>4.58%</w:t>
            </w:r>
          </w:p>
        </w:tc>
        <w:tc>
          <w:tcPr>
            <w:tcW w:type="dxa" w:w="1728"/>
          </w:tcPr>
          <w:p>
            <w:r>
              <w:t>ACHAT</w:t>
            </w:r>
          </w:p>
        </w:tc>
      </w:tr>
      <w:tr>
        <w:tc>
          <w:tcPr>
            <w:tcW w:type="dxa" w:w="1728"/>
          </w:tcPr>
          <w:p>
            <w:r>
              <w:t>STBC (STBC - SITAB COTE D'IVOIRE)</w:t>
            </w:r>
          </w:p>
        </w:tc>
        <w:tc>
          <w:tcPr>
            <w:tcW w:type="dxa" w:w="1728"/>
          </w:tcPr>
          <w:p>
            <w:r>
              <w:t>3884</w:t>
            </w:r>
          </w:p>
        </w:tc>
        <w:tc>
          <w:tcPr>
            <w:tcW w:type="dxa" w:w="1728"/>
          </w:tcPr>
          <w:p>
            <w:r>
              <w:t>85591858 FCFA</w:t>
            </w:r>
          </w:p>
        </w:tc>
        <w:tc>
          <w:tcPr>
            <w:tcW w:type="dxa" w:w="1728"/>
          </w:tcPr>
          <w:p>
            <w:r>
              <w:t>5.12%</w:t>
            </w:r>
          </w:p>
        </w:tc>
        <w:tc>
          <w:tcPr>
            <w:tcW w:type="dxa" w:w="1728"/>
          </w:tcPr>
          <w:p>
            <w:r>
              <w:t>ACHAT</w:t>
            </w:r>
          </w:p>
        </w:tc>
      </w:tr>
      <w:tr>
        <w:tc>
          <w:tcPr>
            <w:tcW w:type="dxa" w:w="1728"/>
          </w:tcPr>
          <w:p>
            <w:r>
              <w:t>CFAC (CFAC - CFAO MOTORS CI)</w:t>
            </w:r>
          </w:p>
        </w:tc>
        <w:tc>
          <w:tcPr>
            <w:tcW w:type="dxa" w:w="1728"/>
          </w:tcPr>
          <w:p>
            <w:r>
              <w:t>3850</w:t>
            </w:r>
          </w:p>
        </w:tc>
        <w:tc>
          <w:tcPr>
            <w:tcW w:type="dxa" w:w="1728"/>
          </w:tcPr>
          <w:p>
            <w:r>
              <w:t>6595909 FCFA</w:t>
            </w:r>
          </w:p>
        </w:tc>
        <w:tc>
          <w:tcPr>
            <w:tcW w:type="dxa" w:w="1728"/>
          </w:tcPr>
          <w:p>
            <w:r>
              <w:t>6.45%</w:t>
            </w:r>
          </w:p>
        </w:tc>
        <w:tc>
          <w:tcPr>
            <w:tcW w:type="dxa" w:w="1728"/>
          </w:tcPr>
          <w:p>
            <w:r>
              <w:t>ACHAT FORT</w:t>
            </w:r>
          </w:p>
        </w:tc>
      </w:tr>
      <w:tr>
        <w:tc>
          <w:tcPr>
            <w:tcW w:type="dxa" w:w="1728"/>
          </w:tcPr>
          <w:p>
            <w:r>
              <w:t>ECOC (ECOC - ECOBANK COTE D'IVOIRE)</w:t>
            </w:r>
          </w:p>
        </w:tc>
        <w:tc>
          <w:tcPr>
            <w:tcW w:type="dxa" w:w="1728"/>
          </w:tcPr>
          <w:p>
            <w:r>
              <w:t>3538</w:t>
            </w:r>
          </w:p>
        </w:tc>
        <w:tc>
          <w:tcPr>
            <w:tcW w:type="dxa" w:w="1728"/>
          </w:tcPr>
          <w:p>
            <w:r>
              <w:t>59712446 FCFA</w:t>
            </w:r>
          </w:p>
        </w:tc>
        <w:tc>
          <w:tcPr>
            <w:tcW w:type="dxa" w:w="1728"/>
          </w:tcPr>
          <w:p>
            <w:r>
              <w:t>6.88%</w:t>
            </w:r>
          </w:p>
        </w:tc>
        <w:tc>
          <w:tcPr>
            <w:tcW w:type="dxa" w:w="1728"/>
          </w:tcPr>
          <w:p>
            <w:r>
              <w:t>ACHAT</w:t>
            </w:r>
          </w:p>
        </w:tc>
      </w:tr>
      <w:tr>
        <w:tc>
          <w:tcPr>
            <w:tcW w:type="dxa" w:w="1728"/>
          </w:tcPr>
          <w:p>
            <w:r>
              <w:t>FTSC (FTSC - FILTISAC COTE D'IVOIRE)</w:t>
            </w:r>
          </w:p>
        </w:tc>
        <w:tc>
          <w:tcPr>
            <w:tcW w:type="dxa" w:w="1728"/>
          </w:tcPr>
          <w:p>
            <w:r>
              <w:t>3229</w:t>
            </w:r>
          </w:p>
        </w:tc>
        <w:tc>
          <w:tcPr>
            <w:tcW w:type="dxa" w:w="1728"/>
          </w:tcPr>
          <w:p>
            <w:r>
              <w:t>6871642 FCFA</w:t>
            </w:r>
          </w:p>
        </w:tc>
        <w:tc>
          <w:tcPr>
            <w:tcW w:type="dxa" w:w="1728"/>
          </w:tcPr>
          <w:p>
            <w:r>
              <w:t>-7.51%</w:t>
            </w:r>
          </w:p>
        </w:tc>
        <w:tc>
          <w:tcPr>
            <w:tcW w:type="dxa" w:w="1728"/>
          </w:tcPr>
          <w:p>
            <w:r>
              <w:t>ACHAT</w:t>
            </w:r>
          </w:p>
        </w:tc>
      </w:tr>
      <w:tr>
        <w:tc>
          <w:tcPr>
            <w:tcW w:type="dxa" w:w="1728"/>
          </w:tcPr>
          <w:p>
            <w:r>
              <w:t>PALC (PALC - PALM COTE D'IVOIRE)</w:t>
            </w:r>
          </w:p>
        </w:tc>
        <w:tc>
          <w:tcPr>
            <w:tcW w:type="dxa" w:w="1728"/>
          </w:tcPr>
          <w:p>
            <w:r>
              <w:t>3103</w:t>
            </w:r>
          </w:p>
        </w:tc>
        <w:tc>
          <w:tcPr>
            <w:tcW w:type="dxa" w:w="1728"/>
          </w:tcPr>
          <w:p>
            <w:r>
              <w:t>27397258 FCFA</w:t>
            </w:r>
          </w:p>
        </w:tc>
        <w:tc>
          <w:tcPr>
            <w:tcW w:type="dxa" w:w="1728"/>
          </w:tcPr>
          <w:p>
            <w:r>
              <w:t>6.38%</w:t>
            </w:r>
          </w:p>
        </w:tc>
        <w:tc>
          <w:tcPr>
            <w:tcW w:type="dxa" w:w="1728"/>
          </w:tcPr>
          <w:p>
            <w:r>
              <w:t>ACHAT</w:t>
            </w:r>
          </w:p>
        </w:tc>
      </w:tr>
      <w:tr>
        <w:tc>
          <w:tcPr>
            <w:tcW w:type="dxa" w:w="1728"/>
          </w:tcPr>
          <w:p>
            <w:r>
              <w:t>NEIC (NEIC - NEI-CEDA CI)</w:t>
            </w:r>
          </w:p>
        </w:tc>
        <w:tc>
          <w:tcPr>
            <w:tcW w:type="dxa" w:w="1728"/>
          </w:tcPr>
          <w:p>
            <w:r>
              <w:t>2579</w:t>
            </w:r>
          </w:p>
        </w:tc>
        <w:tc>
          <w:tcPr>
            <w:tcW w:type="dxa" w:w="1728"/>
          </w:tcPr>
          <w:p>
            <w:r>
              <w:t>7204690 FCFA</w:t>
            </w:r>
          </w:p>
        </w:tc>
        <w:tc>
          <w:tcPr>
            <w:tcW w:type="dxa" w:w="1728"/>
          </w:tcPr>
          <w:p>
            <w:r>
              <w:t>73.47%</w:t>
            </w:r>
          </w:p>
        </w:tc>
        <w:tc>
          <w:tcPr>
            <w:tcW w:type="dxa" w:w="1728"/>
          </w:tcPr>
          <w:p>
            <w:r>
              <w:t>ACHAT</w:t>
            </w:r>
          </w:p>
        </w:tc>
      </w:tr>
      <w:tr>
        <w:tc>
          <w:tcPr>
            <w:tcW w:type="dxa" w:w="1728"/>
          </w:tcPr>
          <w:p>
            <w:r>
              <w:t>TTLS (TTLS - TOTAL ENERGIES MARKETING SENEGAL)</w:t>
            </w:r>
          </w:p>
        </w:tc>
        <w:tc>
          <w:tcPr>
            <w:tcW w:type="dxa" w:w="1728"/>
          </w:tcPr>
          <w:p>
            <w:r>
              <w:t>2342</w:t>
            </w:r>
          </w:p>
        </w:tc>
        <w:tc>
          <w:tcPr>
            <w:tcW w:type="dxa" w:w="1728"/>
          </w:tcPr>
          <w:p>
            <w:r>
              <w:t>9004653 FCFA</w:t>
            </w:r>
          </w:p>
        </w:tc>
        <w:tc>
          <w:tcPr>
            <w:tcW w:type="dxa" w:w="1728"/>
          </w:tcPr>
          <w:p>
            <w:r>
              <w:t>18.94%</w:t>
            </w:r>
          </w:p>
        </w:tc>
        <w:tc>
          <w:tcPr>
            <w:tcW w:type="dxa" w:w="1728"/>
          </w:tcPr>
          <w:p>
            <w:r>
              <w:t>ACHAT</w:t>
            </w:r>
          </w:p>
        </w:tc>
      </w:tr>
      <w:tr>
        <w:tc>
          <w:tcPr>
            <w:tcW w:type="dxa" w:w="1728"/>
          </w:tcPr>
          <w:p>
            <w:r>
              <w:t>SDCC (SDCC - Société de Distribution d'Eau de Côte d'Ivoire)</w:t>
            </w:r>
          </w:p>
        </w:tc>
        <w:tc>
          <w:tcPr>
            <w:tcW w:type="dxa" w:w="1728"/>
          </w:tcPr>
          <w:p>
            <w:r>
              <w:t>2328</w:t>
            </w:r>
          </w:p>
        </w:tc>
        <w:tc>
          <w:tcPr>
            <w:tcW w:type="dxa" w:w="1728"/>
          </w:tcPr>
          <w:p>
            <w:r>
              <w:t>30520076 FCFA</w:t>
            </w:r>
          </w:p>
        </w:tc>
        <w:tc>
          <w:tcPr>
            <w:tcW w:type="dxa" w:w="1728"/>
          </w:tcPr>
          <w:p>
            <w:r>
              <w:t>84.86%</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ABJC - ABJC - SERVAIR ABIDJAN CI</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3. SNTS - SNTS - SONATEL SN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4.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5.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6. LNBB - LNBB - LOTERIE NATIONALE DU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PRSC - PRSC - TRACTAFRIC MOTORS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SHEC - SHEC - VIVO ENERGY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9.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23</w:t>
            </w:r>
          </w:p>
        </w:tc>
        <w:tc>
          <w:tcPr>
            <w:tcW w:type="dxa" w:w="2160"/>
          </w:tcPr>
          <w:p>
            <w:r>
              <w:t>0</w:t>
            </w:r>
          </w:p>
        </w:tc>
      </w:tr>
      <w:tr>
        <w:tc>
          <w:tcPr>
            <w:tcW w:type="dxa" w:w="2160"/>
          </w:tcPr>
          <w:p>
            <w:r>
              <w:t>Risque Moyen</w:t>
            </w:r>
          </w:p>
        </w:tc>
        <w:tc>
          <w:tcPr>
            <w:tcW w:type="dxa" w:w="2160"/>
          </w:tcPr>
          <w:p>
            <w:r>
              <w:t>0</w:t>
            </w:r>
          </w:p>
        </w:tc>
        <w:tc>
          <w:tcPr>
            <w:tcW w:type="dxa" w:w="2160"/>
          </w:tcPr>
          <w:p>
            <w:r>
              <w:t>24</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**Fed (Warsh)** : les tendances d'inflation "ne passent pas le test", ton restrictif → politique monétaire prudente, taux élevés durablement (16/09).</w:t>
      </w:r>
    </w:p>
    <w:p>
      <w:pPr>
        <w:pStyle w:val="ListBullet"/>
        <w:spacing w:before="20" w:after="20"/>
        <w:ind w:left="360"/>
      </w:pPr>
      <w:r>
        <w:rPr>
          <w:sz w:val="18"/>
        </w:rPr>
        <w:t>**Yen/USD** : le yen chute après les décisions Fed, dollar soutenu (16/09).</w:t>
      </w:r>
    </w:p>
    <w:p>
      <w:pPr>
        <w:pStyle w:val="ListBullet"/>
        <w:spacing w:before="20" w:after="20"/>
        <w:ind w:left="360"/>
      </w:pPr>
      <w:r>
        <w:rPr>
          <w:sz w:val="18"/>
        </w:rPr>
        <w:t>**Europe** : essoufflement des marchés européens face aux États-Unis (17/09).</w:t>
      </w:r>
    </w:p>
    <w:p>
      <w:pPr>
        <w:pStyle w:val="ListBullet"/>
        <w:spacing w:before="20" w:after="20"/>
        <w:ind w:left="360"/>
      </w:pPr>
      <w:r>
        <w:rPr>
          <w:color w:val="C00000"/>
          <w:sz w:val="18"/>
        </w:rPr>
        <w:t>**Carburant France** : flambée des prix, renoncement à la voiture → pression sur la demande pétrolière (17/09).</w:t>
      </w:r>
    </w:p>
    <w:p>
      <w:pPr>
        <w:pStyle w:val="Heading3"/>
      </w:pPr>
      <w:r>
        <w:rPr>
          <w:color w:val="500050"/>
        </w:rPr>
        <w:t>⚡ Impact estimé sur la BRVM</w:t>
      </w:r>
    </w:p>
    <w:p>
      <w:pPr>
        <w:spacing w:before="20" w:after="40"/>
        <w:ind w:left="280"/>
      </w:pPr>
      <w:r>
        <w:rPr>
          <w:i/>
          <w:sz w:val="18"/>
        </w:rPr>
        <w:t>Un dollar fort et des taux US élevés renchérissent le coût du capital pour les marchés frontières et détournent les flux vers les actifs américains. Secteurs sensibles : **SERVICES FINANCIERS** (BOAC, BOABF, BOAS, SGBC) via hausse des coûts de refinancement, et **ENERGIE** (TTLS) via volatilité pétrolière. Impact globalement négatif mais indirect, la BRVM restant peu corrélée aux marchés mondiaux.</w:t>
      </w:r>
    </w:p>
    <w:p>
      <w:pPr>
        <w:pStyle w:val="Heading2"/>
      </w:pPr>
      <w:r>
        <w:rPr>
          <w:color w:val="006E32"/>
        </w:rPr>
        <w:t>🌍 Plan Africain</w:t>
      </w:r>
    </w:p>
    <w:p>
      <w:pPr>
        <w:pStyle w:val="ListBullet"/>
        <w:spacing w:before="20" w:after="20"/>
        <w:ind w:left="360"/>
      </w:pPr>
      <w:r>
        <w:rPr>
          <w:sz w:val="18"/>
        </w:rPr>
        <w:t>**Sénégal/FMI** : accord sur un programme d'aide d'environ 1,9 Md€ (01-02/09) → soutien budgétaire et crédibilité macro.</w:t>
      </w:r>
    </w:p>
    <w:p>
      <w:pPr>
        <w:pStyle w:val="ListBullet"/>
        <w:spacing w:before="20" w:after="20"/>
        <w:ind w:left="360"/>
      </w:pPr>
      <w:r>
        <w:rPr>
          <w:color w:val="008000"/>
          <w:sz w:val="18"/>
        </w:rPr>
        <w:t>**Afrique du Sud** : Goldman Sachs anticipe un retour en "Investment grade" dès 2028 (02/09) → signal positif pour les actifs africains.</w:t>
      </w:r>
    </w:p>
    <w:p>
      <w:pPr>
        <w:pStyle w:val="Heading3"/>
      </w:pPr>
      <w:r>
        <w:rPr>
          <w:color w:val="500050"/>
        </w:rPr>
        <w:t>⚡ Impact estimé sur la BRVM</w:t>
      </w:r>
    </w:p>
    <w:p>
      <w:pPr>
        <w:spacing w:before="20" w:after="40"/>
        <w:ind w:left="280"/>
      </w:pPr>
      <w:r>
        <w:rPr>
          <w:i/>
          <w:sz w:val="18"/>
        </w:rPr>
        <w:t>Ces signaux améliorent la perception du risque africain et peuvent attirer des capitaux vers les marchés frontières. Bénéficiaires indirects : banques panafricaines cotées (**BOABF, BOAS, SGBC**) et sociétés ivoiriennes à rayonnement régional (**SIVC, CFAC**).</w:t>
      </w:r>
    </w:p>
    <w:p>
      <w:pPr>
        <w:pStyle w:val="Heading2"/>
      </w:pPr>
      <w:r>
        <w:rPr>
          <w:color w:val="145A28"/>
        </w:rPr>
        <w:t>🌍 Plan Afrique de l'Ouest</w:t>
      </w:r>
    </w:p>
    <w:p>
      <w:pPr>
        <w:pStyle w:val="ListBullet"/>
        <w:spacing w:before="20" w:after="20"/>
        <w:ind w:left="360"/>
      </w:pPr>
      <w:r>
        <w:rPr>
          <w:sz w:val="18"/>
        </w:rPr>
        <w:t>**CEDEAO/Côte d'Ivoire** : renforcement des capacités sécurité-justice (17/09) → amélioration du climat des affaires.</w:t>
      </w:r>
    </w:p>
    <w:p>
      <w:pPr>
        <w:pStyle w:val="ListBullet"/>
        <w:spacing w:before="20" w:after="20"/>
        <w:ind w:left="360"/>
      </w:pPr>
      <w:r>
        <w:rPr>
          <w:sz w:val="18"/>
        </w:rPr>
        <w:t>**Bénin** : audit des projets structurants CEDEAO dans l'Ouémé (15/09) → suivi des investissements régionaux.</w:t>
      </w:r>
    </w:p>
    <w:p>
      <w:pPr>
        <w:pStyle w:val="ListBullet"/>
        <w:spacing w:before="20" w:after="20"/>
        <w:ind w:left="360"/>
      </w:pPr>
      <w:r>
        <w:rPr>
          <w:sz w:val="18"/>
        </w:rPr>
        <w:t>**Sénégal** : gaz local (GTA, Sangomar) pour réduire le coût de l'électricité (17/09).</w:t>
      </w:r>
    </w:p>
    <w:p>
      <w:pPr>
        <w:pStyle w:val="Heading3"/>
      </w:pPr>
      <w:r>
        <w:rPr>
          <w:color w:val="500050"/>
        </w:rPr>
        <w:t>⚡ Impact estimé sur la BRVM</w:t>
      </w:r>
    </w:p>
    <w:p>
      <w:pPr>
        <w:spacing w:before="20" w:after="40"/>
        <w:ind w:left="280"/>
      </w:pPr>
      <w:r>
        <w:rPr>
          <w:i/>
          <w:sz w:val="18"/>
        </w:rPr>
        <w:t>Un environnement sécuritaire et énergétique plus stable en Afrique de l'Ouest soutient les industriels et distributeurs régionaux (**SIVC, CABC, FTSC, CFAC**). Le gaz sénégalais pourrait à terme réduire les coûts énergétiques des entreprises de la sous-région.</w:t>
      </w:r>
    </w:p>
    <w:p>
      <w:pPr>
        <w:pStyle w:val="Heading2"/>
      </w:pPr>
      <w:r>
        <w:rPr>
          <w:color w:val="8C4600"/>
        </w:rPr>
        <w:t>🏦 Plan UEMOA / Zone Franc</w:t>
      </w:r>
    </w:p>
    <w:p>
      <w:pPr>
        <w:pStyle w:val="ListBullet"/>
        <w:spacing w:before="20" w:after="20"/>
        <w:ind w:left="360"/>
      </w:pPr>
      <w:r>
        <w:rPr>
          <w:sz w:val="18"/>
        </w:rPr>
        <w:t>**Sénégal-Émirats** : nouveau partenariat économique en préparation (17/09) → investissements directs potentiels.</w:t>
      </w:r>
    </w:p>
    <w:p>
      <w:pPr>
        <w:pStyle w:val="ListBullet"/>
        <w:spacing w:before="20" w:after="20"/>
        <w:ind w:left="360"/>
      </w:pPr>
      <w:r>
        <w:rPr>
          <w:color w:val="C00000"/>
          <w:sz w:val="18"/>
        </w:rPr>
        <w:t>**Sénégal** : valorisation du gaz local pour l'électricité → baisse attendue des coûts de production.</w:t>
      </w:r>
    </w:p>
    <w:p>
      <w:pPr>
        <w:pStyle w:val="ListBullet"/>
        <w:spacing w:before="20" w:after="20"/>
        <w:ind w:left="360"/>
      </w:pPr>
      <w:r>
        <w:rPr>
          <w:sz w:val="18"/>
        </w:rPr>
        <w:t>Données BCEAO (taux directeurs, inflation zone, liquidité bancaire) : **Données insuffisantes** dans le corpus.</w:t>
      </w:r>
    </w:p>
    <w:p>
      <w:pPr>
        <w:pStyle w:val="Heading3"/>
      </w:pPr>
      <w:r>
        <w:rPr>
          <w:color w:val="500050"/>
        </w:rPr>
        <w:t>⚡ Impact estimé sur la BRVM</w:t>
      </w:r>
    </w:p>
    <w:p>
      <w:pPr>
        <w:spacing w:before="20" w:after="40"/>
        <w:ind w:left="280"/>
      </w:pPr>
      <w:r>
        <w:rPr>
          <w:i/>
          <w:sz w:val="18"/>
        </w:rPr>
        <w:t>Un partenariat Sénégal-Émirats et la baisse du coût énergétique sont favorables aux **SERVICES PUBLICS** et **ENERGIE** (TTLS). Les banques (**SGBC, BOABF, BOAS, BOAC**) profiteraient d'une liquidité accrue si la BCEAO assouplit sa politique — à confirmer faute de données.</w:t>
      </w:r>
    </w:p>
    <w:p>
      <w:pPr>
        <w:pStyle w:val="Heading2"/>
      </w:pPr>
      <w:r>
        <w:rPr>
          <w:color w:val="003366"/>
        </w:rPr>
        <w:t>📈 Plan BRVM</w:t>
      </w:r>
    </w:p>
    <w:p>
      <w:pPr>
        <w:pStyle w:val="ListBullet"/>
        <w:spacing w:before="20" w:after="20"/>
        <w:ind w:left="360"/>
      </w:pPr>
      <w:r>
        <w:rPr>
          <w:sz w:val="18"/>
        </w:rPr>
        <w:t>**Résultats ivoiriens encourageants** : les sociétés cotées affichent de bonnes performances (09/06, La Tribune).</w:t>
      </w:r>
    </w:p>
    <w:p>
      <w:pPr>
        <w:pStyle w:val="ListBullet"/>
        <w:spacing w:before="20" w:after="20"/>
        <w:ind w:left="360"/>
      </w:pPr>
      <w:r>
        <w:rPr>
          <w:sz w:val="18"/>
        </w:rPr>
        <w:t>Indice BRVM Composite : **548,07**.</w:t>
      </w:r>
    </w:p>
    <w:p>
      <w:pPr>
        <w:pStyle w:val="ListBullet"/>
        <w:spacing w:before="20" w:after="20"/>
        <w:ind w:left="360"/>
      </w:pPr>
      <w:r>
        <w:rPr>
          <w:sz w:val="18"/>
        </w:rPr>
        <w:t>Volumes, IPO, dividendes : **Données insuffisantes**.</w:t>
      </w:r>
    </w:p>
    <w:p>
      <w:pPr>
        <w:pStyle w:val="Heading3"/>
      </w:pPr>
      <w:r>
        <w:rPr>
          <w:color w:val="500050"/>
        </w:rPr>
        <w:t>⚡ Impact estimé sur la BRVM</w:t>
      </w:r>
    </w:p>
    <w:p>
      <w:pPr>
        <w:pStyle w:val="ListBullet"/>
        <w:spacing w:before="20" w:after="20"/>
        <w:ind w:left="560"/>
      </w:pPr>
      <w:r>
        <w:rPr>
          <w:color w:val="500050"/>
          <w:sz w:val="18"/>
        </w:rPr>
        <w:t>**SGBC, BOABF, BOAS, BOAC** : résultats bancaires solides, à surveiller pour dividendes.</w:t>
      </w:r>
    </w:p>
    <w:p>
      <w:pPr>
        <w:pStyle w:val="ListBullet"/>
        <w:spacing w:before="20" w:after="20"/>
        <w:ind w:left="560"/>
      </w:pPr>
      <w:r>
        <w:rPr>
          <w:color w:val="500050"/>
          <w:sz w:val="18"/>
        </w:rPr>
        <w:t>**PALC, NTLC, SCRC** (consommation de base) : demande résiliente, valeurs défensives.</w:t>
      </w:r>
    </w:p>
    <w:p>
      <w:pPr>
        <w:pStyle w:val="ListBullet"/>
        <w:spacing w:before="20" w:after="20"/>
        <w:ind w:left="560"/>
      </w:pPr>
      <w:r>
        <w:rPr>
          <w:color w:val="500050"/>
          <w:sz w:val="18"/>
        </w:rPr>
        <w:t>**CFAC, UNXC, NEIC, BNBC** (consommation discrétionnaire) : sensibles au pouvoir d'achat.</w:t>
      </w:r>
    </w:p>
    <w:p>
      <w:pPr>
        <w:pStyle w:val="ListBullet"/>
        <w:spacing w:before="20" w:after="20"/>
        <w:ind w:left="560"/>
      </w:pPr>
      <w:r>
        <w:rPr>
          <w:color w:val="500050"/>
          <w:sz w:val="18"/>
        </w:rPr>
        <w:t>**SIVC, CABC, FTSC** (industriels) : bénéficiaires de la stabilité régionale.</w:t>
      </w:r>
    </w:p>
    <w:p>
      <w:pPr>
        <w:pStyle w:val="ListBullet"/>
        <w:spacing w:before="20" w:after="20"/>
        <w:ind w:left="560"/>
      </w:pPr>
      <w:r>
        <w:rPr>
          <w:color w:val="500050"/>
          <w:sz w:val="18"/>
        </w:rPr>
        <w:t>**TTLS** (énergie) : à surveiller selon l'évolution du pétrole.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**Fed/Warsh** : ton restrictif, incertitude sur la trajectoire des taux (16/09).</w:t>
      </w:r>
    </w:p>
    <w:p>
      <w:pPr>
        <w:pStyle w:val="ListBullet"/>
        <w:spacing w:before="20" w:after="20"/>
        <w:ind w:left="360"/>
      </w:pPr>
      <w:r>
        <w:rPr>
          <w:sz w:val="18"/>
        </w:rPr>
        <w:t>**Europe/États-Unis** : divergence de performance économique (17/09).</w:t>
      </w:r>
    </w:p>
    <w:p>
      <w:pPr>
        <w:pStyle w:val="ListBullet"/>
        <w:spacing w:before="20" w:after="20"/>
        <w:ind w:left="360"/>
      </w:pPr>
      <w:r>
        <w:rPr>
          <w:sz w:val="18"/>
        </w:rPr>
        <w:t>Tensions commerciales, élections, sanctions : **Données insuffisantes**.</w:t>
      </w:r>
    </w:p>
    <w:p>
      <w:pPr>
        <w:pStyle w:val="Heading3"/>
      </w:pPr>
      <w:r>
        <w:rPr>
          <w:color w:val="500050"/>
        </w:rPr>
        <w:t>⚡ Impact estimé sur la BRVM</w:t>
      </w:r>
    </w:p>
    <w:p>
      <w:pPr>
        <w:spacing w:before="20" w:after="40"/>
        <w:ind w:left="280"/>
      </w:pPr>
      <w:r>
        <w:rPr>
          <w:i/>
          <w:sz w:val="18"/>
        </w:rPr>
        <w:t>L'incertitude monétaire mondiale pousse les investisseurs vers la prudence, réduisant l'appétit pour les marchés frontières. Effet modéré sur la BRVM, peu corrélée, mais surveillance des flux étrangers.</w:t>
      </w:r>
    </w:p>
    <w:p>
      <w:pPr>
        <w:pStyle w:val="Heading2"/>
      </w:pPr>
      <w:r>
        <w:rPr>
          <w:color w:val="006E32"/>
        </w:rPr>
        <w:t>🌍 Plan Africain</w:t>
      </w:r>
    </w:p>
    <w:p>
      <w:pPr>
        <w:pStyle w:val="ListBullet"/>
        <w:spacing w:before="20" w:after="20"/>
        <w:ind w:left="360"/>
      </w:pPr>
      <w:r>
        <w:rPr>
          <w:sz w:val="18"/>
        </w:rPr>
        <w:t>**Sénégal** : stabilité institutionnelle renforcée par l'accord FMI (01-02/09).</w:t>
      </w:r>
    </w:p>
    <w:p>
      <w:pPr>
        <w:pStyle w:val="ListBullet"/>
        <w:spacing w:before="20" w:after="20"/>
        <w:ind w:left="360"/>
      </w:pPr>
      <w:r>
        <w:rPr>
          <w:sz w:val="18"/>
        </w:rPr>
        <w:t>**Afrique du Sud** : perspective de notation positive (02/09).</w:t>
      </w:r>
    </w:p>
    <w:p>
      <w:pPr>
        <w:pStyle w:val="ListBullet"/>
        <w:spacing w:before="20" w:after="20"/>
        <w:ind w:left="360"/>
      </w:pPr>
      <w:r>
        <w:rPr>
          <w:sz w:val="18"/>
        </w:rPr>
        <w:t>Coups d'État, transitions : **Données insuffisantes**.</w:t>
      </w:r>
    </w:p>
    <w:p>
      <w:pPr>
        <w:pStyle w:val="Heading3"/>
      </w:pPr>
      <w:r>
        <w:rPr>
          <w:color w:val="500050"/>
        </w:rPr>
        <w:t>⚡ Impact estimé sur la BRVM</w:t>
      </w:r>
    </w:p>
    <w:p>
      <w:pPr>
        <w:spacing w:before="20" w:after="40"/>
        <w:ind w:left="280"/>
      </w:pPr>
      <w:r>
        <w:rPr>
          <w:i/>
          <w:sz w:val="18"/>
        </w:rPr>
        <w:t>La stabilité sénégalaise et l'amélioration sud-africaine renforcent la confiance des investisseurs envers l'Afrique de l'Ouest. Flux de capitaux potentiellement positifs vers la BRVM.</w:t>
      </w:r>
    </w:p>
    <w:p>
      <w:pPr>
        <w:pStyle w:val="Heading2"/>
      </w:pPr>
      <w:r>
        <w:rPr>
          <w:color w:val="145A28"/>
        </w:rPr>
        <w:t>🌍 Plan Afrique de l'Ouest</w:t>
      </w:r>
    </w:p>
    <w:p>
      <w:pPr>
        <w:pStyle w:val="ListBullet"/>
        <w:spacing w:before="20" w:after="20"/>
        <w:ind w:left="360"/>
      </w:pPr>
      <w:r>
        <w:rPr>
          <w:sz w:val="18"/>
        </w:rPr>
        <w:t>**CEDEAO** : formation sécurité-justice en Côte d'Ivoire (17/09).</w:t>
      </w:r>
    </w:p>
    <w:p>
      <w:pPr>
        <w:pStyle w:val="ListBullet"/>
        <w:spacing w:before="20" w:after="20"/>
        <w:ind w:left="360"/>
      </w:pPr>
      <w:r>
        <w:rPr>
          <w:sz w:val="18"/>
        </w:rPr>
        <w:t>**Portrait Diomaye Faye** : pari régional au sein de la CEDEAO (11/09).</w:t>
      </w:r>
    </w:p>
    <w:p>
      <w:pPr>
        <w:pStyle w:val="ListBullet"/>
        <w:spacing w:before="20" w:after="20"/>
        <w:ind w:left="360"/>
      </w:pPr>
      <w:r>
        <w:rPr>
          <w:sz w:val="18"/>
        </w:rPr>
        <w:t>**AES, transitions** : **Données insuffisantes**.</w:t>
      </w:r>
    </w:p>
    <w:p>
      <w:pPr>
        <w:pStyle w:val="Heading3"/>
      </w:pPr>
      <w:r>
        <w:rPr>
          <w:color w:val="500050"/>
        </w:rPr>
        <w:t>⚡ Impact estimé sur la BRVM</w:t>
      </w:r>
    </w:p>
    <w:p>
      <w:pPr>
        <w:spacing w:before="20" w:after="40"/>
        <w:ind w:left="280"/>
      </w:pPr>
      <w:r>
        <w:rPr>
          <w:i/>
          <w:sz w:val="18"/>
        </w:rPr>
        <w:t>Le renforcement sécuritaire réduit les risques opérationnels pour les sociétés cotées opérant au Sahel et en zone côtière (**SIVC, CFAC, BOABF**). La stabilité ivoirienne reste le pilier de la BRVM.</w:t>
      </w:r>
    </w:p>
    <w:p>
      <w:pPr>
        <w:pStyle w:val="Heading2"/>
      </w:pPr>
      <w:r>
        <w:rPr>
          <w:color w:val="8C4600"/>
        </w:rPr>
        <w:t>🏦 Plan UEMOA / Zone Franc</w:t>
      </w:r>
    </w:p>
    <w:p>
      <w:pPr>
        <w:pStyle w:val="ListBullet"/>
        <w:spacing w:before="20" w:after="20"/>
        <w:ind w:left="360"/>
      </w:pPr>
      <w:r>
        <w:rPr>
          <w:sz w:val="18"/>
        </w:rPr>
        <w:t>**Sénégal** : commémoration du premier gouvernement (17/09) → stabilité historique.</w:t>
      </w:r>
    </w:p>
    <w:p>
      <w:pPr>
        <w:pStyle w:val="ListBullet"/>
        <w:spacing w:before="20" w:after="20"/>
        <w:ind w:left="360"/>
      </w:pPr>
      <w:r>
        <w:rPr>
          <w:sz w:val="18"/>
        </w:rPr>
        <w:t>Réformes institutionnelles : **Données insuffisantes**.</w:t>
      </w:r>
    </w:p>
    <w:p>
      <w:pPr>
        <w:pStyle w:val="Heading3"/>
      </w:pPr>
      <w:r>
        <w:rPr>
          <w:color w:val="500050"/>
        </w:rPr>
        <w:t>⚡ Impact estimé sur la BRVM</w:t>
      </w:r>
    </w:p>
    <w:p>
      <w:pPr>
        <w:spacing w:before="20" w:after="40"/>
        <w:ind w:left="280"/>
      </w:pPr>
      <w:r>
        <w:rPr>
          <w:i/>
          <w:sz w:val="18"/>
        </w:rPr>
        <w:t>Environnement politique UEMOA globalement stable, favorable à la continuité réglementaire. Risque réglementaire faible à court terme.</w:t>
      </w:r>
    </w:p>
    <w:p>
      <w:pPr>
        <w:pStyle w:val="Heading2"/>
      </w:pPr>
      <w:r>
        <w:rPr>
          <w:color w:val="003366"/>
        </w:rPr>
        <w:t>📈 Plan BRVM</w:t>
      </w:r>
    </w:p>
    <w:p>
      <w:pPr>
        <w:pStyle w:val="ListBullet"/>
        <w:spacing w:before="20" w:after="20"/>
        <w:ind w:left="360"/>
      </w:pPr>
      <w:r>
        <w:rPr>
          <w:sz w:val="18"/>
        </w:rPr>
        <w:t>Réglementation CREPMF, nouvelles cotations, gouvernance : **Données insuffisantes**.</w:t>
      </w:r>
    </w:p>
    <w:p>
      <w:pPr>
        <w:pStyle w:val="Heading3"/>
      </w:pPr>
      <w:r>
        <w:rPr>
          <w:color w:val="500050"/>
        </w:rPr>
        <w:t>⚡ Impact estimé sur la BRVM</w:t>
      </w:r>
    </w:p>
    <w:p>
      <w:pPr>
        <w:spacing w:before="20" w:after="40"/>
        <w:ind w:left="280"/>
      </w:pPr>
      <w:r>
        <w:rPr>
          <w:i/>
          <w:sz w:val="18"/>
        </w:rPr>
        <w:t>Aucun changement réglementaire signalé. Le marché évolue dans un cadre stable, sans catalyseur politique majeur identifié.</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**Europe** : essoufflement face aux États-Unis (17/09).</w:t>
      </w:r>
    </w:p>
    <w:p>
      <w:pPr>
        <w:pStyle w:val="ListBullet"/>
        <w:spacing w:before="20" w:after="20"/>
        <w:ind w:left="360"/>
      </w:pPr>
      <w:r>
        <w:rPr>
          <w:sz w:val="18"/>
        </w:rPr>
        <w:t>**Yen** : chute face au dollar après la Fed (16/09).</w:t>
      </w:r>
    </w:p>
    <w:p>
      <w:pPr>
        <w:pStyle w:val="ListBullet"/>
        <w:spacing w:before="20" w:after="20"/>
        <w:ind w:left="360"/>
      </w:pPr>
      <w:r>
        <w:rPr>
          <w:sz w:val="18"/>
        </w:rPr>
        <w:t>**Fed** : ton restrictif sur l'inflation (16/09).</w:t>
      </w:r>
    </w:p>
    <w:p>
      <w:pPr>
        <w:pStyle w:val="ListBullet"/>
        <w:spacing w:before="20" w:after="20"/>
        <w:ind w:left="360"/>
      </w:pPr>
      <w:r>
        <w:rPr>
          <w:sz w:val="18"/>
        </w:rPr>
        <w:t>Crypto, flux capitaux : **Données insuffisantes**.</w:t>
      </w:r>
    </w:p>
    <w:p>
      <w:pPr>
        <w:pStyle w:val="Heading3"/>
      </w:pPr>
      <w:r>
        <w:rPr>
          <w:color w:val="500050"/>
        </w:rPr>
        <w:t>⚡ Impact estimé sur la BRVM</w:t>
      </w:r>
    </w:p>
    <w:p>
      <w:pPr>
        <w:spacing w:before="20" w:after="40"/>
        <w:ind w:left="280"/>
      </w:pPr>
      <w:r>
        <w:rPr>
          <w:i/>
          <w:sz w:val="18"/>
        </w:rPr>
        <w:t>Un dollar fort et des taux US élevés réduisent l'attrait pour les marchés émergents/frontières. Impact négatif indirect sur les flux étrangers vers la BRVM, notamment sur les valeurs bancaires (**SGBC, BOABF**).</w:t>
      </w:r>
    </w:p>
    <w:p>
      <w:pPr>
        <w:pStyle w:val="Heading2"/>
      </w:pPr>
      <w:r>
        <w:rPr>
          <w:color w:val="006E32"/>
        </w:rPr>
        <w:t>🌍 Plan Africain</w:t>
      </w:r>
    </w:p>
    <w:p>
      <w:pPr>
        <w:pStyle w:val="ListBullet"/>
        <w:spacing w:before="20" w:after="20"/>
        <w:ind w:left="360"/>
      </w:pPr>
      <w:r>
        <w:rPr>
          <w:sz w:val="18"/>
        </w:rPr>
        <w:t>**Afrique du Sud** : perspective Investment grade 2028 (02/09).</w:t>
      </w:r>
    </w:p>
    <w:p>
      <w:pPr>
        <w:pStyle w:val="ListBullet"/>
        <w:spacing w:before="20" w:after="20"/>
        <w:ind w:left="360"/>
      </w:pPr>
      <w:r>
        <w:rPr>
          <w:sz w:val="18"/>
        </w:rPr>
        <w:t>**Sénégal** : accord FMI 1,9 Md€ (01-02/09).</w:t>
      </w:r>
    </w:p>
    <w:p>
      <w:pPr>
        <w:pStyle w:val="ListBullet"/>
        <w:spacing w:before="20" w:after="20"/>
        <w:ind w:left="360"/>
      </w:pPr>
      <w:r>
        <w:rPr>
          <w:sz w:val="18"/>
        </w:rPr>
        <w:t>Eurobonds, notations souveraines : **Données insuffisantes**.</w:t>
      </w:r>
    </w:p>
    <w:p>
      <w:pPr>
        <w:pStyle w:val="Heading3"/>
      </w:pPr>
      <w:r>
        <w:rPr>
          <w:color w:val="500050"/>
        </w:rPr>
        <w:t>⚡ Impact estimé sur la BRVM</w:t>
      </w:r>
    </w:p>
    <w:p>
      <w:pPr>
        <w:spacing w:before="20" w:after="40"/>
        <w:ind w:left="280"/>
      </w:pPr>
      <w:r>
        <w:rPr>
          <w:i/>
          <w:sz w:val="18"/>
        </w:rPr>
        <w:t>L'amélioration des perspectives africaines peut détourner une partie des capitaux vers l'Afrique du Sud, mais renforce aussi la crédibilité de la zone UEMOA. Effet net légèrement positif.</w:t>
      </w:r>
    </w:p>
    <w:p>
      <w:pPr>
        <w:pStyle w:val="Heading2"/>
      </w:pPr>
      <w:r>
        <w:rPr>
          <w:color w:val="145A28"/>
        </w:rPr>
        <w:t>🌍 Plan Afrique de l'Ouest</w:t>
      </w:r>
    </w:p>
    <w:p>
      <w:pPr>
        <w:pStyle w:val="ListBullet"/>
        <w:spacing w:before="20" w:after="20"/>
        <w:ind w:left="360"/>
      </w:pPr>
      <w:r>
        <w:rPr>
          <w:sz w:val="18"/>
        </w:rPr>
        <w:t>Bourses concurrentes (Ghana, Nigeria) : **Données insuffisantes**.</w:t>
      </w:r>
    </w:p>
    <w:p>
      <w:pPr>
        <w:pStyle w:val="ListBullet"/>
        <w:spacing w:before="20" w:after="20"/>
        <w:ind w:left="360"/>
      </w:pPr>
      <w:r>
        <w:rPr>
          <w:sz w:val="18"/>
        </w:rPr>
        <w:t>Flux sous-régionaux : **Données insuffisantes**.</w:t>
      </w:r>
    </w:p>
    <w:p>
      <w:pPr>
        <w:pStyle w:val="Heading3"/>
      </w:pPr>
      <w:r>
        <w:rPr>
          <w:color w:val="500050"/>
        </w:rPr>
        <w:t>⚡ Impact estimé sur la BRVM</w:t>
      </w:r>
    </w:p>
    <w:p>
      <w:pPr>
        <w:spacing w:before="20" w:after="40"/>
        <w:ind w:left="280"/>
      </w:pPr>
      <w:r>
        <w:rPr>
          <w:i/>
          <w:sz w:val="18"/>
        </w:rPr>
        <w:t>Positionnement de la BRVM comme place de référence UEMOA non remis en cause. Absence de données sur la concurrence régionale.</w:t>
      </w:r>
    </w:p>
    <w:p>
      <w:pPr>
        <w:pStyle w:val="Heading2"/>
      </w:pPr>
      <w:r>
        <w:rPr>
          <w:color w:val="8C4600"/>
        </w:rPr>
        <w:t>🏦 Plan UEMOA / Zone Franc</w:t>
      </w:r>
    </w:p>
    <w:p>
      <w:pPr>
        <w:pStyle w:val="ListBullet"/>
        <w:spacing w:before="20" w:after="20"/>
        <w:ind w:left="360"/>
      </w:pPr>
      <w:r>
        <w:rPr>
          <w:sz w:val="18"/>
        </w:rPr>
        <w:t>Marché des titres publics, taux interbancaire, liquidité : **Données insuffisantes**.</w:t>
      </w:r>
    </w:p>
    <w:p>
      <w:pPr>
        <w:pStyle w:val="Heading3"/>
      </w:pPr>
      <w:r>
        <w:rPr>
          <w:color w:val="500050"/>
        </w:rPr>
        <w:t>⚡ Impact estimé sur la BRVM</w:t>
      </w:r>
    </w:p>
    <w:p>
      <w:pPr>
        <w:spacing w:before="20" w:after="40"/>
        <w:ind w:left="280"/>
      </w:pPr>
      <w:r>
        <w:rPr>
          <w:i/>
          <w:sz w:val="18"/>
        </w:rPr>
        <w:t>Sans données BCEAO, l'arbitrage titres publics/actions BRVM ne peut être évalué. À surveiller : une hausse des taux publics détournerait la liquidité des actions.</w:t>
      </w:r>
    </w:p>
    <w:p>
      <w:pPr>
        <w:pStyle w:val="Heading2"/>
      </w:pPr>
      <w:r>
        <w:rPr>
          <w:color w:val="003366"/>
        </w:rPr>
        <w:t>📈 Plan BRVM</w:t>
      </w:r>
    </w:p>
    <w:p>
      <w:pPr>
        <w:pStyle w:val="ListBullet"/>
        <w:spacing w:before="20" w:after="20"/>
        <w:ind w:left="360"/>
      </w:pPr>
      <w:r>
        <w:rPr>
          <w:sz w:val="18"/>
        </w:rPr>
        <w:t>**Indice composite : 548,07**.</w:t>
      </w:r>
    </w:p>
    <w:p>
      <w:pPr>
        <w:pStyle w:val="ListBullet"/>
        <w:spacing w:before="20" w:after="20"/>
        <w:ind w:left="360"/>
      </w:pPr>
      <w:r>
        <w:rPr>
          <w:sz w:val="18"/>
        </w:rPr>
        <w:t>**Résultats ivoiriens encourageants** (09/06).</w:t>
      </w:r>
    </w:p>
    <w:p>
      <w:pPr>
        <w:pStyle w:val="ListBullet"/>
        <w:spacing w:before="20" w:after="20"/>
        <w:ind w:left="360"/>
      </w:pPr>
      <w:r>
        <w:rPr>
          <w:sz w:val="18"/>
        </w:rPr>
        <w:t>Top/flop, volumes : **Données insuffisantes**.</w:t>
      </w:r>
    </w:p>
    <w:p>
      <w:pPr>
        <w:pStyle w:val="Heading3"/>
      </w:pPr>
      <w:r>
        <w:rPr>
          <w:color w:val="500050"/>
        </w:rPr>
        <w:t>⚡ Impact estimé sur la BRVM</w:t>
      </w:r>
    </w:p>
    <w:p>
      <w:pPr>
        <w:pStyle w:val="ListBullet"/>
        <w:spacing w:before="20" w:after="20"/>
        <w:ind w:left="560"/>
      </w:pPr>
      <w:r>
        <w:rPr>
          <w:color w:val="500050"/>
          <w:sz w:val="18"/>
        </w:rPr>
        <w:t>**SGBC, BOABF, BOAS, BOAC** : résultats solides, opportunités d'achat sur repli.</w:t>
      </w:r>
    </w:p>
    <w:p>
      <w:pPr>
        <w:pStyle w:val="ListBullet"/>
        <w:spacing w:before="20" w:after="20"/>
        <w:ind w:left="560"/>
      </w:pPr>
      <w:r>
        <w:rPr>
          <w:color w:val="500050"/>
          <w:sz w:val="18"/>
        </w:rPr>
        <w:t>**PALC, NTLC, SCRC** : valeurs défensives, à conserver.</w:t>
      </w:r>
    </w:p>
    <w:p>
      <w:pPr>
        <w:pStyle w:val="ListBullet"/>
        <w:spacing w:before="20" w:after="20"/>
        <w:ind w:left="560"/>
      </w:pPr>
      <w:r>
        <w:rPr>
          <w:color w:val="500050"/>
          <w:sz w:val="18"/>
        </w:rPr>
        <w:t>**CFAC, UNXC, NEIC, BNBC** : sensibles à la consommation, prudence.</w:t>
      </w:r>
    </w:p>
    <w:p>
      <w:pPr>
        <w:pStyle w:val="ListBullet"/>
        <w:spacing w:before="20" w:after="20"/>
        <w:ind w:left="560"/>
      </w:pPr>
      <w:r>
        <w:rPr>
          <w:color w:val="500050"/>
          <w:sz w:val="18"/>
        </w:rPr>
        <w:t>**SIVC, CABC, FTSC** : bénéficiaires de la stabilité régionale, accumulation progressive.</w:t>
      </w:r>
    </w:p>
    <w:p>
      <w:pPr>
        <w:pStyle w:val="ListBullet"/>
        <w:spacing w:before="20" w:after="20"/>
        <w:ind w:left="560"/>
      </w:pPr>
      <w:r>
        <w:rPr>
          <w:color w:val="500050"/>
          <w:sz w:val="18"/>
        </w:rPr>
        <w:t>**TTLS** : surveiller le pétrole, volatilité attendue.</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mondial reste incertain (Fed restrictive, dollar fort, Europe en perte de vitesse), ce qui pèse indirectement sur les flux vers les marchés frontières. Toutefois, les fondamentaux africains s'améliorent (accord FMI Sénégal, perspective Investment grade Afrique du Sud, stabilité CEDEAO) et les résultats des sociétés ivoiriennes cotées sont encourageants. Recommandation : **privilégier les valeurs bancaires (SGBC, BOABF, BOAS) et défensives (PALC, NTLC, SCRC)**, accumuler progressivement les industriels (SIVC, CABC) sur repli, et rester prudent sur la consommation discrétionnaire (CFAC, UNXC) tant que le pouvoir d'achat reste sous pression.</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2026-09-17</w:t>
            </w:r>
          </w:p>
        </w:tc>
        <w:tc>
          <w:tcPr>
            <w:tcW w:type="dxa" w:w="1728"/>
          </w:tcPr>
          <w:p>
            <w:r>
              <w:rPr>
                <w:sz w:val="14"/>
              </w:rPr>
              <w:t>Face à la flambée des prix du carburant, les Français renoncent de plu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Un pari raté pour Donald Trump ? "Même les gens qu'il nomme ne sont pa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CEDEAO-Tunisie : Engagement en faveur d'une coopération renforcée - ko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17 SEPTEMBRE 1960 : AUX ORIGINES DU PREMIER GOUVERNEMENT DU SÉNÉGAL 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2026-09-17</w:t>
            </w:r>
          </w:p>
        </w:tc>
        <w:tc>
          <w:tcPr>
            <w:tcW w:type="dxa" w:w="1728"/>
          </w:tcPr>
          <w:p>
            <w:r>
              <w:rPr>
                <w:sz w:val="14"/>
              </w:rPr>
              <w:t>Sénégal : le gaz local doit réduire le coût de l’électricité - Benin W</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2026-09-17</w:t>
            </w:r>
          </w:p>
        </w:tc>
        <w:tc>
          <w:tcPr>
            <w:tcW w:type="dxa" w:w="1728"/>
          </w:tcPr>
          <w:p>
            <w:r>
              <w:rPr>
                <w:sz w:val="14"/>
              </w:rPr>
              <w:t>Sénégal-Émirats : Diomaye Faye et Mohammed bin Zayed préparent un nouv</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2026-09-17</w:t>
            </w:r>
          </w:p>
        </w:tc>
        <w:tc>
          <w:tcPr>
            <w:tcW w:type="dxa" w:w="1728"/>
          </w:tcPr>
          <w:p>
            <w:r>
              <w:rPr>
                <w:sz w:val="14"/>
              </w:rPr>
              <w:t>Mali : Assimi Goïta consolide la Refondation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Sénégal: le Premier ministre a reçu les patrons des principales entrep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Côte d'Ivoire-France : Arrestation de Katinan, quand le Parti Communis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Un pari raté pour Donald Trump ? "Même les gens qu'il nomme ne sont pa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Un pari raté pour Donald Trump ? "Même les gens qu'il nomme ne sont pa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Un pari raté pour Donald Trump ? "Même les gens qu'il nomme ne sont pa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Un pari raté pour Donald Trump ? "Même les gens qu'il nomme ne sont pa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Un pari raté pour Donald Trump ? "Même les gens qu'il nomme ne sont pa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Sénégal-Émirats : Diomaye Faye et Mohammed bin Zayed préparent un nouv</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Côte d'Ivoire-France : Arrestation de Katinan, quand le Parti Communis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2026-09-17</w:t>
            </w:r>
          </w:p>
        </w:tc>
        <w:tc>
          <w:tcPr>
            <w:tcW w:type="dxa" w:w="1728"/>
          </w:tcPr>
          <w:p>
            <w:r>
              <w:rPr>
                <w:sz w:val="14"/>
              </w:rPr>
              <w:t>Sénégal-Émirats : Diomaye Faye et Mohammed bin Zayed préparent un nouv</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2026-09-17</w:t>
            </w:r>
          </w:p>
        </w:tc>
        <w:tc>
          <w:tcPr>
            <w:tcW w:type="dxa" w:w="1728"/>
          </w:tcPr>
          <w:p>
            <w:r>
              <w:rPr>
                <w:sz w:val="14"/>
              </w:rPr>
              <w:t>Mali : Assimi Goïta consolide la Refondation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2026-09-17</w:t>
            </w:r>
          </w:p>
        </w:tc>
        <w:tc>
          <w:tcPr>
            <w:tcW w:type="dxa" w:w="1728"/>
          </w:tcPr>
          <w:p>
            <w:r>
              <w:rPr>
                <w:sz w:val="14"/>
              </w:rPr>
              <w:t>Sénégal-Émirats : Diomaye Faye et Mohammed bin Zayed préparent un nouv</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Côte d'Ivoire-France : Arrestation de Katinan, quand le Parti Communis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2026-09-17</w:t>
            </w:r>
          </w:p>
        </w:tc>
        <w:tc>
          <w:tcPr>
            <w:tcW w:type="dxa" w:w="1728"/>
          </w:tcPr>
          <w:p>
            <w:r>
              <w:rPr>
                <w:sz w:val="14"/>
              </w:rPr>
              <w:t>17 SEPTEMBRE 1960 : AUX ORIGINES DU PREMIER GOUVERNEMENT DU SÉNÉGAL IN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2026-09-17</w:t>
            </w:r>
          </w:p>
        </w:tc>
        <w:tc>
          <w:tcPr>
            <w:tcW w:type="dxa" w:w="1728"/>
          </w:tcPr>
          <w:p>
            <w:r>
              <w:rPr>
                <w:sz w:val="14"/>
              </w:rPr>
              <w:t>Sénégal : le gaz local doit réduire le coût de l’électricité - Benin W</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Sénégal-Émirats : Diomaye Faye et Mohammed bin Zayed préparent un nouv</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Côte d'Ivoire-France : Arrestation de Katinan, quand le Parti Communis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2026-09-17</w:t>
            </w:r>
          </w:p>
        </w:tc>
        <w:tc>
          <w:tcPr>
            <w:tcW w:type="dxa" w:w="1728"/>
          </w:tcPr>
          <w:p>
            <w:r>
              <w:rPr>
                <w:sz w:val="14"/>
              </w:rPr>
              <w:t>Sucrivoire, SONOCO et SICOR suspendues de cotation à la BRVM - agencee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(8 alerte(s))</w:t>
      </w:r>
    </w:p>
    <w:p>
      <w:pPr>
        <w:spacing w:before="40" w:after="40"/>
        <w:ind w:left="360"/>
      </w:pPr>
      <w:r>
        <w:rPr>
          <w:color w:val="646464"/>
          <w:sz w:val="17"/>
        </w:rPr>
        <w:t xml:space="preserve">[18/09/2026] 🔴  </w:t>
      </w:r>
      <w:r>
        <w:rPr>
          <w:b/>
          <w:color w:val="C00000"/>
          <w:sz w:val="18"/>
        </w:rPr>
        <w:t>Côte d'Ivoire-France : Arrestation de Katinan, quand le Parti Communiste Français s'en mêle, demande sa libération et in</w:t>
      </w:r>
      <w:r>
        <w:rPr>
          <w:color w:val="787878"/>
          <w:sz w:val="15"/>
        </w:rPr>
        <w:t xml:space="preserve">  [politique]</w:t>
      </w:r>
      <w:r>
        <w:rPr>
          <w:color w:val="B47800"/>
          <w:sz w:val="16"/>
        </w:rPr>
        <w:t xml:space="preserve">  ★ 50/10</w:t>
      </w:r>
    </w:p>
    <w:p>
      <w:pPr>
        <w:spacing w:before="0" w:after="20"/>
        <w:ind w:left="600"/>
      </w:pPr>
      <w:r>
        <w:rPr>
          <w:color w:val="323232"/>
          <w:sz w:val="17"/>
        </w:rPr>
        <w:t>L'article rapporte l'arrestation de Justin Katinan Koné, ancien ministre du budget de Laurent Gbagbo, en Côte d'Ivoire, et la réaction du Parti Communiste Français qui demande sa libération. Le PCF interpelle le gouvernement français ainsi que l'Union européenne sur cette affaire. Cette arrestation s'inscrit dans un contexte politique tendu entre l</w:t>
      </w:r>
    </w:p>
    <w:p>
      <w:pPr>
        <w:spacing w:before="0" w:after="40"/>
        <w:ind w:left="600"/>
      </w:pPr>
      <w:r>
        <w:rPr>
          <w:color w:val="00643C"/>
          <w:sz w:val="16"/>
        </w:rPr>
        <w:t>Points clés : Arrestation de Justin Katinan Koné, ancien ministre de Laurent Gbagbo  •  Le Parti Communiste Français demande sa libération et interpelle Paris et l'UE  •  Contexte de tensions politiques post-crise ivoirienne  •  Possible impact sur les relations Côte d'Ivoire-France</w:t>
      </w:r>
    </w:p>
    <w:p>
      <w:pPr>
        <w:spacing w:before="0" w:after="60"/>
        <w:ind w:left="600"/>
      </w:pPr>
      <w:r>
        <w:rPr>
          <w:color w:val="0064B4"/>
          <w:sz w:val="15"/>
        </w:rPr>
        <w:t>Source : https://news.google.com/rss/articles/CBMi2wJBVV95cUxOaVktZEI4ZmRpaXRrdS1oSzFXOVV</w:t>
      </w:r>
    </w:p>
    <w:p>
      <w:pPr>
        <w:spacing w:before="40" w:after="40"/>
        <w:ind w:left="360"/>
      </w:pPr>
      <w:r>
        <w:rPr>
          <w:color w:val="646464"/>
          <w:sz w:val="17"/>
        </w:rPr>
        <w:t xml:space="preserve">[18/09/2026] 🟢  </w:t>
      </w:r>
      <w:r>
        <w:rPr>
          <w:b/>
          <w:color w:val="008000"/>
          <w:sz w:val="18"/>
        </w:rPr>
        <w:t>Sénégal: le Premier ministre a reçu les patrons des principales entreprises privées du pays - RFI</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a reçu les patrons des principales entreprises privées du pays lors d'une rencontre à Dakar. Cette réunion s'inscrit dans un contexte de dialogue entre le nouveau gouvernement et le secteur privé. Les discussions ont probablement porté sur les priorités économiques, le climat des affaires et les réformes à venir. L'ob</w:t>
      </w:r>
    </w:p>
    <w:p>
      <w:pPr>
        <w:spacing w:before="0" w:after="40"/>
        <w:ind w:left="600"/>
      </w:pPr>
      <w:r>
        <w:rPr>
          <w:color w:val="00643C"/>
          <w:sz w:val="16"/>
        </w:rPr>
        <w:t>Points clés : Rencontre entre le Premier ministre sénégalais et les dirigeants des grandes entreprises privées  •  Signal d'ouverture au dialogue public-privé  •  Enjeux : climat des affaires, réformes économiques et relance de la croissance</w:t>
      </w:r>
    </w:p>
    <w:p>
      <w:pPr>
        <w:spacing w:before="0" w:after="60"/>
        <w:ind w:left="600"/>
      </w:pPr>
      <w:r>
        <w:rPr>
          <w:color w:val="0064B4"/>
          <w:sz w:val="15"/>
        </w:rPr>
        <w:t>Source : https://news.google.com/rss/articles/CBMi4wFBVV95cUxPYl9udWtzVS1XT2VJc3NzSENaOWo</w:t>
      </w:r>
    </w:p>
    <w:p>
      <w:pPr>
        <w:spacing w:before="40" w:after="40"/>
        <w:ind w:left="360"/>
      </w:pPr>
      <w:r>
        <w:rPr>
          <w:color w:val="646464"/>
          <w:sz w:val="17"/>
        </w:rPr>
        <w:t xml:space="preserve">[17/09/2026] 🟢  </w:t>
      </w:r>
      <w:r>
        <w:rPr>
          <w:b/>
          <w:color w:val="008000"/>
          <w:sz w:val="18"/>
        </w:rPr>
        <w:t>Sénégal : le gaz local doit réduire le coût de l’électricité - Benin Web TV</w:t>
      </w:r>
      <w:r>
        <w:rPr>
          <w:color w:val="787878"/>
          <w:sz w:val="15"/>
        </w:rPr>
        <w:t xml:space="preserve">  [politique]</w:t>
      </w:r>
      <w:r>
        <w:rPr>
          <w:color w:val="B47800"/>
          <w:sz w:val="16"/>
        </w:rPr>
        <w:t xml:space="preserve">  ★ 50/10</w:t>
      </w:r>
    </w:p>
    <w:p>
      <w:pPr>
        <w:spacing w:before="0" w:after="20"/>
        <w:ind w:left="600"/>
      </w:pPr>
      <w:r>
        <w:rPr>
          <w:color w:val="323232"/>
          <w:sz w:val="17"/>
        </w:rPr>
        <w:t>Le Sénégal prévoit d'utiliser son gaz naturel local, notamment issu des champs de Grand Tortue Ahmeyim et Sangomar, pour réduire le coût de production de l'électricité. Cette stratégie vise à alléger la facture énergétique et à améliorer la compétitivité de l'économie sénégalaise. Elle pourrait aussi réduire la dépendance aux importations de combus</w:t>
      </w:r>
    </w:p>
    <w:p>
      <w:pPr>
        <w:spacing w:before="0" w:after="40"/>
        <w:ind w:left="600"/>
      </w:pPr>
      <w:r>
        <w:rPr>
          <w:color w:val="00643C"/>
          <w:sz w:val="16"/>
        </w:rPr>
        <w:t>Points clés : Le Sénégal veut s'appuyer sur le gaz local pour baisser le coût de l'électricité  •  Objectif : réduire la dépendance aux importations de combustibles et la facture énergétique  •  Impact potentiel sur la compétitivité économique et le pouvoir d'achat</w:t>
      </w:r>
    </w:p>
    <w:p>
      <w:pPr>
        <w:spacing w:before="0" w:after="60"/>
        <w:ind w:left="600"/>
      </w:pPr>
      <w:r>
        <w:rPr>
          <w:color w:val="0064B4"/>
          <w:sz w:val="15"/>
        </w:rPr>
        <w:t>Source : https://news.google.com/rss/articles/CBMihwFBVV95cUxQVkZucmYwTHoxX29IZEN0WTRmU05</w:t>
      </w:r>
    </w:p>
    <w:p>
      <w:pPr>
        <w:spacing w:before="40" w:after="40"/>
        <w:ind w:left="360"/>
      </w:pPr>
      <w:r>
        <w:rPr>
          <w:color w:val="646464"/>
          <w:sz w:val="17"/>
        </w:rPr>
        <w:t xml:space="preserve">[17/09/2026] ⚪  </w:t>
      </w:r>
      <w:r>
        <w:rPr>
          <w:b/>
          <w:color w:val="505050"/>
          <w:sz w:val="18"/>
        </w:rPr>
        <w:t>Mali : Assimi Goïta consolide la Refondation - Africa24 TV</w:t>
      </w:r>
      <w:r>
        <w:rPr>
          <w:color w:val="787878"/>
          <w:sz w:val="15"/>
        </w:rPr>
        <w:t xml:space="preserve">  [politique]</w:t>
      </w:r>
      <w:r>
        <w:rPr>
          <w:color w:val="B47800"/>
          <w:sz w:val="16"/>
        </w:rPr>
        <w:t xml:space="preserve">  ★ 50/10</w:t>
      </w:r>
    </w:p>
    <w:p>
      <w:pPr>
        <w:spacing w:before="0" w:after="20"/>
        <w:ind w:left="600"/>
      </w:pPr>
      <w:r>
        <w:rPr>
          <w:color w:val="323232"/>
          <w:sz w:val="17"/>
        </w:rPr>
        <w:t>L'article rapporte qu'Assimi Goïta consolide le processus de Refondation au Mali. Cette information s'inscrit dans un contexte politique malien en évolution, avec des implications potentielles pour la stabilité institutionnelle du pays. Les détails précis des mesures ou événements ne sont pas fournis dans l'extrait disponible.</w:t>
      </w:r>
    </w:p>
    <w:p>
      <w:pPr>
        <w:spacing w:before="0" w:after="40"/>
        <w:ind w:left="600"/>
      </w:pPr>
      <w:r>
        <w:rPr>
          <w:color w:val="00643C"/>
          <w:sz w:val="16"/>
        </w:rPr>
        <w:t>Points clés : Assimi Goïta renforce le processus de Refondation au Mali  •  Contexte politique malien en transition  •  Article de Africa24 TV classé en catégorie politique</w:t>
      </w:r>
    </w:p>
    <w:p>
      <w:pPr>
        <w:spacing w:before="0" w:after="60"/>
        <w:ind w:left="600"/>
      </w:pPr>
      <w:r>
        <w:rPr>
          <w:color w:val="0064B4"/>
          <w:sz w:val="15"/>
        </w:rPr>
        <w:t>Source : https://news.google.com/rss/articles/CBMidEFVX3lxTE1sTU81b1AxdDJYWHo0T21ack9XRHN</w:t>
      </w:r>
    </w:p>
    <w:p>
      <w:pPr>
        <w:spacing w:before="40" w:after="40"/>
        <w:ind w:left="360"/>
      </w:pPr>
      <w:r>
        <w:rPr>
          <w:color w:val="646464"/>
          <w:sz w:val="17"/>
        </w:rPr>
        <w:t xml:space="preserve">[17/09/2026] ⚪  </w:t>
      </w:r>
      <w:r>
        <w:rPr>
          <w:b/>
          <w:color w:val="505050"/>
          <w:sz w:val="18"/>
        </w:rPr>
        <w:t>17 SEPTEMBRE 1960 : AUX ORIGINES DU PREMIER GOUVERNEMENT DU SÉNÉGAL INDÉPENDANT - RADIO TELEVISION SENEGALAISE</w:t>
      </w:r>
      <w:r>
        <w:rPr>
          <w:color w:val="787878"/>
          <w:sz w:val="15"/>
        </w:rPr>
        <w:t xml:space="preserve">  [politique]</w:t>
      </w:r>
      <w:r>
        <w:rPr>
          <w:color w:val="B47800"/>
          <w:sz w:val="16"/>
        </w:rPr>
        <w:t xml:space="preserve">  ★ 50/10</w:t>
      </w:r>
    </w:p>
    <w:p>
      <w:pPr>
        <w:spacing w:before="0" w:after="20"/>
        <w:ind w:left="600"/>
      </w:pPr>
      <w:r>
        <w:rPr>
          <w:color w:val="323232"/>
          <w:sz w:val="17"/>
        </w:rPr>
        <w:t>L'article revient sur la formation du premier gouvernement du Sénégal indépendant, constitué le 17 septembre 1960. Il retrace le contexte politique de cette période charnière après l'éclatement de la Fédération du Mali. Ce contenu est publié par la Radio Télévision Sénégalaise dans un cadre commémoratif et historique.</w:t>
      </w:r>
    </w:p>
    <w:p>
      <w:pPr>
        <w:spacing w:before="0" w:after="40"/>
        <w:ind w:left="600"/>
      </w:pPr>
      <w:r>
        <w:rPr>
          <w:color w:val="00643C"/>
          <w:sz w:val="16"/>
        </w:rPr>
        <w:t>Points clés : Commémoration de la formation du premier gouvernement sénégalais indépendant le 17 septembre 1960  •  Contexte post-éclatement de la Fédération du Mali  •  Contenu à caractère historique et politique, sans dimension économique</w:t>
      </w:r>
    </w:p>
    <w:p>
      <w:pPr>
        <w:spacing w:before="0" w:after="60"/>
        <w:ind w:left="600"/>
      </w:pPr>
      <w:r>
        <w:rPr>
          <w:color w:val="0064B4"/>
          <w:sz w:val="15"/>
        </w:rPr>
        <w:t>Source : https://news.google.com/rss/articles/CBMivwFBVV95cUxQUFBzNjRHRVJIbTRodHhFTEFoZkR</w:t>
      </w:r>
    </w:p>
    <w:p>
      <w:pPr>
        <w:spacing w:before="120" w:after="40"/>
      </w:pPr>
      <w:r>
        <w:rPr>
          <w:b/>
          <w:color w:val="00467F"/>
          <w:sz w:val="20"/>
        </w:rPr>
        <w:t>🔑 marche_financier  (2 alerte(s))</w:t>
      </w:r>
    </w:p>
    <w:p>
      <w:pPr>
        <w:spacing w:before="40" w:after="40"/>
        <w:ind w:left="360"/>
      </w:pPr>
      <w:r>
        <w:rPr>
          <w:color w:val="646464"/>
          <w:sz w:val="17"/>
        </w:rPr>
        <w:t xml:space="preserve">[17/09/2026] 🔴  </w:t>
      </w:r>
      <w:r>
        <w:rPr>
          <w:b/>
          <w:color w:val="C00000"/>
          <w:sz w:val="18"/>
        </w:rPr>
        <w:t>Bourse : l'Europe s'essouffle face aux Etats-Unis - Les Echos</w:t>
      </w:r>
      <w:r>
        <w:rPr>
          <w:color w:val="787878"/>
          <w:sz w:val="15"/>
        </w:rPr>
        <w:t xml:space="preserve">  [marche_financier]</w:t>
      </w:r>
      <w:r>
        <w:rPr>
          <w:color w:val="B47800"/>
          <w:sz w:val="16"/>
        </w:rPr>
        <w:t xml:space="preserve">  ★ 50/10</w:t>
      </w:r>
    </w:p>
    <w:p>
      <w:pPr>
        <w:spacing w:before="0" w:after="20"/>
        <w:ind w:left="600"/>
      </w:pPr>
      <w:r>
        <w:rPr>
          <w:color w:val="323232"/>
          <w:sz w:val="17"/>
        </w:rPr>
        <w:t>Les marchés européens montrent des signes d'essoufflement face à la performance des marchés américains, selon Les Echos. Cette divergence reflète des dynamiques économiques et des politiques monétaires différentes entre les deux régions. Les investisseurs semblent privilégier les actifs américains, pénalisant ainsi les indices européens.</w:t>
      </w:r>
    </w:p>
    <w:p>
      <w:pPr>
        <w:spacing w:before="0" w:after="40"/>
        <w:ind w:left="600"/>
      </w:pPr>
      <w:r>
        <w:rPr>
          <w:color w:val="00643C"/>
          <w:sz w:val="16"/>
        </w:rPr>
        <w:t>Points clés : L'Europe boursière perd de son élan comparée aux États-Unis  •  Divergence de performance entre les deux zones  •  Préférence des investisseurs pour les actifs américains</w:t>
      </w:r>
    </w:p>
    <w:p>
      <w:pPr>
        <w:spacing w:before="0" w:after="60"/>
        <w:ind w:left="600"/>
      </w:pPr>
      <w:r>
        <w:rPr>
          <w:color w:val="0064B4"/>
          <w:sz w:val="15"/>
        </w:rPr>
        <w:t>Source : https://news.google.com/rss/articles/CBMisgFBVV95cUxOemhpRmJ6V2VZUDl3MlNHLS15YlV</w:t>
      </w:r>
    </w:p>
    <w:p>
      <w:pPr>
        <w:spacing w:before="40" w:after="40"/>
        <w:ind w:left="360"/>
      </w:pPr>
      <w:r>
        <w:rPr>
          <w:color w:val="646464"/>
          <w:sz w:val="17"/>
        </w:rPr>
        <w:t xml:space="preserve">[17/09/2026] 🔴  </w:t>
      </w:r>
      <w:r>
        <w:rPr>
          <w:b/>
          <w:color w:val="C00000"/>
          <w:sz w:val="18"/>
        </w:rPr>
        <w:t>Sucrivoire, SONOCO et SICOR suspendues de cotation à la BRVM - agenceecofin.com</w:t>
      </w:r>
      <w:r>
        <w:rPr>
          <w:color w:val="787878"/>
          <w:sz w:val="15"/>
        </w:rPr>
        <w:t xml:space="preserve">  [marche_financier]</w:t>
      </w:r>
      <w:r>
        <w:rPr>
          <w:color w:val="B47800"/>
          <w:sz w:val="16"/>
        </w:rPr>
        <w:t xml:space="preserve">  ★ 50/10</w:t>
      </w:r>
    </w:p>
    <w:p>
      <w:pPr>
        <w:spacing w:before="0" w:after="20"/>
        <w:ind w:left="600"/>
      </w:pPr>
      <w:r>
        <w:rPr>
          <w:color w:val="323232"/>
          <w:sz w:val="17"/>
        </w:rPr>
        <w:t>La BRVM a suspendu la cotation des titres de Sucrivoire, SONOCO et SICOR. Cette décision intervient généralement en raison de la non-publication des états financiers ou d'opérations en cours sur le capital. Les investisseurs ne peuvent plus échanger ces actions jusqu'à nouvel ordre. Cela affecte la liquidité et la transparence sur ces valeurs.</w:t>
      </w:r>
    </w:p>
    <w:p>
      <w:pPr>
        <w:spacing w:before="0" w:after="40"/>
        <w:ind w:left="600"/>
      </w:pPr>
      <w:r>
        <w:rPr>
          <w:color w:val="00643C"/>
          <w:sz w:val="16"/>
        </w:rPr>
        <w:t>Points clés : Suspension de cotation de Sucrivoire, SONOCO et SICOR à la BRVM  •  Décision probablement liée à des obligations réglementaires non remplies  •  Impact sur la liquidité et la valorisation de ces titres  •  Les investisseurs sont bloqués sur ces positions</w:t>
      </w:r>
    </w:p>
    <w:p>
      <w:pPr>
        <w:spacing w:before="0" w:after="60"/>
        <w:ind w:left="600"/>
      </w:pPr>
      <w:r>
        <w:rPr>
          <w:color w:val="0064B4"/>
          <w:sz w:val="15"/>
        </w:rPr>
        <w:t>Source : https://news.google.com/rss/articles/CBMiuwFBVV95cUxNN2JkQktreFd5VU0yZ0d5WHItR20</w:t>
      </w:r>
    </w:p>
    <w:p>
      <w:pPr>
        <w:spacing w:before="120" w:after="40"/>
      </w:pPr>
      <w:r>
        <w:rPr>
          <w:b/>
          <w:color w:val="00467F"/>
          <w:sz w:val="20"/>
        </w:rPr>
        <w:t>🔑 matieres_premieres  (5 alerte(s))</w:t>
      </w:r>
    </w:p>
    <w:p>
      <w:pPr>
        <w:spacing w:before="40" w:after="40"/>
        <w:ind w:left="360"/>
      </w:pPr>
      <w:r>
        <w:rPr>
          <w:color w:val="646464"/>
          <w:sz w:val="17"/>
        </w:rPr>
        <w:t xml:space="preserve">[17/09/2026] 🔴  </w:t>
      </w:r>
      <w:r>
        <w:rPr>
          <w:b/>
          <w:color w:val="C00000"/>
          <w:sz w:val="18"/>
        </w:rPr>
        <w:t>Face à la flambée des prix du carburant, les Français renoncent de plus en plus à la voiture - Les Echos</w:t>
      </w:r>
      <w:r>
        <w:rPr>
          <w:color w:val="787878"/>
          <w:sz w:val="15"/>
        </w:rPr>
        <w:t xml:space="preserve">  [matieres_premieres]</w:t>
      </w:r>
      <w:r>
        <w:rPr>
          <w:color w:val="B47800"/>
          <w:sz w:val="16"/>
        </w:rPr>
        <w:t xml:space="preserve">  ★ 50/10</w:t>
      </w:r>
    </w:p>
    <w:p>
      <w:pPr>
        <w:spacing w:before="0" w:after="20"/>
        <w:ind w:left="600"/>
      </w:pPr>
      <w:r>
        <w:rPr>
          <w:color w:val="323232"/>
          <w:sz w:val="17"/>
        </w:rPr>
        <w:t>Les prix du carburant en France connaissent une flambée qui pousse de plus en plus de Français à renoncer à l'usage de la voiture. Cette tendance reflète une pression sur le pouvoir d'achat des ménages et pourrait modifier durablement les habitudes de mobilité. Elle s'inscrit dans un contexte de volatilité des prix des matières premières énergétiqu</w:t>
      </w:r>
    </w:p>
    <w:p>
      <w:pPr>
        <w:spacing w:before="0" w:after="40"/>
        <w:ind w:left="600"/>
      </w:pPr>
      <w:r>
        <w:rPr>
          <w:color w:val="00643C"/>
          <w:sz w:val="16"/>
        </w:rPr>
        <w:t>Points clés : Flambée des prix du carburant en France  •  Renoncement croissant à la voiture par les Français  •  Pression sur le pouvoir d'achat des ménages  •  Possible changement durable des habitudes de mobilité</w:t>
      </w:r>
    </w:p>
    <w:p>
      <w:pPr>
        <w:spacing w:before="0" w:after="60"/>
        <w:ind w:left="600"/>
      </w:pPr>
      <w:r>
        <w:rPr>
          <w:color w:val="0064B4"/>
          <w:sz w:val="15"/>
        </w:rPr>
        <w:t>Source : https://news.google.com/rss/articles/CBMi4wFBVV95cUxQTzJYQzVJOV9HQTg2UDJLM3N1UF9</w:t>
      </w:r>
    </w:p>
    <w:p>
      <w:pPr>
        <w:spacing w:before="40" w:after="40"/>
        <w:ind w:left="360"/>
      </w:pPr>
      <w:r>
        <w:rPr>
          <w:color w:val="646464"/>
          <w:sz w:val="17"/>
        </w:rPr>
        <w:t xml:space="preserve">[17/09/2026] 🔴  </w:t>
      </w:r>
      <w:r>
        <w:rPr>
          <w:b/>
          <w:color w:val="C00000"/>
          <w:sz w:val="18"/>
        </w:rPr>
        <w:t>Marché des matières premières : Les prix du pétrole brut et du café baissent tous deux.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Les prix du pétrole brut et du café ont enregistré une baisse simultanée sur les marchés internationaux des matières premières. Cette tendance baissière concerne deux commodités majeures suivies par les investisseurs. La baisse du pétrole affecte les coûts énergétiques mondiaux, tandis que celle du café touche directement les pays producteurs. Ces </w:t>
      </w:r>
    </w:p>
    <w:p>
      <w:pPr>
        <w:spacing w:before="0" w:after="40"/>
        <w:ind w:left="600"/>
      </w:pPr>
      <w:r>
        <w:rPr>
          <w:color w:val="00643C"/>
          <w:sz w:val="16"/>
        </w:rPr>
        <w:t>Points clés : Baisse simultanée des prix du pétrole brut et du café  •  Impact potentiel sur les pays exportateurs de café  •  Répercussions sur les coûts énergétiques mondiaux</w:t>
      </w:r>
    </w:p>
    <w:p>
      <w:pPr>
        <w:spacing w:before="0" w:after="60"/>
        <w:ind w:left="600"/>
      </w:pPr>
      <w:r>
        <w:rPr>
          <w:color w:val="0064B4"/>
          <w:sz w:val="15"/>
        </w:rPr>
        <w:t>Source : https://news.google.com/rss/articles/CBMiigFBVV95cUxOak1ndTFUMFBnM01xMFlVYjRYTlZ</w:t>
      </w:r>
    </w:p>
    <w:p>
      <w:pPr>
        <w:spacing w:before="40" w:after="40"/>
        <w:ind w:left="360"/>
      </w:pPr>
      <w:r>
        <w:rPr>
          <w:color w:val="646464"/>
          <w:sz w:val="17"/>
        </w:rPr>
        <w:t xml:space="preserve">[17/09/2026] 🔴  </w:t>
      </w:r>
      <w:r>
        <w:rPr>
          <w:b/>
          <w:color w:val="C00000"/>
          <w:sz w:val="18"/>
        </w:rPr>
        <w:t>La Fed relève ses taux d'intérêt, les prix du pétrole brut s'effondrent.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La Réserve fédérale américaine a relevé ses taux d'intérêt, une décision de politique monétaire qui a entraîné une chute des prix du pétrole brut. Cette hausse des taux renforce le dollar et pèse sur la demande de matières premières, notamment l'énergie. Les marchés pétroliers réagissent négativement, avec des baisses marquées des cours du brut.</w:t>
      </w:r>
    </w:p>
    <w:p>
      <w:pPr>
        <w:spacing w:before="0" w:after="40"/>
        <w:ind w:left="600"/>
      </w:pPr>
      <w:r>
        <w:rPr>
          <w:color w:val="00643C"/>
          <w:sz w:val="16"/>
        </w:rPr>
        <w:t>Points clés : La Fed relève ses taux d'intérêt  •  Les prix du pétrole brut s'effondrent en réaction  •  Impact sur les matières premières et le dollar</w:t>
      </w:r>
    </w:p>
    <w:p>
      <w:pPr>
        <w:spacing w:before="0" w:after="60"/>
        <w:ind w:left="600"/>
      </w:pPr>
      <w:r>
        <w:rPr>
          <w:color w:val="0064B4"/>
          <w:sz w:val="15"/>
        </w:rPr>
        <w:t>Source : https://news.google.com/rss/articles/CBMicEFVX3lxTFBOejltMUVjQjVZR2JwYzJfV3lyYXY</w:t>
      </w:r>
    </w:p>
    <w:p>
      <w:pPr>
        <w:spacing w:before="40" w:after="40"/>
        <w:ind w:left="360"/>
      </w:pPr>
      <w:r>
        <w:rPr>
          <w:color w:val="646464"/>
          <w:sz w:val="17"/>
        </w:rPr>
        <w:t xml:space="preserve">[17/09/2026] 🔴  </w:t>
      </w:r>
      <w:r>
        <w:rPr>
          <w:b/>
          <w:color w:val="C00000"/>
          <w:sz w:val="18"/>
        </w:rPr>
        <w:t>Les prix du pétrole et du café ont tous deux baissé.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et du café ont enregistré une baisse simultanée sur les marchés internationaux. Cette tendance baissière concerne deux matières premières essentielles pour l'économie mondiale. Pour la BRVM, cette évolution est particulièrement pertinente car le café est un produit d'exportation majeur de la Côte d'Ivoire. La baisse des prix pou</w:t>
      </w:r>
    </w:p>
    <w:p>
      <w:pPr>
        <w:spacing w:before="0" w:after="40"/>
        <w:ind w:left="600"/>
      </w:pPr>
      <w:r>
        <w:rPr>
          <w:color w:val="00643C"/>
          <w:sz w:val="16"/>
        </w:rPr>
        <w:t>Points clés : Baisse simultanée des prix du pétrole et du café sur les marchés internationaux  •  Le café est une culture d'exportation clé pour la Côte d'Ivoire, membre de la BRVM  •  Impact potentiel sur les revenus des producteurs et exportateurs ivoiriens  •  Surveillance nécessaire des sociétés cotées liées aux matières premières agricoles</w:t>
      </w:r>
    </w:p>
    <w:p>
      <w:pPr>
        <w:spacing w:before="0" w:after="60"/>
        <w:ind w:left="600"/>
      </w:pPr>
      <w:r>
        <w:rPr>
          <w:color w:val="0064B4"/>
          <w:sz w:val="15"/>
        </w:rPr>
        <w:t>Source : https://news.google.com/rss/articles/CBMiakFVX3lxTFB4X0YzdmhMVE9QODlueDRuM0ZkWGR</w:t>
      </w:r>
    </w:p>
    <w:p>
      <w:pPr>
        <w:spacing w:before="40" w:after="40"/>
        <w:ind w:left="360"/>
      </w:pPr>
      <w:r>
        <w:rPr>
          <w:color w:val="646464"/>
          <w:sz w:val="17"/>
        </w:rPr>
        <w:t xml:space="preserve">[16/09/2026] ⚪  </w:t>
      </w:r>
      <w:r>
        <w:rPr>
          <w:b/>
          <w:color w:val="505050"/>
          <w:sz w:val="18"/>
        </w:rPr>
        <w:t>Prix des carburants : pourquoi le prix du Superéthanol-E85 reste-t-il stable ? - Bioethanolcarburant</w:t>
      </w:r>
      <w:r>
        <w:rPr>
          <w:color w:val="787878"/>
          <w:sz w:val="15"/>
        </w:rPr>
        <w:t xml:space="preserve">  [matieres_premieres]</w:t>
      </w:r>
      <w:r>
        <w:rPr>
          <w:color w:val="B47800"/>
          <w:sz w:val="16"/>
        </w:rPr>
        <w:t xml:space="preserve">  ★ 50/10</w:t>
      </w:r>
    </w:p>
    <w:p>
      <w:pPr>
        <w:spacing w:before="0" w:after="20"/>
        <w:ind w:left="600"/>
      </w:pPr>
      <w:r>
        <w:rPr>
          <w:color w:val="323232"/>
          <w:sz w:val="17"/>
        </w:rPr>
        <w:t>Le prix du Superéthanol-E85 reste stable malgré les fluctuations des prix des carburants traditionnels. Cette stabilité s'explique par la structure de coûts spécifique à ce biocarburant, notamment le prix de la matière première agricole et les politiques de soutien. Cette situation pourrait influencer la compétitivité des biocarburants sur le march</w:t>
      </w:r>
    </w:p>
    <w:p>
      <w:pPr>
        <w:spacing w:before="0" w:after="40"/>
        <w:ind w:left="600"/>
      </w:pPr>
      <w:r>
        <w:rPr>
          <w:color w:val="00643C"/>
          <w:sz w:val="16"/>
        </w:rPr>
        <w:t>Points clés : Le Superéthanol-E85 est un biocarburant issu de la betterave et du blé.  •  Sa stabilité contraste avec la volatilité des prix de l'essence et du diesel.  •  Les subventions et la fiscalité jouent un rôle clé dans son prix.</w:t>
      </w:r>
    </w:p>
    <w:p>
      <w:pPr>
        <w:spacing w:before="0" w:after="60"/>
        <w:ind w:left="600"/>
      </w:pPr>
      <w:r>
        <w:rPr>
          <w:color w:val="0064B4"/>
          <w:sz w:val="15"/>
        </w:rPr>
        <w:t>Source : https://news.google.com/rss/articles/CBMiwAFBVV95cUxPUFR4Y1czdUdMR251akQ0VWFXN28</w:t>
      </w:r>
    </w:p>
    <w:p>
      <w:pPr>
        <w:spacing w:before="120" w:after="40"/>
      </w:pPr>
      <w:r>
        <w:rPr>
          <w:b/>
          <w:color w:val="00467F"/>
          <w:sz w:val="20"/>
        </w:rPr>
        <w:t>🔑 politique_monetaire  (4 alerte(s))</w:t>
      </w:r>
    </w:p>
    <w:p>
      <w:pPr>
        <w:spacing w:before="40" w:after="40"/>
        <w:ind w:left="360"/>
      </w:pPr>
      <w:r>
        <w:rPr>
          <w:color w:val="646464"/>
          <w:sz w:val="17"/>
        </w:rPr>
        <w:t xml:space="preserve">[17/09/2026] 🔴  </w:t>
      </w:r>
      <w:r>
        <w:rPr>
          <w:b/>
          <w:color w:val="C00000"/>
          <w:sz w:val="18"/>
        </w:rPr>
        <w:t xml:space="preserve">Un pari raté pour Donald Trump ? "Même les gens qu'il nomme ne sont pas prêts à faire n'importe quoi pour lui plaire" - </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les difficultés de Donald Trump à obtenir une loyauté inconditionnelle de la part des personnes qu'il nomme, même parmi ses propres appointeurs. Cette situation suggère un affaiblissement de son influence politique et de sa capacité à imposer ses vues. Pour les marchés, cela pourrait introduire une incertitude supplémentaire sur la</w:t>
      </w:r>
    </w:p>
    <w:p>
      <w:pPr>
        <w:spacing w:before="0" w:after="40"/>
        <w:ind w:left="600"/>
      </w:pPr>
      <w:r>
        <w:rPr>
          <w:color w:val="00643C"/>
          <w:sz w:val="16"/>
        </w:rPr>
        <w:t>Points clés : Donald Trump peine à obtenir une loyauté sans faille de ses nominations  •  Cela remet en question son influence politique et sa capacité de persuasion  •  Incertitude accrue sur la politique monétaire et les relations internationales</w:t>
      </w:r>
    </w:p>
    <w:p>
      <w:pPr>
        <w:spacing w:before="0" w:after="60"/>
        <w:ind w:left="600"/>
      </w:pPr>
      <w:r>
        <w:rPr>
          <w:color w:val="0064B4"/>
          <w:sz w:val="15"/>
        </w:rPr>
        <w:t>Source : https://news.google.com/rss/articles/CBMitwJBVV95cUxNR2RBa0JJek1tbnBvbEVTN1JfMjZ</w:t>
      </w:r>
    </w:p>
    <w:p>
      <w:pPr>
        <w:spacing w:before="40" w:after="40"/>
        <w:ind w:left="360"/>
      </w:pPr>
      <w:r>
        <w:rPr>
          <w:color w:val="646464"/>
          <w:sz w:val="17"/>
        </w:rPr>
        <w:t xml:space="preserve">[16/09/2026] 🔴  </w:t>
      </w:r>
      <w:r>
        <w:rPr>
          <w:b/>
          <w:color w:val="C00000"/>
          <w:sz w:val="18"/>
        </w:rPr>
        <w:t>États-Unis : l’inflation "trop élevée" pousse la Fed à serrer la vis et braver Trump - RTBF</w:t>
      </w:r>
      <w:r>
        <w:rPr>
          <w:color w:val="787878"/>
          <w:sz w:val="15"/>
        </w:rPr>
        <w:t xml:space="preserve">  [politique_monetaire]</w:t>
      </w:r>
      <w:r>
        <w:rPr>
          <w:color w:val="B47800"/>
          <w:sz w:val="16"/>
        </w:rPr>
        <w:t xml:space="preserve">  ★ 50/10</w:t>
      </w:r>
    </w:p>
    <w:p>
      <w:pPr>
        <w:spacing w:before="0" w:after="20"/>
        <w:ind w:left="600"/>
      </w:pPr>
      <w:r>
        <w:rPr>
          <w:color w:val="323232"/>
          <w:sz w:val="17"/>
        </w:rPr>
        <w:t>La Réserve fédérale américaine a décidé de resserrer sa politique monétaire en raison d'une inflation jugée trop élevée, malgré les pressions politiques de Donald Trump qui plaide pour des baisses de taux. Cette décision pourrait se traduire par une hausse des taux directeurs ou le maintien de taux élevés plus longtemps. Ce bras de fer entre la Fed</w:t>
      </w:r>
    </w:p>
    <w:p>
      <w:pPr>
        <w:spacing w:before="0" w:after="40"/>
        <w:ind w:left="600"/>
      </w:pPr>
      <w:r>
        <w:rPr>
          <w:color w:val="00643C"/>
          <w:sz w:val="16"/>
        </w:rPr>
        <w:t>Points clés : La Fed maintient une politique monétaire restrictive face à une inflation persistante  •  Donald Trump fait pression pour un assouplissement monétaire  •  Risque de volatilité accrue sur les marchés obligataires et de change  •  Impact potentiel sur les flux de capitaux vers les marchés émergents dont la BRVM</w:t>
      </w:r>
    </w:p>
    <w:p>
      <w:pPr>
        <w:spacing w:before="0" w:after="60"/>
        <w:ind w:left="600"/>
      </w:pPr>
      <w:r>
        <w:rPr>
          <w:color w:val="0064B4"/>
          <w:sz w:val="15"/>
        </w:rPr>
        <w:t>Source : https://news.google.com/rss/articles/CBMipAFBVV95cUxQZzl5VHp5LTR6Vkp2ejNNMFNOZjh</w:t>
      </w:r>
    </w:p>
    <w:p>
      <w:pPr>
        <w:spacing w:before="40" w:after="40"/>
        <w:ind w:left="360"/>
      </w:pPr>
      <w:r>
        <w:rPr>
          <w:color w:val="646464"/>
          <w:sz w:val="17"/>
        </w:rPr>
        <w:t xml:space="preserve">[16/09/2026] 🔴  </w:t>
      </w:r>
      <w:r>
        <w:rPr>
          <w:b/>
          <w:color w:val="C00000"/>
          <w:sz w:val="18"/>
        </w:rPr>
        <w:t>Federal Reserve Chair Warsh: Inflation trends were not passing the test - tmgm.com</w:t>
      </w:r>
      <w:r>
        <w:rPr>
          <w:color w:val="787878"/>
          <w:sz w:val="15"/>
        </w:rPr>
        <w:t xml:space="preserve">  [politique_monetaire]</w:t>
      </w:r>
      <w:r>
        <w:rPr>
          <w:color w:val="B47800"/>
          <w:sz w:val="16"/>
        </w:rPr>
        <w:t xml:space="preserve">  ★ 50/10</w:t>
      </w:r>
    </w:p>
    <w:p>
      <w:pPr>
        <w:spacing w:before="0" w:after="20"/>
        <w:ind w:left="600"/>
      </w:pPr>
      <w:r>
        <w:rPr>
          <w:color w:val="323232"/>
          <w:sz w:val="17"/>
        </w:rPr>
        <w:t>Le président de la Réserve fédérale, Warsh, a déclaré que les tendances de l'inflation ne satisfaisaient pas les critères requis, suggérant que la politique monétaire pourrait rester restrictive plus longtemps que prévu. Cette déclaration implique que la Fed n'est pas encore prête à assouplir sa politique tant que l'inflation ne montre pas de signe</w:t>
      </w:r>
    </w:p>
    <w:p>
      <w:pPr>
        <w:spacing w:before="0" w:after="40"/>
        <w:ind w:left="600"/>
      </w:pPr>
      <w:r>
        <w:rPr>
          <w:color w:val="00643C"/>
          <w:sz w:val="16"/>
        </w:rPr>
        <w:t>Points clés : Warsh indique que l'inflation ne passe pas le test, ce qui justifie une politique monétaire restrictive persistante.  •  Les marchés pourraient anticiper un maintien des taux élevés plus longtemps, renforçant le dollar.  •  Risque de pression sur les devises et les marchés obligataires des pays émergents, dont la zone UEMOA.</w:t>
      </w:r>
    </w:p>
    <w:p>
      <w:pPr>
        <w:spacing w:before="0" w:after="60"/>
        <w:ind w:left="600"/>
      </w:pPr>
      <w:r>
        <w:rPr>
          <w:color w:val="0064B4"/>
          <w:sz w:val="15"/>
        </w:rPr>
        <w:t>Source : https://news.google.com/rss/articles/CBMi0gFBVV95cUxNVHlVcE9udUp1SjM0Vy1TZ0dDU1F</w:t>
      </w:r>
    </w:p>
    <w:p>
      <w:pPr>
        <w:spacing w:before="40" w:after="40"/>
        <w:ind w:left="360"/>
      </w:pPr>
      <w:r>
        <w:rPr>
          <w:color w:val="646464"/>
          <w:sz w:val="17"/>
        </w:rPr>
        <w:t xml:space="preserve">[16/09/2026] ⚪  </w:t>
      </w:r>
      <w:r>
        <w:rPr>
          <w:b/>
          <w:color w:val="505050"/>
          <w:sz w:val="18"/>
        </w:rPr>
        <w:t>Japanese Yen falls as US Federal Reserve delivers - tmgm.com</w:t>
      </w:r>
      <w:r>
        <w:rPr>
          <w:color w:val="787878"/>
          <w:sz w:val="15"/>
        </w:rPr>
        <w:t xml:space="preserve">  [politique_monetaire]</w:t>
      </w:r>
      <w:r>
        <w:rPr>
          <w:color w:val="B47800"/>
          <w:sz w:val="16"/>
        </w:rPr>
        <w:t xml:space="preserve">  ★ 50/10</w:t>
      </w:r>
    </w:p>
    <w:p>
      <w:pPr>
        <w:spacing w:before="0" w:after="20"/>
        <w:ind w:left="600"/>
      </w:pPr>
      <w:r>
        <w:rPr>
          <w:color w:val="323232"/>
          <w:sz w:val="17"/>
        </w:rPr>
        <w:t>Le yen japonais a chuté face au dollar américain après que la Réserve fédérale américaine a annoncé ses décisions de politique monétaire. La Fed a probablement maintenu ou ajusté ses taux d'intérêt, renforçant ainsi le billet vert. Cette évolution reflète les attentes du marché concernant le différentiel de taux entre les États-Unis et le Japon. Le</w:t>
      </w:r>
    </w:p>
    <w:p>
      <w:pPr>
        <w:spacing w:before="0" w:after="40"/>
        <w:ind w:left="600"/>
      </w:pPr>
      <w:r>
        <w:rPr>
          <w:color w:val="00643C"/>
          <w:sz w:val="16"/>
        </w:rPr>
        <w:t>Points clés : Le yen japonais s'affaiblit face au dollar américain  •  La Réserve fédérale américaine a pris des décisions de politique monétaire  •  Impact sur les marchés des changes internationaux</w:t>
      </w:r>
    </w:p>
    <w:p>
      <w:pPr>
        <w:spacing w:before="0" w:after="60"/>
        <w:ind w:left="600"/>
      </w:pPr>
      <w:r>
        <w:rPr>
          <w:color w:val="0064B4"/>
          <w:sz w:val="15"/>
        </w:rPr>
        <w:t>Source : https://news.google.com/rss/articles/CBMitgFBVV95cUxNZUtmYTZHYi1LM3IyalVjNW5wM05</w:t>
      </w:r>
    </w:p>
    <w:p>
      <w:pPr>
        <w:spacing w:before="120" w:after="40"/>
      </w:pPr>
      <w:r>
        <w:rPr>
          <w:b/>
          <w:color w:val="00467F"/>
          <w:sz w:val="20"/>
        </w:rPr>
        <w:t>🔑 économique  (1 alerte(s))</w:t>
      </w:r>
    </w:p>
    <w:p>
      <w:pPr>
        <w:spacing w:before="40" w:after="40"/>
        <w:ind w:left="360"/>
      </w:pPr>
      <w:r>
        <w:rPr>
          <w:color w:val="646464"/>
          <w:sz w:val="17"/>
        </w:rPr>
        <w:t xml:space="preserve">[17/09/2026] 🟢  </w:t>
      </w:r>
      <w:r>
        <w:rPr>
          <w:b/>
          <w:color w:val="008000"/>
          <w:sz w:val="18"/>
        </w:rPr>
        <w:t xml:space="preserve">Côte d’Ivoire : La CEDEAO renforce les capacités des acteurs de la sécurité et de la justice face aux VBG - Abidjan.net </w:t>
      </w:r>
      <w:r>
        <w:rPr>
          <w:color w:val="787878"/>
          <w:sz w:val="15"/>
        </w:rPr>
        <w:t xml:space="preserve">  [économique]</w:t>
      </w:r>
      <w:r>
        <w:rPr>
          <w:color w:val="B47800"/>
          <w:sz w:val="16"/>
        </w:rPr>
        <w:t xml:space="preserve">  ★ 50/10</w:t>
      </w:r>
    </w:p>
    <w:p>
      <w:pPr>
        <w:spacing w:before="0" w:after="20"/>
        <w:ind w:left="600"/>
      </w:pPr>
      <w:r>
        <w:rPr>
          <w:color w:val="323232"/>
          <w:sz w:val="17"/>
        </w:rPr>
        <w:t>La CEDEAO a organisé en Côte d'Ivoire une formation destinée aux acteurs de la sécurité et de la justice pour renforcer leurs capacités face aux violences basées sur le genre (VBG). Cette initiative vise à améliorer la prise en charge des victimes et à lutter contre l'impunité. Elle s'inscrit dans un cadre régional de promotion des droits humains e</w:t>
      </w:r>
    </w:p>
    <w:p>
      <w:pPr>
        <w:spacing w:before="0" w:after="40"/>
        <w:ind w:left="600"/>
      </w:pPr>
      <w:r>
        <w:rPr>
          <w:color w:val="00643C"/>
          <w:sz w:val="16"/>
        </w:rPr>
        <w:t>Points clés : La CEDEAO forme les acteurs ivoiriens de la sécurité et de la justice sur les VBG  •  Objectif : améliorer la réponse judiciaire et sécuritaire aux violences basées sur le genre  •  Initiative régionale de renforcement des capacités institutionnelles</w:t>
      </w:r>
    </w:p>
    <w:p>
      <w:pPr>
        <w:spacing w:before="0" w:after="60"/>
        <w:ind w:left="600"/>
      </w:pPr>
      <w:r>
        <w:rPr>
          <w:color w:val="0064B4"/>
          <w:sz w:val="15"/>
        </w:rPr>
        <w:t>Source : https://news.google.com/rss/articles/CBMi2wFBVV95cUxPLTZzX2ZiYUtfNl85Ulc5a0tGV2x</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1,650</w:t>
            </w:r>
          </w:p>
        </w:tc>
        <w:tc>
          <w:tcPr>
            <w:tcW w:type="dxa" w:w="1080"/>
            <w:shd w:fill="C6EFCE" w:val="clear"/>
          </w:tcPr>
          <w:p>
            <w:r>
              <w:rPr>
                <w:b/>
                <w:sz w:val="16"/>
              </w:rPr>
              <w:t>81/100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2,320</w:t>
            </w:r>
          </w:p>
        </w:tc>
        <w:tc>
          <w:tcPr>
            <w:tcW w:type="dxa" w:w="1080"/>
            <w:shd w:fill="C6EFCE" w:val="clear"/>
          </w:tcPr>
          <w:p>
            <w:r>
              <w:rPr>
                <w:b/>
                <w:sz w:val="16"/>
              </w:rPr>
              <w:t>81/100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12,000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3,800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2,215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8,190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2,550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3,430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2,095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16,355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3,085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2,060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2,980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8,050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5,350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6,500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4,835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25</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24,505</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10,435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17,100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4,050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10,100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22,200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13,495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39,250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2,435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31,250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21,970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52,700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1,650</w:t>
            </w:r>
          </w:p>
        </w:tc>
        <w:tc>
          <w:tcPr>
            <w:tcW w:type="dxa" w:w="1728"/>
            <w:shd w:fill="DEEAF1" w:val="clear"/>
          </w:tcPr>
          <w:p>
            <w:r>
              <w:rPr>
                <w:sz w:val="17"/>
              </w:rPr>
              <w:t>81/100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2,320</w:t>
            </w:r>
          </w:p>
        </w:tc>
        <w:tc>
          <w:tcPr>
            <w:tcW w:type="dxa" w:w="1728"/>
            <w:shd w:fill="DEEAF1" w:val="clear"/>
          </w:tcPr>
          <w:p>
            <w:r>
              <w:rPr>
                <w:sz w:val="17"/>
              </w:rPr>
              <w:t>81/100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3,800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2,215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8,190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3,430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2,095</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CFAC</w:t>
            </w:r>
          </w:p>
        </w:tc>
        <w:tc>
          <w:tcPr>
            <w:tcW w:type="dxa" w:w="1728"/>
            <w:shd w:fill="E2EFDA" w:val="clear"/>
          </w:tcPr>
          <w:p>
            <w:r>
              <w:rPr>
                <w:sz w:val="17"/>
              </w:rPr>
              <w:t>CFAC - CFAO MOTORS CI</w:t>
            </w:r>
          </w:p>
        </w:tc>
        <w:tc>
          <w:tcPr>
            <w:tcW w:type="dxa" w:w="1728"/>
            <w:shd w:fill="E2EFDA" w:val="clear"/>
          </w:tcPr>
          <w:p>
            <w:r>
              <w:rPr>
                <w:sz w:val="17"/>
              </w:rPr>
              <w:t>1,650</w:t>
            </w:r>
          </w:p>
        </w:tc>
        <w:tc>
          <w:tcPr>
            <w:tcW w:type="dxa" w:w="1728"/>
            <w:shd w:fill="E2EFDA" w:val="clear"/>
          </w:tcPr>
          <w:p>
            <w:r>
              <w:rPr>
                <w:sz w:val="17"/>
              </w:rPr>
              <w:t>81/100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2,320</w:t>
            </w:r>
          </w:p>
        </w:tc>
        <w:tc>
          <w:tcPr>
            <w:tcW w:type="dxa" w:w="1728"/>
            <w:shd w:fill="E2EFDA" w:val="clear"/>
          </w:tcPr>
          <w:p>
            <w:r>
              <w:rPr>
                <w:sz w:val="17"/>
              </w:rPr>
              <w:t>81/100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12,000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3,800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8,500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2,215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BOABF</w:t>
            </w:r>
          </w:p>
        </w:tc>
        <w:tc>
          <w:tcPr>
            <w:tcW w:type="dxa" w:w="1728"/>
            <w:shd w:fill="E2EFDA" w:val="clear"/>
          </w:tcPr>
          <w:p>
            <w:r>
              <w:rPr>
                <w:sz w:val="17"/>
              </w:rPr>
              <w:t>BANK OF AFRICA BURKINA FASO</w:t>
            </w:r>
          </w:p>
        </w:tc>
        <w:tc>
          <w:tcPr>
            <w:tcW w:type="dxa" w:w="1728"/>
            <w:shd w:fill="E2EFDA" w:val="clear"/>
          </w:tcPr>
          <w:p>
            <w:r>
              <w:rPr>
                <w:sz w:val="17"/>
              </w:rPr>
              <w:t>8,000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8,190</w:t>
            </w:r>
          </w:p>
        </w:tc>
        <w:tc>
          <w:tcPr>
            <w:tcW w:type="dxa" w:w="1728"/>
            <w:shd w:fill="E2EFDA" w:val="clear"/>
          </w:tcPr>
          <w:p>
            <w:r>
              <w:rPr>
                <w:sz w:val="17"/>
              </w:rPr>
              <w:t>76/100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CFAC</w:t>
            </w:r>
          </w:p>
        </w:tc>
        <w:tc>
          <w:tcPr>
            <w:tcW w:type="dxa" w:w="1728"/>
            <w:shd w:fill="FCE4D6" w:val="clear"/>
          </w:tcPr>
          <w:p>
            <w:r>
              <w:rPr>
                <w:sz w:val="17"/>
              </w:rPr>
              <w:t>CFAC - CFAO MOTORS CI</w:t>
            </w:r>
          </w:p>
        </w:tc>
        <w:tc>
          <w:tcPr>
            <w:tcW w:type="dxa" w:w="1728"/>
            <w:shd w:fill="FCE4D6" w:val="clear"/>
          </w:tcPr>
          <w:p>
            <w:r>
              <w:rPr>
                <w:sz w:val="17"/>
              </w:rPr>
              <w:t>1,650</w:t>
            </w:r>
          </w:p>
        </w:tc>
        <w:tc>
          <w:tcPr>
            <w:tcW w:type="dxa" w:w="1728"/>
            <w:shd w:fill="FCE4D6" w:val="clear"/>
          </w:tcPr>
          <w:p>
            <w:r>
              <w:rPr>
                <w:sz w:val="17"/>
              </w:rPr>
              <w:t>81/100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2,320</w:t>
            </w:r>
          </w:p>
        </w:tc>
        <w:tc>
          <w:tcPr>
            <w:tcW w:type="dxa" w:w="1728"/>
            <w:shd w:fill="FCE4D6" w:val="clear"/>
          </w:tcPr>
          <w:p>
            <w:r>
              <w:rPr>
                <w:sz w:val="17"/>
              </w:rPr>
              <w:t>81/100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12,000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3,800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8,500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2,215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BOABF</w:t>
            </w:r>
          </w:p>
        </w:tc>
        <w:tc>
          <w:tcPr>
            <w:tcW w:type="dxa" w:w="1728"/>
            <w:shd w:fill="FCE4D6" w:val="clear"/>
          </w:tcPr>
          <w:p>
            <w:r>
              <w:rPr>
                <w:sz w:val="17"/>
              </w:rPr>
              <w:t>BANK OF AFRICA BURKINA FASO</w:t>
            </w:r>
          </w:p>
        </w:tc>
        <w:tc>
          <w:tcPr>
            <w:tcW w:type="dxa" w:w="1728"/>
            <w:shd w:fill="FCE4D6" w:val="clear"/>
          </w:tcPr>
          <w:p>
            <w:r>
              <w:rPr>
                <w:sz w:val="17"/>
              </w:rPr>
              <w:t>8,000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8,190</w:t>
            </w:r>
          </w:p>
        </w:tc>
        <w:tc>
          <w:tcPr>
            <w:tcW w:type="dxa" w:w="1728"/>
            <w:shd w:fill="FCE4D6" w:val="clear"/>
          </w:tcPr>
          <w:p>
            <w:r>
              <w:rPr>
                <w:sz w:val="17"/>
              </w:rPr>
              <w:t>76/100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ABJC — ABJC - SERVAIR ABIDJAN CI</w:t>
      </w:r>
    </w:p>
    <w:p>
      <w:pPr>
        <w:pStyle w:val="ListBullet"/>
        <w:spacing w:before="20"/>
        <w:ind w:left="400"/>
      </w:pPr>
      <w:r>
        <w:rPr>
          <w:sz w:val="18"/>
        </w:rPr>
        <w:t>🔴 RSI surachat (74.7 &gt; 70) — risque de correction</w:t>
      </w:r>
    </w:p>
    <w:p>
      <w:pPr>
        <w:pStyle w:val="ListBullet"/>
        <w:spacing w:before="20"/>
        <w:ind w:left="400"/>
      </w:pPr>
      <w:r>
        <w:rPr>
          <w:sz w:val="18"/>
        </w:rPr>
        <w:t>⚠️ Cours à 1.1% du plus haut 100j (4,095 FCFA)</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(92.2 &gt; 70) — risque de correction</w:t>
      </w:r>
    </w:p>
    <w:p>
      <w:pPr>
        <w:pStyle w:val="ListBullet"/>
        <w:spacing w:before="20"/>
        <w:ind w:left="400"/>
      </w:pPr>
      <w:r>
        <w:rPr>
          <w:sz w:val="18"/>
        </w:rPr>
        <w:t>⚠️ Cours à 0.0% du plus haut 100j (2,980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(78.3 &gt; 70) — risque de correction</w:t>
      </w:r>
    </w:p>
    <w:p>
      <w:pPr>
        <w:pStyle w:val="ListBullet"/>
        <w:spacing w:before="20"/>
        <w:ind w:left="400"/>
      </w:pPr>
      <w:r>
        <w:rPr>
          <w:sz w:val="18"/>
        </w:rPr>
        <w:t>⚠️ Cours à 0.1% du plus haut 100j (39,275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(77.4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(76.0 &gt; 70) — risque de correction</w:t>
      </w:r>
    </w:p>
    <w:p>
      <w:pPr>
        <w:pStyle w:val="ListBullet"/>
        <w:spacing w:before="20"/>
        <w:ind w:left="400"/>
      </w:pPr>
      <w:r>
        <w:rPr>
          <w:sz w:val="18"/>
        </w:rPr>
        <w:t>⚠️ Cours à 2.8% du plus haut 100j (34,450 FCFA)</w:t>
      </w:r>
    </w:p>
    <w:p>
      <w:pPr>
        <w:spacing w:before="120"/>
      </w:pPr>
      <w:r>
        <w:rPr>
          <w:b/>
          <w:color w:val="0050A0"/>
          <w:sz w:val="20"/>
        </w:rPr>
        <w:t>NSBC — NSBC - NSIA BANQUE COTE D'IVOIRE</w:t>
      </w:r>
    </w:p>
    <w:p>
      <w:pPr>
        <w:pStyle w:val="ListBullet"/>
        <w:spacing w:before="20"/>
        <w:ind w:left="400"/>
      </w:pPr>
      <w:r>
        <w:rPr>
          <w:sz w:val="18"/>
        </w:rPr>
        <w:t>🔴 RSI surachat (73.5 &gt; 70) — risque de correction</w:t>
      </w:r>
    </w:p>
    <w:p>
      <w:pPr>
        <w:pStyle w:val="ListBullet"/>
        <w:spacing w:before="20"/>
        <w:ind w:left="400"/>
      </w:pPr>
      <w:r>
        <w:rPr>
          <w:sz w:val="18"/>
        </w:rPr>
        <w:t>⚠️ Cours à 1.5% du plus haut 100j (24,885 FCFA)</w:t>
      </w:r>
    </w:p>
    <w:p>
      <w:pPr>
        <w:spacing w:before="120"/>
      </w:pPr>
      <w:r>
        <w:rPr>
          <w:b/>
          <w:color w:val="0050A0"/>
          <w:sz w:val="20"/>
        </w:rPr>
        <w:t>STAC — STAC - SETAO COTE D'IVOIRE</w:t>
      </w:r>
    </w:p>
    <w:p>
      <w:pPr>
        <w:pStyle w:val="ListBullet"/>
        <w:spacing w:before="20"/>
        <w:ind w:left="400"/>
      </w:pPr>
      <w:r>
        <w:rPr>
          <w:sz w:val="18"/>
        </w:rPr>
        <w:t>⚠️ Cours à 0.0% du plus bas 100j (2,435 FCFA)</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Cours à 2.4% du plus haut 100j (10,350 FCFA)</w:t>
      </w:r>
    </w:p>
    <w:p>
      <w:pPr>
        <w:spacing w:before="120"/>
      </w:pPr>
      <w:r>
        <w:rPr>
          <w:b/>
          <w:color w:val="0050A0"/>
          <w:sz w:val="20"/>
        </w:rPr>
        <w:t>BOABF — BANK OF AFRICA BURKINA FASO</w:t>
      </w:r>
    </w:p>
    <w:p>
      <w:pPr>
        <w:pStyle w:val="ListBullet"/>
        <w:spacing w:before="20"/>
        <w:ind w:left="400"/>
      </w:pPr>
      <w:r>
        <w:rPr>
          <w:sz w:val="18"/>
        </w:rPr>
        <w:t>🟢 RSI survente (20.6 &lt; 30) — opportunité potentielle</w:t>
      </w:r>
    </w:p>
    <w:p>
      <w:pPr>
        <w:spacing w:before="120"/>
      </w:pPr>
      <w:r>
        <w:rPr>
          <w:b/>
          <w:color w:val="0050A0"/>
          <w:sz w:val="20"/>
        </w:rPr>
        <w:t>BOAC — BANK OF AFRICA COTE D'IVOIRE</w:t>
      </w:r>
    </w:p>
    <w:p>
      <w:pPr>
        <w:pStyle w:val="ListBullet"/>
        <w:spacing w:before="20"/>
        <w:ind w:left="400"/>
      </w:pPr>
      <w:r>
        <w:rPr>
          <w:sz w:val="18"/>
        </w:rPr>
        <w:t>🟢 RSI survente (25.6 &lt; 30) — opportunité potentielle</w:t>
      </w:r>
    </w:p>
    <w:p>
      <w:pPr>
        <w:spacing w:before="120"/>
      </w:pPr>
      <w:r>
        <w:rPr>
          <w:b/>
          <w:color w:val="0050A0"/>
          <w:sz w:val="20"/>
        </w:rPr>
        <w:t>CABC — CABC - SICABLE COTE D'IVOIRE</w:t>
      </w:r>
    </w:p>
    <w:p>
      <w:pPr>
        <w:pStyle w:val="ListBullet"/>
        <w:spacing w:before="20"/>
        <w:ind w:left="400"/>
      </w:pPr>
      <w:r>
        <w:rPr>
          <w:sz w:val="18"/>
        </w:rPr>
        <w:t>⚠️ Cours à 0.9% du plus bas 100j (3,400 FCFA)</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ORAC — ORAC - ORANGE COTE D'IVOIRE</w:t>
      </w:r>
    </w:p>
    <w:p>
      <w:pPr>
        <w:pStyle w:val="ListBullet"/>
        <w:spacing w:before="20"/>
        <w:ind w:left="400"/>
      </w:pPr>
      <w:r>
        <w:rPr>
          <w:sz w:val="18"/>
        </w:rPr>
        <w:t>⚠️ Cours à 1.3% du plus haut 100j (22,500 FCFA)</w:t>
      </w:r>
    </w:p>
    <w:p>
      <w:pPr>
        <w:spacing w:before="120"/>
      </w:pPr>
      <w:r>
        <w:rPr>
          <w:b/>
          <w:color w:val="0050A0"/>
          <w:sz w:val="20"/>
        </w:rPr>
        <w:t>PALC — PALC - PALM COTE D'IVOIRE</w:t>
      </w:r>
    </w:p>
    <w:p>
      <w:pPr>
        <w:pStyle w:val="ListBullet"/>
        <w:spacing w:before="20"/>
        <w:ind w:left="400"/>
      </w:pPr>
      <w:r>
        <w:rPr>
          <w:sz w:val="18"/>
        </w:rPr>
        <w:t>🟢 RSI survente (25.9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Cours à 2.8% du plus haut 100j (13,885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survente (25.5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23 société(s) (49%)</w:t>
            </w:r>
          </w:p>
        </w:tc>
        <w:tc>
          <w:tcPr>
            <w:tcW w:type="dxa" w:w="1644"/>
            <w:shd w:fill="FFEB9C" w:val="clear"/>
          </w:tcPr>
          <w:p>
            <w:r>
              <w:rPr>
                <w:b/>
                <w:color w:val="825A00"/>
                <w:sz w:val="19"/>
              </w:rPr>
              <w:t>24 société(s) (51%)</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20.9/100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20.9/100).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#4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SAFC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-2.48%  |  Médiane : -2.46%</w:t>
            </w:r>
          </w:p>
        </w:tc>
      </w:tr>
      <w:tr>
        <w:tc>
          <w:tcPr>
            <w:tcW w:type="dxa" w:w="2835"/>
            <w:shd w:fill="DEEAF1" w:val="clear"/>
          </w:tcPr>
          <w:p>
            <w:r>
              <w:rPr>
                <w:b/>
                <w:sz w:val="18"/>
              </w:rPr>
              <w:t>Répartition</w:t>
            </w:r>
          </w:p>
        </w:tc>
        <w:tc>
          <w:tcPr>
            <w:tcW w:type="dxa" w:w="7370"/>
          </w:tcPr>
          <w:p>
            <w:r>
              <w:rPr>
                <w:b/>
                <w:sz w:val="18"/>
              </w:rPr>
              <w:t>📈 13 sociétés en hausse (&gt;+1%)   📉 28 en baisse (&lt;-1%)   ➡️ 6 neutres</w:t>
            </w:r>
          </w:p>
        </w:tc>
      </w:tr>
      <w:tr>
        <w:tc>
          <w:tcPr>
            <w:tcW w:type="dxa" w:w="2835"/>
            <w:shd w:fill="DEEAF1" w:val="clear"/>
          </w:tcPr>
          <w:p>
            <w:r>
              <w:rPr>
                <w:b/>
                <w:sz w:val="18"/>
              </w:rPr>
              <w:t>Confiance globale</w:t>
            </w:r>
          </w:p>
        </w:tc>
        <w:tc>
          <w:tcPr>
            <w:tcW w:type="dxa" w:w="7370"/>
          </w:tcPr>
          <w:p>
            <w:r>
              <w:rPr>
                <w:b/>
                <w:sz w:val="18"/>
              </w:rPr>
              <w:t>Élevée : 0 sociétés (0%)   Moyenne : 15   Faible : 32 (68%)   → Confiance dominante : Faible</w:t>
            </w:r>
          </w:p>
        </w:tc>
      </w:tr>
    </w:tbl>
    <w:p/>
    <w:p>
      <w:r>
        <w:rPr>
          <w:i/>
          <w:color w:val="282828"/>
          <w:sz w:val="18"/>
        </w:rPr>
        <w:t>📝 Analyse : Légère tendance baissière avec signal mixte : 28 sociétés en baisse vs 13 en hausse. Variation moyenne : -2.48%.</w:t>
      </w:r>
    </w:p>
    <w:p>
      <w:r>
        <w:rPr>
          <w:i/>
          <w:color w:val="282828"/>
          <w:sz w:val="18"/>
        </w:rPr>
        <w:t>🎯 Fiabilité : ⚠️ La confiance est globalement FAIBLE (68%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21,970 FCFA</w:t>
            </w:r>
          </w:p>
        </w:tc>
        <w:tc>
          <w:tcPr>
            <w:tcW w:type="dxa" w:w="1417"/>
            <w:shd w:fill="FFFFFF" w:val="clear"/>
          </w:tcPr>
          <w:p>
            <w:r>
              <w:rPr>
                <w:sz w:val="16"/>
              </w:rPr>
              <w:t>24,388 FCFA</w:t>
            </w:r>
          </w:p>
        </w:tc>
        <w:tc>
          <w:tcPr>
            <w:tcW w:type="dxa" w:w="1134"/>
            <w:shd w:fill="C6EFCE" w:val="clear"/>
          </w:tcPr>
          <w:p>
            <w:r>
              <w:rPr>
                <w:b/>
                <w:color w:val="007800"/>
                <w:sz w:val="16"/>
              </w:rPr>
              <w:t>+11.01%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3,085 FCFA</w:t>
            </w:r>
          </w:p>
        </w:tc>
        <w:tc>
          <w:tcPr>
            <w:tcW w:type="dxa" w:w="1417"/>
            <w:shd w:fill="FFFFFF" w:val="clear"/>
          </w:tcPr>
          <w:p>
            <w:r>
              <w:rPr>
                <w:sz w:val="16"/>
              </w:rPr>
              <w:t>3,421 FCFA</w:t>
            </w:r>
          </w:p>
        </w:tc>
        <w:tc>
          <w:tcPr>
            <w:tcW w:type="dxa" w:w="1134"/>
            <w:shd w:fill="C6EFCE" w:val="clear"/>
          </w:tcPr>
          <w:p>
            <w:r>
              <w:rPr>
                <w:b/>
                <w:color w:val="007800"/>
                <w:sz w:val="16"/>
              </w:rPr>
              <w:t>+10.90%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38,000 FCFA</w:t>
            </w:r>
          </w:p>
        </w:tc>
        <w:tc>
          <w:tcPr>
            <w:tcW w:type="dxa" w:w="1417"/>
            <w:shd w:fill="FFFFFF" w:val="clear"/>
          </w:tcPr>
          <w:p>
            <w:r>
              <w:rPr>
                <w:sz w:val="16"/>
              </w:rPr>
              <w:t>41,449 FCFA</w:t>
            </w:r>
          </w:p>
        </w:tc>
        <w:tc>
          <w:tcPr>
            <w:tcW w:type="dxa" w:w="1134"/>
            <w:shd w:fill="C6EFCE" w:val="clear"/>
          </w:tcPr>
          <w:p>
            <w:r>
              <w:rPr>
                <w:b/>
                <w:color w:val="007800"/>
                <w:sz w:val="16"/>
              </w:rPr>
              <w:t>+9.08%</w:t>
            </w:r>
          </w:p>
        </w:tc>
        <w:tc>
          <w:tcPr>
            <w:tcW w:type="dxa" w:w="1020"/>
            <w:shd w:fill="FFEB9C" w:val="clear"/>
          </w:tcPr>
          <w:p>
            <w:r>
              <w:rPr>
                <w:sz w:val="16"/>
              </w:rPr>
              <w:t>Moyenne</w:t>
            </w:r>
          </w:p>
        </w:tc>
      </w:tr>
      <w:tr>
        <w:tc>
          <w:tcPr>
            <w:tcW w:type="dxa" w:w="680"/>
            <w:shd w:fill="FFFFFF" w:val="clear"/>
          </w:tcPr>
          <w:p>
            <w:r>
              <w:rPr>
                <w:b/>
                <w:sz w:val="16"/>
              </w:rPr>
              <w:t>#4</w:t>
            </w:r>
          </w:p>
        </w:tc>
        <w:tc>
          <w:tcPr>
            <w:tcW w:type="dxa" w:w="2835"/>
            <w:shd w:fill="C6EF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4,835 FCFA</w:t>
            </w:r>
          </w:p>
        </w:tc>
        <w:tc>
          <w:tcPr>
            <w:tcW w:type="dxa" w:w="1417"/>
            <w:shd w:fill="FFFFFF" w:val="clear"/>
          </w:tcPr>
          <w:p>
            <w:r>
              <w:rPr>
                <w:sz w:val="16"/>
              </w:rPr>
              <w:t>5,059 FCFA</w:t>
            </w:r>
          </w:p>
        </w:tc>
        <w:tc>
          <w:tcPr>
            <w:tcW w:type="dxa" w:w="1134"/>
            <w:shd w:fill="C6EFCE" w:val="clear"/>
          </w:tcPr>
          <w:p>
            <w:r>
              <w:rPr>
                <w:b/>
                <w:color w:val="007800"/>
                <w:sz w:val="16"/>
              </w:rPr>
              <w:t>+4.63%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BOABF — BANK OF AFRICA BURKINA FASO</w:t>
            </w:r>
          </w:p>
        </w:tc>
        <w:tc>
          <w:tcPr>
            <w:tcW w:type="dxa" w:w="1701"/>
            <w:shd w:fill="FFFFFF" w:val="clear"/>
          </w:tcPr>
          <w:p>
            <w:r>
              <w:rPr>
                <w:sz w:val="16"/>
              </w:rPr>
              <w:t>SERVICES FINANCIERS</w:t>
            </w:r>
          </w:p>
        </w:tc>
        <w:tc>
          <w:tcPr>
            <w:tcW w:type="dxa" w:w="1417"/>
            <w:shd w:fill="FFFFFF" w:val="clear"/>
          </w:tcPr>
          <w:p>
            <w:r>
              <w:rPr>
                <w:sz w:val="16"/>
              </w:rPr>
              <w:t>8,000 FCFA</w:t>
            </w:r>
          </w:p>
        </w:tc>
        <w:tc>
          <w:tcPr>
            <w:tcW w:type="dxa" w:w="1417"/>
            <w:shd w:fill="FFFFFF" w:val="clear"/>
          </w:tcPr>
          <w:p>
            <w:r>
              <w:rPr>
                <w:sz w:val="16"/>
              </w:rPr>
              <w:t>8,309 FCFA</w:t>
            </w:r>
          </w:p>
        </w:tc>
        <w:tc>
          <w:tcPr>
            <w:tcW w:type="dxa" w:w="1134"/>
            <w:shd w:fill="C6EFCE" w:val="clear"/>
          </w:tcPr>
          <w:p>
            <w:r>
              <w:rPr>
                <w:b/>
                <w:color w:val="007800"/>
                <w:sz w:val="16"/>
              </w:rPr>
              <w:t>+3.86%</w:t>
            </w:r>
          </w:p>
        </w:tc>
        <w:tc>
          <w:tcPr>
            <w:tcW w:type="dxa" w:w="1020"/>
            <w:shd w:fill="FFC7CE" w:val="clear"/>
          </w:tcPr>
          <w:p>
            <w:r>
              <w:rPr>
                <w:sz w:val="16"/>
              </w:rPr>
              <w:t>Faible</w:t>
            </w:r>
          </w:p>
        </w:tc>
      </w:tr>
    </w:tbl>
    <w:p/>
    <w:p>
      <w:pPr>
        <w:pStyle w:val="ListBullet"/>
      </w:pPr>
      <w:r>
        <w:rPr>
          <w:b/>
          <w:color w:val="006400"/>
          <w:sz w:val="18"/>
        </w:rPr>
        <w:t xml:space="preserve">#1 STBC </w:t>
      </w:r>
      <w:r>
        <w:rPr>
          <w:sz w:val="17"/>
        </w:rPr>
        <w:t>(STBC - SITAB COTE D'IVOIRE) — hausse significative (+11.0%) — potentiel de revalorisation notable. Trajectoire : 📈 Hausse continue. Cours actuel : 21,970 FCFA → prédit J+10 : 24,388 FCFA. ⚠️ Confiance limitée — volatilité élevée ou données insuffisantes. Résultat indicatif uniquement.</w:t>
      </w:r>
    </w:p>
    <w:p>
      <w:pPr>
        <w:pStyle w:val="ListBullet"/>
      </w:pPr>
      <w:r>
        <w:rPr>
          <w:b/>
          <w:color w:val="006400"/>
          <w:sz w:val="18"/>
        </w:rPr>
        <w:t xml:space="preserve">#2 SCRC </w:t>
      </w:r>
      <w:r>
        <w:rPr>
          <w:sz w:val="17"/>
        </w:rPr>
        <w:t>(SCRC - SUCRIVOIRE) — hausse significative (+10.9%) — potentiel de revalorisation notable. Trajectoire : 📈 Hausse continue. Cours actuel : 3,085 FCFA → prédit J+10 : 3,421 FCFA. ⚠️ Confiance limitée — volatilité élevée ou données insuffisantes. Résultat indicatif uniquement.</w:t>
      </w:r>
    </w:p>
    <w:p>
      <w:pPr>
        <w:pStyle w:val="ListBullet"/>
      </w:pPr>
      <w:r>
        <w:rPr>
          <w:b/>
          <w:color w:val="006400"/>
          <w:sz w:val="18"/>
        </w:rPr>
        <w:t xml:space="preserve">#3 SLBC </w:t>
      </w:r>
      <w:r>
        <w:rPr>
          <w:sz w:val="17"/>
        </w:rPr>
        <w:t>(SLBC - SOLIBRA COTE D'IVOIRE) — hausse modérée (+9.1%) — signal raisonnable et crédible. Trajectoire : 📈 Hausse continue. Cours actuel : 38,000 FCFA → prédit J+10 : 41,449 FCFA. Confiance partielle — les premiers jours sont fiables, les jours lointains moins précis.</w:t>
      </w:r>
    </w:p>
    <w:p>
      <w:pPr>
        <w:pStyle w:val="ListBullet"/>
      </w:pPr>
      <w:r>
        <w:rPr>
          <w:b/>
          <w:color w:val="006400"/>
          <w:sz w:val="18"/>
        </w:rPr>
        <w:t xml:space="preserve">#4 SAFC </w:t>
      </w:r>
      <w:r>
        <w:rPr>
          <w:sz w:val="17"/>
        </w:rPr>
        <w:t>(SAFCA CI) — légère hausse (+4.6%) — progression graduelle attendue. Trajectoire : 📈 Hausse continue. Cours actuel : 4,835 FCFA → prédit J+10 : 5,059 FCFA. ⚠️ Confiance limitée — volatilité élevée ou données insuffisantes. Résultat indicatif uniquement.</w:t>
      </w:r>
    </w:p>
    <w:p>
      <w:pPr>
        <w:pStyle w:val="ListBullet"/>
      </w:pPr>
      <w:r>
        <w:rPr>
          <w:b/>
          <w:color w:val="006400"/>
          <w:sz w:val="18"/>
        </w:rPr>
        <w:t xml:space="preserve">#5 BOABF </w:t>
      </w:r>
      <w:r>
        <w:rPr>
          <w:sz w:val="17"/>
        </w:rPr>
        <w:t>(BANK OF AFRICA BURKINA FASO) — légère hausse (+3.9%) — progression graduelle attendue. Trajectoire : ↗️ Tendance haussière. Cours actuel : 8,000 FCFA → prédit J+10 : 8,309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2,980 FCFA</w:t>
            </w:r>
          </w:p>
        </w:tc>
        <w:tc>
          <w:tcPr>
            <w:tcW w:type="dxa" w:w="1417"/>
            <w:shd w:fill="FFFFFF" w:val="clear"/>
          </w:tcPr>
          <w:p>
            <w:r>
              <w:rPr>
                <w:sz w:val="16"/>
              </w:rPr>
              <w:t>2,325 FCFA</w:t>
            </w:r>
          </w:p>
        </w:tc>
        <w:tc>
          <w:tcPr>
            <w:tcW w:type="dxa" w:w="1134"/>
            <w:shd w:fill="FFC7CE" w:val="clear"/>
          </w:tcPr>
          <w:p>
            <w:r>
              <w:rPr>
                <w:b/>
                <w:color w:val="B40000"/>
                <w:sz w:val="16"/>
              </w:rPr>
              <w:t>-21.97%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33,500 FCFA</w:t>
            </w:r>
          </w:p>
        </w:tc>
        <w:tc>
          <w:tcPr>
            <w:tcW w:type="dxa" w:w="1417"/>
            <w:shd w:fill="FFFFFF" w:val="clear"/>
          </w:tcPr>
          <w:p>
            <w:r>
              <w:rPr>
                <w:sz w:val="16"/>
              </w:rPr>
              <w:t>28,549 FCFA</w:t>
            </w:r>
          </w:p>
        </w:tc>
        <w:tc>
          <w:tcPr>
            <w:tcW w:type="dxa" w:w="1134"/>
            <w:shd w:fill="FFC7CE" w:val="clear"/>
          </w:tcPr>
          <w:p>
            <w:r>
              <w:rPr>
                <w:b/>
                <w:color w:val="B40000"/>
                <w:sz w:val="16"/>
              </w:rPr>
              <w:t>-14.78%</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4,050 FCFA</w:t>
            </w:r>
          </w:p>
        </w:tc>
        <w:tc>
          <w:tcPr>
            <w:tcW w:type="dxa" w:w="1417"/>
            <w:shd w:fill="FFFFFF" w:val="clear"/>
          </w:tcPr>
          <w:p>
            <w:r>
              <w:rPr>
                <w:sz w:val="16"/>
              </w:rPr>
              <w:t>3,585 FCFA</w:t>
            </w:r>
          </w:p>
        </w:tc>
        <w:tc>
          <w:tcPr>
            <w:tcW w:type="dxa" w:w="1134"/>
            <w:shd w:fill="FFC7CE" w:val="clear"/>
          </w:tcPr>
          <w:p>
            <w:r>
              <w:rPr>
                <w:b/>
                <w:color w:val="B40000"/>
                <w:sz w:val="16"/>
              </w:rPr>
              <w:t>-11.47%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10,435 FCFA</w:t>
            </w:r>
          </w:p>
        </w:tc>
        <w:tc>
          <w:tcPr>
            <w:tcW w:type="dxa" w:w="1417"/>
            <w:shd w:fill="FFFFFF" w:val="clear"/>
          </w:tcPr>
          <w:p>
            <w:r>
              <w:rPr>
                <w:sz w:val="16"/>
              </w:rPr>
              <w:t>9,363 FCFA</w:t>
            </w:r>
          </w:p>
        </w:tc>
        <w:tc>
          <w:tcPr>
            <w:tcW w:type="dxa" w:w="1134"/>
            <w:shd w:fill="FFC7CE" w:val="clear"/>
          </w:tcPr>
          <w:p>
            <w:r>
              <w:rPr>
                <w:b/>
                <w:color w:val="B40000"/>
                <w:sz w:val="16"/>
              </w:rPr>
              <w:t>-10.27%</w:t>
            </w:r>
          </w:p>
        </w:tc>
        <w:tc>
          <w:tcPr>
            <w:tcW w:type="dxa" w:w="1020"/>
            <w:shd w:fill="FFC7CE" w:val="clear"/>
          </w:tcPr>
          <w:p>
            <w:r>
              <w:rPr>
                <w:sz w:val="16"/>
              </w:rPr>
              <w:t>Faible</w:t>
            </w:r>
          </w:p>
        </w:tc>
      </w:tr>
    </w:tbl>
    <w:p/>
    <w:p>
      <w:pPr>
        <w:pStyle w:val="ListBullet"/>
      </w:pPr>
      <w:r>
        <w:rPr>
          <w:b/>
          <w:color w:val="B40000"/>
          <w:sz w:val="18"/>
        </w:rPr>
        <w:t xml:space="preserve">#1 SHEC </w:t>
      </w:r>
      <w:r>
        <w:rPr>
          <w:sz w:val="17"/>
        </w:rPr>
        <w:t>(SHEC - VIVO ENERGY COTE D'IVOIRE) — correction importante (-22.0%) — signal de dégradation significative. Trajectoire : 📉 Baisse continue. Cours actuel : 2,980 FCFA → prédit J+10 : 2,325 FCFA. ⚠️ Confiance limitée — volatilité élevée. Ne pas agir sur ce seul signal.</w:t>
      </w:r>
    </w:p>
    <w:p>
      <w:pPr>
        <w:pStyle w:val="ListBullet"/>
      </w:pPr>
      <w:r>
        <w:rPr>
          <w:b/>
          <w:color w:val="B40000"/>
          <w:sz w:val="18"/>
        </w:rPr>
        <w:t xml:space="preserve">#2 CBIBF </w:t>
      </w:r>
      <w:r>
        <w:rPr>
          <w:sz w:val="17"/>
        </w:rPr>
        <w:t>(CBIBF - CORIS BANK INTERNATIONAL BURKINA) — baisse modérée (-14.8%) — repli technique attendu. Trajectoire : 📉 Baisse continue. Cours actuel : 33,500 FCFA → prédit J+10 : 28,549 FCFA. Confiance partielle — surveiller l'évolution réelle des premiers jours.</w:t>
      </w:r>
    </w:p>
    <w:p>
      <w:pPr>
        <w:pStyle w:val="ListBullet"/>
      </w:pPr>
      <w:r>
        <w:rPr>
          <w:b/>
          <w:color w:val="B40000"/>
          <w:sz w:val="18"/>
        </w:rPr>
        <w:t xml:space="preserve">#3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#4 ABJC </w:t>
      </w:r>
      <w:r>
        <w:rPr>
          <w:sz w:val="17"/>
        </w:rPr>
        <w:t>(ABJC - SERVAIR ABIDJAN CI) — baisse modérée (-11.5%) — repli technique attendu. Trajectoire : 📉 Baisse continue. Cours actuel : 4,050 FCFA → prédit J+10 : 3,585 FCFA. ⚠️ Confiance limitée — volatilité élevée. Ne pas agir sur ce seul signal.</w:t>
      </w:r>
    </w:p>
    <w:p>
      <w:pPr>
        <w:pStyle w:val="ListBullet"/>
      </w:pPr>
      <w:r>
        <w:rPr>
          <w:b/>
          <w:color w:val="B40000"/>
          <w:sz w:val="18"/>
        </w:rPr>
        <w:t xml:space="preserve">#5 BICB </w:t>
      </w:r>
      <w:r>
        <w:rPr>
          <w:sz w:val="17"/>
        </w:rPr>
        <w:t>(BIIC BN - Banque internationale pour le ) — baisse modérée (-10.3%) — repli technique attendu. Trajectoire : 📉 Baisse continue. Cours actuel : 10,435 FCFA → prédit J+10 : 9,363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21,970</w:t>
            </w:r>
          </w:p>
        </w:tc>
        <w:tc>
          <w:tcPr>
            <w:tcW w:type="dxa" w:w="1417"/>
            <w:shd w:fill="FFFFFF" w:val="clear"/>
          </w:tcPr>
          <w:p>
            <w:r>
              <w:rPr>
                <w:sz w:val="16"/>
              </w:rPr>
              <w:t>24,388</w:t>
            </w:r>
          </w:p>
        </w:tc>
        <w:tc>
          <w:tcPr>
            <w:tcW w:type="dxa" w:w="1134"/>
            <w:shd w:fill="C6EFCE" w:val="clear"/>
          </w:tcPr>
          <w:p>
            <w:r>
              <w:rPr>
                <w:b/>
                <w:color w:val="007800"/>
                <w:sz w:val="16"/>
              </w:rPr>
              <w:t>+11.01%</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3,085</w:t>
            </w:r>
          </w:p>
        </w:tc>
        <w:tc>
          <w:tcPr>
            <w:tcW w:type="dxa" w:w="1417"/>
            <w:shd w:fill="FFFFFF" w:val="clear"/>
          </w:tcPr>
          <w:p>
            <w:r>
              <w:rPr>
                <w:sz w:val="16"/>
              </w:rPr>
              <w:t>3,421</w:t>
            </w:r>
          </w:p>
        </w:tc>
        <w:tc>
          <w:tcPr>
            <w:tcW w:type="dxa" w:w="1134"/>
            <w:shd w:fill="C6EFCE" w:val="clear"/>
          </w:tcPr>
          <w:p>
            <w:r>
              <w:rPr>
                <w:b/>
                <w:color w:val="007800"/>
                <w:sz w:val="16"/>
              </w:rPr>
              <w:t>+10.90%</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41,449</w:t>
            </w:r>
          </w:p>
        </w:tc>
        <w:tc>
          <w:tcPr>
            <w:tcW w:type="dxa" w:w="1134"/>
            <w:shd w:fill="C6EFCE" w:val="clear"/>
          </w:tcPr>
          <w:p>
            <w:r>
              <w:rPr>
                <w:b/>
                <w:color w:val="007800"/>
                <w:sz w:val="16"/>
              </w:rPr>
              <w:t>+9.08%</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4,835</w:t>
            </w:r>
          </w:p>
        </w:tc>
        <w:tc>
          <w:tcPr>
            <w:tcW w:type="dxa" w:w="1417"/>
            <w:shd w:fill="FFFFFF" w:val="clear"/>
          </w:tcPr>
          <w:p>
            <w:r>
              <w:rPr>
                <w:sz w:val="16"/>
              </w:rPr>
              <w:t>5,059</w:t>
            </w:r>
          </w:p>
        </w:tc>
        <w:tc>
          <w:tcPr>
            <w:tcW w:type="dxa" w:w="1134"/>
            <w:shd w:fill="C6EFCE" w:val="clear"/>
          </w:tcPr>
          <w:p>
            <w:r>
              <w:rPr>
                <w:b/>
                <w:color w:val="007800"/>
                <w:sz w:val="16"/>
              </w:rPr>
              <w:t>+4.63%</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8,000</w:t>
            </w:r>
          </w:p>
        </w:tc>
        <w:tc>
          <w:tcPr>
            <w:tcW w:type="dxa" w:w="1417"/>
            <w:shd w:fill="FFFFFF" w:val="clear"/>
          </w:tcPr>
          <w:p>
            <w:r>
              <w:rPr>
                <w:sz w:val="16"/>
              </w:rPr>
              <w:t>8,309</w:t>
            </w:r>
          </w:p>
        </w:tc>
        <w:tc>
          <w:tcPr>
            <w:tcW w:type="dxa" w:w="1134"/>
            <w:shd w:fill="C6EFCE" w:val="clear"/>
          </w:tcPr>
          <w:p>
            <w:r>
              <w:rPr>
                <w:b/>
                <w:color w:val="007800"/>
                <w:sz w:val="16"/>
              </w:rPr>
              <w:t>+3.86%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13,495</w:t>
            </w:r>
          </w:p>
        </w:tc>
        <w:tc>
          <w:tcPr>
            <w:tcW w:type="dxa" w:w="1417"/>
            <w:shd w:fill="FFFFFF" w:val="clear"/>
          </w:tcPr>
          <w:p>
            <w:r>
              <w:rPr>
                <w:sz w:val="16"/>
              </w:rPr>
              <w:t>13,987</w:t>
            </w:r>
          </w:p>
        </w:tc>
        <w:tc>
          <w:tcPr>
            <w:tcW w:type="dxa" w:w="1134"/>
            <w:shd w:fill="C6EFCE" w:val="clear"/>
          </w:tcPr>
          <w:p>
            <w:r>
              <w:rPr>
                <w:b/>
                <w:color w:val="007800"/>
                <w:sz w:val="16"/>
              </w:rPr>
              <w:t>+3.65%</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6,900</w:t>
            </w:r>
          </w:p>
        </w:tc>
        <w:tc>
          <w:tcPr>
            <w:tcW w:type="dxa" w:w="1417"/>
            <w:shd w:fill="FFFFFF" w:val="clear"/>
          </w:tcPr>
          <w:p>
            <w:r>
              <w:rPr>
                <w:sz w:val="16"/>
              </w:rPr>
              <w:t>7,145</w:t>
            </w:r>
          </w:p>
        </w:tc>
        <w:tc>
          <w:tcPr>
            <w:tcW w:type="dxa" w:w="1134"/>
            <w:shd w:fill="C6EFCE" w:val="clear"/>
          </w:tcPr>
          <w:p>
            <w:r>
              <w:rPr>
                <w:b/>
                <w:color w:val="007800"/>
                <w:sz w:val="16"/>
              </w:rPr>
              <w:t>+3.55%</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1,650</w:t>
            </w:r>
          </w:p>
        </w:tc>
        <w:tc>
          <w:tcPr>
            <w:tcW w:type="dxa" w:w="1417"/>
            <w:shd w:fill="FFFFFF" w:val="clear"/>
          </w:tcPr>
          <w:p>
            <w:r>
              <w:rPr>
                <w:sz w:val="16"/>
              </w:rPr>
              <w:t>1,708</w:t>
            </w:r>
          </w:p>
        </w:tc>
        <w:tc>
          <w:tcPr>
            <w:tcW w:type="dxa" w:w="1134"/>
            <w:shd w:fill="C6EFCE" w:val="clear"/>
          </w:tcPr>
          <w:p>
            <w:r>
              <w:rPr>
                <w:b/>
                <w:color w:val="007800"/>
                <w:sz w:val="16"/>
              </w:rPr>
              <w:t>+3.50%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4,095</w:t>
            </w:r>
          </w:p>
        </w:tc>
        <w:tc>
          <w:tcPr>
            <w:tcW w:type="dxa" w:w="1417"/>
            <w:shd w:fill="FFFFFF" w:val="clear"/>
          </w:tcPr>
          <w:p>
            <w:r>
              <w:rPr>
                <w:sz w:val="16"/>
              </w:rPr>
              <w:t>4,182</w:t>
            </w:r>
          </w:p>
        </w:tc>
        <w:tc>
          <w:tcPr>
            <w:tcW w:type="dxa" w:w="1134"/>
            <w:shd w:fill="C6EFCE" w:val="clear"/>
          </w:tcPr>
          <w:p>
            <w:r>
              <w:rPr>
                <w:b/>
                <w:color w:val="007800"/>
                <w:sz w:val="16"/>
              </w:rPr>
              <w:t>+2.13%</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17,000</w:t>
            </w:r>
          </w:p>
        </w:tc>
        <w:tc>
          <w:tcPr>
            <w:tcW w:type="dxa" w:w="1417"/>
            <w:shd w:fill="FFFFFF" w:val="clear"/>
          </w:tcPr>
          <w:p>
            <w:r>
              <w:rPr>
                <w:sz w:val="16"/>
              </w:rPr>
              <w:t>17,304</w:t>
            </w:r>
          </w:p>
        </w:tc>
        <w:tc>
          <w:tcPr>
            <w:tcW w:type="dxa" w:w="1134"/>
            <w:shd w:fill="C6EFCE" w:val="clear"/>
          </w:tcPr>
          <w:p>
            <w:r>
              <w:rPr>
                <w:b/>
                <w:color w:val="007800"/>
                <w:sz w:val="16"/>
              </w:rPr>
              <w:t>+1.79%</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3,800</w:t>
            </w:r>
          </w:p>
        </w:tc>
        <w:tc>
          <w:tcPr>
            <w:tcW w:type="dxa" w:w="1417"/>
            <w:shd w:fill="FFFFFF" w:val="clear"/>
          </w:tcPr>
          <w:p>
            <w:r>
              <w:rPr>
                <w:sz w:val="16"/>
              </w:rPr>
              <w:t>3,855</w:t>
            </w:r>
          </w:p>
        </w:tc>
        <w:tc>
          <w:tcPr>
            <w:tcW w:type="dxa" w:w="1134"/>
            <w:shd w:fill="C6EFCE" w:val="clear"/>
          </w:tcPr>
          <w:p>
            <w:r>
              <w:rPr>
                <w:b/>
                <w:color w:val="007800"/>
                <w:sz w:val="16"/>
              </w:rPr>
              <w:t>+1.45%</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16,355</w:t>
            </w:r>
          </w:p>
        </w:tc>
        <w:tc>
          <w:tcPr>
            <w:tcW w:type="dxa" w:w="1417"/>
            <w:shd w:fill="FFFFFF" w:val="clear"/>
          </w:tcPr>
          <w:p>
            <w:r>
              <w:rPr>
                <w:sz w:val="16"/>
              </w:rPr>
              <w:t>16,569</w:t>
            </w:r>
          </w:p>
        </w:tc>
        <w:tc>
          <w:tcPr>
            <w:tcW w:type="dxa" w:w="1134"/>
            <w:shd w:fill="C6EFCE" w:val="clear"/>
          </w:tcPr>
          <w:p>
            <w:r>
              <w:rPr>
                <w:b/>
                <w:color w:val="007800"/>
                <w:sz w:val="16"/>
              </w:rPr>
              <w:t>+1.31%</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17,100</w:t>
            </w:r>
          </w:p>
        </w:tc>
        <w:tc>
          <w:tcPr>
            <w:tcW w:type="dxa" w:w="1417"/>
            <w:shd w:fill="FFFFFF" w:val="clear"/>
          </w:tcPr>
          <w:p>
            <w:r>
              <w:rPr>
                <w:sz w:val="16"/>
              </w:rPr>
              <w:t>17,299</w:t>
            </w:r>
          </w:p>
        </w:tc>
        <w:tc>
          <w:tcPr>
            <w:tcW w:type="dxa" w:w="1134"/>
            <w:shd w:fill="C6EFCE" w:val="clear"/>
          </w:tcPr>
          <w:p>
            <w:r>
              <w:rPr>
                <w:b/>
                <w:color w:val="007800"/>
                <w:sz w:val="16"/>
              </w:rPr>
              <w:t>+1.16%</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2,990</w:t>
            </w:r>
          </w:p>
        </w:tc>
        <w:tc>
          <w:tcPr>
            <w:tcW w:type="dxa" w:w="1417"/>
            <w:shd w:fill="FFFFFF" w:val="clear"/>
          </w:tcPr>
          <w:p>
            <w:r>
              <w:rPr>
                <w:sz w:val="16"/>
              </w:rPr>
              <w:t>3,014</w:t>
            </w:r>
          </w:p>
        </w:tc>
        <w:tc>
          <w:tcPr>
            <w:tcW w:type="dxa" w:w="1134"/>
            <w:shd w:fill="FFEB9C" w:val="clear"/>
          </w:tcPr>
          <w:p>
            <w:r>
              <w:rPr>
                <w:b/>
                <w:color w:val="646400"/>
                <w:sz w:val="16"/>
              </w:rPr>
              <w:t>+0.81%</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3,295</w:t>
            </w:r>
          </w:p>
        </w:tc>
        <w:tc>
          <w:tcPr>
            <w:tcW w:type="dxa" w:w="1417"/>
            <w:shd w:fill="FFFFFF" w:val="clear"/>
          </w:tcPr>
          <w:p>
            <w:r>
              <w:rPr>
                <w:sz w:val="16"/>
              </w:rPr>
              <w:t>3,297</w:t>
            </w:r>
          </w:p>
        </w:tc>
        <w:tc>
          <w:tcPr>
            <w:tcW w:type="dxa" w:w="1134"/>
            <w:shd w:fill="FFEB9C" w:val="clear"/>
          </w:tcPr>
          <w:p>
            <w:r>
              <w:rPr>
                <w:b/>
                <w:color w:val="646400"/>
                <w:sz w:val="16"/>
              </w:rPr>
              <w:t>+0.07%</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22,200</w:t>
            </w:r>
          </w:p>
        </w:tc>
        <w:tc>
          <w:tcPr>
            <w:tcW w:type="dxa" w:w="1417"/>
            <w:shd w:fill="FFFFFF" w:val="clear"/>
          </w:tcPr>
          <w:p>
            <w:r>
              <w:rPr>
                <w:sz w:val="16"/>
              </w:rPr>
              <w:t>22,167</w:t>
            </w:r>
          </w:p>
        </w:tc>
        <w:tc>
          <w:tcPr>
            <w:tcW w:type="dxa" w:w="1134"/>
            <w:shd w:fill="FFEB9C" w:val="clear"/>
          </w:tcPr>
          <w:p>
            <w:r>
              <w:rPr>
                <w:b/>
                <w:color w:val="646400"/>
                <w:sz w:val="16"/>
              </w:rPr>
              <w:t>-0.15%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5,350</w:t>
            </w:r>
          </w:p>
        </w:tc>
        <w:tc>
          <w:tcPr>
            <w:tcW w:type="dxa" w:w="1417"/>
            <w:shd w:fill="FFFFFF" w:val="clear"/>
          </w:tcPr>
          <w:p>
            <w:r>
              <w:rPr>
                <w:sz w:val="16"/>
              </w:rPr>
              <w:t>5,322</w:t>
            </w:r>
          </w:p>
        </w:tc>
        <w:tc>
          <w:tcPr>
            <w:tcW w:type="dxa" w:w="1134"/>
            <w:shd w:fill="FFEB9C" w:val="clear"/>
          </w:tcPr>
          <w:p>
            <w:r>
              <w:rPr>
                <w:b/>
                <w:color w:val="646400"/>
                <w:sz w:val="16"/>
              </w:rPr>
              <w:t>-0.52%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24,505</w:t>
            </w:r>
          </w:p>
        </w:tc>
        <w:tc>
          <w:tcPr>
            <w:tcW w:type="dxa" w:w="1417"/>
            <w:shd w:fill="FFFFFF" w:val="clear"/>
          </w:tcPr>
          <w:p>
            <w:r>
              <w:rPr>
                <w:sz w:val="16"/>
              </w:rPr>
              <w:t>24,368</w:t>
            </w:r>
          </w:p>
        </w:tc>
        <w:tc>
          <w:tcPr>
            <w:tcW w:type="dxa" w:w="1134"/>
            <w:shd w:fill="FFEB9C" w:val="clear"/>
          </w:tcPr>
          <w:p>
            <w:r>
              <w:rPr>
                <w:b/>
                <w:color w:val="646400"/>
                <w:sz w:val="16"/>
              </w:rPr>
              <w:t>-0.56%</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8,000</w:t>
            </w:r>
          </w:p>
        </w:tc>
        <w:tc>
          <w:tcPr>
            <w:tcW w:type="dxa" w:w="1417"/>
            <w:shd w:fill="FFFFFF" w:val="clear"/>
          </w:tcPr>
          <w:p>
            <w:r>
              <w:rPr>
                <w:sz w:val="16"/>
              </w:rPr>
              <w:t>7,941</w:t>
            </w:r>
          </w:p>
        </w:tc>
        <w:tc>
          <w:tcPr>
            <w:tcW w:type="dxa" w:w="1134"/>
            <w:shd w:fill="FFEB9C" w:val="clear"/>
          </w:tcPr>
          <w:p>
            <w:r>
              <w:rPr>
                <w:b/>
                <w:color w:val="646400"/>
                <w:sz w:val="16"/>
              </w:rPr>
              <w:t>-0.73%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31,250</w:t>
            </w:r>
          </w:p>
        </w:tc>
        <w:tc>
          <w:tcPr>
            <w:tcW w:type="dxa" w:w="1417"/>
            <w:shd w:fill="FFFFFF" w:val="clear"/>
          </w:tcPr>
          <w:p>
            <w:r>
              <w:rPr>
                <w:sz w:val="16"/>
              </w:rPr>
              <w:t>30,924</w:t>
            </w:r>
          </w:p>
        </w:tc>
        <w:tc>
          <w:tcPr>
            <w:tcW w:type="dxa" w:w="1134"/>
            <w:shd w:fill="FFC7CE" w:val="clear"/>
          </w:tcPr>
          <w:p>
            <w:r>
              <w:rPr>
                <w:b/>
                <w:color w:val="B40000"/>
                <w:sz w:val="16"/>
              </w:rPr>
              <w:t>-1.04%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8,500</w:t>
            </w:r>
          </w:p>
        </w:tc>
        <w:tc>
          <w:tcPr>
            <w:tcW w:type="dxa" w:w="1417"/>
            <w:shd w:fill="FFFFFF" w:val="clear"/>
          </w:tcPr>
          <w:p>
            <w:r>
              <w:rPr>
                <w:sz w:val="16"/>
              </w:rPr>
              <w:t>8,369</w:t>
            </w:r>
          </w:p>
        </w:tc>
        <w:tc>
          <w:tcPr>
            <w:tcW w:type="dxa" w:w="1134"/>
            <w:shd w:fill="FFC7CE" w:val="clear"/>
          </w:tcPr>
          <w:p>
            <w:r>
              <w:rPr>
                <w:b/>
                <w:color w:val="B40000"/>
                <w:sz w:val="16"/>
              </w:rPr>
              <w:t>-1.54%</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39,250</w:t>
            </w:r>
          </w:p>
        </w:tc>
        <w:tc>
          <w:tcPr>
            <w:tcW w:type="dxa" w:w="1417"/>
            <w:shd w:fill="FFFFFF" w:val="clear"/>
          </w:tcPr>
          <w:p>
            <w:r>
              <w:rPr>
                <w:sz w:val="16"/>
              </w:rPr>
              <w:t>38,633</w:t>
            </w:r>
          </w:p>
        </w:tc>
        <w:tc>
          <w:tcPr>
            <w:tcW w:type="dxa" w:w="1134"/>
            <w:shd w:fill="FFC7CE" w:val="clear"/>
          </w:tcPr>
          <w:p>
            <w:r>
              <w:rPr>
                <w:b/>
                <w:color w:val="B40000"/>
                <w:sz w:val="16"/>
              </w:rPr>
              <w:t>-1.57%</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8,050</w:t>
            </w:r>
          </w:p>
        </w:tc>
        <w:tc>
          <w:tcPr>
            <w:tcW w:type="dxa" w:w="1417"/>
            <w:shd w:fill="FFFFFF" w:val="clear"/>
          </w:tcPr>
          <w:p>
            <w:r>
              <w:rPr>
                <w:sz w:val="16"/>
              </w:rPr>
              <w:t>7,870</w:t>
            </w:r>
          </w:p>
        </w:tc>
        <w:tc>
          <w:tcPr>
            <w:tcW w:type="dxa" w:w="1134"/>
            <w:shd w:fill="FFC7CE" w:val="clear"/>
          </w:tcPr>
          <w:p>
            <w:r>
              <w:rPr>
                <w:b/>
                <w:color w:val="B40000"/>
                <w:sz w:val="16"/>
              </w:rPr>
              <w:t>-2.24%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37,066</w:t>
            </w:r>
          </w:p>
        </w:tc>
        <w:tc>
          <w:tcPr>
            <w:tcW w:type="dxa" w:w="1134"/>
            <w:shd w:fill="FFC7CE" w:val="clear"/>
          </w:tcPr>
          <w:p>
            <w:r>
              <w:rPr>
                <w:b/>
                <w:color w:val="B40000"/>
                <w:sz w:val="16"/>
              </w:rPr>
              <w:t>-2.46%</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52,700</w:t>
            </w:r>
          </w:p>
        </w:tc>
        <w:tc>
          <w:tcPr>
            <w:tcW w:type="dxa" w:w="1417"/>
            <w:shd w:fill="FFFFFF" w:val="clear"/>
          </w:tcPr>
          <w:p>
            <w:r>
              <w:rPr>
                <w:sz w:val="16"/>
              </w:rPr>
              <w:t>51,350</w:t>
            </w:r>
          </w:p>
        </w:tc>
        <w:tc>
          <w:tcPr>
            <w:tcW w:type="dxa" w:w="1134"/>
            <w:shd w:fill="FFC7CE" w:val="clear"/>
          </w:tcPr>
          <w:p>
            <w:r>
              <w:rPr>
                <w:b/>
                <w:color w:val="B40000"/>
                <w:sz w:val="16"/>
              </w:rPr>
              <w:t>-2.56%</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2,890</w:t>
            </w:r>
          </w:p>
        </w:tc>
        <w:tc>
          <w:tcPr>
            <w:tcW w:type="dxa" w:w="1417"/>
            <w:shd w:fill="FFFFFF" w:val="clear"/>
          </w:tcPr>
          <w:p>
            <w:r>
              <w:rPr>
                <w:sz w:val="16"/>
              </w:rPr>
              <w:t>2,807</w:t>
            </w:r>
          </w:p>
        </w:tc>
        <w:tc>
          <w:tcPr>
            <w:tcW w:type="dxa" w:w="1134"/>
            <w:shd w:fill="FFC7CE" w:val="clear"/>
          </w:tcPr>
          <w:p>
            <w:r>
              <w:rPr>
                <w:b/>
                <w:color w:val="B40000"/>
                <w:sz w:val="16"/>
              </w:rPr>
              <w:t>-2.88%</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2,320</w:t>
            </w:r>
          </w:p>
        </w:tc>
        <w:tc>
          <w:tcPr>
            <w:tcW w:type="dxa" w:w="1417"/>
            <w:shd w:fill="FFFFFF" w:val="clear"/>
          </w:tcPr>
          <w:p>
            <w:r>
              <w:rPr>
                <w:sz w:val="16"/>
              </w:rPr>
              <w:t>2,249</w:t>
            </w:r>
          </w:p>
        </w:tc>
        <w:tc>
          <w:tcPr>
            <w:tcW w:type="dxa" w:w="1134"/>
            <w:shd w:fill="FFC7CE" w:val="clear"/>
          </w:tcPr>
          <w:p>
            <w:r>
              <w:rPr>
                <w:b/>
                <w:color w:val="B40000"/>
                <w:sz w:val="16"/>
              </w:rPr>
              <w:t>-3.05%</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-3.67%</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4,480</w:t>
            </w:r>
          </w:p>
        </w:tc>
        <w:tc>
          <w:tcPr>
            <w:tcW w:type="dxa" w:w="1417"/>
            <w:shd w:fill="FFFFFF" w:val="clear"/>
          </w:tcPr>
          <w:p>
            <w:r>
              <w:rPr>
                <w:sz w:val="16"/>
              </w:rPr>
              <w:t>4,309</w:t>
            </w:r>
          </w:p>
        </w:tc>
        <w:tc>
          <w:tcPr>
            <w:tcW w:type="dxa" w:w="1134"/>
            <w:shd w:fill="FFC7CE" w:val="clear"/>
          </w:tcPr>
          <w:p>
            <w:r>
              <w:rPr>
                <w:b/>
                <w:color w:val="B40000"/>
                <w:sz w:val="16"/>
              </w:rPr>
              <w:t>-3.81%</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8,190</w:t>
            </w:r>
          </w:p>
        </w:tc>
        <w:tc>
          <w:tcPr>
            <w:tcW w:type="dxa" w:w="1417"/>
            <w:shd w:fill="FFFFFF" w:val="clear"/>
          </w:tcPr>
          <w:p>
            <w:r>
              <w:rPr>
                <w:sz w:val="16"/>
              </w:rPr>
              <w:t>7,876</w:t>
            </w:r>
          </w:p>
        </w:tc>
        <w:tc>
          <w:tcPr>
            <w:tcW w:type="dxa" w:w="1134"/>
            <w:shd w:fill="FFC7CE" w:val="clear"/>
          </w:tcPr>
          <w:p>
            <w:r>
              <w:rPr>
                <w:b/>
                <w:color w:val="B40000"/>
                <w:sz w:val="16"/>
              </w:rPr>
              <w:t>-3.83%</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10,100</w:t>
            </w:r>
          </w:p>
        </w:tc>
        <w:tc>
          <w:tcPr>
            <w:tcW w:type="dxa" w:w="1417"/>
            <w:shd w:fill="FFFFFF" w:val="clear"/>
          </w:tcPr>
          <w:p>
            <w:r>
              <w:rPr>
                <w:sz w:val="16"/>
              </w:rPr>
              <w:t>9,658</w:t>
            </w:r>
          </w:p>
        </w:tc>
        <w:tc>
          <w:tcPr>
            <w:tcW w:type="dxa" w:w="1134"/>
            <w:shd w:fill="FFC7CE" w:val="clear"/>
          </w:tcPr>
          <w:p>
            <w:r>
              <w:rPr>
                <w:b/>
                <w:color w:val="B40000"/>
                <w:sz w:val="16"/>
              </w:rPr>
              <w:t>-4.38%</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2,215</w:t>
            </w:r>
          </w:p>
        </w:tc>
        <w:tc>
          <w:tcPr>
            <w:tcW w:type="dxa" w:w="1417"/>
            <w:shd w:fill="FFFFFF" w:val="clear"/>
          </w:tcPr>
          <w:p>
            <w:r>
              <w:rPr>
                <w:sz w:val="16"/>
              </w:rPr>
              <w:t>2,115</w:t>
            </w:r>
          </w:p>
        </w:tc>
        <w:tc>
          <w:tcPr>
            <w:tcW w:type="dxa" w:w="1134"/>
            <w:shd w:fill="FFC7CE" w:val="clear"/>
          </w:tcPr>
          <w:p>
            <w:r>
              <w:rPr>
                <w:b/>
                <w:color w:val="B40000"/>
                <w:sz w:val="16"/>
              </w:rPr>
              <w:t>-4.50%</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2,060</w:t>
            </w:r>
          </w:p>
        </w:tc>
        <w:tc>
          <w:tcPr>
            <w:tcW w:type="dxa" w:w="1417"/>
            <w:shd w:fill="FFFFFF" w:val="clear"/>
          </w:tcPr>
          <w:p>
            <w:r>
              <w:rPr>
                <w:sz w:val="16"/>
              </w:rPr>
              <w:t>1,956</w:t>
            </w:r>
          </w:p>
        </w:tc>
        <w:tc>
          <w:tcPr>
            <w:tcW w:type="dxa" w:w="1134"/>
            <w:shd w:fill="FFC7CE" w:val="clear"/>
          </w:tcPr>
          <w:p>
            <w:r>
              <w:rPr>
                <w:b/>
                <w:color w:val="B40000"/>
                <w:sz w:val="16"/>
              </w:rPr>
              <w:t>-5.05%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2,550</w:t>
            </w:r>
          </w:p>
        </w:tc>
        <w:tc>
          <w:tcPr>
            <w:tcW w:type="dxa" w:w="1417"/>
            <w:shd w:fill="FFFFFF" w:val="clear"/>
          </w:tcPr>
          <w:p>
            <w:r>
              <w:rPr>
                <w:sz w:val="16"/>
              </w:rPr>
              <w:t>2,406</w:t>
            </w:r>
          </w:p>
        </w:tc>
        <w:tc>
          <w:tcPr>
            <w:tcW w:type="dxa" w:w="1134"/>
            <w:shd w:fill="FFC7CE" w:val="clear"/>
          </w:tcPr>
          <w:p>
            <w:r>
              <w:rPr>
                <w:b/>
                <w:color w:val="B40000"/>
                <w:sz w:val="16"/>
              </w:rPr>
              <w:t>-5.65%</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3,430</w:t>
            </w:r>
          </w:p>
        </w:tc>
        <w:tc>
          <w:tcPr>
            <w:tcW w:type="dxa" w:w="1417"/>
            <w:shd w:fill="FFFFFF" w:val="clear"/>
          </w:tcPr>
          <w:p>
            <w:r>
              <w:rPr>
                <w:sz w:val="16"/>
              </w:rPr>
              <w:t>3,231</w:t>
            </w:r>
          </w:p>
        </w:tc>
        <w:tc>
          <w:tcPr>
            <w:tcW w:type="dxa" w:w="1134"/>
            <w:shd w:fill="FFC7CE" w:val="clear"/>
          </w:tcPr>
          <w:p>
            <w:r>
              <w:rPr>
                <w:b/>
                <w:color w:val="B40000"/>
                <w:sz w:val="16"/>
              </w:rPr>
              <w:t>-5.79%</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12,000</w:t>
            </w:r>
          </w:p>
        </w:tc>
        <w:tc>
          <w:tcPr>
            <w:tcW w:type="dxa" w:w="1417"/>
            <w:shd w:fill="FFFFFF" w:val="clear"/>
          </w:tcPr>
          <w:p>
            <w:r>
              <w:rPr>
                <w:sz w:val="16"/>
              </w:rPr>
              <w:t>11,272</w:t>
            </w:r>
          </w:p>
        </w:tc>
        <w:tc>
          <w:tcPr>
            <w:tcW w:type="dxa" w:w="1134"/>
            <w:shd w:fill="FFC7CE" w:val="clear"/>
          </w:tcPr>
          <w:p>
            <w:r>
              <w:rPr>
                <w:b/>
                <w:color w:val="B40000"/>
                <w:sz w:val="16"/>
              </w:rPr>
              <w:t>-6.07%</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9,100</w:t>
            </w:r>
          </w:p>
        </w:tc>
        <w:tc>
          <w:tcPr>
            <w:tcW w:type="dxa" w:w="1417"/>
            <w:shd w:fill="FFFFFF" w:val="clear"/>
          </w:tcPr>
          <w:p>
            <w:r>
              <w:rPr>
                <w:sz w:val="16"/>
              </w:rPr>
              <w:t>8,524</w:t>
            </w:r>
          </w:p>
        </w:tc>
        <w:tc>
          <w:tcPr>
            <w:tcW w:type="dxa" w:w="1134"/>
            <w:shd w:fill="FFC7CE" w:val="clear"/>
          </w:tcPr>
          <w:p>
            <w:r>
              <w:rPr>
                <w:b/>
                <w:color w:val="B40000"/>
                <w:sz w:val="16"/>
              </w:rPr>
              <w:t>-6.33%</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2,435</w:t>
            </w:r>
          </w:p>
        </w:tc>
        <w:tc>
          <w:tcPr>
            <w:tcW w:type="dxa" w:w="1417"/>
            <w:shd w:fill="FFFFFF" w:val="clear"/>
          </w:tcPr>
          <w:p>
            <w:r>
              <w:rPr>
                <w:sz w:val="16"/>
              </w:rPr>
              <w:t>2,280</w:t>
            </w:r>
          </w:p>
        </w:tc>
        <w:tc>
          <w:tcPr>
            <w:tcW w:type="dxa" w:w="1134"/>
            <w:shd w:fill="FFC7CE" w:val="clear"/>
          </w:tcPr>
          <w:p>
            <w:r>
              <w:rPr>
                <w:b/>
                <w:color w:val="B40000"/>
                <w:sz w:val="16"/>
              </w:rPr>
              <w:t>-6.39%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2,095</w:t>
            </w:r>
          </w:p>
        </w:tc>
        <w:tc>
          <w:tcPr>
            <w:tcW w:type="dxa" w:w="1417"/>
            <w:shd w:fill="FFFFFF" w:val="clear"/>
          </w:tcPr>
          <w:p>
            <w:r>
              <w:rPr>
                <w:sz w:val="16"/>
              </w:rPr>
              <w:t>1,946</w:t>
            </w:r>
          </w:p>
        </w:tc>
        <w:tc>
          <w:tcPr>
            <w:tcW w:type="dxa" w:w="1134"/>
            <w:shd w:fill="FFC7CE" w:val="clear"/>
          </w:tcPr>
          <w:p>
            <w:r>
              <w:rPr>
                <w:b/>
                <w:color w:val="B40000"/>
                <w:sz w:val="16"/>
              </w:rPr>
              <w:t>-7.12%</w:t>
            </w:r>
          </w:p>
        </w:tc>
        <w:tc>
          <w:tcPr>
            <w:tcW w:type="dxa" w:w="1134"/>
            <w:shd w:fill="FFEB9C" w:val="clear"/>
          </w:tcPr>
          <w:p>
            <w:r>
              <w:rPr>
                <w:sz w:val="16"/>
              </w:rPr>
              <w:t>Moyenne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6,500</w:t>
            </w:r>
          </w:p>
        </w:tc>
        <w:tc>
          <w:tcPr>
            <w:tcW w:type="dxa" w:w="1417"/>
            <w:shd w:fill="FFFFFF" w:val="clear"/>
          </w:tcPr>
          <w:p>
            <w:r>
              <w:rPr>
                <w:sz w:val="16"/>
              </w:rPr>
              <w:t>5,951</w:t>
            </w:r>
          </w:p>
        </w:tc>
        <w:tc>
          <w:tcPr>
            <w:tcW w:type="dxa" w:w="1134"/>
            <w:shd w:fill="FFC7CE" w:val="clear"/>
          </w:tcPr>
          <w:p>
            <w:r>
              <w:rPr>
                <w:b/>
                <w:color w:val="B40000"/>
                <w:sz w:val="16"/>
              </w:rPr>
              <w:t>-8.45%</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3,270</w:t>
            </w:r>
          </w:p>
        </w:tc>
        <w:tc>
          <w:tcPr>
            <w:tcW w:type="dxa" w:w="1417"/>
            <w:shd w:fill="FFFFFF" w:val="clear"/>
          </w:tcPr>
          <w:p>
            <w:r>
              <w:rPr>
                <w:sz w:val="16"/>
              </w:rPr>
              <w:t>2,973</w:t>
            </w:r>
          </w:p>
        </w:tc>
        <w:tc>
          <w:tcPr>
            <w:tcW w:type="dxa" w:w="1134"/>
            <w:shd w:fill="FFC7CE" w:val="clear"/>
          </w:tcPr>
          <w:p>
            <w:r>
              <w:rPr>
                <w:b/>
                <w:color w:val="B40000"/>
                <w:sz w:val="16"/>
              </w:rPr>
              <w:t>-9.08%</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10,435</w:t>
            </w:r>
          </w:p>
        </w:tc>
        <w:tc>
          <w:tcPr>
            <w:tcW w:type="dxa" w:w="1417"/>
            <w:shd w:fill="FFFFFF" w:val="clear"/>
          </w:tcPr>
          <w:p>
            <w:r>
              <w:rPr>
                <w:sz w:val="16"/>
              </w:rPr>
              <w:t>9,363</w:t>
            </w:r>
          </w:p>
        </w:tc>
        <w:tc>
          <w:tcPr>
            <w:tcW w:type="dxa" w:w="1134"/>
            <w:shd w:fill="FFC7CE" w:val="clear"/>
          </w:tcPr>
          <w:p>
            <w:r>
              <w:rPr>
                <w:b/>
                <w:color w:val="B40000"/>
                <w:sz w:val="16"/>
              </w:rPr>
              <w:t>-10.27%</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4,050</w:t>
            </w:r>
          </w:p>
        </w:tc>
        <w:tc>
          <w:tcPr>
            <w:tcW w:type="dxa" w:w="1417"/>
            <w:shd w:fill="FFFFFF" w:val="clear"/>
          </w:tcPr>
          <w:p>
            <w:r>
              <w:rPr>
                <w:sz w:val="16"/>
              </w:rPr>
              <w:t>3,585</w:t>
            </w:r>
          </w:p>
        </w:tc>
        <w:tc>
          <w:tcPr>
            <w:tcW w:type="dxa" w:w="1134"/>
            <w:shd w:fill="FFC7CE" w:val="clear"/>
          </w:tcPr>
          <w:p>
            <w:r>
              <w:rPr>
                <w:b/>
                <w:color w:val="B40000"/>
                <w:sz w:val="16"/>
              </w:rPr>
              <w:t>-11.47%</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33,500</w:t>
            </w:r>
          </w:p>
        </w:tc>
        <w:tc>
          <w:tcPr>
            <w:tcW w:type="dxa" w:w="1417"/>
            <w:shd w:fill="FFFFFF" w:val="clear"/>
          </w:tcPr>
          <w:p>
            <w:r>
              <w:rPr>
                <w:sz w:val="16"/>
              </w:rPr>
              <w:t>28,549</w:t>
            </w:r>
          </w:p>
        </w:tc>
        <w:tc>
          <w:tcPr>
            <w:tcW w:type="dxa" w:w="1134"/>
            <w:shd w:fill="FFC7CE" w:val="clear"/>
          </w:tcPr>
          <w:p>
            <w:r>
              <w:rPr>
                <w:b/>
                <w:color w:val="B40000"/>
                <w:sz w:val="16"/>
              </w:rPr>
              <w:t>-14.78%</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2,980</w:t>
            </w:r>
          </w:p>
        </w:tc>
        <w:tc>
          <w:tcPr>
            <w:tcW w:type="dxa" w:w="1417"/>
            <w:shd w:fill="FFFFFF" w:val="clear"/>
          </w:tcPr>
          <w:p>
            <w:r>
              <w:rPr>
                <w:sz w:val="16"/>
              </w:rPr>
              <w:t>2,325</w:t>
            </w:r>
          </w:p>
        </w:tc>
        <w:tc>
          <w:tcPr>
            <w:tcW w:type="dxa" w:w="1134"/>
            <w:shd w:fill="FFC7CE" w:val="clear"/>
          </w:tcPr>
          <w:p>
            <w:r>
              <w:rPr>
                <w:b/>
                <w:color w:val="B40000"/>
                <w:sz w:val="16"/>
              </w:rPr>
              <w:t>-21.97%</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44.19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3,603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+19.12%</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10.60% (Moyenne) — μ=3,285 FCFA, σ=348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β=0.5086 (Défensif) — Cov=0.000018, Var(idx)=0.000035, ρ=0.098,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3,797</w:t>
            </w:r>
          </w:p>
        </w:tc>
        <w:tc>
          <w:tcPr>
            <w:tcW w:type="dxa" w:w="1440"/>
            <w:shd w:fill="FAFAFA" w:val="clear"/>
          </w:tcPr>
          <w:p>
            <w:r>
              <w:rPr>
                <w:b/>
                <w:sz w:val="17"/>
              </w:rPr>
              <w:t>3,973</w:t>
            </w:r>
          </w:p>
        </w:tc>
        <w:tc>
          <w:tcPr>
            <w:tcW w:type="dxa" w:w="1440"/>
            <w:shd w:fill="FAFAFA" w:val="clear"/>
          </w:tcPr>
          <w:p>
            <w:r>
              <w:rPr>
                <w:sz w:val="17"/>
              </w:rPr>
              <w:t>4,149</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2026-09-21</w:t>
            </w:r>
          </w:p>
        </w:tc>
        <w:tc>
          <w:tcPr>
            <w:tcW w:type="dxa" w:w="1440"/>
            <w:shd w:fill="FFDCE0" w:val="clear"/>
          </w:tcPr>
          <w:p>
            <w:r>
              <w:rPr>
                <w:sz w:val="17"/>
              </w:rPr>
              <w:t>3,671</w:t>
            </w:r>
          </w:p>
        </w:tc>
        <w:tc>
          <w:tcPr>
            <w:tcW w:type="dxa" w:w="1440"/>
            <w:shd w:fill="FFDCE0" w:val="clear"/>
          </w:tcPr>
          <w:p>
            <w:r>
              <w:rPr>
                <w:b/>
                <w:sz w:val="17"/>
              </w:rPr>
              <w:t>3,916</w:t>
            </w:r>
          </w:p>
        </w:tc>
        <w:tc>
          <w:tcPr>
            <w:tcW w:type="dxa" w:w="1440"/>
            <w:shd w:fill="FFDCE0" w:val="clear"/>
          </w:tcPr>
          <w:p>
            <w:r>
              <w:rPr>
                <w:sz w:val="17"/>
              </w:rPr>
              <w:t>4,162</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2026-09-22</w:t>
            </w:r>
          </w:p>
        </w:tc>
        <w:tc>
          <w:tcPr>
            <w:tcW w:type="dxa" w:w="1440"/>
            <w:shd w:fill="FFDCE0" w:val="clear"/>
          </w:tcPr>
          <w:p>
            <w:r>
              <w:rPr>
                <w:sz w:val="17"/>
              </w:rPr>
              <w:t>3,561</w:t>
            </w:r>
          </w:p>
        </w:tc>
        <w:tc>
          <w:tcPr>
            <w:tcW w:type="dxa" w:w="1440"/>
            <w:shd w:fill="FFDCE0" w:val="clear"/>
          </w:tcPr>
          <w:p>
            <w:r>
              <w:rPr>
                <w:b/>
                <w:sz w:val="17"/>
              </w:rPr>
              <w:t>3,857</w:t>
            </w:r>
          </w:p>
        </w:tc>
        <w:tc>
          <w:tcPr>
            <w:tcW w:type="dxa" w:w="1440"/>
            <w:shd w:fill="FFDCE0" w:val="clear"/>
          </w:tcPr>
          <w:p>
            <w:r>
              <w:rPr>
                <w:sz w:val="17"/>
              </w:rPr>
              <w:t>4,154</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3,469</w:t>
            </w:r>
          </w:p>
        </w:tc>
        <w:tc>
          <w:tcPr>
            <w:tcW w:type="dxa" w:w="1440"/>
            <w:shd w:fill="FFDCE0" w:val="clear"/>
          </w:tcPr>
          <w:p>
            <w:r>
              <w:rPr>
                <w:b/>
                <w:sz w:val="17"/>
              </w:rPr>
              <w:t>3,807</w:t>
            </w:r>
          </w:p>
        </w:tc>
        <w:tc>
          <w:tcPr>
            <w:tcW w:type="dxa" w:w="1440"/>
            <w:shd w:fill="FFDCE0" w:val="clear"/>
          </w:tcPr>
          <w:p>
            <w:r>
              <w:rPr>
                <w:sz w:val="17"/>
              </w:rPr>
              <w:t>4,145</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3,390</w:t>
            </w:r>
          </w:p>
        </w:tc>
        <w:tc>
          <w:tcPr>
            <w:tcW w:type="dxa" w:w="1440"/>
            <w:shd w:fill="FFDCE0" w:val="clear"/>
          </w:tcPr>
          <w:p>
            <w:r>
              <w:rPr>
                <w:b/>
                <w:sz w:val="17"/>
              </w:rPr>
              <w:t>3,763</w:t>
            </w:r>
          </w:p>
        </w:tc>
        <w:tc>
          <w:tcPr>
            <w:tcW w:type="dxa" w:w="1440"/>
            <w:shd w:fill="FFDCE0" w:val="clear"/>
          </w:tcPr>
          <w:p>
            <w:r>
              <w:rPr>
                <w:sz w:val="17"/>
              </w:rPr>
              <w:t>4,136</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3,318</w:t>
            </w:r>
          </w:p>
        </w:tc>
        <w:tc>
          <w:tcPr>
            <w:tcW w:type="dxa" w:w="1440"/>
            <w:shd w:fill="FFDCE0" w:val="clear"/>
          </w:tcPr>
          <w:p>
            <w:r>
              <w:rPr>
                <w:b/>
                <w:sz w:val="17"/>
              </w:rPr>
              <w:t>3,722</w:t>
            </w:r>
          </w:p>
        </w:tc>
        <w:tc>
          <w:tcPr>
            <w:tcW w:type="dxa" w:w="1440"/>
            <w:shd w:fill="FFDCE0" w:val="clear"/>
          </w:tcPr>
          <w:p>
            <w:r>
              <w:rPr>
                <w:sz w:val="17"/>
              </w:rPr>
              <w:t>4,127</w:t>
            </w:r>
          </w:p>
        </w:tc>
        <w:tc>
          <w:tcPr>
            <w:tcW w:type="dxa" w:w="1440"/>
            <w:shd w:fill="FFDCE0" w:val="clear"/>
          </w:tcPr>
          <w:p>
            <w:r>
              <w:rPr>
                <w:b/>
                <w:color w:val="C00000"/>
                <w:sz w:val="17"/>
              </w:rPr>
              <w:t>-8.1%</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3,252</w:t>
            </w:r>
          </w:p>
        </w:tc>
        <w:tc>
          <w:tcPr>
            <w:tcW w:type="dxa" w:w="1440"/>
            <w:shd w:fill="FFDCE0" w:val="clear"/>
          </w:tcPr>
          <w:p>
            <w:r>
              <w:rPr>
                <w:b/>
                <w:sz w:val="17"/>
              </w:rPr>
              <w:t>3,685</w:t>
            </w:r>
          </w:p>
        </w:tc>
        <w:tc>
          <w:tcPr>
            <w:tcW w:type="dxa" w:w="1440"/>
            <w:shd w:fill="FFDCE0" w:val="clear"/>
          </w:tcPr>
          <w:p>
            <w:r>
              <w:rPr>
                <w:sz w:val="17"/>
              </w:rPr>
              <w:t>4,117</w:t>
            </w:r>
          </w:p>
        </w:tc>
        <w:tc>
          <w:tcPr>
            <w:tcW w:type="dxa" w:w="1440"/>
            <w:shd w:fill="FFDCE0" w:val="clear"/>
          </w:tcPr>
          <w:p>
            <w:r>
              <w:rPr>
                <w:b/>
                <w:color w:val="C00000"/>
                <w:sz w:val="17"/>
              </w:rPr>
              <w:t>-9.0%</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3,192</w:t>
            </w:r>
          </w:p>
        </w:tc>
        <w:tc>
          <w:tcPr>
            <w:tcW w:type="dxa" w:w="1440"/>
            <w:shd w:fill="FFDCE0" w:val="clear"/>
          </w:tcPr>
          <w:p>
            <w:r>
              <w:rPr>
                <w:b/>
                <w:sz w:val="17"/>
              </w:rPr>
              <w:t>3,650</w:t>
            </w:r>
          </w:p>
        </w:tc>
        <w:tc>
          <w:tcPr>
            <w:tcW w:type="dxa" w:w="1440"/>
            <w:shd w:fill="FFDCE0" w:val="clear"/>
          </w:tcPr>
          <w:p>
            <w:r>
              <w:rPr>
                <w:sz w:val="17"/>
              </w:rPr>
              <w:t>4,108</w:t>
            </w:r>
          </w:p>
        </w:tc>
        <w:tc>
          <w:tcPr>
            <w:tcW w:type="dxa" w:w="1440"/>
            <w:shd w:fill="FFDCE0" w:val="clear"/>
          </w:tcPr>
          <w:p>
            <w:r>
              <w:rPr>
                <w:b/>
                <w:color w:val="C00000"/>
                <w:sz w:val="17"/>
              </w:rPr>
              <w:t>-9.9%</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3,135</w:t>
            </w:r>
          </w:p>
        </w:tc>
        <w:tc>
          <w:tcPr>
            <w:tcW w:type="dxa" w:w="1440"/>
            <w:shd w:fill="FFDCE0" w:val="clear"/>
          </w:tcPr>
          <w:p>
            <w:r>
              <w:rPr>
                <w:b/>
                <w:sz w:val="17"/>
              </w:rPr>
              <w:t>3,617</w:t>
            </w:r>
          </w:p>
        </w:tc>
        <w:tc>
          <w:tcPr>
            <w:tcW w:type="dxa" w:w="1440"/>
            <w:shd w:fill="FFDCE0" w:val="clear"/>
          </w:tcPr>
          <w:p>
            <w:r>
              <w:rPr>
                <w:sz w:val="17"/>
              </w:rPr>
              <w:t>4,098</w:t>
            </w:r>
          </w:p>
        </w:tc>
        <w:tc>
          <w:tcPr>
            <w:tcW w:type="dxa" w:w="1440"/>
            <w:shd w:fill="FFDCE0" w:val="clear"/>
          </w:tcPr>
          <w:p>
            <w:r>
              <w:rPr>
                <w:b/>
                <w:color w:val="C00000"/>
                <w:sz w:val="17"/>
              </w:rPr>
              <w:t>-10.7%</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3,082</w:t>
            </w:r>
          </w:p>
        </w:tc>
        <w:tc>
          <w:tcPr>
            <w:tcW w:type="dxa" w:w="1440"/>
            <w:shd w:fill="FFDCE0" w:val="clear"/>
          </w:tcPr>
          <w:p>
            <w:r>
              <w:rPr>
                <w:b/>
                <w:sz w:val="17"/>
              </w:rPr>
              <w:t>3,585</w:t>
            </w:r>
          </w:p>
        </w:tc>
        <w:tc>
          <w:tcPr>
            <w:tcW w:type="dxa" w:w="1440"/>
            <w:shd w:fill="FFDCE0" w:val="clear"/>
          </w:tcPr>
          <w:p>
            <w:r>
              <w:rPr>
                <w:sz w:val="17"/>
              </w:rPr>
              <w:t>4,088</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*Bourse Régionale des Valeurs Mobilières (BRVM) — Secteur : Services aéroportuaires*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44,19 Mds FCFA, ABJC se positionne comme une valeur de taille moyenne sur le marché BRVM, reflétant sa stature de spécialiste des services aéroportuaires en Côte d'Ivoire. Le BPA de 124 FCFA/action indique ce que chaque titre rapporte en bénéfice net, mais le PER de 32,7x traduit une valorisation très généreuse : les investisseurs paient plus de 32 fois les bénéfices, soit près de trois fois la moyenne du marché BRVM (8-12x), ce qui intègre une forte anticipation de croissance ou une prime de rareté sectorielle. Le P/B de 8,57x confirme cette exigence — le marché valorise l'entreprise à plus de 8 fois sa valeur comptable, un niveau qui ne se justifie que par une rentabilité des fonds propres exceptionnelle (ROE de 26,18% en 2025). Enfin, l'EV/EBITDA de 16,9x, supérieur au seuil de 15x, signale que la valeur d'entreprise rapportée à la capacité opérationnelle est tendue,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performance remarquable de +19,12%, avec une dernière séance quasi stable (+0,25%), portant le cours à 4 050 FCFA. Le range de trading est large, entre un plus bas de 2 800 FCFA et un plus haut de 4 095 FCFA, soit une amplitude de près de 46% qui témoigne d'une dynamique haussière puissante mais aussi d'une forte volatilité. La tendance générale est clairement haussière, le cours actuel évoluant proche de son sommet historique sur la période. Les statistiques descriptives révèlent une moyenne de 3 285 FCFA nettement supérieure à la médiane de 3 182 FCFA, confirmant une asymétrie positive (skewness de 0,861) : la distribution est tirée vers le haut par des journées de forte hausse, avec davantage de séances sous la moyenne. L'écart-type de 350 FCFA (CV de 10,6%) indique une dispersion modérée autour de la moyenne, tandis que le kurtosis de -0,256 (mésokurtique) suggère une distribution proche de la normale, sans risque excessif de pics extrêmes. La volatilité annualisée de 48,4% classe ABJC parmi les titres à volatilité élevée (&gt;30%), ce qui implique un risque de fluctuation important et nécessite une tolérance au risque adaptée.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(3 844,75 FCFA) et la MM50 (3 397,90 FCFA) sont toutes deux inférieures au cours actuel (4 050 FCFA), avec la MM20 au-dessus de la MM50, configurant un croisement haussier classique. Cette configuration en "golden cross" justifie la décision d'achat, le cours évoluant au-dessus de ses deux supports dynamiques.</w:t>
      </w:r>
    </w:p>
    <w:p>
      <w:pPr>
        <w:spacing w:after="120" w:line="276" w:lineRule="auto"/>
      </w:pPr>
      <w:r>
        <w:t>**Bandes de Bollinger** : Le cours (4 050 FCFA) se situe entre la borne inférieure (3 406,23 FCFA) et la borne supérieure (4 283,27 FCFA), mais plus proche de la borne haute, indiquant une pression acheteuse sans surachat extrême. La décision est neutre, les bandes étant relativement larges (écart de 877 FCFA), ce qui reflète la volatilité élevée du titre.</w:t>
      </w:r>
    </w:p>
    <w:p>
      <w:pPr>
        <w:spacing w:after="120" w:line="276" w:lineRule="auto"/>
      </w:pPr>
      <w:r>
        <w:t>**MACD** : La valeur du MACD (199,314) est légèrement inférieure à son signal (202,465), générant une divergence baissière marginale. Le momentum haussier s'essouffle, ce qui justifie la décision de vente à court terme, bien que l'écart reste faible et puisse se résorber rapidement.</w:t>
      </w:r>
    </w:p>
    <w:p>
      <w:pPr>
        <w:spacing w:after="120" w:line="276" w:lineRule="auto"/>
      </w:pPr>
      <w:r>
        <w:t>**RSI** : À 74,658, le RSI est en zone de surachat (&gt;70), signalant que le titre a été acheté de manière excessive à court terme et qu'une correction ou consolidation est probable. La décision de vente est cohérente avec ce niveau élevé.</w:t>
      </w:r>
    </w:p>
    <w:p>
      <w:pPr>
        <w:spacing w:after="120" w:line="276" w:lineRule="auto"/>
      </w:pPr>
      <w:r>
        <w:t>**Stochastique** : Le %K (85,246) et le %D (83,971) sont tous deux en zone de surachat (&gt;80), avec un %K légèrement au-dessus du %D, sans croisement baissier confirmé. La décision de vente reflète le risque de retournement imminent après une forte progression.</w:t>
      </w:r>
    </w:p>
    <w:p>
      <w:pPr>
        <w:spacing w:after="120" w:line="276" w:lineRule="auto"/>
      </w:pPr>
      <w:r>
        <w:t>**Conclusion technique** : Les indicateurs présentent une divergence notable : les moyennes mobiles confirment la tendance haussière de fond, mais le MACD, le RSI et le stochastique signalent tous un essoufflement à court terme et un risque de correction. Cette configuration suggère une consolidation probable avant une reprise éventuelle, et appelle à la prudence pour les investisseurs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d'ABJC (rapport du 31 décembre 2025) affichent un chiffre d'affaires de 13,298 Mds FCFA, en croissance de 6,67% sur un an, avec un résultat net de 1,351 Mds FCFA, en baisse de 12,1% par rapport à 2024. La rentabilité reste solide avec un ROE de 26,18% (excellent, &gt;15%) et un ROA de 14,64%, tandis que la marge nette se maintient à 10,16%. La structure financière est saine : autonomie financière de 55,92%, endettement quasi nul (dettes financières de seulement 65,89 M FCFA), et trésorerie nette de 4,035 Mds FCFA. En tant qu'entreprise de services, les délais d'exploitation méritent attention : le délai clients de 70,10 jours est élevé et constitue un risque de trésorerie, mais il est compensé par un délai fournisseurs de 92,11 jours (favorable) et un BFR maîtrisé de 257,45 M FCFA. Le rapport T1 2026 (publié en 2026) révèle cependant une dégradation préoccupante : le CA ne progresse que de 1,9% (3,237 Mds FCFA) tandis que le résultat net chute de 35,6% (222,625 M FCFA), pénalisé par les ajustements de redevances aéroportuaires et les tensions géopolitiques au Moyen-Orient. Sur la base de ce T1 2026, on estime que l'exercice 2026 devrait enregistrer une contraction de la rentabilité, avec un résultat net annualisé potentiellement inférieur à 1 Md FCFA si la tendance se poursuit. Le rapport T3 2025 (30 septembre 2025) montrait pourtant un redressement avec un CA trimestriel de 10 218 M FCFA (+10,3%) et un résultat net de 1 325 M FCFA (+17,1%), mais cette dynamique semble s'être inversée au T1 2026. La recommandation fondamentale est de **conserver** : la solidité financière et la position dominante sur le marché aéroportuaire ivoirien sont des atouts, mais la dégradation récente de la rentabilité et la valorisation exigeante limitent le potentiel haussier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tendue : PER de 32,7x, P/B de 8,57x et EV/EBITDA de 16,9x intègrent une prime de croissance que les résultats récents ne justifient plus, surtout après la chute de 35,6% du résultat net au T1 2026. Le comportement du cours (Partie 1) reste haussier (+19,12% sur 100 jours) mais la volatilité élevée (48,4%) et le skewness positif (0,861) indiquent que la progression s'est faite par à-coups, avec un risque de correction. Les signaux techniques (Partie 2) sont divergents : les moyennes mobiles confirment la tendance haussière, mais le MACD, le RSI (74,66) et le stochastique (85,25) signalent tous un surachat et un essoufflement imminent. Les fondamentaux (Partie 3) révèlent une entreprise solide (ROE de 26,18%, trésorerie de 4,035 Mds FCFA) mais confrontée à une dégradation de sa rentabilité en 2026, avec un résultat net en baisse de 35,6% au T1. Les prédictions IA (J+1 à J+10) anticipent une correction progressive de 4 050 FCFA vers 3 763 FCFA, confirmant les signaux techniques baissiers à court terme. Sur la base de cette synthèse, la recommandation finale est **CONSERVER** : la convergence entre la valorisation exigeante, les signaux techniques de surachat, la dégradation fondamentale récente et les prédictions baissières plaide pour une pause, voire une prise partielle de bénéfices. Le niveau de confiance est **Moyen** (les indicateurs sont cohérents mais la solidité financière limite le risque de chute brutale) et le niveau de risque global est **Élevé** (volatilité de 48,4%, valorisation tendue, incertitudes réglementaires). L'horizon d'investissement optimal est **moyen terme (3-12 mois)**, en attendant une clarification sur la trajectoire bénéficiaire de 2026 et une correction technique qui ramènerait le titre vers des niveaux plus attractifs (zone des 3 400-3 600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602.72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13,005 titres</w:t>
            </w:r>
          </w:p>
        </w:tc>
        <w:tc>
          <w:tcPr>
            <w:tcW w:type="dxa" w:w="2268"/>
            <w:shd w:fill="FFF2CC" w:val="clear"/>
          </w:tcPr>
          <w:p>
            <w:r>
              <w:rPr>
                <w:b/>
                <w:color w:val="503200"/>
                <w:sz w:val="16"/>
              </w:rPr>
              <w:t xml:space="preserve">Cours actuel : </w:t>
            </w:r>
            <w:r>
              <w:rPr>
                <w:color w:val="000000"/>
                <w:sz w:val="17"/>
              </w:rPr>
              <w:t>10,435 FCFA</w:t>
            </w:r>
          </w:p>
          <w:p>
            <w:r>
              <w:rPr>
                <w:b/>
                <w:color w:val="503200"/>
                <w:sz w:val="16"/>
              </w:rPr>
              <w:t xml:space="preserve">Var. 100 jours : </w:t>
            </w:r>
            <w:r>
              <w:rPr>
                <w:b/>
                <w:color w:val="007800"/>
                <w:sz w:val="17"/>
              </w:rPr>
              <w:t>+102.62%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24.89% (Élevée) — μ=6,880 FCFA, σ=1,713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β=0.5314 (Défensif) — Cov=0.000019, Var(idx)=0.000035, ρ=0.144,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13,005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2026-09-18</w:t>
            </w:r>
          </w:p>
        </w:tc>
        <w:tc>
          <w:tcPr>
            <w:tcW w:type="dxa" w:w="1440"/>
            <w:shd w:fill="FFDCE0" w:val="clear"/>
          </w:tcPr>
          <w:p>
            <w:r>
              <w:rPr>
                <w:sz w:val="17"/>
              </w:rPr>
              <w:t>9,400</w:t>
            </w:r>
          </w:p>
        </w:tc>
        <w:tc>
          <w:tcPr>
            <w:tcW w:type="dxa" w:w="1440"/>
            <w:shd w:fill="FFDCE0" w:val="clear"/>
          </w:tcPr>
          <w:p>
            <w:r>
              <w:rPr>
                <w:b/>
                <w:sz w:val="17"/>
              </w:rPr>
              <w:t>9,790</w:t>
            </w:r>
          </w:p>
        </w:tc>
        <w:tc>
          <w:tcPr>
            <w:tcW w:type="dxa" w:w="1440"/>
            <w:shd w:fill="FFDCE0" w:val="clear"/>
          </w:tcPr>
          <w:p>
            <w:r>
              <w:rPr>
                <w:sz w:val="17"/>
              </w:rPr>
              <w:t>10,179</w:t>
            </w:r>
          </w:p>
        </w:tc>
        <w:tc>
          <w:tcPr>
            <w:tcW w:type="dxa" w:w="1440"/>
            <w:shd w:fill="FFDCE0" w:val="clear"/>
          </w:tcPr>
          <w:p>
            <w:r>
              <w:rPr>
                <w:b/>
                <w:color w:val="C00000"/>
                <w:sz w:val="17"/>
              </w:rPr>
              <w:t>-6.2%</w:t>
            </w:r>
          </w:p>
        </w:tc>
      </w:tr>
      <w:tr>
        <w:tc>
          <w:tcPr>
            <w:tcW w:type="dxa" w:w="1440"/>
            <w:shd w:fill="FFDCE0" w:val="clear"/>
          </w:tcPr>
          <w:p>
            <w:r>
              <w:rPr>
                <w:sz w:val="17"/>
              </w:rPr>
              <w:t>J+2  ⭐</w:t>
            </w:r>
          </w:p>
        </w:tc>
        <w:tc>
          <w:tcPr>
            <w:tcW w:type="dxa" w:w="1440"/>
            <w:shd w:fill="FFDCE0" w:val="clear"/>
          </w:tcPr>
          <w:p>
            <w:r>
              <w:rPr>
                <w:sz w:val="17"/>
              </w:rPr>
              <w:t>2026-09-21</w:t>
            </w:r>
          </w:p>
        </w:tc>
        <w:tc>
          <w:tcPr>
            <w:tcW w:type="dxa" w:w="1440"/>
            <w:shd w:fill="FFDCE0" w:val="clear"/>
          </w:tcPr>
          <w:p>
            <w:r>
              <w:rPr>
                <w:sz w:val="17"/>
              </w:rPr>
              <w:t>9,181</w:t>
            </w:r>
          </w:p>
        </w:tc>
        <w:tc>
          <w:tcPr>
            <w:tcW w:type="dxa" w:w="1440"/>
            <w:shd w:fill="FFDCE0" w:val="clear"/>
          </w:tcPr>
          <w:p>
            <w:r>
              <w:rPr>
                <w:b/>
                <w:sz w:val="17"/>
              </w:rPr>
              <w:t>9,727</w:t>
            </w:r>
          </w:p>
        </w:tc>
        <w:tc>
          <w:tcPr>
            <w:tcW w:type="dxa" w:w="1440"/>
            <w:shd w:fill="FFDCE0" w:val="clear"/>
          </w:tcPr>
          <w:p>
            <w:r>
              <w:rPr>
                <w:sz w:val="17"/>
              </w:rPr>
              <w:t>10,274</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8,992</w:t>
            </w:r>
          </w:p>
        </w:tc>
        <w:tc>
          <w:tcPr>
            <w:tcW w:type="dxa" w:w="1440"/>
            <w:shd w:fill="FFDCE0" w:val="clear"/>
          </w:tcPr>
          <w:p>
            <w:r>
              <w:rPr>
                <w:b/>
                <w:sz w:val="17"/>
              </w:rPr>
              <w:t>9,657</w:t>
            </w:r>
          </w:p>
        </w:tc>
        <w:tc>
          <w:tcPr>
            <w:tcW w:type="dxa" w:w="1440"/>
            <w:shd w:fill="FFDCE0" w:val="clear"/>
          </w:tcPr>
          <w:p>
            <w:r>
              <w:rPr>
                <w:sz w:val="17"/>
              </w:rPr>
              <w:t>10,322</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8,830</w:t>
            </w:r>
          </w:p>
        </w:tc>
        <w:tc>
          <w:tcPr>
            <w:tcW w:type="dxa" w:w="1440"/>
            <w:shd w:fill="FFDCE0" w:val="clear"/>
          </w:tcPr>
          <w:p>
            <w:r>
              <w:rPr>
                <w:b/>
                <w:sz w:val="17"/>
              </w:rPr>
              <w:t>9,593</w:t>
            </w:r>
          </w:p>
        </w:tc>
        <w:tc>
          <w:tcPr>
            <w:tcW w:type="dxa" w:w="1440"/>
            <w:shd w:fill="FFDCE0" w:val="clear"/>
          </w:tcPr>
          <w:p>
            <w:r>
              <w:rPr>
                <w:sz w:val="17"/>
              </w:rPr>
              <w:t>10,355</w:t>
            </w:r>
          </w:p>
        </w:tc>
        <w:tc>
          <w:tcPr>
            <w:tcW w:type="dxa" w:w="1440"/>
            <w:shd w:fill="FFDCE0" w:val="clear"/>
          </w:tcPr>
          <w:p>
            <w:r>
              <w:rPr>
                <w:b/>
                <w:color w:val="C00000"/>
                <w:sz w:val="17"/>
              </w:rPr>
              <w:t>-8.1%</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8,689</w:t>
            </w:r>
          </w:p>
        </w:tc>
        <w:tc>
          <w:tcPr>
            <w:tcW w:type="dxa" w:w="1440"/>
            <w:shd w:fill="FFDCE0" w:val="clear"/>
          </w:tcPr>
          <w:p>
            <w:r>
              <w:rPr>
                <w:b/>
                <w:sz w:val="17"/>
              </w:rPr>
              <w:t>9,537</w:t>
            </w:r>
          </w:p>
        </w:tc>
        <w:tc>
          <w:tcPr>
            <w:tcW w:type="dxa" w:w="1440"/>
            <w:shd w:fill="FFDCE0" w:val="clear"/>
          </w:tcPr>
          <w:p>
            <w:r>
              <w:rPr>
                <w:sz w:val="17"/>
              </w:rPr>
              <w:t>10,384</w:t>
            </w:r>
          </w:p>
        </w:tc>
        <w:tc>
          <w:tcPr>
            <w:tcW w:type="dxa" w:w="1440"/>
            <w:shd w:fill="FFDCE0" w:val="clear"/>
          </w:tcPr>
          <w:p>
            <w:r>
              <w:rPr>
                <w:b/>
                <w:color w:val="C00000"/>
                <w:sz w:val="17"/>
              </w:rPr>
              <w:t>-8.6%</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8,566</w:t>
            </w:r>
          </w:p>
        </w:tc>
        <w:tc>
          <w:tcPr>
            <w:tcW w:type="dxa" w:w="1440"/>
            <w:shd w:fill="FFDCE0" w:val="clear"/>
          </w:tcPr>
          <w:p>
            <w:r>
              <w:rPr>
                <w:b/>
                <w:sz w:val="17"/>
              </w:rPr>
              <w:t>9,489</w:t>
            </w:r>
          </w:p>
        </w:tc>
        <w:tc>
          <w:tcPr>
            <w:tcW w:type="dxa" w:w="1440"/>
            <w:shd w:fill="FFDCE0" w:val="clear"/>
          </w:tcPr>
          <w:p>
            <w:r>
              <w:rPr>
                <w:sz w:val="17"/>
              </w:rPr>
              <w:t>10,413</w:t>
            </w:r>
          </w:p>
        </w:tc>
        <w:tc>
          <w:tcPr>
            <w:tcW w:type="dxa" w:w="1440"/>
            <w:shd w:fill="FFDCE0" w:val="clear"/>
          </w:tcPr>
          <w:p>
            <w:r>
              <w:rPr>
                <w:b/>
                <w:color w:val="C00000"/>
                <w:sz w:val="17"/>
              </w:rPr>
              <w:t>-9.1%</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8,456</w:t>
            </w:r>
          </w:p>
        </w:tc>
        <w:tc>
          <w:tcPr>
            <w:tcW w:type="dxa" w:w="1440"/>
            <w:shd w:fill="FFDCE0" w:val="clear"/>
          </w:tcPr>
          <w:p>
            <w:r>
              <w:rPr>
                <w:b/>
                <w:sz w:val="17"/>
              </w:rPr>
              <w:t>9,449</w:t>
            </w:r>
          </w:p>
        </w:tc>
        <w:tc>
          <w:tcPr>
            <w:tcW w:type="dxa" w:w="1440"/>
            <w:shd w:fill="FFDCE0" w:val="clear"/>
          </w:tcPr>
          <w:p>
            <w:r>
              <w:rPr>
                <w:sz w:val="17"/>
              </w:rPr>
              <w:t>10,443</w:t>
            </w:r>
          </w:p>
        </w:tc>
        <w:tc>
          <w:tcPr>
            <w:tcW w:type="dxa" w:w="1440"/>
            <w:shd w:fill="FFDCE0" w:val="clear"/>
          </w:tcPr>
          <w:p>
            <w:r>
              <w:rPr>
                <w:b/>
                <w:color w:val="C00000"/>
                <w:sz w:val="17"/>
              </w:rPr>
              <w:t>-9.4%</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8,357</w:t>
            </w:r>
          </w:p>
        </w:tc>
        <w:tc>
          <w:tcPr>
            <w:tcW w:type="dxa" w:w="1440"/>
            <w:shd w:fill="FFDCE0" w:val="clear"/>
          </w:tcPr>
          <w:p>
            <w:r>
              <w:rPr>
                <w:b/>
                <w:sz w:val="17"/>
              </w:rPr>
              <w:t>9,416</w:t>
            </w:r>
          </w:p>
        </w:tc>
        <w:tc>
          <w:tcPr>
            <w:tcW w:type="dxa" w:w="1440"/>
            <w:shd w:fill="FFDCE0" w:val="clear"/>
          </w:tcPr>
          <w:p>
            <w:r>
              <w:rPr>
                <w:sz w:val="17"/>
              </w:rPr>
              <w:t>10,474</w:t>
            </w:r>
          </w:p>
        </w:tc>
        <w:tc>
          <w:tcPr>
            <w:tcW w:type="dxa" w:w="1440"/>
            <w:shd w:fill="FFDCE0" w:val="clear"/>
          </w:tcPr>
          <w:p>
            <w:r>
              <w:rPr>
                <w:b/>
                <w:color w:val="C00000"/>
                <w:sz w:val="17"/>
              </w:rPr>
              <w:t>-9.8%</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8,268</w:t>
            </w:r>
          </w:p>
        </w:tc>
        <w:tc>
          <w:tcPr>
            <w:tcW w:type="dxa" w:w="1440"/>
            <w:shd w:fill="FFDCE0" w:val="clear"/>
          </w:tcPr>
          <w:p>
            <w:r>
              <w:rPr>
                <w:b/>
                <w:sz w:val="17"/>
              </w:rPr>
              <w:t>9,387</w:t>
            </w:r>
          </w:p>
        </w:tc>
        <w:tc>
          <w:tcPr>
            <w:tcW w:type="dxa" w:w="1440"/>
            <w:shd w:fill="FFDCE0" w:val="clear"/>
          </w:tcPr>
          <w:p>
            <w:r>
              <w:rPr>
                <w:sz w:val="17"/>
              </w:rPr>
              <w:t>10,506</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8,186</w:t>
            </w:r>
          </w:p>
        </w:tc>
        <w:tc>
          <w:tcPr>
            <w:tcW w:type="dxa" w:w="1440"/>
            <w:shd w:fill="FFDCE0" w:val="clear"/>
          </w:tcPr>
          <w:p>
            <w:r>
              <w:rPr>
                <w:b/>
                <w:sz w:val="17"/>
              </w:rPr>
              <w:t>9,363</w:t>
            </w:r>
          </w:p>
        </w:tc>
        <w:tc>
          <w:tcPr>
            <w:tcW w:type="dxa" w:w="1440"/>
            <w:shd w:fill="FFDCE0" w:val="clear"/>
          </w:tcPr>
          <w:p>
            <w:r>
              <w:rPr>
                <w:sz w:val="17"/>
              </w:rPr>
              <w:t>10,539</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*Analyste : Marchés Actions UEMOA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BICB s'élève à 602,72 milliards FCFA, un niveau qui positionne la banque parmi les valeurs les plus importantes de la cote BRVM, reflétant sa stature de leader bancaire au Bénin. Le BPA de 627 FCFA/action signifie que chaque titre génère près de 627 FCFA de bénéfice net, un niveau de rentabilité par action remarquable. Le PER de 16,6x se situe au-dessus de la moyenne BRVM (8-12x), indiquant que les investisseurs paient une prime significative pour les bénéfices de la banque — valorisation modérée mais non excessive au regard de la croissance. Le P/B de 4,46x traduit une forte prime sur la valeur comptable, le marché valorisant largement les fonds propres de la banque, ce qui est exigeant mais justifiable par un ROE de 26,8%. L'EV/EBITDA de 27,0x apparaît très exigeant, signalant que la valeur d'entreprise intègre déjà une forte anticipation de croissance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variation spectaculaire de +102,62%, passant d'un plus bas de 5 105 FCFA à un plus haut de 10 790 FCFA, pour un cours actuel de 10 435 FCFA (recul marginal de -0,62% sur la dernière séance). Cette performance exceptionnelle traduit une tendance haussière puissante, portée par la dynamique fondamentale de la banque et un intérêt croissant des investisseurs. Les statistiques descriptives révèlent une moyenne de 6 880 FCFA nettement supérieure à la médiane de 6 325 FCFA, confirmant une distribution asymétrique avec une concentration des cours en bas de fourchette et des pics haussiers récents — le skewness positif de 0,849 indique effectivement plus de journées sous la moyenne. L'écart-type de 1 721 FCFA (CV=25,0%) traduit une dispersion modérée à élevée, tandis que le kurtosis de -0,496 (mésokurtique) suggère une distribution proche de la normale, sans risque extrême de pics. La volatilité annualisée de 34,5% classe le titre en catégorie élevée (&gt;30%), ce qui est cohérent avec le rallye exceptionnel observé et implique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(9 647,5 FCFA) et la MM50 (8 260,9 FCFA) sont toutes deux inférieures au cours actuel (10 435 FCFA), avec la MM20 au-dessus de la MM50 — configuration haussière classique. Le cours évolue au-dessus de ses deux moyennes, confirmant la dynamique positive et justifiant la décision d'**Achat**.</w:t>
      </w:r>
    </w:p>
    <w:p>
      <w:pPr>
        <w:spacing w:after="120" w:line="276" w:lineRule="auto"/>
      </w:pPr>
      <w:r>
        <w:t>**Bandes de Bollinger** : Le cours (10 435 FCFA) se situe entre la borne supérieure (11 502 FCFA) et la borne inférieure (7 793 FCFA), plus proche de la borne haute. Les bandes sont larges, reflétant la forte volatilité récente. La décision est **Neutre**, le cours n'étant ni en surachat extrême ni en survente.</w:t>
      </w:r>
    </w:p>
    <w:p>
      <w:pPr>
        <w:spacing w:after="120" w:line="276" w:lineRule="auto"/>
      </w:pPr>
      <w:r>
        <w:t>**MACD** : La valeur du MACD (695,5) est légèrement inférieure à son signal (704,9), générant un croisement baissier marginal. Le momentum haussier s'essouffle, ce qui justifie la décision de **Vente** à court terme, bien que l'écart reste faible.</w:t>
      </w:r>
    </w:p>
    <w:p>
      <w:pPr>
        <w:spacing w:after="120" w:line="276" w:lineRule="auto"/>
      </w:pPr>
      <w:r>
        <w:t>**RSI** : À 77,4, le RSI est en zone de surachat (&gt;70), signalant que le titre a été acheté de manière excessive et qu'une correction ou consolidation est probable. La décision de **Vente** est cohérente avec ce niveau élevé.</w:t>
      </w:r>
    </w:p>
    <w:p>
      <w:pPr>
        <w:spacing w:after="120" w:line="276" w:lineRule="auto"/>
      </w:pPr>
      <w:r>
        <w:t>**Stochastique** : Le %K (81,2) est inférieur au %D (86,0), avec les deux indicateurs en zone de surachat. Ce croisement baissier potentiel confirme la pression vendeuse à court terme, justifiant la décision de **Vente**.</w:t>
      </w:r>
    </w:p>
    <w:p>
      <w:pPr>
        <w:spacing w:after="120" w:line="276" w:lineRule="auto"/>
      </w:pPr>
      <w:r>
        <w:t>**Conclusion technique** : Les indicateurs présentent une divergence préoccupante : les moyennes mobiles restent haussières (Achat), mais le MACD, le RSI et le stochastique signalent tous une Vente en raison du surachat. Cette configuration suggère une consolidation imminente après le rallye de +102%, avec un support potentiel autour de la MM20 (9 647 FCFA). La tendance de fond reste haussière, mais un repli technique est probable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BICB affiche un Produit Net Bancaire (PNB) de 52,805 milliards FCFA, en croissance de 16,49% sur un an, et un résultat net de 36,237 milliards FCFA, en hausse de 24,7%. Le ROE s'établit à 26,82% (excellent, &gt;15%) et le ROA à 1,96%, confirmant une rentabilité solide. Le coefficient d'exploitation de 31,12% est remarquablement bas (&lt;60% = banque très efficace), témoignant d'une maîtrise des charges. Le coût du risque (9,61% des charges financières) reste élevé, signalant un portefeuille de crédits à surveiller. Le ratio crédits nets/dépôts atteint 97,5%, indiquant une transformation tendue, et la liquidité immédiate de 127,5% reste satisfaisante. Les dépôts clientèle (1 181,0 milliards FCFA) couvrent largement les créances clientèle (1 151,5 milliards FCFA), mais la marge de manœuvre est limitée.</w:t>
      </w:r>
    </w:p>
    <w:p>
      <w:pPr>
        <w:spacing w:after="120" w:line="276" w:lineRule="auto"/>
      </w:pPr>
      <w:r>
        <w:t>**Estimations basées sur les rapports trimestriels** : Le rapport T1 2026 (publié en 2026) révèle un PNB de 14,6 milliards FCFA (+35%) et un résultat net de 8,0 milliards FCFA (+48%), marquant une accélération spectaculaire. Le rapport T3 2025 (30/09/2025) indiquait un PNB de 35,9 milliards FCFA (+26%) et un résultat net de 13,1 milliards FCFA (-9%), pénalisé par un coût du risque en forte hausse. Le rapport S1 2025 (30/06/2025) montrait déjà cette tendance avec un PNB de 25,7 milliards FCFA (+28,1%) mais un résultat net de 7,9 milliards FCFA (-26,7%). On estime donc que l'exercice 2026 devrait bénéficier d'un effet de base favorable et d'une normalisation du coût du risque, avec un PNB annualisé potentiel de 58-60 milliards FCFA et un résultat net de 38-40 milliards FCFA si la tendance T1 se confirme.</w:t>
      </w:r>
    </w:p>
    <w:p>
      <w:pPr>
        <w:spacing w:after="120" w:line="276" w:lineRule="auto"/>
      </w:pPr>
      <w:r>
        <w:t>**Recommandation fondamentale** : BICB présente des fondamentaux solides (ROE 26,8%, coefficient d'exploitation 31,1%, solvabilité 19,64%) et une dynamique commerciale exceptionnelle (+37,3% de crédits en 2025). Les risques identifiés — coût du risque élevé, tension sur la liquidité (ratio crédits/dépôts à 97,5%), et faiblesses du système d'information (relevées par les commissaires aux comptes en 2025) — nécessitent une surveillance attentive. La recommandation fondamentale est **CONSERVER** avec un biais positif, en attendant la confirmation de la normalisation du coût du risque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BICB (PER 16,6x, P/B 4,46x, EV/EBITDA 27,0x) indique une **surévaluation relative** par rapport aux moyennes du marché BRVM, mais cette prime se justifie par la qualité des fondamentaux (ROE 26,8%, croissance du PNB de 16,5% en 2025 et 35% au T1 2026). Le comportement du cours sur 100 jours (+102,62%) est exceptionnellement haussier, mais les statistiques (skewness positif, volatilité 34,5%) et les signaux techniques (RSI 77,4 en surachat, MACD baissier, stochastique en zone haute) convergent vers une **correction imminente**. Les prédictions IA (9 790 FCFA à J+1, 9 537 FCFA à J+5) confirment cette tendance baissière à court terme, avec une baisse attendue de -8,6% sur 10 jours. La divergence entre les fondamentaux solides (qui soutiennent une vision long terme positive) et les signaux techniques court terme (qui indiquent une vente) est caractéristique d'un titre en phase de consolidation après un rallye excessif. **Recommandation finale : CONSERVER** — les investisseurs déjà en portefeuille peuvent conserver leurs positions en vue d'un horizon long terme (&gt;1 an), tandis que les nouveaux entrants devraient attendre une correction vers 9 500-9 800 FCFA pour se positionner. Le niveau de confiance est **Moyen** (les fondamentaux sont solides mais la technique est baissière à court terme) et le risque global est **Élevé** (volatilité 34,5%, valorisation exigeante, tension sur la liquidité). Horizon optimal : **long terme (&gt;1 an)** pour capturer la croissance structurelle de la banque, en ignorant la volatilité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520.83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666 titres</w:t>
            </w:r>
          </w:p>
        </w:tc>
        <w:tc>
          <w:tcPr>
            <w:tcW w:type="dxa" w:w="2268"/>
            <w:shd w:fill="FFF2CC" w:val="clear"/>
          </w:tcPr>
          <w:p>
            <w:r>
              <w:rPr>
                <w:b/>
                <w:color w:val="503200"/>
                <w:sz w:val="16"/>
              </w:rPr>
              <w:t xml:space="preserve">Cours actuel : </w:t>
            </w:r>
            <w:r>
              <w:rPr>
                <w:color w:val="000000"/>
                <w:sz w:val="17"/>
              </w:rPr>
              <w:t>31,250 FCFA</w:t>
            </w:r>
          </w:p>
          <w:p>
            <w:r>
              <w:rPr>
                <w:b/>
                <w:color w:val="503200"/>
                <w:sz w:val="16"/>
              </w:rPr>
              <w:t xml:space="preserve">Var. 100 jours : </w:t>
            </w:r>
            <w:r>
              <w:rPr>
                <w:b/>
                <w:color w:val="007800"/>
                <w:sz w:val="17"/>
              </w:rPr>
              <w:t>+31.55%</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23,755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7.24% (Moyenne) — μ=28,514 FCFA, σ=2,065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β=0.6479 (Défensif) — Cov=0.000023, Var(idx)=0.000035, ρ=0.213,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30,320</w:t>
            </w:r>
          </w:p>
        </w:tc>
        <w:tc>
          <w:tcPr>
            <w:tcW w:type="dxa" w:w="1440"/>
            <w:shd w:fill="FAFAFA" w:val="clear"/>
          </w:tcPr>
          <w:p>
            <w:r>
              <w:rPr>
                <w:b/>
                <w:sz w:val="17"/>
              </w:rPr>
              <w:t>31,469</w:t>
            </w:r>
          </w:p>
        </w:tc>
        <w:tc>
          <w:tcPr>
            <w:tcW w:type="dxa" w:w="1440"/>
            <w:shd w:fill="FAFAFA" w:val="clear"/>
          </w:tcPr>
          <w:p>
            <w:r>
              <w:rPr>
                <w:sz w:val="17"/>
              </w:rPr>
              <w:t>32,618</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29,781</w:t>
            </w:r>
          </w:p>
        </w:tc>
        <w:tc>
          <w:tcPr>
            <w:tcW w:type="dxa" w:w="1440"/>
            <w:shd w:fill="FAFAFA" w:val="clear"/>
          </w:tcPr>
          <w:p>
            <w:r>
              <w:rPr>
                <w:b/>
                <w:sz w:val="17"/>
              </w:rPr>
              <w:t>31,402</w:t>
            </w:r>
          </w:p>
        </w:tc>
        <w:tc>
          <w:tcPr>
            <w:tcW w:type="dxa" w:w="1440"/>
            <w:shd w:fill="FAFAFA" w:val="clear"/>
          </w:tcPr>
          <w:p>
            <w:r>
              <w:rPr>
                <w:sz w:val="17"/>
              </w:rPr>
              <w:t>33,024</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29,371</w:t>
            </w:r>
          </w:p>
        </w:tc>
        <w:tc>
          <w:tcPr>
            <w:tcW w:type="dxa" w:w="1440"/>
            <w:shd w:fill="FAFAFA" w:val="clear"/>
          </w:tcPr>
          <w:p>
            <w:r>
              <w:rPr>
                <w:b/>
                <w:sz w:val="17"/>
              </w:rPr>
              <w:t>31,354</w:t>
            </w:r>
          </w:p>
        </w:tc>
        <w:tc>
          <w:tcPr>
            <w:tcW w:type="dxa" w:w="1440"/>
            <w:shd w:fill="FAFAFA" w:val="clear"/>
          </w:tcPr>
          <w:p>
            <w:r>
              <w:rPr>
                <w:sz w:val="17"/>
              </w:rPr>
              <w:t>33,337</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29,009</w:t>
            </w:r>
          </w:p>
        </w:tc>
        <w:tc>
          <w:tcPr>
            <w:tcW w:type="dxa" w:w="1440"/>
            <w:shd w:fill="FAFAFA" w:val="clear"/>
          </w:tcPr>
          <w:p>
            <w:r>
              <w:rPr>
                <w:b/>
                <w:sz w:val="17"/>
              </w:rPr>
              <w:t>31,295</w:t>
            </w:r>
          </w:p>
        </w:tc>
        <w:tc>
          <w:tcPr>
            <w:tcW w:type="dxa" w:w="1440"/>
            <w:shd w:fill="FAFAFA" w:val="clear"/>
          </w:tcPr>
          <w:p>
            <w:r>
              <w:rPr>
                <w:sz w:val="17"/>
              </w:rPr>
              <w:t>33,580</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28,680</w:t>
            </w:r>
          </w:p>
        </w:tc>
        <w:tc>
          <w:tcPr>
            <w:tcW w:type="dxa" w:w="1440"/>
            <w:shd w:fill="FAFAFA" w:val="clear"/>
          </w:tcPr>
          <w:p>
            <w:r>
              <w:rPr>
                <w:b/>
                <w:sz w:val="17"/>
              </w:rPr>
              <w:t>31,230</w:t>
            </w:r>
          </w:p>
        </w:tc>
        <w:tc>
          <w:tcPr>
            <w:tcW w:type="dxa" w:w="1440"/>
            <w:shd w:fill="FAFAFA" w:val="clear"/>
          </w:tcPr>
          <w:p>
            <w:r>
              <w:rPr>
                <w:sz w:val="17"/>
              </w:rPr>
              <w:t>33,780</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28,378</w:t>
            </w:r>
          </w:p>
        </w:tc>
        <w:tc>
          <w:tcPr>
            <w:tcW w:type="dxa" w:w="1440"/>
            <w:shd w:fill="FAFAFA" w:val="clear"/>
          </w:tcPr>
          <w:p>
            <w:r>
              <w:rPr>
                <w:b/>
                <w:sz w:val="17"/>
              </w:rPr>
              <w:t>31,165</w:t>
            </w:r>
          </w:p>
        </w:tc>
        <w:tc>
          <w:tcPr>
            <w:tcW w:type="dxa" w:w="1440"/>
            <w:shd w:fill="FAFAFA" w:val="clear"/>
          </w:tcPr>
          <w:p>
            <w:r>
              <w:rPr>
                <w:sz w:val="17"/>
              </w:rPr>
              <w:t>33,952</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28,098</w:t>
            </w:r>
          </w:p>
        </w:tc>
        <w:tc>
          <w:tcPr>
            <w:tcW w:type="dxa" w:w="1440"/>
            <w:shd w:fill="FAFAFA" w:val="clear"/>
          </w:tcPr>
          <w:p>
            <w:r>
              <w:rPr>
                <w:b/>
                <w:sz w:val="17"/>
              </w:rPr>
              <w:t>31,102</w:t>
            </w:r>
          </w:p>
        </w:tc>
        <w:tc>
          <w:tcPr>
            <w:tcW w:type="dxa" w:w="1440"/>
            <w:shd w:fill="FAFAFA" w:val="clear"/>
          </w:tcPr>
          <w:p>
            <w:r>
              <w:rPr>
                <w:sz w:val="17"/>
              </w:rPr>
              <w:t>34,107</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27,836</w:t>
            </w:r>
          </w:p>
        </w:tc>
        <w:tc>
          <w:tcPr>
            <w:tcW w:type="dxa" w:w="1440"/>
            <w:shd w:fill="FAFAFA" w:val="clear"/>
          </w:tcPr>
          <w:p>
            <w:r>
              <w:rPr>
                <w:b/>
                <w:sz w:val="17"/>
              </w:rPr>
              <w:t>31,041</w:t>
            </w:r>
          </w:p>
        </w:tc>
        <w:tc>
          <w:tcPr>
            <w:tcW w:type="dxa" w:w="1440"/>
            <w:shd w:fill="FAFAFA" w:val="clear"/>
          </w:tcPr>
          <w:p>
            <w:r>
              <w:rPr>
                <w:sz w:val="17"/>
              </w:rPr>
              <w:t>34,247</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27,588</w:t>
            </w:r>
          </w:p>
        </w:tc>
        <w:tc>
          <w:tcPr>
            <w:tcW w:type="dxa" w:w="1440"/>
            <w:shd w:fill="FAFAFA" w:val="clear"/>
          </w:tcPr>
          <w:p>
            <w:r>
              <w:rPr>
                <w:b/>
                <w:sz w:val="17"/>
              </w:rPr>
              <w:t>30,982</w:t>
            </w:r>
          </w:p>
        </w:tc>
        <w:tc>
          <w:tcPr>
            <w:tcW w:type="dxa" w:w="1440"/>
            <w:shd w:fill="FAFAFA" w:val="clear"/>
          </w:tcPr>
          <w:p>
            <w:r>
              <w:rPr>
                <w:sz w:val="17"/>
              </w:rPr>
              <w:t>34,376</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27,353</w:t>
            </w:r>
          </w:p>
        </w:tc>
        <w:tc>
          <w:tcPr>
            <w:tcW w:type="dxa" w:w="1440"/>
            <w:shd w:fill="FAFAFA" w:val="clear"/>
          </w:tcPr>
          <w:p>
            <w:r>
              <w:rPr>
                <w:b/>
                <w:sz w:val="17"/>
              </w:rPr>
              <w:t>30,924</w:t>
            </w:r>
          </w:p>
        </w:tc>
        <w:tc>
          <w:tcPr>
            <w:tcW w:type="dxa" w:w="1440"/>
            <w:shd w:fill="FAFAFA" w:val="clear"/>
          </w:tcPr>
          <w:p>
            <w:r>
              <w:rPr>
                <w:sz w:val="17"/>
              </w:rPr>
              <w:t>34,495</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520,83 Mds FCFA, BICC s'impose comme l'une des capitalisations les plus importantes de la BRVM, ce qui en fait un pilier de l'indice BRVM Composite et un titre de référence pour les investisseurs institutionnels de la zone UEMOA. Le BPA de 2 191 FCFA/action signifie que chaque titre génère près de 2 200 FCFA de bénéfice net, un niveau remarquable qui traduit la forte rentabilité de la banque. Le PER de 14,3x se situe au-dessus de la moyenne du marché BRVM (généralement comprise entre 8 et 12x), ce qui indique que les investisseurs acceptent de payer une prime pour la qualité de la croissance, sans pour autant tomber dans une valorisation spéculative. Le P/B de 4,32x constitue en revanche un signal d'alerte : le marché valorise la banque à plus de quatre fois sa valeur comptable, une prime exigeante qui n'est justifiée que si la rentabilité des fonds propres (ROE de 30,3%) reste durablement élevée. Enfin, l'EV/EBITDA de 10,3x, bien que dans la fourchette haute (10-15x), reste cohérent avec la capacité opérationnelle de la banque, mais confirme que le titre n'est pas « bon marché » — la valorisation intègre déjà une bonne partie des bonnes performances.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spectaculaire de **+31,55%**, passant d'un plus bas de 23 755 FCFA à un plus haut de 34 000 FCFA, pour un cours actuel de 31 250 FCFA — la dernière séance (J-1) affichant toutefois un repli de -1,42%, signe d'une légère prise de bénéfices après le rallye. Le range de trading de plus de 10 000 FCFA (soit environ 43% d'amplitude) témoigne d'une tendance nettement haussière, mais aussi d'une certaine nervosité des investisseurs. Les statistiques descriptives révèlent une distribution quasi-normale : la moyenne (28 514 FCFA) et la médiane (28 625 FCFA) sont très proches, confirmant l'absence de biais directionnel marqué, tandis que le skewness de 0,282 indique une légère asymétrie positive (quelques séances de forte hausse tirent la distribution vers le haut). L'écart-type de 2 075 FCFA avec un coefficient de variation de 7,3% traduit une dispersion modérée du cours autour de sa moyenne, et le kurtosis de 0,990 (mésokurtique) suggère un risque de pics extrêmes proche de celui d'une loi normale — pas de « queue épaisse » inquiétante. La volatilité annualisée de 28,6% place le titre dans la catégorie des valeurs à volatilité modérée à élevée (seuil de 30%), ce qui est cohérent avec un titre bancaire de croissance sur la BRVM, mais qui exige une tolérance au risque significative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(31 266,5 FCFA) et la MM50 (29 678,9 FCFA) se situent toutes deux sous le cours actuel (31 250 FCFA), avec la MM20 légèrement au-dessus de la MM50 — configuration haussière classique (« golden cross » implicite). Le cours évoluant au-dessus de ses deux moyennes, la dynamique de fond reste positive, ce qui justifie la décision technique d'**Achat**.</w:t>
      </w:r>
    </w:p>
    <w:p>
      <w:pPr>
        <w:spacing w:after="120" w:line="276" w:lineRule="auto"/>
      </w:pPr>
      <w:r>
        <w:t>**Bandes de Bollinger** : Le cours (31 250 FCFA) se situe à mi-chemin entre la borne inférieure (27 576 FCFA) et la borne supérieure (34 957 FCFA), sans contact avec les extrêmes. Cette position centrale, couplée à un écart-type modéré, indique une absence de signal directionnel fort — d'où la décision **Neutre**, le titre évoluant dans sa zone de confort sans pression acheteuse ou vendeuse dominante.</w:t>
      </w:r>
    </w:p>
    <w:p>
      <w:pPr>
        <w:spacing w:after="120" w:line="276" w:lineRule="auto"/>
      </w:pPr>
      <w:r>
        <w:t>**MACD** : La valeur du MACD (780,1) est inférieure à son signal (928,6), ce qui constitue un croisement baissier (« death cross ») et traduit un essoufflement du momentum haussier. Bien que le MACD reste en territoire positif, cette divergence négative justifie la décision de **Vente** à court terme, signalant que la dynamique haussière perd de sa vigueur.</w:t>
      </w:r>
    </w:p>
    <w:p>
      <w:pPr>
        <w:spacing w:after="120" w:line="276" w:lineRule="auto"/>
      </w:pPr>
      <w:r>
        <w:t>**RSI** : À 59,3, le RSI se situe dans la zone neutre (30-70), sans atteindre la zone de surachat (&gt;70) ni de survente (&lt;30). Cette valeur indique que le titre dispose encore d'une marge de progression avant de devenir techniquement « cher », mais qu'il n'offre pas non plus de signal d'achat agressif — d'où la décision **Neutre**.</w:t>
      </w:r>
    </w:p>
    <w:p>
      <w:pPr>
        <w:spacing w:after="120" w:line="276" w:lineRule="auto"/>
      </w:pPr>
      <w:r>
        <w:t>**Stochastique** : Le %K (32,9) est inférieur au %D (38,8), et les deux se situent dans la zone basse (proche de 20-40), ce qui suggère que le titre approche d'une zone de survente potentielle. Aucun croisement haussier n'est encore visible, mais la proximité de la zone de survente pourrait préparer un rebond — la décision reste **Neutre** en l'absence de signal confirmé.</w:t>
      </w:r>
    </w:p>
    <w:p>
      <w:pPr>
        <w:spacing w:after="120" w:line="276" w:lineRule="auto"/>
      </w:pPr>
      <w:r>
        <w:t>**Conclusion technique** : Les indicateurs sont globalement mitigés. Les moyennes mobiles plaident pour une tendance haussière de fond (Achat), mais le MACD signale un essoufflement (Vente), tandis que le RSI, les Bollinger et le Stochastique restent neutres. Cette divergence suggère une phase de consolidation ou de correction légère à court terme, dans un contexte de tendance haussière moyen terme encore intacte. L'investisseur devra surveiller un éventuel croisement haussier du MACD ou une sortie par le haut des bandes de Bollinger pour confirmer la reprise.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(PNB, équivalent du chiffre d'affaires pour une banque) de **79,563 Mds FCFA**, un résultat net de **36,520 Mds FCFA**, soit une marge nette exceptionnelle de **45,9%**. Le ROE s'établit à **30,29%** (largement supérieur au seuil de 15% considéré comme excellent) et le ROA à **3,24%**, confirmant une rentabilité des actifs solide pour le secteur. Le coefficient d'exploitation de **50,83%** place la banque en dessous du seuil de 60% (efficacité opérationnelle) et proche du seuil d'excellence de 50%, tandis que le coût du risque (provisions/charges financières) de **-12,15%** — bien que négatif, ce qui peut sembler contre-intuitif — reflète une reprise de provisions ou une gestion prudente du portefeuille. La structure financière montre une autonomie financière de **10,71%** (faible, mais typique des banques où les dépôts constituent la principale ressource) et une couverture des intérêts de **329,3%**, largement suffisante. Le ratio dépôts/crédits s'établit à **952,9 Mds FCFA de dépôts clientèle** pour **524,4 Mds FCFA de créances clientèle**, soit un ratio de transformation de 55% — la banque dispose d'une liquidité abondante, mais doit veiller à la rentabiliser.</w:t>
      </w:r>
    </w:p>
    <w:p>
      <w:pPr>
        <w:spacing w:after="120" w:line="276" w:lineRule="auto"/>
      </w:pPr>
      <w:r>
        <w:t>**Estimations basées sur les rapports trimestriels** : Le rapport du **T1 2026 (publié le 31 mars 2026)** confirme l'accélération de la dynamique : PNB de **21 214 MFCFA** (+17,0% sur un an), résultat net de **10 387 MFCFA** (+29,7%), et marge nette portée à **49,0%** (contre 44,2% au T1 2025). Les dépôts clientèle progressent de **+14,5% à 996 392 MFCFA**, tandis que les crédits nets reculent de -4,5% (remboursements anticipés). Sur la base de ce rythme, on peut estimer que l'exercice 2026 devrait afficher un PNB supérieur à **90 Mds FCFA** et un résultat net proche de **42-44 Mds FCFA**, soit une croissance de 15-20% par rapport à 2025. Le rapport du **T3 2025 (30 septembre 2025)** confirmait déjà cette tendance avec un PNB cumulé de **58 119 MFCFA** (+16,4%) et un résultat net de **27 402 MFCFA** (+50,8%), ainsi qu'une marge nette de 47,1%. Les rapports antérieurs (S1 2025, T1 2025, exercice 2024) montrent une amélioration continue de la rentabilité depuis 2023, avec un ROE passé de ~28,6% en 2024 à 30,3% en 2025.</w:t>
      </w:r>
    </w:p>
    <w:p>
      <w:pPr>
        <w:spacing w:after="120" w:line="276" w:lineRule="auto"/>
      </w:pPr>
      <w:r>
        <w:t>**Recommandation fondamentale** : BICC présente des fondamentaux exceptionnels — croissance à deux chiffres, rentabilité parmi les meilleures de la BRVM, bilan solide et gestion rigoureuse des risques. Le principal point de vigilance reste la baisse des encours de crédits (-4,5% au T1 2026), qui pourrait à terme peser sur la marge d'intermédiation si elle se prolonge, mais elle est actuellement compensée par la hausse des commissions et la maîtrise des coûts. La valorisation (PER 14,3x, P/B 4,32x) intègre déjà une large part de ces bonnes performances, ce qui limite le potentiel de revalorisation à court terme, mais la solidité fondamentale justifie une recommandation **d'Achat** pour un investisseur de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à court terme mais solide à moyen terme. **Sur le plan de la valorisation (Partie 0)**, les ratios PER (14,3x) et P/B (4,32x) indiquent que le titre n'est pas sous-évalué — le marché a déjà intégré la prime de qualité — mais l'EV/EBITDA de 10,3x reste raisonnable pour une banque en croissance. **Le comportement du cours (Partie 1)** est haussier (+31,55% sur 100 jours) avec une volatilité modérée (28,6%) et une distribution quasi-normale (kurtosis 0,99, skewness 0,28), ce qui est rassurant : pas de risque de krach brutal, mais une tendance de fond positive. **Les signaux techniques (Partie 2)** sont mitigés : les moyennes mobiles confirment la tendance haussière, mais le MACD baissier et le RSI neutre suggèrent une consolidation à court terme, ce qui est cohérent avec la légère baisse de J-1 (-1,42%). **Les fondamentaux (Partie 3)** sont excellents : ROE de 30,3%, marge nette de 45,9%, coefficient d'exploitation de 50,8%, et les rapports T1 2026 confirment une accélération (+29,7% de résultat net). **Les prédictions IA (J+1 à J+10)** anticipent une légère correction (31 469 FCFA → 31 230 FCFA, soit -0,8% sur 10 jours), ce qui confirme la phase de consolidation technique sans remettre en cause la tendance de fond.</w:t>
      </w:r>
    </w:p>
    <w:p>
      <w:pPr>
        <w:spacing w:after="120" w:line="276" w:lineRule="auto"/>
      </w:pPr>
      <w:r>
        <w:t>**Recommandation finale : ACHAT** — La convergence entre des fondamentaux exceptionnels (croissance, rentabilité, solidité), une tendance de fond haussière et une valorisation certes exigeante mais justifiée par la qualité de la croissance, plaide pour une accumulation progressive. La divergence à court terme (MACD baissier, prédictions IA légèrement baissières) suggère toutefois d'échelonner les achats plutôt que d'investir en une seule fois. **Niveau de confiance : Élevé** (fondamentaux robustes, tendance de fond claire). **Niveau de risque : Moyen** (volatilité modérée, valorisation tendue, dépendance à la qualité du portefeuille de crédits). **Horizon d'investissement optimal : Moyen à long terme (6 à 18 mois)**, le temps que la croissance des bénéfices « rattrape » la valorisation actuelle et que les projets de digitalisation et d'expansion commerciale portent leurs fruits.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13.65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2,928 titres</w:t>
            </w:r>
          </w:p>
        </w:tc>
        <w:tc>
          <w:tcPr>
            <w:tcW w:type="dxa" w:w="2268"/>
            <w:shd w:fill="FFF2CC" w:val="clear"/>
          </w:tcPr>
          <w:p>
            <w:r>
              <w:rPr>
                <w:b/>
                <w:color w:val="503200"/>
                <w:sz w:val="16"/>
              </w:rPr>
              <w:t xml:space="preserve">Cours actuel : </w:t>
            </w:r>
            <w:r>
              <w:rPr>
                <w:color w:val="000000"/>
                <w:sz w:val="17"/>
              </w:rPr>
              <w:t>2,060 FCFA</w:t>
            </w:r>
          </w:p>
          <w:p>
            <w:r>
              <w:rPr>
                <w:b/>
                <w:color w:val="503200"/>
                <w:sz w:val="16"/>
              </w:rPr>
              <w:t xml:space="preserve">Var. 100 jours : </w:t>
            </w:r>
            <w:r>
              <w:rPr>
                <w:b/>
                <w:color w:val="007800"/>
                <w:sz w:val="17"/>
              </w:rPr>
              <w:t>+28.75%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13.20% (Moyenne) — μ=1,863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β=0.0772 (Défensif) — Cov=0.000003, Var(idx)=0.000035, ρ=0.014,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1,928</w:t>
            </w:r>
          </w:p>
        </w:tc>
        <w:tc>
          <w:tcPr>
            <w:tcW w:type="dxa" w:w="1440"/>
            <w:shd w:fill="FAFAFA" w:val="clear"/>
          </w:tcPr>
          <w:p>
            <w:r>
              <w:rPr>
                <w:b/>
                <w:sz w:val="17"/>
              </w:rPr>
              <w:t>2,046</w:t>
            </w:r>
          </w:p>
        </w:tc>
        <w:tc>
          <w:tcPr>
            <w:tcW w:type="dxa" w:w="1440"/>
            <w:shd w:fill="FAFAFA" w:val="clear"/>
          </w:tcPr>
          <w:p>
            <w:r>
              <w:rPr>
                <w:sz w:val="17"/>
              </w:rPr>
              <w:t>2,163</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1,865</w:t>
            </w:r>
          </w:p>
        </w:tc>
        <w:tc>
          <w:tcPr>
            <w:tcW w:type="dxa" w:w="1440"/>
            <w:shd w:fill="FAFAFA" w:val="clear"/>
          </w:tcPr>
          <w:p>
            <w:r>
              <w:rPr>
                <w:b/>
                <w:sz w:val="17"/>
              </w:rPr>
              <w:t>2,029</w:t>
            </w:r>
          </w:p>
        </w:tc>
        <w:tc>
          <w:tcPr>
            <w:tcW w:type="dxa" w:w="1440"/>
            <w:shd w:fill="FAFAFA" w:val="clear"/>
          </w:tcPr>
          <w:p>
            <w:r>
              <w:rPr>
                <w:sz w:val="17"/>
              </w:rPr>
              <w:t>2,194</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1,820</w:t>
            </w:r>
          </w:p>
        </w:tc>
        <w:tc>
          <w:tcPr>
            <w:tcW w:type="dxa" w:w="1440"/>
            <w:shd w:fill="FAFAFA" w:val="clear"/>
          </w:tcPr>
          <w:p>
            <w:r>
              <w:rPr>
                <w:b/>
                <w:sz w:val="17"/>
              </w:rPr>
              <w:t>2,021</w:t>
            </w:r>
          </w:p>
        </w:tc>
        <w:tc>
          <w:tcPr>
            <w:tcW w:type="dxa" w:w="1440"/>
            <w:shd w:fill="FAFAFA" w:val="clear"/>
          </w:tcPr>
          <w:p>
            <w:r>
              <w:rPr>
                <w:sz w:val="17"/>
              </w:rPr>
              <w:t>2,222</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1,781</w:t>
            </w:r>
          </w:p>
        </w:tc>
        <w:tc>
          <w:tcPr>
            <w:tcW w:type="dxa" w:w="1440"/>
            <w:shd w:fill="FFDCE0" w:val="clear"/>
          </w:tcPr>
          <w:p>
            <w:r>
              <w:rPr>
                <w:b/>
                <w:sz w:val="17"/>
              </w:rPr>
              <w:t>2,012</w:t>
            </w:r>
          </w:p>
        </w:tc>
        <w:tc>
          <w:tcPr>
            <w:tcW w:type="dxa" w:w="1440"/>
            <w:shd w:fill="FFDCE0" w:val="clear"/>
          </w:tcPr>
          <w:p>
            <w:r>
              <w:rPr>
                <w:sz w:val="17"/>
              </w:rPr>
              <w:t>2,243</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1,746</w:t>
            </w:r>
          </w:p>
        </w:tc>
        <w:tc>
          <w:tcPr>
            <w:tcW w:type="dxa" w:w="1440"/>
            <w:shd w:fill="FFDCE0" w:val="clear"/>
          </w:tcPr>
          <w:p>
            <w:r>
              <w:rPr>
                <w:b/>
                <w:sz w:val="17"/>
              </w:rPr>
              <w:t>2,002</w:t>
            </w:r>
          </w:p>
        </w:tc>
        <w:tc>
          <w:tcPr>
            <w:tcW w:type="dxa" w:w="1440"/>
            <w:shd w:fill="FFDCE0" w:val="clear"/>
          </w:tcPr>
          <w:p>
            <w:r>
              <w:rPr>
                <w:sz w:val="17"/>
              </w:rPr>
              <w:t>2,259</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1,713</w:t>
            </w:r>
          </w:p>
        </w:tc>
        <w:tc>
          <w:tcPr>
            <w:tcW w:type="dxa" w:w="1440"/>
            <w:shd w:fill="FFDCE0" w:val="clear"/>
          </w:tcPr>
          <w:p>
            <w:r>
              <w:rPr>
                <w:b/>
                <w:sz w:val="17"/>
              </w:rPr>
              <w:t>1,993</w:t>
            </w:r>
          </w:p>
        </w:tc>
        <w:tc>
          <w:tcPr>
            <w:tcW w:type="dxa" w:w="1440"/>
            <w:shd w:fill="FFDCE0" w:val="clear"/>
          </w:tcPr>
          <w:p>
            <w:r>
              <w:rPr>
                <w:sz w:val="17"/>
              </w:rPr>
              <w:t>2,272</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1,682</w:t>
            </w:r>
          </w:p>
        </w:tc>
        <w:tc>
          <w:tcPr>
            <w:tcW w:type="dxa" w:w="1440"/>
            <w:shd w:fill="FFDCE0" w:val="clear"/>
          </w:tcPr>
          <w:p>
            <w:r>
              <w:rPr>
                <w:b/>
                <w:sz w:val="17"/>
              </w:rPr>
              <w:t>1,983</w:t>
            </w:r>
          </w:p>
        </w:tc>
        <w:tc>
          <w:tcPr>
            <w:tcW w:type="dxa" w:w="1440"/>
            <w:shd w:fill="FFDCE0" w:val="clear"/>
          </w:tcPr>
          <w:p>
            <w:r>
              <w:rPr>
                <w:sz w:val="17"/>
              </w:rPr>
              <w:t>2,284</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1,654</w:t>
            </w:r>
          </w:p>
        </w:tc>
        <w:tc>
          <w:tcPr>
            <w:tcW w:type="dxa" w:w="1440"/>
            <w:shd w:fill="FFDCE0" w:val="clear"/>
          </w:tcPr>
          <w:p>
            <w:r>
              <w:rPr>
                <w:b/>
                <w:sz w:val="17"/>
              </w:rPr>
              <w:t>1,974</w:t>
            </w:r>
          </w:p>
        </w:tc>
        <w:tc>
          <w:tcPr>
            <w:tcW w:type="dxa" w:w="1440"/>
            <w:shd w:fill="FFDCE0" w:val="clear"/>
          </w:tcPr>
          <w:p>
            <w:r>
              <w:rPr>
                <w:sz w:val="17"/>
              </w:rPr>
              <w:t>2,294</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1,627</w:t>
            </w:r>
          </w:p>
        </w:tc>
        <w:tc>
          <w:tcPr>
            <w:tcW w:type="dxa" w:w="1440"/>
            <w:shd w:fill="FFDCE0" w:val="clear"/>
          </w:tcPr>
          <w:p>
            <w:r>
              <w:rPr>
                <w:b/>
                <w:sz w:val="17"/>
              </w:rPr>
              <w:t>1,965</w:t>
            </w:r>
          </w:p>
        </w:tc>
        <w:tc>
          <w:tcPr>
            <w:tcW w:type="dxa" w:w="1440"/>
            <w:shd w:fill="FFDCE0" w:val="clear"/>
          </w:tcPr>
          <w:p>
            <w:r>
              <w:rPr>
                <w:sz w:val="17"/>
              </w:rPr>
              <w:t>2,303</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1,601</w:t>
            </w:r>
          </w:p>
        </w:tc>
        <w:tc>
          <w:tcPr>
            <w:tcW w:type="dxa" w:w="1440"/>
            <w:shd w:fill="FFDCE0" w:val="clear"/>
          </w:tcPr>
          <w:p>
            <w:r>
              <w:rPr>
                <w:b/>
                <w:sz w:val="17"/>
              </w:rPr>
              <w:t>1,956</w:t>
            </w:r>
          </w:p>
        </w:tc>
        <w:tc>
          <w:tcPr>
            <w:tcW w:type="dxa" w:w="1440"/>
            <w:shd w:fill="FFDCE0" w:val="clear"/>
          </w:tcPr>
          <w:p>
            <w:r>
              <w:rPr>
                <w:sz w:val="17"/>
              </w:rPr>
              <w:t>2,311</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13,65 milliards FCFA, BNBC se situe dans la catégorie des petites capitalisations de la BRVM, ce qui la rend vulnérable aux mouvements de faible volume (2 928 titres/jour en moyenne). Le BPA de 3 FCFA/action est symbolique, traduisant une rentabilité quasi-nulle, ce qui explique un PER de 611,4x — un niveau aberrant comparé à la moyenne BRVM (8-12x) et qui signale que le marché paie très cher un bénéfice insignifiant. En revanche, le P/B de 0,77x indique que le titre se négocie en dessous de sa valeur comptable (capitaux propres de 17,77 Mds FCFA), ce qui constitue une opportunité potentielle en cas de redressement. L'EV/EBITDA de 24,4x reste très exigeant (&gt;15x), suggérant que la valeur d'entreprise intègre déjà des anticipations de reprise opérationnelle non encore matérialisées. Globalement, la valorisation est paradoxale : chère sur les bénéfices, mais décotée sur les fonds propres.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BNBC a progressé de +28,75%, clôturant à 2 060 FCFA malgré un repli de -2,14% lors de la dernière séance. Le titre a évolué dans un range très large de 1 300 FCFA (plus bas) à 2 400 FCFA (plus haut), soit une amplitude de 84,6%, témoignant d'une forte volatilité spéculative. La tendance générale est haussière, portée par un intérêt spéculatif sur les petites capitalisations, mais le repli récent suggère un essoufflement. Les statistiques descriptives révèlent une moyenne (1 863 FCFA) inférieure à la médiane (1 922 FCFA), signe d'une asymétrie négative confirmée par le skewness de -0,328 — les baisses ont été plus marquées que les hausses. L'écart-type de 247 FCFA (CV=13,3%) indique une dispersion modérée autour de la moyenne, tandis que le kurtosis de -0,506 (mésokurtique) suggère une distribution proche de la normale, sans pics extrêmes fréquents. La volatilité annualisée de 53,7% classe le titre dans la catégorie à volatilité élevée (&gt;30%), ce qui implique un risque de perte en capital significatif pour un investisseur non averti.</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(2 164,75 FCFA) et la MM50 (2 016,60 FCFA) sont toutes deux supérieures au cours actuel (2 060 FCFA), mais la MM20 reste au-dessus de la MM50, configurant un croisement haussier. La décision « Achat » est justifiée par cette structure, bien que le cours évolue sous la MM20, signalant une pression baissière de court terme.</w:t>
      </w:r>
    </w:p>
    <w:p>
      <w:pPr>
        <w:spacing w:after="120" w:line="276" w:lineRule="auto"/>
      </w:pPr>
      <w:r>
        <w:t>**Bandes de Bollinger** : Le cours (2 060 FCFA) se situe dans la partie médiane de la bande (borne supérieure 2 402,69 FCFA, borne inférieure 1 926,81 FCFA), à proximité de la borne inférieure. La décision « Neutre » reflète l'absence de signal directionnel clair, avec une volatilité qui se contracte légèrement.</w:t>
      </w:r>
    </w:p>
    <w:p>
      <w:pPr>
        <w:spacing w:after="120" w:line="276" w:lineRule="auto"/>
      </w:pPr>
      <w:r>
        <w:t>**MACD** : La valeur du MACD (35,627) est inférieure à son signal (52,308), générant une décision « Vente ». Cette divergence baissière indique un essoufflement du momentum haussier et un risque de correction à court terme.</w:t>
      </w:r>
    </w:p>
    <w:p>
      <w:pPr>
        <w:spacing w:after="120" w:line="276" w:lineRule="auto"/>
      </w:pPr>
      <w:r>
        <w:t>**RSI** : À 38,119, le RSI se situe dans la zone neutre basse (30-70), sans atteindre la survente (&lt;30). La décision « Neutre » suggère que le titre n'est ni suracheté ni survendu, mais la proximité de la zone de survente appelle à la prudence.</w:t>
      </w:r>
    </w:p>
    <w:p>
      <w:pPr>
        <w:spacing w:after="120" w:line="276" w:lineRule="auto"/>
      </w:pPr>
      <w:r>
        <w:t>**Stochastique** : Le %K (4,225) est très inférieur au %D (28,638), avec un croisement en zone de survente. La décision « Achat » est justifiée par ce signal de retournement potentiel, bien que le %K extrêmement bas traduise une pression vendeuse intense.</w:t>
      </w:r>
    </w:p>
    <w:p>
      <w:pPr>
        <w:spacing w:after="120" w:line="276" w:lineRule="auto"/>
      </w:pPr>
      <w:r>
        <w:t>**Conclusion technique** : Les indicateurs sont divergents — les moyennes mobiles et le stochastique suggèrent un achat, tandis que le MACD et la position du cours sous la MM20 plaident pour la prudence. Le RSI et les Bollinger confirment une absence de tendance claire. Dans l'ensemble, le titre présente un profil technique mitigé, avec un risque de correction à court terme avant une éventuelle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Mds FCFA, en baisse de -6,31% par rapport à 2024 (45,312 Mds FCFA), selon les états financiers annuels 2025. Le résultat net s'établit à 22,318 M FCFA (contre 7,313 M FCFA en 2024), soit une amélioration de +205%, mais la marge nette reste quasi-nulle à 0,0526%. Le ROE est de 0,1256% et le ROA de 0,0454%, des niveaux extrêmement faibles qui traduisent une rentabilité anémique. En tant qu'entreprise non bancaire, les délais d'exploitation sont préoccupants : délai clients de 104,40 jours (risque de trésorerie élevé), délai fournisseurs de 116,09 jours (favorable) et durée de stockage de 339,23 jours (immobilisation massive de capital). Le BFR de 29,373 Mds FCFA est positif et pèse lourdement sur la trésorerie, avec une trésorerie nette de -16,689 Mds FCFA. L'autonomie financière (36,16%) reste saine, mais le ratio d'endettement (105,48%) et la capacité de remboursement (19,17 années) sont alarmants. Les rapports trimestriels confirment cette fragilité : le T1 2026 (publié en 2026) affiche un CA stable à 11,194 Mds FCFA (-0,12%) mais un résultat net négatif de -65,566 M FCFA, contre +16,147 M FCFA au T1 2025, en raison de l'intégration de la division Équipement. Le rapport du T3 2025 (30/09/2025) faisait déjà état d'une perte nette de -157,03 M FCFA sur 9 mois, avec un CA en recul de -3%. Sur la base du T1 2026, on estime que l'exercice 2026 devrait rester déficitaire, la montée en puissance des nouvelles divisions (Équipement, Power, Matériaux) n'étant pas encore suffisante pour compenser les charges. La recommandation fondamentale est donc **VENTE** : la société présente un profil de risque extrêmement élevé, avec une rentabilité structurellement faible, une trésorerie négative massive et une absence totale de dividendes depuis plusieurs exercices.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paradoxale : le PER de 611,4x signale une surévaluation manifeste sur les bénéfices, tandis que le P/B de 0,77x offre une décote sur les fonds propres, mais cette dernière est justifiée par la faible qualité des actifs et la rentabilité anémique. Le comportement du cours (Partie 1) est haussier sur 100 jours (+28,75%) mais avec une volatilité élevée (53,7%) et une asymétrie négative (skewness -0,328), ce qui suggère que la tendance pourrait s'inverser. Les signaux techniques (Partie 2) sont divergents : le MACD est baissier, le RSI neutre, et le stochastique donne un signal d'achat contradictoire, ce qui plaide pour une absence de direction claire à court terme. Les fondamentaux (Partie 3) sont préoccupants : CA en baisse, rentabilité quasi-nulle, trésorerie négative de -16,689 Mds FCFA, et perte nette au T1 2026. Les prédictions IA (J+1 à J+10) anticipent une baisse progressive de 2 046 FCFA à 2 002 FCFA, confirmant la pression baissière à court terme. Sur la base de cette synthèse, la recommandation finale est **VENTE**, avec un niveau de confiance **Moyen** et un risque global **Élevé**. L'horizon d'investissement optimal est **court terme (&lt;3 mois)** pour les investisseurs cherchant à se positionner sur un éventuel rebond technique, mais la prudence est de mise pour tout investissement à moyen ou long terme, compte tenu de la fragilité structurelle de la société.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409.67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5,508 titres</w:t>
            </w:r>
          </w:p>
        </w:tc>
        <w:tc>
          <w:tcPr>
            <w:tcW w:type="dxa" w:w="2268"/>
            <w:shd w:fill="FFF2CC" w:val="clear"/>
          </w:tcPr>
          <w:p>
            <w:r>
              <w:rPr>
                <w:b/>
                <w:color w:val="503200"/>
                <w:sz w:val="16"/>
              </w:rPr>
              <w:t xml:space="preserve">Cours actuel : </w:t>
            </w:r>
            <w:r>
              <w:rPr>
                <w:color w:val="000000"/>
                <w:sz w:val="17"/>
              </w:rPr>
              <w:t>10,100 FCFA</w:t>
            </w:r>
          </w:p>
          <w:p>
            <w:r>
              <w:rPr>
                <w:b/>
                <w:color w:val="503200"/>
                <w:sz w:val="16"/>
              </w:rPr>
              <w:t xml:space="preserve">Var. 100 jours : </w:t>
            </w:r>
            <w:r>
              <w:rPr>
                <w:b/>
                <w:color w:val="007800"/>
                <w:sz w:val="17"/>
              </w:rPr>
              <w:t>+24.23%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8,130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6.23% (Moyenne) — μ=9,127 FCFA, σ=569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β=-0.1192 (Contre-cyclique) — Cov=-0.000004, Var(idx)=0.000035, ρ=-0.043,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9,637</w:t>
            </w:r>
          </w:p>
        </w:tc>
        <w:tc>
          <w:tcPr>
            <w:tcW w:type="dxa" w:w="1440"/>
            <w:shd w:fill="FAFAFA" w:val="clear"/>
          </w:tcPr>
          <w:p>
            <w:r>
              <w:rPr>
                <w:b/>
                <w:sz w:val="17"/>
              </w:rPr>
              <w:t>9,990</w:t>
            </w:r>
          </w:p>
        </w:tc>
        <w:tc>
          <w:tcPr>
            <w:tcW w:type="dxa" w:w="1440"/>
            <w:shd w:fill="FAFAFA" w:val="clear"/>
          </w:tcPr>
          <w:p>
            <w:r>
              <w:rPr>
                <w:sz w:val="17"/>
              </w:rPr>
              <w:t>10,344</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9,447</w:t>
            </w:r>
          </w:p>
        </w:tc>
        <w:tc>
          <w:tcPr>
            <w:tcW w:type="dxa" w:w="1440"/>
            <w:shd w:fill="FAFAFA" w:val="clear"/>
          </w:tcPr>
          <w:p>
            <w:r>
              <w:rPr>
                <w:b/>
                <w:sz w:val="17"/>
              </w:rPr>
              <w:t>9,944</w:t>
            </w:r>
          </w:p>
        </w:tc>
        <w:tc>
          <w:tcPr>
            <w:tcW w:type="dxa" w:w="1440"/>
            <w:shd w:fill="FAFAFA" w:val="clear"/>
          </w:tcPr>
          <w:p>
            <w:r>
              <w:rPr>
                <w:sz w:val="17"/>
              </w:rPr>
              <w:t>10,441</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2026-09-22</w:t>
            </w:r>
          </w:p>
        </w:tc>
        <w:tc>
          <w:tcPr>
            <w:tcW w:type="dxa" w:w="1440"/>
            <w:shd w:fill="FFDCE0" w:val="clear"/>
          </w:tcPr>
          <w:p>
            <w:r>
              <w:rPr>
                <w:sz w:val="17"/>
              </w:rPr>
              <w:t>9,290</w:t>
            </w:r>
          </w:p>
        </w:tc>
        <w:tc>
          <w:tcPr>
            <w:tcW w:type="dxa" w:w="1440"/>
            <w:shd w:fill="FFDCE0" w:val="clear"/>
          </w:tcPr>
          <w:p>
            <w:r>
              <w:rPr>
                <w:b/>
                <w:sz w:val="17"/>
              </w:rPr>
              <w:t>9,896</w:t>
            </w:r>
          </w:p>
        </w:tc>
        <w:tc>
          <w:tcPr>
            <w:tcW w:type="dxa" w:w="1440"/>
            <w:shd w:fill="FFDCE0" w:val="clear"/>
          </w:tcPr>
          <w:p>
            <w:r>
              <w:rPr>
                <w:sz w:val="17"/>
              </w:rPr>
              <w:t>10,501</w:t>
            </w:r>
          </w:p>
        </w:tc>
        <w:tc>
          <w:tcPr>
            <w:tcW w:type="dxa" w:w="1440"/>
            <w:shd w:fill="FFDCE0"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9,158</w:t>
            </w:r>
          </w:p>
        </w:tc>
        <w:tc>
          <w:tcPr>
            <w:tcW w:type="dxa" w:w="1440"/>
            <w:shd w:fill="FFDCE0" w:val="clear"/>
          </w:tcPr>
          <w:p>
            <w:r>
              <w:rPr>
                <w:b/>
                <w:sz w:val="17"/>
              </w:rPr>
              <w:t>9,854</w:t>
            </w:r>
          </w:p>
        </w:tc>
        <w:tc>
          <w:tcPr>
            <w:tcW w:type="dxa" w:w="1440"/>
            <w:shd w:fill="FFDCE0" w:val="clear"/>
          </w:tcPr>
          <w:p>
            <w:r>
              <w:rPr>
                <w:sz w:val="17"/>
              </w:rPr>
              <w:t>10,551</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9,041</w:t>
            </w:r>
          </w:p>
        </w:tc>
        <w:tc>
          <w:tcPr>
            <w:tcW w:type="dxa" w:w="1440"/>
            <w:shd w:fill="FFDCE0" w:val="clear"/>
          </w:tcPr>
          <w:p>
            <w:r>
              <w:rPr>
                <w:b/>
                <w:sz w:val="17"/>
              </w:rPr>
              <w:t>9,817</w:t>
            </w:r>
          </w:p>
        </w:tc>
        <w:tc>
          <w:tcPr>
            <w:tcW w:type="dxa" w:w="1440"/>
            <w:shd w:fill="FFDCE0" w:val="clear"/>
          </w:tcPr>
          <w:p>
            <w:r>
              <w:rPr>
                <w:sz w:val="17"/>
              </w:rPr>
              <w:t>10,593</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8,935</w:t>
            </w:r>
          </w:p>
        </w:tc>
        <w:tc>
          <w:tcPr>
            <w:tcW w:type="dxa" w:w="1440"/>
            <w:shd w:fill="FFDCE0" w:val="clear"/>
          </w:tcPr>
          <w:p>
            <w:r>
              <w:rPr>
                <w:b/>
                <w:sz w:val="17"/>
              </w:rPr>
              <w:t>9,782</w:t>
            </w:r>
          </w:p>
        </w:tc>
        <w:tc>
          <w:tcPr>
            <w:tcW w:type="dxa" w:w="1440"/>
            <w:shd w:fill="FFDCE0" w:val="clear"/>
          </w:tcPr>
          <w:p>
            <w:r>
              <w:rPr>
                <w:sz w:val="17"/>
              </w:rPr>
              <w:t>10,628</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8,837</w:t>
            </w:r>
          </w:p>
        </w:tc>
        <w:tc>
          <w:tcPr>
            <w:tcW w:type="dxa" w:w="1440"/>
            <w:shd w:fill="FFDCE0" w:val="clear"/>
          </w:tcPr>
          <w:p>
            <w:r>
              <w:rPr>
                <w:b/>
                <w:sz w:val="17"/>
              </w:rPr>
              <w:t>9,748</w:t>
            </w:r>
          </w:p>
        </w:tc>
        <w:tc>
          <w:tcPr>
            <w:tcW w:type="dxa" w:w="1440"/>
            <w:shd w:fill="FFDCE0" w:val="clear"/>
          </w:tcPr>
          <w:p>
            <w:r>
              <w:rPr>
                <w:sz w:val="17"/>
              </w:rPr>
              <w:t>10,660</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8,745</w:t>
            </w:r>
          </w:p>
        </w:tc>
        <w:tc>
          <w:tcPr>
            <w:tcW w:type="dxa" w:w="1440"/>
            <w:shd w:fill="FFDCE0" w:val="clear"/>
          </w:tcPr>
          <w:p>
            <w:r>
              <w:rPr>
                <w:b/>
                <w:sz w:val="17"/>
              </w:rPr>
              <w:t>9,717</w:t>
            </w:r>
          </w:p>
        </w:tc>
        <w:tc>
          <w:tcPr>
            <w:tcW w:type="dxa" w:w="1440"/>
            <w:shd w:fill="FFDCE0" w:val="clear"/>
          </w:tcPr>
          <w:p>
            <w:r>
              <w:rPr>
                <w:sz w:val="17"/>
              </w:rPr>
              <w:t>10,688</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8,660</w:t>
            </w:r>
          </w:p>
        </w:tc>
        <w:tc>
          <w:tcPr>
            <w:tcW w:type="dxa" w:w="1440"/>
            <w:shd w:fill="FFDCE0" w:val="clear"/>
          </w:tcPr>
          <w:p>
            <w:r>
              <w:rPr>
                <w:b/>
                <w:sz w:val="17"/>
              </w:rPr>
              <w:t>9,687</w:t>
            </w:r>
          </w:p>
        </w:tc>
        <w:tc>
          <w:tcPr>
            <w:tcW w:type="dxa" w:w="1440"/>
            <w:shd w:fill="FFDCE0" w:val="clear"/>
          </w:tcPr>
          <w:p>
            <w:r>
              <w:rPr>
                <w:sz w:val="17"/>
              </w:rPr>
              <w:t>10,714</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8,579</w:t>
            </w:r>
          </w:p>
        </w:tc>
        <w:tc>
          <w:tcPr>
            <w:tcW w:type="dxa" w:w="1440"/>
            <w:shd w:fill="FFDCE0" w:val="clear"/>
          </w:tcPr>
          <w:p>
            <w:r>
              <w:rPr>
                <w:b/>
                <w:sz w:val="17"/>
              </w:rPr>
              <w:t>9,658</w:t>
            </w:r>
          </w:p>
        </w:tc>
        <w:tc>
          <w:tcPr>
            <w:tcW w:type="dxa" w:w="1440"/>
            <w:shd w:fill="FFDCE0" w:val="clear"/>
          </w:tcPr>
          <w:p>
            <w:r>
              <w:rPr>
                <w:sz w:val="17"/>
              </w:rPr>
              <w:t>10,737</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409,67 milliards FCFA, BOAB s'impose comme l'une des valeurs bancaires de référence de la cote BRVM, témoignant de la confiance des investisseurs régionaux envers l'établissement béninois. Le BPA de 496 FCFA/action signifie que chaque titre génère près de 500 FCFA de bénéfice net, un niveau de rentabilité par action solide pour le secteur. Le PER de 20,4x traduit une valorisation nettement supérieure à la moyenne du marché BRVM (généralement située entre 8 et 12x), ce qui implique que les investisseurs paient une prime significative pour les bénéfices actuels, anticipant une croissance future ou reflétant une certaine surévaluation. Le P/B de 3,49x confirme cette prime de croissance : le marché valorise la banque à près de 3,5 fois sa valeur comptable, un niveau élevé qui n'est justifié que par des perspectives de rentabilité durablement supérieures au coût des fonds propres. Enfin, l'EV/EBITDA de 20,6x, très exigeant (seuil d'alerte &gt;15x), suggère que la valeur totale de l'entreprise (incluant la dette) est chèrement valorisée par rapport à sa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 enregistré une progression remarquable de +24,23%, avec une dernière séance en hausse de +1,00%, portant le cours actuel à 10 100 FCFA. Le range de trading s'étend de 8 130 FCFA (plus bas) à 10 350 FCFA (plus haut), soit une amplitude de 27,3%, ce qui témoigne d'une dynamique haussière soutenue mais aussi d'une certaine nervosité. La tendance générale est clairement haussière, le cours actuel se situant à seulement 2,4% de son plus haut historique sur la période. Les statistiques descriptives révèlent une moyenne de 9 127 FCFA supérieure à la médiane de 8 902 FCFA, confirmant une asymétrie positive (skewness de 0,946) : le cours a passé plus de temps sous sa moyenne, mais les poussées haussières ont été suffisamment fortes pour tirer la moyenne vers le haut. L'écart-type de 572 FCFA (CV de 6,3%) indique une dispersion modérée du cours, tandis que le kurtosis de -0,324 (mésokurtique) suggère une distribution proche de la normale, sans risque excessif de pics extrêmes. La volatilité annualisée de 26,1% positionne le titre dans la catégorie des valeurs à volatilité modérée (15-30%), ce qui est cohérent avec un profil bancaire stable mais exposé aux aléas macroéconomiques régionaux.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(10 139,25 FCFA) et la MM50 (9 298,00 FCFA) encadrent le cours actuel de 10 100 FCFA, qui se situe légèrement sous sa moyenne court terme mais nettement au-dessus de sa moyenne moyen terme. Cette configuration (MM20 &gt; MM50) confirme une tendance haussière de fond, bien que le repli sous la MM20 signale une consolidation à court terme. La décision technique est à l'**Achat**, portée par le croisement haussier des moyennes et la position favorable du cours par rapport à la MM50.</w:t>
      </w:r>
    </w:p>
    <w:p>
      <w:pPr>
        <w:spacing w:after="120" w:line="276" w:lineRule="auto"/>
      </w:pPr>
      <w:r>
        <w:t>**Bandes de Bollinger** : Le cours (10 100 FCFA) évolue dans la partie médiane-haute de la bande, entre la borne inférieure (9 754,02 FCFA) et la borne supérieure (10 524,48 FCFA), à environ 55% de la largeur du canal. Cette position centrale traduit une absence de signal directionnel fort, avec une volatilité contenue. La décision est **Neutre**, le cours n'étant ni en surachat (proche borne supérieure) ni en survente (proche borne inférieure).</w:t>
      </w:r>
    </w:p>
    <w:p>
      <w:pPr>
        <w:spacing w:after="120" w:line="276" w:lineRule="auto"/>
      </w:pPr>
      <w:r>
        <w:t>**MACD** : La valeur du MACD (239,43) est inférieure à son signal (301,80), générant un croisement baissier qui indique un essoufflement du momentum haussier. Cette divergence négative suggère que la dynamique positive des dernières semaines s'affaiblit, bien que le MACD reste en territoire positif. La décision est à la **Vente** à court terme, en anticipation d'une correction ou d'une consolidation.</w:t>
      </w:r>
    </w:p>
    <w:p>
      <w:pPr>
        <w:spacing w:after="120" w:line="276" w:lineRule="auto"/>
      </w:pPr>
      <w:r>
        <w:t>**RSI** : À 43,15, le RSI se situe dans la zone neutre (30-70), légèrement en dessous du seuil de 50 qui sépare les phases haussières des phases baissières. Cette valeur indique une absence de pression acheteuse ou vendeuse dominante, avec un léger biais baissier. La décision est **Neutre**, le titre n'étant ni suracheté ni survendu.</w:t>
      </w:r>
    </w:p>
    <w:p>
      <w:pPr>
        <w:spacing w:after="120" w:line="276" w:lineRule="auto"/>
      </w:pPr>
      <w:r>
        <w:t>**Stochastique** : Les lignes %K et %D sont toutes deux à 28,57, en zone de survente (seuil &lt;20 non atteint mais proche), sans croisement signalé. Cette configuration suggère que le cours pourrait approcher d'un point de retournement à la hausse, mais l'absence de croisement haussier (%K &gt; %D) incite à la prudence. La décision est **Neutre**, en attente d'un signal de confirmation.</w:t>
      </w:r>
    </w:p>
    <w:p>
      <w:pPr>
        <w:spacing w:after="120" w:line="276" w:lineRule="auto"/>
      </w:pPr>
      <w:r>
        <w:t>**Conclusion technique** : Les indicateurs techniques présentent un tableau mitigé. La tendance de fond reste haussière (MM20 &gt; MM50), mais les signaux à court terme sont majoritairement neutres à baissiers (MACD baissier, RSI sous 50, Stochastique en survente sans rebond confirmé). Le titre semble entrer dans une phase de consolidation après sa forte progression de +24% sur 100 jours, avec un support potentiel autour de 9 750 FCFA (borne inférieure de Bollinger) et une résistance à 10 350 FCFA (plus haut récent).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des fondamentaux solides et en amélioration. Le Produit Net Bancaire (PNB), équivalent du chiffre d'affaires pour une banque, s'établit à 51,274 milliards FCFA, en croissance de 10,20% sur un an, porté par une hausse des commissions (+18,9% au T1 2026 selon le rapport trimestriel du 31 mars 2026) et une meilleure maîtrise du coût des ressources. Le résultat net atteint 20,107 milliards FCFA, avec une marge nette élevée de 39,22%, confirmant l'efficacité opérationnelle de l'établissement. Le ROE de 17,11% dépasse le seuil d'excellence de 15%, tandis que le ROA de 2,08% reste correct pour le secteur bancaire. Le coefficient d'exploitation de 49,53% est excellent (&lt;50%), témoignant d'une gestion rigoureuse des charges. Cependant, le coût du risque rapporté aux charges financières s'élève à 22,50%, un niveau élevé qui signale une exposition significative au risque de crédit, bien que les provisions (4,686 milliards FCFA) restent contenues. La structure financière montre une autonomie financière de 12,18% (capitaux propres/total bilan), inférieure au seuil sain de 30%, mais typique des banques, et un ratio d'endettement de 98,77%. La capacité de remboursement de 5,09 années (dettes financières/CAF) est correcte. Les dépôts clientèle (711,642 milliards FCFA) couvrent largement les créances clientèle (391,724 milliards FCFA), avec un ratio de transformation de 55%, indiquant une gestion prudente des liquidités. Sur la base du rapport T1 2026 (PNB +11% à 12,329 milliards FCFA, résultat net +1% à 4,502 milliards FCFA), on estime que l'exercice 2026 devrait maintenir une croissance du PNB à deux chiffres, mais la pression sur les coûts pourrait limiter la progression du résultat net. Le rapport T3 2025 (30 septembre 2025) confirme cette dynamique avec un PNB trimestriel de 37,065 milliards FCFA (+9%) et un résultat net de 15,880 milliards FCFA (+13%), malgré une contraction des crédits (-10%) et des dépôts (-5%) liée à des remboursements anticipés. La recommandation fondamentale est de **Conserver** : la banque est solide, rentable et bien gérée, mais sa valorisation boursière exigeante (PER 20,4x) intègre déjà une grande partie de ses bonnes performances, limitant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apparaît tendue : le PER de 20,4x et le P/B de 3,49x traduisent une prime de croissance significative par rapport aux moyennes du marché BRVM, tandis que l'EV/EBITDA de 20,6x laisse peu de marge d'erreur. Le comportement du cours sur 100 jours est haussier (+24,23%), avec une volatilité modérée (26,1%) et une distribution asymétrique positive (skewness 0,946), mais les statistiques montrent que le titre a déjà beaucoup progressé et pourrait entrer en consolidation. Les signaux techniques sont mitigés : la tendance de fond reste haussière (MM20 &gt; MM50), mais le MACD baissier, le RSI sous 50 et le Stochastique en survente sans rebond confirmé plaident pour une pause, voire une correction à court terme. Les fondamentaux sont solides (ROE 17,11%, coefficient d'exploitation 49,53%, PNB +10,20% en 2025), mais le coût du risque élevé (22,50%) et la contraction du bilan (crédits -10%, dépôts -5% au T3 2025) constituent des points de vigilance. Les prédictions IA anticipent une baisse progressive du cours de 9 990 FCFA (J+1) à 9 817 FCFA (J+5), confirmant la tendance baissière à court terme suggérée par les indicateurs techniques. Sur la base de cette synthèse, la recommandation finale est **CONSERVER** : la convergence entre une valorisation exigeante, des signaux techniques neutres à baissiers à court terme et des fondamentaux solides mais sans surprise majeure justifie une position attentiste. Le niveau de confiance est **Moyen**, car si les fondamentaux sont robustes, la valorisation et les prédictions IA incitent à la prudence. Le risque global est **Moyen**, typique d'une valeur bancaire de qualité mais chèrement valorisée. L'horizon d'investissement optimal est le **moyen terme (3-12 mois)**, en attendant une correction ou une consolidation qui offrirait un point d'entrée plus attractif, avec un support clé à surveiller autour de 9 750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6,658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+48.15%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18.76% (Élevée) — μ=6,594 FCFA, σ=1,237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β=0.3425 (Défensif) — Cov=0.000012, Var(idx)=0.000035, ρ=0.101,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σ_j=2.06%/j (Stable) — Vol. annualisée≈32.7%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7,794</w:t>
            </w:r>
          </w:p>
        </w:tc>
        <w:tc>
          <w:tcPr>
            <w:tcW w:type="dxa" w:w="1440"/>
            <w:shd w:fill="FAFAFA" w:val="clear"/>
          </w:tcPr>
          <w:p>
            <w:r>
              <w:rPr>
                <w:b/>
                <w:sz w:val="17"/>
              </w:rPr>
              <w:t>8,134</w:t>
            </w:r>
          </w:p>
        </w:tc>
        <w:tc>
          <w:tcPr>
            <w:tcW w:type="dxa" w:w="1440"/>
            <w:shd w:fill="FAFAFA" w:val="clear"/>
          </w:tcPr>
          <w:p>
            <w:r>
              <w:rPr>
                <w:sz w:val="17"/>
              </w:rPr>
              <w:t>8,473</w:t>
            </w:r>
          </w:p>
        </w:tc>
        <w:tc>
          <w:tcPr>
            <w:tcW w:type="dxa" w:w="1440"/>
            <w:shd w:fill="FAFAFA" w:val="clear"/>
          </w:tcPr>
          <w:p>
            <w:r>
              <w:rPr>
                <w:b/>
                <w:color w:val="008000"/>
                <w:sz w:val="17"/>
              </w:rPr>
              <w:t>+1.7%</w:t>
            </w:r>
          </w:p>
        </w:tc>
      </w:tr>
      <w:tr>
        <w:tc>
          <w:tcPr>
            <w:tcW w:type="dxa" w:w="1440"/>
            <w:shd w:fill="C6EFCE" w:val="clear"/>
          </w:tcPr>
          <w:p>
            <w:r>
              <w:rPr>
                <w:sz w:val="17"/>
              </w:rPr>
              <w:t>J+2  Moyenne</w:t>
            </w:r>
          </w:p>
        </w:tc>
        <w:tc>
          <w:tcPr>
            <w:tcW w:type="dxa" w:w="1440"/>
            <w:shd w:fill="C6EFCE" w:val="clear"/>
          </w:tcPr>
          <w:p>
            <w:r>
              <w:rPr>
                <w:sz w:val="17"/>
              </w:rPr>
              <w:t>2026-09-21</w:t>
            </w:r>
          </w:p>
        </w:tc>
        <w:tc>
          <w:tcPr>
            <w:tcW w:type="dxa" w:w="1440"/>
            <w:shd w:fill="C6EFCE" w:val="clear"/>
          </w:tcPr>
          <w:p>
            <w:r>
              <w:rPr>
                <w:sz w:val="17"/>
              </w:rPr>
              <w:t>7,733</w:t>
            </w:r>
          </w:p>
        </w:tc>
        <w:tc>
          <w:tcPr>
            <w:tcW w:type="dxa" w:w="1440"/>
            <w:shd w:fill="C6EFCE" w:val="clear"/>
          </w:tcPr>
          <w:p>
            <w:r>
              <w:rPr>
                <w:b/>
                <w:sz w:val="17"/>
              </w:rPr>
              <w:t>8,218</w:t>
            </w:r>
          </w:p>
        </w:tc>
        <w:tc>
          <w:tcPr>
            <w:tcW w:type="dxa" w:w="1440"/>
            <w:shd w:fill="C6EFCE" w:val="clear"/>
          </w:tcPr>
          <w:p>
            <w:r>
              <w:rPr>
                <w:sz w:val="17"/>
              </w:rPr>
              <w:t>8,703</w:t>
            </w:r>
          </w:p>
        </w:tc>
        <w:tc>
          <w:tcPr>
            <w:tcW w:type="dxa" w:w="1440"/>
            <w:shd w:fill="C6EFCE" w:val="clear"/>
          </w:tcPr>
          <w:p>
            <w:r>
              <w:rPr>
                <w:b/>
                <w:color w:val="008000"/>
                <w:sz w:val="17"/>
              </w:rPr>
              <w:t>+2.7%</w:t>
            </w:r>
          </w:p>
        </w:tc>
      </w:tr>
      <w:tr>
        <w:tc>
          <w:tcPr>
            <w:tcW w:type="dxa" w:w="1440"/>
            <w:shd w:fill="C6EFCE" w:val="clear"/>
          </w:tcPr>
          <w:p>
            <w:r>
              <w:rPr>
                <w:sz w:val="17"/>
              </w:rPr>
              <w:t>J+3  Moyenne</w:t>
            </w:r>
          </w:p>
        </w:tc>
        <w:tc>
          <w:tcPr>
            <w:tcW w:type="dxa" w:w="1440"/>
            <w:shd w:fill="C6EFCE" w:val="clear"/>
          </w:tcPr>
          <w:p>
            <w:r>
              <w:rPr>
                <w:sz w:val="17"/>
              </w:rPr>
              <w:t>2026-09-22</w:t>
            </w:r>
          </w:p>
        </w:tc>
        <w:tc>
          <w:tcPr>
            <w:tcW w:type="dxa" w:w="1440"/>
            <w:shd w:fill="C6EFCE" w:val="clear"/>
          </w:tcPr>
          <w:p>
            <w:r>
              <w:rPr>
                <w:sz w:val="17"/>
              </w:rPr>
              <w:t>7,675</w:t>
            </w:r>
          </w:p>
        </w:tc>
        <w:tc>
          <w:tcPr>
            <w:tcW w:type="dxa" w:w="1440"/>
            <w:shd w:fill="C6EFCE" w:val="clear"/>
          </w:tcPr>
          <w:p>
            <w:r>
              <w:rPr>
                <w:b/>
                <w:sz w:val="17"/>
              </w:rPr>
              <w:t>8,273</w:t>
            </w:r>
          </w:p>
        </w:tc>
        <w:tc>
          <w:tcPr>
            <w:tcW w:type="dxa" w:w="1440"/>
            <w:shd w:fill="C6EFCE" w:val="clear"/>
          </w:tcPr>
          <w:p>
            <w:r>
              <w:rPr>
                <w:sz w:val="17"/>
              </w:rPr>
              <w:t>8,871</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2026-09-23</w:t>
            </w:r>
          </w:p>
        </w:tc>
        <w:tc>
          <w:tcPr>
            <w:tcW w:type="dxa" w:w="1440"/>
            <w:shd w:fill="C6EFCE" w:val="clear"/>
          </w:tcPr>
          <w:p>
            <w:r>
              <w:rPr>
                <w:sz w:val="17"/>
              </w:rPr>
              <w:t>7,606</w:t>
            </w:r>
          </w:p>
        </w:tc>
        <w:tc>
          <w:tcPr>
            <w:tcW w:type="dxa" w:w="1440"/>
            <w:shd w:fill="C6EFCE" w:val="clear"/>
          </w:tcPr>
          <w:p>
            <w:r>
              <w:rPr>
                <w:b/>
                <w:sz w:val="17"/>
              </w:rPr>
              <w:t>8,298</w:t>
            </w:r>
          </w:p>
        </w:tc>
        <w:tc>
          <w:tcPr>
            <w:tcW w:type="dxa" w:w="1440"/>
            <w:shd w:fill="C6EFCE" w:val="clear"/>
          </w:tcPr>
          <w:p>
            <w:r>
              <w:rPr>
                <w:sz w:val="17"/>
              </w:rPr>
              <w:t>8,991</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2026-09-24</w:t>
            </w:r>
          </w:p>
        </w:tc>
        <w:tc>
          <w:tcPr>
            <w:tcW w:type="dxa" w:w="1440"/>
            <w:shd w:fill="C6EFCE" w:val="clear"/>
          </w:tcPr>
          <w:p>
            <w:r>
              <w:rPr>
                <w:sz w:val="17"/>
              </w:rPr>
              <w:t>7,533</w:t>
            </w:r>
          </w:p>
        </w:tc>
        <w:tc>
          <w:tcPr>
            <w:tcW w:type="dxa" w:w="1440"/>
            <w:shd w:fill="C6EFCE" w:val="clear"/>
          </w:tcPr>
          <w:p>
            <w:r>
              <w:rPr>
                <w:b/>
                <w:sz w:val="17"/>
              </w:rPr>
              <w:t>8,308</w:t>
            </w:r>
          </w:p>
        </w:tc>
        <w:tc>
          <w:tcPr>
            <w:tcW w:type="dxa" w:w="1440"/>
            <w:shd w:fill="C6EFCE" w:val="clear"/>
          </w:tcPr>
          <w:p>
            <w:r>
              <w:rPr>
                <w:sz w:val="17"/>
              </w:rPr>
              <w:t>9,083</w:t>
            </w:r>
          </w:p>
        </w:tc>
        <w:tc>
          <w:tcPr>
            <w:tcW w:type="dxa" w:w="1440"/>
            <w:shd w:fill="C6EFCE" w:val="clear"/>
          </w:tcPr>
          <w:p>
            <w:r>
              <w:rPr>
                <w:b/>
                <w:color w:val="008000"/>
                <w:sz w:val="17"/>
              </w:rPr>
              <w:t>+3.9%</w:t>
            </w:r>
          </w:p>
        </w:tc>
      </w:tr>
      <w:tr>
        <w:tc>
          <w:tcPr>
            <w:tcW w:type="dxa" w:w="1440"/>
            <w:shd w:fill="C6EFCE" w:val="clear"/>
          </w:tcPr>
          <w:p>
            <w:r>
              <w:rPr>
                <w:sz w:val="17"/>
              </w:rPr>
              <w:t>J+6  ⭐</w:t>
            </w:r>
          </w:p>
        </w:tc>
        <w:tc>
          <w:tcPr>
            <w:tcW w:type="dxa" w:w="1440"/>
            <w:shd w:fill="C6EFCE" w:val="clear"/>
          </w:tcPr>
          <w:p>
            <w:r>
              <w:rPr>
                <w:sz w:val="17"/>
              </w:rPr>
              <w:t>2026-09-25</w:t>
            </w:r>
          </w:p>
        </w:tc>
        <w:tc>
          <w:tcPr>
            <w:tcW w:type="dxa" w:w="1440"/>
            <w:shd w:fill="C6EFCE" w:val="clear"/>
          </w:tcPr>
          <w:p>
            <w:r>
              <w:rPr>
                <w:sz w:val="17"/>
              </w:rPr>
              <w:t>7,462</w:t>
            </w:r>
          </w:p>
        </w:tc>
        <w:tc>
          <w:tcPr>
            <w:tcW w:type="dxa" w:w="1440"/>
            <w:shd w:fill="C6EFCE" w:val="clear"/>
          </w:tcPr>
          <w:p>
            <w:r>
              <w:rPr>
                <w:b/>
                <w:sz w:val="17"/>
              </w:rPr>
              <w:t>8,311</w:t>
            </w:r>
          </w:p>
        </w:tc>
        <w:tc>
          <w:tcPr>
            <w:tcW w:type="dxa" w:w="1440"/>
            <w:shd w:fill="C6EFCE" w:val="clear"/>
          </w:tcPr>
          <w:p>
            <w:r>
              <w:rPr>
                <w:sz w:val="17"/>
              </w:rPr>
              <w:t>9,160</w:t>
            </w:r>
          </w:p>
        </w:tc>
        <w:tc>
          <w:tcPr>
            <w:tcW w:type="dxa" w:w="1440"/>
            <w:shd w:fill="C6EFCE" w:val="clear"/>
          </w:tcPr>
          <w:p>
            <w:r>
              <w:rPr>
                <w:b/>
                <w:color w:val="008000"/>
                <w:sz w:val="17"/>
              </w:rPr>
              <w:t>+3.9%</w:t>
            </w:r>
          </w:p>
        </w:tc>
      </w:tr>
      <w:tr>
        <w:tc>
          <w:tcPr>
            <w:tcW w:type="dxa" w:w="1440"/>
            <w:shd w:fill="C6EFCE" w:val="clear"/>
          </w:tcPr>
          <w:p>
            <w:r>
              <w:rPr>
                <w:sz w:val="17"/>
              </w:rPr>
              <w:t>J+7  ⭐</w:t>
            </w:r>
          </w:p>
        </w:tc>
        <w:tc>
          <w:tcPr>
            <w:tcW w:type="dxa" w:w="1440"/>
            <w:shd w:fill="C6EFCE" w:val="clear"/>
          </w:tcPr>
          <w:p>
            <w:r>
              <w:rPr>
                <w:sz w:val="17"/>
              </w:rPr>
              <w:t>2026-09-28</w:t>
            </w:r>
          </w:p>
        </w:tc>
        <w:tc>
          <w:tcPr>
            <w:tcW w:type="dxa" w:w="1440"/>
            <w:shd w:fill="C6EFCE" w:val="clear"/>
          </w:tcPr>
          <w:p>
            <w:r>
              <w:rPr>
                <w:sz w:val="17"/>
              </w:rPr>
              <w:t>7,394</w:t>
            </w:r>
          </w:p>
        </w:tc>
        <w:tc>
          <w:tcPr>
            <w:tcW w:type="dxa" w:w="1440"/>
            <w:shd w:fill="C6EFCE" w:val="clear"/>
          </w:tcPr>
          <w:p>
            <w:r>
              <w:rPr>
                <w:b/>
                <w:sz w:val="17"/>
              </w:rPr>
              <w:t>8,311</w:t>
            </w:r>
          </w:p>
        </w:tc>
        <w:tc>
          <w:tcPr>
            <w:tcW w:type="dxa" w:w="1440"/>
            <w:shd w:fill="C6EFCE" w:val="clear"/>
          </w:tcPr>
          <w:p>
            <w:r>
              <w:rPr>
                <w:sz w:val="17"/>
              </w:rPr>
              <w:t>9,228</w:t>
            </w:r>
          </w:p>
        </w:tc>
        <w:tc>
          <w:tcPr>
            <w:tcW w:type="dxa" w:w="1440"/>
            <w:shd w:fill="C6EFCE" w:val="clear"/>
          </w:tcPr>
          <w:p>
            <w:r>
              <w:rPr>
                <w:b/>
                <w:color w:val="008000"/>
                <w:sz w:val="17"/>
              </w:rPr>
              <w:t>+3.9%</w:t>
            </w:r>
          </w:p>
        </w:tc>
      </w:tr>
      <w:tr>
        <w:tc>
          <w:tcPr>
            <w:tcW w:type="dxa" w:w="1440"/>
            <w:shd w:fill="C6EFCE" w:val="clear"/>
          </w:tcPr>
          <w:p>
            <w:r>
              <w:rPr>
                <w:sz w:val="17"/>
              </w:rPr>
              <w:t>J+8  ⭐</w:t>
            </w:r>
          </w:p>
        </w:tc>
        <w:tc>
          <w:tcPr>
            <w:tcW w:type="dxa" w:w="1440"/>
            <w:shd w:fill="C6EFCE" w:val="clear"/>
          </w:tcPr>
          <w:p>
            <w:r>
              <w:rPr>
                <w:sz w:val="17"/>
              </w:rPr>
              <w:t>2026-09-29</w:t>
            </w:r>
          </w:p>
        </w:tc>
        <w:tc>
          <w:tcPr>
            <w:tcW w:type="dxa" w:w="1440"/>
            <w:shd w:fill="C6EFCE" w:val="clear"/>
          </w:tcPr>
          <w:p>
            <w:r>
              <w:rPr>
                <w:sz w:val="17"/>
              </w:rPr>
              <w:t>7,330</w:t>
            </w:r>
          </w:p>
        </w:tc>
        <w:tc>
          <w:tcPr>
            <w:tcW w:type="dxa" w:w="1440"/>
            <w:shd w:fill="C6EFCE" w:val="clear"/>
          </w:tcPr>
          <w:p>
            <w:r>
              <w:rPr>
                <w:b/>
                <w:sz w:val="17"/>
              </w:rPr>
              <w:t>8,310</w:t>
            </w:r>
          </w:p>
        </w:tc>
        <w:tc>
          <w:tcPr>
            <w:tcW w:type="dxa" w:w="1440"/>
            <w:shd w:fill="C6EFCE" w:val="clear"/>
          </w:tcPr>
          <w:p>
            <w:r>
              <w:rPr>
                <w:sz w:val="17"/>
              </w:rPr>
              <w:t>9,291</w:t>
            </w:r>
          </w:p>
        </w:tc>
        <w:tc>
          <w:tcPr>
            <w:tcW w:type="dxa" w:w="1440"/>
            <w:shd w:fill="C6EFCE" w:val="clear"/>
          </w:tcPr>
          <w:p>
            <w:r>
              <w:rPr>
                <w:b/>
                <w:color w:val="008000"/>
                <w:sz w:val="17"/>
              </w:rPr>
              <w:t>+3.9%</w:t>
            </w:r>
          </w:p>
        </w:tc>
      </w:tr>
      <w:tr>
        <w:tc>
          <w:tcPr>
            <w:tcW w:type="dxa" w:w="1440"/>
            <w:shd w:fill="C6EFCE" w:val="clear"/>
          </w:tcPr>
          <w:p>
            <w:r>
              <w:rPr>
                <w:sz w:val="17"/>
              </w:rPr>
              <w:t>J+9  ⭐</w:t>
            </w:r>
          </w:p>
        </w:tc>
        <w:tc>
          <w:tcPr>
            <w:tcW w:type="dxa" w:w="1440"/>
            <w:shd w:fill="C6EFCE" w:val="clear"/>
          </w:tcPr>
          <w:p>
            <w:r>
              <w:rPr>
                <w:sz w:val="17"/>
              </w:rPr>
              <w:t>2026-09-30</w:t>
            </w:r>
          </w:p>
        </w:tc>
        <w:tc>
          <w:tcPr>
            <w:tcW w:type="dxa" w:w="1440"/>
            <w:shd w:fill="C6EFCE" w:val="clear"/>
          </w:tcPr>
          <w:p>
            <w:r>
              <w:rPr>
                <w:sz w:val="17"/>
              </w:rPr>
              <w:t>7,270</w:t>
            </w:r>
          </w:p>
        </w:tc>
        <w:tc>
          <w:tcPr>
            <w:tcW w:type="dxa" w:w="1440"/>
            <w:shd w:fill="C6EFCE" w:val="clear"/>
          </w:tcPr>
          <w:p>
            <w:r>
              <w:rPr>
                <w:b/>
                <w:sz w:val="17"/>
              </w:rPr>
              <w:t>8,309</w:t>
            </w:r>
          </w:p>
        </w:tc>
        <w:tc>
          <w:tcPr>
            <w:tcW w:type="dxa" w:w="1440"/>
            <w:shd w:fill="C6EFCE" w:val="clear"/>
          </w:tcPr>
          <w:p>
            <w:r>
              <w:rPr>
                <w:sz w:val="17"/>
              </w:rPr>
              <w:t>9,349</w:t>
            </w:r>
          </w:p>
        </w:tc>
        <w:tc>
          <w:tcPr>
            <w:tcW w:type="dxa" w:w="1440"/>
            <w:shd w:fill="C6EFCE" w:val="clear"/>
          </w:tcPr>
          <w:p>
            <w:r>
              <w:rPr>
                <w:b/>
                <w:color w:val="008000"/>
                <w:sz w:val="17"/>
              </w:rPr>
              <w:t>+3.9%</w:t>
            </w:r>
          </w:p>
        </w:tc>
      </w:tr>
      <w:tr>
        <w:tc>
          <w:tcPr>
            <w:tcW w:type="dxa" w:w="1440"/>
            <w:shd w:fill="C6EFCE" w:val="clear"/>
          </w:tcPr>
          <w:p>
            <w:r>
              <w:rPr>
                <w:sz w:val="17"/>
              </w:rPr>
              <w:t>J+10  ⭐</w:t>
            </w:r>
          </w:p>
        </w:tc>
        <w:tc>
          <w:tcPr>
            <w:tcW w:type="dxa" w:w="1440"/>
            <w:shd w:fill="C6EFCE" w:val="clear"/>
          </w:tcPr>
          <w:p>
            <w:r>
              <w:rPr>
                <w:sz w:val="17"/>
              </w:rPr>
              <w:t>2026-10-01</w:t>
            </w:r>
          </w:p>
        </w:tc>
        <w:tc>
          <w:tcPr>
            <w:tcW w:type="dxa" w:w="1440"/>
            <w:shd w:fill="C6EFCE" w:val="clear"/>
          </w:tcPr>
          <w:p>
            <w:r>
              <w:rPr>
                <w:sz w:val="17"/>
              </w:rPr>
              <w:t>7,213</w:t>
            </w:r>
          </w:p>
        </w:tc>
        <w:tc>
          <w:tcPr>
            <w:tcW w:type="dxa" w:w="1440"/>
            <w:shd w:fill="C6EFCE" w:val="clear"/>
          </w:tcPr>
          <w:p>
            <w:r>
              <w:rPr>
                <w:b/>
                <w:sz w:val="17"/>
              </w:rPr>
              <w:t>8,309</w:t>
            </w:r>
          </w:p>
        </w:tc>
        <w:tc>
          <w:tcPr>
            <w:tcW w:type="dxa" w:w="1440"/>
            <w:shd w:fill="C6EFCE" w:val="clear"/>
          </w:tcPr>
          <w:p>
            <w:r>
              <w:rPr>
                <w:sz w:val="17"/>
              </w:rPr>
              <w:t>9,405</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**352,00 Mds FCFA**, BOABF figure parmi les valeurs bancaires de premier plan de la cote BRVM, ce qui traduit la solidité de son assise bilancielle (total bilan de 1 148,675 Mds FCFA en 2025). Le **BPA de 438 FCFA/action** signifie que chaque titre génère près de 438 FCFA de bénéfice net, un niveau de rentabilité unitaire appréciable. Le **PER de 18,3x** se situe nettement au-dessus de la moyenne du marché BRVM (estimée entre 8x et 12x), ce qui indique que les investisseurs paient une prime significative pour les bénéfices de la banque — une valorisation exigeante qui intègre déjà une bonne partie des anticipations positives. Le **P/B de 2,78x** confirme cette prime de croissance : le marché valorise l'action près de trois fois sa valeur comptable, ce qui est cohérent avec un ROE de 15,22% (supérieur au coût des fonds propres estimé). Enfin, l'**EV/EBITDA de 8,1x** reste dans la fourchette raisonnable (5-10x), suggérant que la valeur d'entreprise reste proportionnée à la capacité opérationnelle de la banque, même si le PER élevé invite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affiche une **performance spectaculaire de +48,15%**, portant le cours à **8 000 FCFA**, malgré un repli de **-1,84% lors de la dernière séance** qui marque une pause dans l'élan haussier. Le titre a évolué dans un range très large, entre un plus bas de **5 300 FCFA** et un plus haut de **9 090 FCFA**, soit un écart de près de 72%, témoignant d'une dynamique fortement haussière mais aussi d'une certaine nervosité. La tendance générale est clairement **haussière**, soutenue par un volume moyen quotidien de 6 658 titres, signe d'un intérêt réel des investisseurs. Les statistiques descriptives révèlent une **moyenne de 6 594 FCFA** nettement supérieure à la **médiane de 5 970 FCFA**, ce qui indique une distribution asymétrique avec des pics haussiers récents tirant la moyenne vers le haut ; le **mode à 5 400 FCFA** rappelle que le titre a longtemps stagné avant son envolée. L'**écart-type de 1 243 FCFA** avec un **CV de 18,9%** traduit une dispersion modérée du cours, tandis que le **kurtosis de -0,822 (mésokurtique)** suggère une distribution proche de la normale, sans risque extrême de pics violents, et le **skewness de +0,721** confirme une asymétrie positive (davantage de journées sous la moyenne, mais des hausses amples compensent). La **volatilité annualisée de 32,7%** classe le titre dans la catégorie **élevée (&gt;30%)**, ce qui implique un risque de marché non négligeable pour un investisseur averse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**8 624 FCFA** et la MM50 à **7 639 FCFA**, toutes deux supérieures au cours actuel de 8 000 FCFA pour la MM20, mais la MM50 reste bien en dessous. Le croisement haussier (MM20 &gt; MM50) et la position du cours au-dessus de la MM50 confirment une **tendance de fond haussière**, justifiant la décision d'**Achat**. Toutefois, le cours étant repassé sous la MM20, une consolidation à court terme est possible.</w:t>
      </w:r>
    </w:p>
    <w:p>
      <w:pPr>
        <w:spacing w:after="120" w:line="276" w:lineRule="auto"/>
      </w:pPr>
      <w:r>
        <w:t>**Bandes de Bollinger** : La borne supérieure est à **9 618,49 FCFA** et la borne inférieure à **7 629,51 FCFA**, avec un cours actuel de 8 000 FCFA positionné dans la moitié basse du canal. Cette situation indique une **volatilité modérée** et un potentiel de rebond vers la borne supérieure, mais la décision reste **Neutre** car le cours n'est ni en surachat ni en survente technique.</w:t>
      </w:r>
    </w:p>
    <w:p>
      <w:pPr>
        <w:spacing w:after="120" w:line="276" w:lineRule="auto"/>
      </w:pPr>
      <w:r>
        <w:t>**MACD** : La valeur du MACD (**249,47**) est inférieure à son signal (**408,59**), générant un **croisement baissier** qui traduit un essoufflement du momentum haussier. La décision de **Vente** à court terme est cohérente avec cette divergence négative, bien que le MACD reste en territoire positif.</w:t>
      </w:r>
    </w:p>
    <w:p>
      <w:pPr>
        <w:spacing w:after="120" w:line="276" w:lineRule="auto"/>
      </w:pPr>
      <w:r>
        <w:t>**RSI** : À **20,59**, le RSI est en zone de **survente sévère** (seuil &lt;30), ce qui est un signal classique de **rebond potentiel**. La décision d'**Achat** est justifiée par cette configuration extrême, mais elle doit être confirmée par un retournement des autres indicateurs.</w:t>
      </w:r>
    </w:p>
    <w:p>
      <w:pPr>
        <w:spacing w:after="120" w:line="276" w:lineRule="auto"/>
      </w:pPr>
      <w:r>
        <w:t>**Stochastique** : Le %K et le %D sont tous deux à **0,0**, indiquant une **survente extrême** et un possible épuisement de la pression vendeuse. La décision d'**Achat** est cohérente avec cette configuration, mais l'absence de croisement haussier (%K &gt; %D) rend le signal encore fragile.</w:t>
      </w:r>
    </w:p>
    <w:p>
      <w:pPr>
        <w:spacing w:after="120" w:line="276" w:lineRule="auto"/>
      </w:pPr>
      <w:r>
        <w:t>**Conclusion technique** : Les indicateurs sont **divergents** : les moyennes mobiles et le RSI/Stochastique plaident pour un achat (survente, tendance de fond haussière), tandis que le MACD et les Bandes de Bollinger suggèrent une prudence à court terme (momentum baissier, position neutre). Cette divergence indique une **phase de consolidation** probable avant une reprise, avec un support clé à 7 629 FCFA (borne inférieure de Bollinger) et une résistance à 8 624 FCFA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BOABF a réalisé un **Produit Net Bancaire (PNB) de 57 820 Mds FCFA**, quasi stable par rapport à 2024 (+0,6%), et un **résultat net de 19 252 Mds FCFA**, en **recul de -14,1%** sur un an. Cette baisse est principalement due à un **coût du risque qui a quasiment doublé** (8 355 Mds FCFA en 2025 contre 4 303 Mds FCFA en 2024), reflétant une dégradation de la qualité du portefeuille de crédits. Le **ROE de 15,22%** reste excellent (&gt;15%) et le **ROA de 1,68%** est correct pour une banque, mais le **coefficient d'exploitation de 47,19%** (&lt;50%) témoigne d'une **excellente efficacité opérationnelle**. Le **ratio de dépendance financière de 88,99%** et l'**autonomie financière de 11,01%** sont typiques du secteur bancaire, mais le **ratio d'endettement de 96,61%** et la **couverture des intérêts de 90,05%** appellent à la vigilance. Le **coût du risque / charges financières de 33,92%** reste élevé, signe d'un portefeuille sous pression.</w:t>
      </w:r>
    </w:p>
    <w:p>
      <w:pPr>
        <w:spacing w:after="120" w:line="276" w:lineRule="auto"/>
      </w:pPr>
      <w:r>
        <w:t>**Adaptation au secteur bancaire** : La **transformation dépôts/crédits** est déséquilibrée : les **dépôts clientèle (877 822 Mds FCFA)** couvrent largement les **créances clientèle (474 064 Mds FCFA)**, mais ces dernières ont **chuté de -19,3%** en 2025, tandis que les **créances interbancaires ont bondi à 213 132 Mds FCFA** (contre 53 994 Mds FCFA en 2024), traduisant une **préférence pour les actifs liquides** au détriment du crédit. Le **PNB de 57 820 Mds FCFA** est soutenu par les **intérêts et produits assimilés (62 860 Mds FCFA)** et les **commissions (15 017 Mds FCFA)**, mais la **marge nette de 33,30%** reste correcte.</w:t>
      </w:r>
    </w:p>
    <w:p>
      <w:pPr>
        <w:spacing w:after="120" w:line="276" w:lineRule="auto"/>
      </w:pPr>
      <w:r>
        <w:t>**Estimations basées sur les rapports trimestriels** : Le **rapport du T1 2026 (31/03/2026)** indique un **PNB de 12 694 Mds FCFA (-10,75%)** et un **résultat net de 4 520 Mds FCFA (-12,99%)**, confirmant la pression sur l'activité. Cependant, le **rapport du S1 2026 (30/06/2026)** montre un **résultat net de 10 770 Mds FCFA (+31,0%)**, porté par une **amélioration de 65,2% du coût du risque** (-2 396 Mds FCFA contre -6 876 Mds FCFA au S1 2025). On estime donc que **l'exercice 2026 devrait bénéficier d'une normalisation du coût du risque**, mais la **baisse structurelle du PNB (-5,2% au S1 2026)** reste préoccupante. Le **rapport du T3 2025 (30/09/2025)** confirmait déjà cette tendance avec un **PNB de 43,28 Mds FCFA (+0,85%)** et un **résultat net de 13,45 Mds FCFA (-27,69%)**.</w:t>
      </w:r>
    </w:p>
    <w:p>
      <w:pPr>
        <w:spacing w:after="120" w:line="276" w:lineRule="auto"/>
      </w:pPr>
      <w:r>
        <w:t>**Évolution pluriannuelle** : Entre 2022 et 2025, le **PNB est passé de 56,65 Mds FCFA à 57,82 Mds FCFA** (quasi-stagnation), tandis que le **résultat net a chuté de 25,48 Mds FCFA à 19,25 Mds FCFA** (-24,4%), principalement à cause du coût du risque. Le **ROE est passé de ~36% en 2022 à 15,22% en 2025**, une dégradation significative mais qui reste dans les normes sectorielles.</w:t>
      </w:r>
    </w:p>
    <w:p>
      <w:pPr>
        <w:spacing w:after="120" w:line="276" w:lineRule="auto"/>
      </w:pPr>
      <w:r>
        <w:t>**Recommandation fondamentale** : La solidité financière de BOABF reste **correcte** (ROE &gt;15%, coefficient d'exploitation &lt;50%, solvabilité générale de 112,38%), mais les **risques sont élevés** : baisse structurelle du PNB, coût du risque volatile, dépendance aux dépôts clientèle et environnement sécuritaire burkinabè. La **recommandation est de CONSERVER**, avec une surveillance accrue de la dynamique commerciale et de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exigeante (PER de 18,3x &gt; moyenne BRVM, P/B de 2,78x), ce qui suggère une **surévaluation relative** malgré un EV/EBITDA raisonnable (8,1x). Le **comportement du cours (Partie 1)** est haussier (+48,15% sur 100 jours) mais avec une **volatilité élevée (32,7%)** et une distribution asymétrique positive (skewness de +0,721), ce qui indique un potentiel de hausse mais aussi un risque de correction. Les **signaux techniques (Partie 2)** sont **divergents** : le RSI (20,59) et le Stochastique (0,0) sont en survente extrême (signal d'achat), mais le MACD est baissier et les Bandes de Bollinger sont neutres, ce qui plaide pour une **consolidation avant reprise**. Les **fondamentaux (Partie 3)** sont **mitigés** : ROE solide (15,22%), mais PNB en stagnation et coût du risque élevé ; les rapports récents (S1 2026) montrent une **amélioration du résultat net (+31,0%)** grâce à la normalisation du coût du risque, mais la **dynamique commerciale reste faible**. Les **prédictions IA (J+1 à J+10)** anticipent une **hausse modérée** (8 134 FCFA à 8 308 FCFA, soit +3,85% sur 10 jours), ce qui **confirme partiellement** les signaux techniques de survente.</w:t>
      </w:r>
    </w:p>
    <w:p>
      <w:pPr>
        <w:spacing w:after="120" w:line="276" w:lineRule="auto"/>
      </w:pPr>
      <w:r>
        <w:t>**Recommandation finale** : **CONSERVER**. La convergence entre la survente technique (RSI, Stochastique), la tendance de fond haussière (MM20 &gt; MM50) et les prédictions IA haussières est **partiellement contredite** par la valorisation exigeante (PER élevé), le MACD baissier et les fondamentaux en demi-teinte (PNB stagnant, coût du risque élevé). Le **niveau de confiance est Moyen** (divergence des signaux) et le **risque global est Élevé** (volatilité de 32,7%, dépendance au contexte sécuritaire burkinabè). L'**horizon d'investissement optimal est moyen terme (3-12 mois)**, en attendant une confirmation de la reprise du PNB et une stabilisation du coût du risque. Un **achat spéculatif** pourrait être envisagé sur repli vers 7 629 FCFA (borne inférieure de Bollinger), avec un objectif à 8 624 FCFA (MM20) et un stop-loss à 7 500 FCFA.</w:t>
      </w:r>
    </w:p>
    <w:p>
      <w:pPr>
        <w:spacing w:after="120" w:line="276" w:lineRule="auto"/>
      </w:pPr>
      <w:r>
        <w: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10,613 titres</w:t>
            </w:r>
          </w:p>
        </w:tc>
        <w:tc>
          <w:tcPr>
            <w:tcW w:type="dxa" w:w="2268"/>
            <w:shd w:fill="FFF2CC" w:val="clear"/>
          </w:tcPr>
          <w:p>
            <w:r>
              <w:rPr>
                <w:b/>
                <w:color w:val="503200"/>
                <w:sz w:val="16"/>
              </w:rPr>
              <w:t xml:space="preserve">Cours actuel : </w:t>
            </w:r>
            <w:r>
              <w:rPr>
                <w:color w:val="000000"/>
                <w:sz w:val="17"/>
              </w:rPr>
              <w:t>12,000 FCFA</w:t>
            </w:r>
          </w:p>
          <w:p>
            <w:r>
              <w:rPr>
                <w:b/>
                <w:color w:val="503200"/>
                <w:sz w:val="16"/>
              </w:rPr>
              <w:t xml:space="preserve">Var. 100 jours : </w:t>
            </w:r>
            <w:r>
              <w:rPr>
                <w:b/>
                <w:color w:val="007800"/>
                <w:sz w:val="17"/>
              </w:rPr>
              <w:t>+41.18%</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8,500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15.63% (Élevée) — μ=10,266 FCFA, σ=1,605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β=0.0359 (Défensif) — Cov=0.000001, Var(idx)=0.000035, ρ=0.013,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11,592</w:t>
            </w:r>
          </w:p>
        </w:tc>
        <w:tc>
          <w:tcPr>
            <w:tcW w:type="dxa" w:w="1440"/>
            <w:shd w:fill="FAFAFA" w:val="clear"/>
          </w:tcPr>
          <w:p>
            <w:r>
              <w:rPr>
                <w:b/>
                <w:sz w:val="17"/>
              </w:rPr>
              <w:t>11,909</w:t>
            </w:r>
          </w:p>
        </w:tc>
        <w:tc>
          <w:tcPr>
            <w:tcW w:type="dxa" w:w="1440"/>
            <w:shd w:fill="FAFAFA" w:val="clear"/>
          </w:tcPr>
          <w:p>
            <w:r>
              <w:rPr>
                <w:sz w:val="17"/>
              </w:rPr>
              <w:t>12,227</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11,368</w:t>
            </w:r>
          </w:p>
        </w:tc>
        <w:tc>
          <w:tcPr>
            <w:tcW w:type="dxa" w:w="1440"/>
            <w:shd w:fill="FAFAFA" w:val="clear"/>
          </w:tcPr>
          <w:p>
            <w:r>
              <w:rPr>
                <w:b/>
                <w:sz w:val="17"/>
              </w:rPr>
              <w:t>11,813</w:t>
            </w:r>
          </w:p>
        </w:tc>
        <w:tc>
          <w:tcPr>
            <w:tcW w:type="dxa" w:w="1440"/>
            <w:shd w:fill="FAFAFA" w:val="clear"/>
          </w:tcPr>
          <w:p>
            <w:r>
              <w:rPr>
                <w:sz w:val="17"/>
              </w:rPr>
              <w:t>12,259</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11,185</w:t>
            </w:r>
          </w:p>
        </w:tc>
        <w:tc>
          <w:tcPr>
            <w:tcW w:type="dxa" w:w="1440"/>
            <w:shd w:fill="FFDCE0" w:val="clear"/>
          </w:tcPr>
          <w:p>
            <w:r>
              <w:rPr>
                <w:b/>
                <w:sz w:val="17"/>
              </w:rPr>
              <w:t>11,727</w:t>
            </w:r>
          </w:p>
        </w:tc>
        <w:tc>
          <w:tcPr>
            <w:tcW w:type="dxa" w:w="1440"/>
            <w:shd w:fill="FFDCE0" w:val="clear"/>
          </w:tcPr>
          <w:p>
            <w:r>
              <w:rPr>
                <w:sz w:val="17"/>
              </w:rPr>
              <w:t>12,268</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2026-09-23</w:t>
            </w:r>
          </w:p>
        </w:tc>
        <w:tc>
          <w:tcPr>
            <w:tcW w:type="dxa" w:w="1440"/>
            <w:shd w:fill="FFDCE0" w:val="clear"/>
          </w:tcPr>
          <w:p>
            <w:r>
              <w:rPr>
                <w:sz w:val="17"/>
              </w:rPr>
              <w:t>11,026</w:t>
            </w:r>
          </w:p>
        </w:tc>
        <w:tc>
          <w:tcPr>
            <w:tcW w:type="dxa" w:w="1440"/>
            <w:shd w:fill="FFDCE0" w:val="clear"/>
          </w:tcPr>
          <w:p>
            <w:r>
              <w:rPr>
                <w:b/>
                <w:sz w:val="17"/>
              </w:rPr>
              <w:t>11,647</w:t>
            </w:r>
          </w:p>
        </w:tc>
        <w:tc>
          <w:tcPr>
            <w:tcW w:type="dxa" w:w="1440"/>
            <w:shd w:fill="FFDCE0" w:val="clear"/>
          </w:tcPr>
          <w:p>
            <w:r>
              <w:rPr>
                <w:sz w:val="17"/>
              </w:rPr>
              <w:t>12,268</w:t>
            </w:r>
          </w:p>
        </w:tc>
        <w:tc>
          <w:tcPr>
            <w:tcW w:type="dxa" w:w="1440"/>
            <w:shd w:fill="FFDCE0" w:val="clear"/>
          </w:tcPr>
          <w:p>
            <w:r>
              <w:rPr>
                <w:b/>
                <w:color w:val="C00000"/>
                <w:sz w:val="17"/>
              </w:rPr>
              <w:t>-2.9%</w:t>
            </w:r>
          </w:p>
        </w:tc>
      </w:tr>
      <w:tr>
        <w:tc>
          <w:tcPr>
            <w:tcW w:type="dxa" w:w="1440"/>
            <w:shd w:fill="FFDCE0" w:val="clear"/>
          </w:tcPr>
          <w:p>
            <w:r>
              <w:rPr>
                <w:sz w:val="17"/>
              </w:rPr>
              <w:t>J+5  Moyenne</w:t>
            </w:r>
          </w:p>
        </w:tc>
        <w:tc>
          <w:tcPr>
            <w:tcW w:type="dxa" w:w="1440"/>
            <w:shd w:fill="FFDCE0" w:val="clear"/>
          </w:tcPr>
          <w:p>
            <w:r>
              <w:rPr>
                <w:sz w:val="17"/>
              </w:rPr>
              <w:t>2026-09-24</w:t>
            </w:r>
          </w:p>
        </w:tc>
        <w:tc>
          <w:tcPr>
            <w:tcW w:type="dxa" w:w="1440"/>
            <w:shd w:fill="FFDCE0" w:val="clear"/>
          </w:tcPr>
          <w:p>
            <w:r>
              <w:rPr>
                <w:sz w:val="17"/>
              </w:rPr>
              <w:t>10,883</w:t>
            </w:r>
          </w:p>
        </w:tc>
        <w:tc>
          <w:tcPr>
            <w:tcW w:type="dxa" w:w="1440"/>
            <w:shd w:fill="FFDCE0" w:val="clear"/>
          </w:tcPr>
          <w:p>
            <w:r>
              <w:rPr>
                <w:b/>
                <w:sz w:val="17"/>
              </w:rPr>
              <w:t>11,573</w:t>
            </w:r>
          </w:p>
        </w:tc>
        <w:tc>
          <w:tcPr>
            <w:tcW w:type="dxa" w:w="1440"/>
            <w:shd w:fill="FFDCE0" w:val="clear"/>
          </w:tcPr>
          <w:p>
            <w:r>
              <w:rPr>
                <w:sz w:val="17"/>
              </w:rPr>
              <w:t>12,263</w:t>
            </w:r>
          </w:p>
        </w:tc>
        <w:tc>
          <w:tcPr>
            <w:tcW w:type="dxa" w:w="1440"/>
            <w:shd w:fill="FFDCE0" w:val="clear"/>
          </w:tcPr>
          <w:p>
            <w:r>
              <w:rPr>
                <w:b/>
                <w:color w:val="C00000"/>
                <w:sz w:val="17"/>
              </w:rPr>
              <w:t>-3.6%</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10,752</w:t>
            </w:r>
          </w:p>
        </w:tc>
        <w:tc>
          <w:tcPr>
            <w:tcW w:type="dxa" w:w="1440"/>
            <w:shd w:fill="FFDCE0" w:val="clear"/>
          </w:tcPr>
          <w:p>
            <w:r>
              <w:rPr>
                <w:b/>
                <w:sz w:val="17"/>
              </w:rPr>
              <w:t>11,504</w:t>
            </w:r>
          </w:p>
        </w:tc>
        <w:tc>
          <w:tcPr>
            <w:tcW w:type="dxa" w:w="1440"/>
            <w:shd w:fill="FFDCE0" w:val="clear"/>
          </w:tcPr>
          <w:p>
            <w:r>
              <w:rPr>
                <w:sz w:val="17"/>
              </w:rPr>
              <w:t>12,255</w:t>
            </w:r>
          </w:p>
        </w:tc>
        <w:tc>
          <w:tcPr>
            <w:tcW w:type="dxa" w:w="1440"/>
            <w:shd w:fill="FFDCE0" w:val="clear"/>
          </w:tcPr>
          <w:p>
            <w:r>
              <w:rPr>
                <w:b/>
                <w:color w:val="C00000"/>
                <w:sz w:val="17"/>
              </w:rPr>
              <w:t>-4.1%</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10,633</w:t>
            </w:r>
          </w:p>
        </w:tc>
        <w:tc>
          <w:tcPr>
            <w:tcW w:type="dxa" w:w="1440"/>
            <w:shd w:fill="FFDCE0" w:val="clear"/>
          </w:tcPr>
          <w:p>
            <w:r>
              <w:rPr>
                <w:b/>
                <w:sz w:val="17"/>
              </w:rPr>
              <w:t>11,440</w:t>
            </w:r>
          </w:p>
        </w:tc>
        <w:tc>
          <w:tcPr>
            <w:tcW w:type="dxa" w:w="1440"/>
            <w:shd w:fill="FFDCE0" w:val="clear"/>
          </w:tcPr>
          <w:p>
            <w:r>
              <w:rPr>
                <w:sz w:val="17"/>
              </w:rPr>
              <w:t>12,247</w:t>
            </w:r>
          </w:p>
        </w:tc>
        <w:tc>
          <w:tcPr>
            <w:tcW w:type="dxa" w:w="1440"/>
            <w:shd w:fill="FFDCE0" w:val="clear"/>
          </w:tcPr>
          <w:p>
            <w:r>
              <w:rPr>
                <w:b/>
                <w:color w:val="C00000"/>
                <w:sz w:val="17"/>
              </w:rPr>
              <w:t>-4.7%</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10,522</w:t>
            </w:r>
          </w:p>
        </w:tc>
        <w:tc>
          <w:tcPr>
            <w:tcW w:type="dxa" w:w="1440"/>
            <w:shd w:fill="FFDCE0" w:val="clear"/>
          </w:tcPr>
          <w:p>
            <w:r>
              <w:rPr>
                <w:b/>
                <w:sz w:val="17"/>
              </w:rPr>
              <w:t>11,380</w:t>
            </w:r>
          </w:p>
        </w:tc>
        <w:tc>
          <w:tcPr>
            <w:tcW w:type="dxa" w:w="1440"/>
            <w:shd w:fill="FFDCE0" w:val="clear"/>
          </w:tcPr>
          <w:p>
            <w:r>
              <w:rPr>
                <w:sz w:val="17"/>
              </w:rPr>
              <w:t>12,238</w:t>
            </w:r>
          </w:p>
        </w:tc>
        <w:tc>
          <w:tcPr>
            <w:tcW w:type="dxa" w:w="1440"/>
            <w:shd w:fill="FFDCE0" w:val="clear"/>
          </w:tcPr>
          <w:p>
            <w:r>
              <w:rPr>
                <w:b/>
                <w:color w:val="C00000"/>
                <w:sz w:val="17"/>
              </w:rPr>
              <w:t>-5.2%</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10,418</w:t>
            </w:r>
          </w:p>
        </w:tc>
        <w:tc>
          <w:tcPr>
            <w:tcW w:type="dxa" w:w="1440"/>
            <w:shd w:fill="FFDCE0" w:val="clear"/>
          </w:tcPr>
          <w:p>
            <w:r>
              <w:rPr>
                <w:b/>
                <w:sz w:val="17"/>
              </w:rPr>
              <w:t>11,324</w:t>
            </w:r>
          </w:p>
        </w:tc>
        <w:tc>
          <w:tcPr>
            <w:tcW w:type="dxa" w:w="1440"/>
            <w:shd w:fill="FFDCE0" w:val="clear"/>
          </w:tcPr>
          <w:p>
            <w:r>
              <w:rPr>
                <w:sz w:val="17"/>
              </w:rPr>
              <w:t>12,230</w:t>
            </w:r>
          </w:p>
        </w:tc>
        <w:tc>
          <w:tcPr>
            <w:tcW w:type="dxa" w:w="1440"/>
            <w:shd w:fill="FFDCE0" w:val="clear"/>
          </w:tcPr>
          <w:p>
            <w:r>
              <w:rPr>
                <w:b/>
                <w:color w:val="C00000"/>
                <w:sz w:val="17"/>
              </w:rPr>
              <w:t>-5.6%</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10,321</w:t>
            </w:r>
          </w:p>
        </w:tc>
        <w:tc>
          <w:tcPr>
            <w:tcW w:type="dxa" w:w="1440"/>
            <w:shd w:fill="FFDCE0" w:val="clear"/>
          </w:tcPr>
          <w:p>
            <w:r>
              <w:rPr>
                <w:b/>
                <w:sz w:val="17"/>
              </w:rPr>
              <w:t>11,272</w:t>
            </w:r>
          </w:p>
        </w:tc>
        <w:tc>
          <w:tcPr>
            <w:tcW w:type="dxa" w:w="1440"/>
            <w:shd w:fill="FFDCE0" w:val="clear"/>
          </w:tcPr>
          <w:p>
            <w:r>
              <w:rPr>
                <w:sz w:val="17"/>
              </w:rPr>
              <w:t>12,222</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480,00 Mds FCFA, BOAC s'impose comme l'une des valeurs bancaires de référence de la cote BRVM, portée par un BPA de 888 FCFA/action qui matérialise la richesse générée par chaque titre détenu. Le PER de 13,5x se situe légèrement au-dessus de la moyenne du marché BRVM (8-12x), traduisant une prime de qualité consentie par les investisseurs pour une banque affichant un ROE de 27,9%, mais qui reste raisonnable au regard de la croissance bénéficiaire (+10,9% en 2025). Le P/B de 3,77x confirme cette prime de croissance : le marché valorise l'action près de quatre fois ses fonds propres comptables (127,34 Mds FCFA), ce qui n'est justifiable que par la persistance d'une rentabilité exceptionnelle. En revanche, l'EV/EBITDA de 26,9x apparaît très exigeant (&gt;15x), signalant que la valeur d'entreprise intègre déjà une bonne partie des anticipations de croissance — un niveau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BOAC affiche une performance remarquable de +41,18%, malgré un repli de -1,23% lors de la dernière séance (J-1), qui marque une légère prise de bénéfices après un rallye soutenu. Le titre a évolué dans un range large de 4 950 FCFA, entre un plus bas de 8 500 FCFA et un plus haut de 13 450 FCFA, le cours actuel de 12 000 FCFA se situant à environ 89% du sommet — signe d'une tendance haussière de fond toujours intacte mais essoufflée à court terme. Les statistiques descriptives révèlent une distribution asymétrique : la moyenne (10 266 FCFA) dépasse nettement la médiane (9 438 FCFA), confirmant un skewness positif de 0,637 — le cours a passé plus de journées sous sa moyenne, mais les poussées haussières ont été suffisamment puissantes pour tirer la moyenne vers le haut. L'écart-type de 1 613 FCFA (CV = 15,7%) traduit une dispersion modérée, tandis que le kurtosis négatif (-1,236, distribution platykurtique) indique une faible concentration des rendements autour de la moyenne, avec des mouvements amples mais sans pics extrêmes fréquents — un profil de risque relativement lisible. Enfin, la volatilité annualisée de 25,5% classe le titre dans la catégorie des valeurs à volatilité modérée (15-30%), cohérente avec son statut de valeur bancaire liquide et suivie.</w:t>
      </w:r>
    </w:p>
    <w:p>
      <w:pPr>
        <w:spacing w:after="120" w:line="276" w:lineRule="auto"/>
      </w:pPr>
      <w:r>
        <w:t>---</w:t>
      </w:r>
    </w:p>
    <w:p>
      <w:pPr>
        <w:spacing w:after="120" w:line="276" w:lineRule="auto"/>
      </w:pPr>
      <w:r>
        <w:t>## PARTIE 2 : ANALYSE TECHNIQUE DÉTAILLÉE</w:t>
      </w:r>
    </w:p>
    <w:p>
      <w:pPr>
        <w:spacing w:after="120" w:line="276" w:lineRule="auto"/>
      </w:pPr>
      <w:r>
        <w:t>**Moyennes Mobiles** — La MM20 (12 527,75 FCFA) et la MM50 (11 587,80 FCFA) se situent toutes deux au-dessus du cours actuel (12 000 FCFA), avec une MM20 supérieure à la MM50 — configuration haussière classique (golden cross). Toutefois, le fait que le prix évolue sous sa MM20 suggère une correction de court terme au sein d'une tendance de fond positive, ce qui justifie la décision d'**Achat** sur repli.</w:t>
      </w:r>
    </w:p>
    <w:p>
      <w:pPr>
        <w:spacing w:after="120" w:line="276" w:lineRule="auto"/>
      </w:pPr>
      <w:r>
        <w:t>**Bandes de Bollinger** — Le cours (12 000 FCFA) se situe dans la partie basse du canal, entre la borne inférieure (11 910,58 FCFA) et la borne supérieure (13 144,92 FCFA), tout en restant très proche de la borne basse. Cette position indique une pression vendeuse récente mais aussi un potentiel de rebond technique ; la décision **Neutre** reflète l'absence de signal directionnel fort, le titre n'étant ni en survente extrême ni en surachat.</w:t>
      </w:r>
    </w:p>
    <w:p>
      <w:pPr>
        <w:spacing w:after="120" w:line="276" w:lineRule="auto"/>
      </w:pPr>
      <w:r>
        <w:t>**MACD** — La ligne MACD (105,945) est nettement inférieure à sa ligne de signal (248,841), générant un croisement baissier et un momentum négatif. Cette divergence signale que la dynamique haussière s'essouffle à court terme, justifiant la décision de **Vente** — un signal de prudence qui contraste avec les autres indicateurs.</w:t>
      </w:r>
    </w:p>
    <w:p>
      <w:pPr>
        <w:spacing w:after="120" w:line="276" w:lineRule="auto"/>
      </w:pPr>
      <w:r>
        <w:t>**RSI** — À 25,61, le RSI se situe en zone de survente (&lt;30), un niveau qui historiquement précède souvent des rebonds techniques. Cette lecture justifie pleinement la décision d'**Achat** : le titre apparaît survendu après la correction récente, offrant un point d'entrée potentiellement attractif.</w:t>
      </w:r>
    </w:p>
    <w:p>
      <w:pPr>
        <w:spacing w:after="120" w:line="276" w:lineRule="auto"/>
      </w:pPr>
      <w:r>
        <w:t>**Stochastique** — Les valeurs %K et %D sont toutes deux à 0,0, positionnant l'indicateur en zone de survente extrême. Ce niveau plancher, bien que rare, signale une pression vendeuse maximale et un fort potentiel de retournement à la hausse, d'où la décision d'**Achat**.</w:t>
      </w:r>
    </w:p>
    <w:p>
      <w:pPr>
        <w:spacing w:after="120" w:line="276" w:lineRule="auto"/>
      </w:pPr>
      <w:r>
        <w:t>**Conclusion technique** — Les indicateurs présentent une divergence notable : le MACD (Vente) traduit un momentum baissier de court terme, tandis que le RSI (25,61) et le Stochastique (0,0) crient à la survente et plaident pour un rebond imminent. Les moyennes mobiles restent haussières de fond, et la position du cours près de la borne basse de Bollinger renforce l'hypothèse d'un point d'entrée. La convergence RSI/Stochastique en zone de survente extrême l'emporte sur le signal MACD, suggérant une fenêtre d'achat tactique malgré la correction en cours.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(équivalent du chiffre d'affaires bancaire) de 73 545 Mds FCFA, en légère hausse de +1,13% sur un an, et un résultat net de 35 540 Mds FCFA, en progression de +10,9% par rapport aux 32 045 Mds FCFA de 2024. La rentabilité des fonds propres (ROE) atteint 27,91%, un niveau excellent (&gt;15%), tandis que le ROA s'établit à 3,22% — performance solide pour une banque. Le coefficient d'exploitation de 36,70% confirme l'efficacité opérationnelle de l'établissement (seuil d'excellence &lt;50%), et la marge nette de 48,32% témoigne d'une remarquable capacité à transformer le PNB en bénéfice. Le coût du risque, à 6,67% des charges financières, reste contenu mais mérite une vigilance au regard de la hausse de +52,1% des créances en souffrance en 2025 (taux de sinistralité de 8,59%, taux de provisionnement de 65,76%). La structure bilancielle est solide : les dépôts clientèle (850,55 Mds FCFA) couvrent largement les créances nettes (430,43 Mds FCFA), avec un ratio de transformation sain, et la solvabilité générale (113,05%) confirme la capacité de la banque à honorer ses engagements.</w:t>
      </w:r>
    </w:p>
    <w:p>
      <w:pPr>
        <w:spacing w:after="120" w:line="276" w:lineRule="auto"/>
      </w:pPr>
      <w:r>
        <w:t>**Estimations basées sur les rapports trimestriels** — Le rapport du **T1 2026 (daté du 31/03/2026)** indique un PNB de 18 960 Mds FCFA (+3,09% sur un an) et un résultat net de 10 801 Mds FCFA (+0,91%), avec un coefficient d'exploitation maîtrisé à 35,68%. Point d'alerte : le coût net du risque bondit de +314,75% (-652 vs -157 Mds FCFA), une dégradation brutale qui, si elle se confirme, pourrait peser sur les trimestres suivants. Le rapport du **T3 2025 (daté du 30/09/2025)** montrait déjà un PNB cumulé de 53 494 Mds FCFA (+0,23%) et un résultat net de 26 632 Mds FCFA (+1,29%), avec des dépôts en hausse de +10,28% mais des crédits nets en recul de -11,97%. Sur la base de ces tendances, on estime que l'exercice 2026 devrait enregistrer une croissance modérée du PNB (autour de +2 à +3%) et un résultat net stable à légèrement croissant, la principale incertitude résidant dans l'évolution du coût du risque. Le rapport annuel 2025 (daté du 31/12/2025) confirme la solidité du modèle, avec une recommandation d'**ACHAT** des analystes, tandis que le rapport T1 2026 recommande de **CONSERVER** — une divergence qui reflète la tension entre fondamentaux solides et dégradation récente du risque de crédit.</w:t>
      </w:r>
    </w:p>
    <w:p>
      <w:pPr>
        <w:spacing w:after="120" w:line="276" w:lineRule="auto"/>
      </w:pPr>
      <w:r>
        <w:t>---</w:t>
      </w:r>
    </w:p>
    <w:p>
      <w:pPr>
        <w:spacing w:after="120" w:line="276" w:lineRule="auto"/>
      </w:pPr>
      <w:r>
        <w:t>## PARTIE 4 : CONCLUSION D'INVESTISSEMENT</w:t>
      </w:r>
    </w:p>
    <w:p>
      <w:pPr>
        <w:spacing w:after="120" w:line="276" w:lineRule="auto"/>
      </w:pPr>
      <w:r>
        <w:t>La valorisation de BOAC (PER 13,5x, P/B 3,77x, EV/EBITDA 26,9x) traduit une prime de qualité justifiée par un ROE de 27,9% et une marge nette de 48,3%, mais qui laisse peu de marge de sécurité en cas de déception — le titre n'est ni sous-évalué ni excessivement cher, il est correctement valorisé pour une banque de premier plan. Le comportement du cours sur 100 jours (+41,18%) est nettement haussier, avec une volatilité modérée (25,5%) et une distribution platykurtique (kurtosis -1,236) qui écarte le risque de pics extrêmes, même si le skewness positif (0,637) rappelle que les journées baissières ont été plus nombreuses que les journées haussières. Les signaux techniques sont divergents : le MACD (Vente) signale un essoufflement du momentum, mais le RSI (25,61) et le Stochastique (0,0) en survente extrême plaident pour un rebond imminent, tandis que les moyennes mobiles restent haussières de fond — une configuration qui suggère une fenêtre d'achat tactique sur repli. Les fondamentaux demeurent solides (ROE 27,9%, coefficient d'exploitation 36,7%, solvabilité 113%), mais la dégradation du coût du risque au T1 2026 (+314,75%) et la hausse des créances en souffrance (+52,1% en 2025) constituent des points de vigilance qui pourraient peser sur la rentabilité future. Les prédictions IA (J+1 à J+10) anticipent une poursuite de la correction baissière, de 11 909 FCFA à 11 573 FCFA, ce qui contredit les signaux de survente technique et suggère que le rebond pourrait être différé. **Recommandation finale : CONSERVER** — la convergence entre valorisation correcte, fondamentaux solides et signaux techniques mitigés ne justifie pas un achat agressif, mais la qualité de l'établissement et le potentiel de rebond technique interdisent toute vente. Le niveau de confiance est **Moyen** (divergence technique/fondamental), le risque global est **Moyen** (dégradation du coût du risque), et l'horizon optimal est le **moyen terme (3-12 mois)**, le temps que la banque confirme la maîtrise de son risque de crédit et que le titre retrouve sa dynamique haussière.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189.41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6,348 titres</w:t>
            </w:r>
          </w:p>
        </w:tc>
        <w:tc>
          <w:tcPr>
            <w:tcW w:type="dxa" w:w="2268"/>
            <w:shd w:fill="FFF2CC" w:val="clear"/>
          </w:tcPr>
          <w:p>
            <w:r>
              <w:rPr>
                <w:b/>
                <w:color w:val="503200"/>
                <w:sz w:val="16"/>
              </w:rPr>
              <w:t xml:space="preserve">Cours actuel : </w:t>
            </w:r>
            <w:r>
              <w:rPr>
                <w:color w:val="000000"/>
                <w:sz w:val="17"/>
              </w:rPr>
              <w:t>6,900 FCFA</w:t>
            </w:r>
          </w:p>
          <w:p>
            <w:r>
              <w:rPr>
                <w:b/>
                <w:color w:val="503200"/>
                <w:sz w:val="16"/>
              </w:rPr>
              <w:t xml:space="preserve">Var. 100 jours : </w:t>
            </w:r>
            <w:r>
              <w:rPr>
                <w:b/>
                <w:color w:val="007800"/>
                <w:sz w:val="17"/>
              </w:rPr>
              <w:t>+47.28%</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14.64% (Moyenne) — μ=5,447 FCFA, σ=798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β=0.4139 (Défensif) — Cov=0.000015, Var(idx)=0.000035, ρ=0.113,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6,667</w:t>
            </w:r>
          </w:p>
        </w:tc>
        <w:tc>
          <w:tcPr>
            <w:tcW w:type="dxa" w:w="1440"/>
            <w:shd w:fill="FAFAFA" w:val="clear"/>
          </w:tcPr>
          <w:p>
            <w:r>
              <w:rPr>
                <w:b/>
                <w:sz w:val="17"/>
              </w:rPr>
              <w:t>6,886</w:t>
            </w:r>
          </w:p>
        </w:tc>
        <w:tc>
          <w:tcPr>
            <w:tcW w:type="dxa" w:w="1440"/>
            <w:shd w:fill="FAFAFA" w:val="clear"/>
          </w:tcPr>
          <w:p>
            <w:r>
              <w:rPr>
                <w:sz w:val="17"/>
              </w:rPr>
              <w:t>7,106</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6,609</w:t>
            </w:r>
          </w:p>
        </w:tc>
        <w:tc>
          <w:tcPr>
            <w:tcW w:type="dxa" w:w="1440"/>
            <w:shd w:fill="FAFAFA" w:val="clear"/>
          </w:tcPr>
          <w:p>
            <w:r>
              <w:rPr>
                <w:b/>
                <w:sz w:val="17"/>
              </w:rPr>
              <w:t>6,921</w:t>
            </w:r>
          </w:p>
        </w:tc>
        <w:tc>
          <w:tcPr>
            <w:tcW w:type="dxa" w:w="1440"/>
            <w:shd w:fill="FAFAFA" w:val="clear"/>
          </w:tcPr>
          <w:p>
            <w:r>
              <w:rPr>
                <w:sz w:val="17"/>
              </w:rPr>
              <w:t>7,233</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6,581</w:t>
            </w:r>
          </w:p>
        </w:tc>
        <w:tc>
          <w:tcPr>
            <w:tcW w:type="dxa" w:w="1440"/>
            <w:shd w:fill="FAFAFA" w:val="clear"/>
          </w:tcPr>
          <w:p>
            <w:r>
              <w:rPr>
                <w:b/>
                <w:sz w:val="17"/>
              </w:rPr>
              <w:t>6,966</w:t>
            </w:r>
          </w:p>
        </w:tc>
        <w:tc>
          <w:tcPr>
            <w:tcW w:type="dxa" w:w="1440"/>
            <w:shd w:fill="FAFAFA" w:val="clear"/>
          </w:tcPr>
          <w:p>
            <w:r>
              <w:rPr>
                <w:sz w:val="17"/>
              </w:rPr>
              <w:t>7,350</w:t>
            </w:r>
          </w:p>
        </w:tc>
        <w:tc>
          <w:tcPr>
            <w:tcW w:type="dxa" w:w="1440"/>
            <w:shd w:fill="FAFAFA" w:val="clear"/>
          </w:tcPr>
          <w:p>
            <w:r>
              <w:rPr>
                <w:b/>
                <w:color w:val="008000"/>
                <w:sz w:val="17"/>
              </w:rPr>
              <w:t>+1.0%</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6,558</w:t>
            </w:r>
          </w:p>
        </w:tc>
        <w:tc>
          <w:tcPr>
            <w:tcW w:type="dxa" w:w="1440"/>
            <w:shd w:fill="FAFAFA" w:val="clear"/>
          </w:tcPr>
          <w:p>
            <w:r>
              <w:rPr>
                <w:b/>
                <w:sz w:val="17"/>
              </w:rPr>
              <w:t>7,004</w:t>
            </w:r>
          </w:p>
        </w:tc>
        <w:tc>
          <w:tcPr>
            <w:tcW w:type="dxa" w:w="1440"/>
            <w:shd w:fill="FAFAFA" w:val="clear"/>
          </w:tcPr>
          <w:p>
            <w:r>
              <w:rPr>
                <w:sz w:val="17"/>
              </w:rPr>
              <w:t>7,451</w:t>
            </w:r>
          </w:p>
        </w:tc>
        <w:tc>
          <w:tcPr>
            <w:tcW w:type="dxa" w:w="1440"/>
            <w:shd w:fill="FAFAFA" w:val="clear"/>
          </w:tcPr>
          <w:p>
            <w:r>
              <w:rPr>
                <w:b/>
                <w:color w:val="008000"/>
                <w:sz w:val="17"/>
              </w:rPr>
              <w:t>+1.5%</w:t>
            </w:r>
          </w:p>
        </w:tc>
      </w:tr>
      <w:tr>
        <w:tc>
          <w:tcPr>
            <w:tcW w:type="dxa" w:w="1440"/>
            <w:shd w:fill="FAFAFA" w:val="clear"/>
          </w:tcPr>
          <w:p>
            <w:r>
              <w:rPr>
                <w:sz w:val="17"/>
              </w:rPr>
              <w:t>J+5  Moyenne</w:t>
            </w:r>
          </w:p>
        </w:tc>
        <w:tc>
          <w:tcPr>
            <w:tcW w:type="dxa" w:w="1440"/>
            <w:shd w:fill="FAFAFA" w:val="clear"/>
          </w:tcPr>
          <w:p>
            <w:r>
              <w:rPr>
                <w:sz w:val="17"/>
              </w:rPr>
              <w:t>2026-09-24</w:t>
            </w:r>
          </w:p>
        </w:tc>
        <w:tc>
          <w:tcPr>
            <w:tcW w:type="dxa" w:w="1440"/>
            <w:shd w:fill="FAFAFA" w:val="clear"/>
          </w:tcPr>
          <w:p>
            <w:r>
              <w:rPr>
                <w:sz w:val="17"/>
              </w:rPr>
              <w:t>6,534</w:t>
            </w:r>
          </w:p>
        </w:tc>
        <w:tc>
          <w:tcPr>
            <w:tcW w:type="dxa" w:w="1440"/>
            <w:shd w:fill="FAFAFA" w:val="clear"/>
          </w:tcPr>
          <w:p>
            <w:r>
              <w:rPr>
                <w:b/>
                <w:sz w:val="17"/>
              </w:rPr>
              <w:t>7,035</w:t>
            </w:r>
          </w:p>
        </w:tc>
        <w:tc>
          <w:tcPr>
            <w:tcW w:type="dxa" w:w="1440"/>
            <w:shd w:fill="FAFAFA" w:val="clear"/>
          </w:tcPr>
          <w:p>
            <w:r>
              <w:rPr>
                <w:sz w:val="17"/>
              </w:rPr>
              <w:t>7,536</w:t>
            </w:r>
          </w:p>
        </w:tc>
        <w:tc>
          <w:tcPr>
            <w:tcW w:type="dxa" w:w="1440"/>
            <w:shd w:fill="FAFAFA"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2026-09-25</w:t>
            </w:r>
          </w:p>
        </w:tc>
        <w:tc>
          <w:tcPr>
            <w:tcW w:type="dxa" w:w="1440"/>
            <w:shd w:fill="C6EFCE" w:val="clear"/>
          </w:tcPr>
          <w:p>
            <w:r>
              <w:rPr>
                <w:sz w:val="17"/>
              </w:rPr>
              <w:t>6,510</w:t>
            </w:r>
          </w:p>
        </w:tc>
        <w:tc>
          <w:tcPr>
            <w:tcW w:type="dxa" w:w="1440"/>
            <w:shd w:fill="C6EFCE" w:val="clear"/>
          </w:tcPr>
          <w:p>
            <w:r>
              <w:rPr>
                <w:b/>
                <w:sz w:val="17"/>
              </w:rPr>
              <w:t>7,061</w:t>
            </w:r>
          </w:p>
        </w:tc>
        <w:tc>
          <w:tcPr>
            <w:tcW w:type="dxa" w:w="1440"/>
            <w:shd w:fill="C6EFCE" w:val="clear"/>
          </w:tcPr>
          <w:p>
            <w:r>
              <w:rPr>
                <w:sz w:val="17"/>
              </w:rPr>
              <w:t>7,612</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2026-09-28</w:t>
            </w:r>
          </w:p>
        </w:tc>
        <w:tc>
          <w:tcPr>
            <w:tcW w:type="dxa" w:w="1440"/>
            <w:shd w:fill="C6EFCE" w:val="clear"/>
          </w:tcPr>
          <w:p>
            <w:r>
              <w:rPr>
                <w:sz w:val="17"/>
              </w:rPr>
              <w:t>6,487</w:t>
            </w:r>
          </w:p>
        </w:tc>
        <w:tc>
          <w:tcPr>
            <w:tcW w:type="dxa" w:w="1440"/>
            <w:shd w:fill="C6EFCE" w:val="clear"/>
          </w:tcPr>
          <w:p>
            <w:r>
              <w:rPr>
                <w:b/>
                <w:sz w:val="17"/>
              </w:rPr>
              <w:t>7,084</w:t>
            </w:r>
          </w:p>
        </w:tc>
        <w:tc>
          <w:tcPr>
            <w:tcW w:type="dxa" w:w="1440"/>
            <w:shd w:fill="C6EFCE" w:val="clear"/>
          </w:tcPr>
          <w:p>
            <w:r>
              <w:rPr>
                <w:sz w:val="17"/>
              </w:rPr>
              <w:t>7,682</w:t>
            </w:r>
          </w:p>
        </w:tc>
        <w:tc>
          <w:tcPr>
            <w:tcW w:type="dxa" w:w="1440"/>
            <w:shd w:fill="C6EFCE" w:val="clear"/>
          </w:tcPr>
          <w:p>
            <w:r>
              <w:rPr>
                <w:b/>
                <w:color w:val="008000"/>
                <w:sz w:val="17"/>
              </w:rPr>
              <w:t>+2.7%</w:t>
            </w:r>
          </w:p>
        </w:tc>
      </w:tr>
      <w:tr>
        <w:tc>
          <w:tcPr>
            <w:tcW w:type="dxa" w:w="1440"/>
            <w:shd w:fill="C6EFCE" w:val="clear"/>
          </w:tcPr>
          <w:p>
            <w:r>
              <w:rPr>
                <w:sz w:val="17"/>
              </w:rPr>
              <w:t>J+8  Moyenne</w:t>
            </w:r>
          </w:p>
        </w:tc>
        <w:tc>
          <w:tcPr>
            <w:tcW w:type="dxa" w:w="1440"/>
            <w:shd w:fill="C6EFCE" w:val="clear"/>
          </w:tcPr>
          <w:p>
            <w:r>
              <w:rPr>
                <w:sz w:val="17"/>
              </w:rPr>
              <w:t>2026-09-29</w:t>
            </w:r>
          </w:p>
        </w:tc>
        <w:tc>
          <w:tcPr>
            <w:tcW w:type="dxa" w:w="1440"/>
            <w:shd w:fill="C6EFCE" w:val="clear"/>
          </w:tcPr>
          <w:p>
            <w:r>
              <w:rPr>
                <w:sz w:val="17"/>
              </w:rPr>
              <w:t>6,465</w:t>
            </w:r>
          </w:p>
        </w:tc>
        <w:tc>
          <w:tcPr>
            <w:tcW w:type="dxa" w:w="1440"/>
            <w:shd w:fill="C6EFCE" w:val="clear"/>
          </w:tcPr>
          <w:p>
            <w:r>
              <w:rPr>
                <w:b/>
                <w:sz w:val="17"/>
              </w:rPr>
              <w:t>7,106</w:t>
            </w:r>
          </w:p>
        </w:tc>
        <w:tc>
          <w:tcPr>
            <w:tcW w:type="dxa" w:w="1440"/>
            <w:shd w:fill="C6EFCE" w:val="clear"/>
          </w:tcPr>
          <w:p>
            <w:r>
              <w:rPr>
                <w:sz w:val="17"/>
              </w:rPr>
              <w:t>7,746</w:t>
            </w:r>
          </w:p>
        </w:tc>
        <w:tc>
          <w:tcPr>
            <w:tcW w:type="dxa" w:w="1440"/>
            <w:shd w:fill="C6EFCE" w:val="clear"/>
          </w:tcPr>
          <w:p>
            <w:r>
              <w:rPr>
                <w:b/>
                <w:color w:val="008000"/>
                <w:sz w:val="17"/>
              </w:rPr>
              <w:t>+3.0%</w:t>
            </w:r>
          </w:p>
        </w:tc>
      </w:tr>
      <w:tr>
        <w:tc>
          <w:tcPr>
            <w:tcW w:type="dxa" w:w="1440"/>
            <w:shd w:fill="C6EFCE" w:val="clear"/>
          </w:tcPr>
          <w:p>
            <w:r>
              <w:rPr>
                <w:sz w:val="17"/>
              </w:rPr>
              <w:t>J+9  Moyenne</w:t>
            </w:r>
          </w:p>
        </w:tc>
        <w:tc>
          <w:tcPr>
            <w:tcW w:type="dxa" w:w="1440"/>
            <w:shd w:fill="C6EFCE" w:val="clear"/>
          </w:tcPr>
          <w:p>
            <w:r>
              <w:rPr>
                <w:sz w:val="17"/>
              </w:rPr>
              <w:t>2026-09-30</w:t>
            </w:r>
          </w:p>
        </w:tc>
        <w:tc>
          <w:tcPr>
            <w:tcW w:type="dxa" w:w="1440"/>
            <w:shd w:fill="C6EFCE" w:val="clear"/>
          </w:tcPr>
          <w:p>
            <w:r>
              <w:rPr>
                <w:sz w:val="17"/>
              </w:rPr>
              <w:t>6,445</w:t>
            </w:r>
          </w:p>
        </w:tc>
        <w:tc>
          <w:tcPr>
            <w:tcW w:type="dxa" w:w="1440"/>
            <w:shd w:fill="C6EFCE" w:val="clear"/>
          </w:tcPr>
          <w:p>
            <w:r>
              <w:rPr>
                <w:b/>
                <w:sz w:val="17"/>
              </w:rPr>
              <w:t>7,126</w:t>
            </w:r>
          </w:p>
        </w:tc>
        <w:tc>
          <w:tcPr>
            <w:tcW w:type="dxa" w:w="1440"/>
            <w:shd w:fill="C6EFCE" w:val="clear"/>
          </w:tcPr>
          <w:p>
            <w:r>
              <w:rPr>
                <w:sz w:val="17"/>
              </w:rPr>
              <w:t>7,808</w:t>
            </w:r>
          </w:p>
        </w:tc>
        <w:tc>
          <w:tcPr>
            <w:tcW w:type="dxa" w:w="1440"/>
            <w:shd w:fill="C6EFCE" w:val="clear"/>
          </w:tcPr>
          <w:p>
            <w:r>
              <w:rPr>
                <w:b/>
                <w:color w:val="008000"/>
                <w:sz w:val="17"/>
              </w:rPr>
              <w:t>+3.3%</w:t>
            </w:r>
          </w:p>
        </w:tc>
      </w:tr>
      <w:tr>
        <w:tc>
          <w:tcPr>
            <w:tcW w:type="dxa" w:w="1440"/>
            <w:shd w:fill="C6EFCE" w:val="clear"/>
          </w:tcPr>
          <w:p>
            <w:r>
              <w:rPr>
                <w:sz w:val="17"/>
              </w:rPr>
              <w:t>J+10  Moyenne</w:t>
            </w:r>
          </w:p>
        </w:tc>
        <w:tc>
          <w:tcPr>
            <w:tcW w:type="dxa" w:w="1440"/>
            <w:shd w:fill="C6EFCE" w:val="clear"/>
          </w:tcPr>
          <w:p>
            <w:r>
              <w:rPr>
                <w:sz w:val="17"/>
              </w:rPr>
              <w:t>2026-10-01</w:t>
            </w:r>
          </w:p>
        </w:tc>
        <w:tc>
          <w:tcPr>
            <w:tcW w:type="dxa" w:w="1440"/>
            <w:shd w:fill="C6EFCE" w:val="clear"/>
          </w:tcPr>
          <w:p>
            <w:r>
              <w:rPr>
                <w:sz w:val="17"/>
              </w:rPr>
              <w:t>6,425</w:t>
            </w:r>
          </w:p>
        </w:tc>
        <w:tc>
          <w:tcPr>
            <w:tcW w:type="dxa" w:w="1440"/>
            <w:shd w:fill="C6EFCE" w:val="clear"/>
          </w:tcPr>
          <w:p>
            <w:r>
              <w:rPr>
                <w:b/>
                <w:sz w:val="17"/>
              </w:rPr>
              <w:t>7,145</w:t>
            </w:r>
          </w:p>
        </w:tc>
        <w:tc>
          <w:tcPr>
            <w:tcW w:type="dxa" w:w="1440"/>
            <w:shd w:fill="C6EFCE" w:val="clear"/>
          </w:tcPr>
          <w:p>
            <w:r>
              <w:rPr>
                <w:sz w:val="17"/>
              </w:rPr>
              <w:t>7,865</w:t>
            </w:r>
          </w:p>
        </w:tc>
        <w:tc>
          <w:tcPr>
            <w:tcW w:type="dxa" w:w="1440"/>
            <w:shd w:fill="C6EFCE" w:val="clear"/>
          </w:tcPr>
          <w:p>
            <w:r>
              <w:rPr>
                <w:b/>
                <w:color w:val="008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189,41 milliards FCFA, BOA Mali s'impose comme une valeur de premier plan du compartiment bancaire de la BRVM, se positionnant parmi les titres les plus liquides et les plus capitalisés de la cote. Le BPA de 404 FCFA par action signifie que chaque titre détenu génère près de 404 FCFA de bénéfice net, ce qui, rapporté au cours actuel de 6 900 FCFA, donne un PER de 17,1x — nettement supérieur à la moyenne du marché BRVM (8-12x), traduisant une prime de qualité et de croissance consentie par les investisseurs. Le P/B de 3,80x confirme cette appréciation, le marché valorisant la banque à près de quatre fois sa valeur comptable, ce qui est cohérent avec un ROE élevé de 22,24% mais laisse peu de marge de sécurité en cas de déception. L'EV/EBITDA de 9,3x, dans la fourchette raisonnable de 5-10x, indique que la valeur d'entreprise reste proportionnée à la capacité opérationnelle de génération de résultats. Globalement, la valorisation n'est ni une anomalie ni une opportunité : elle reflète une banque rentable et bien gérée, mais à un prix qui intègre déjà une bonne partie de ses mérites.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 enregistré une progression spectaculaire de +47,28%, passant d'un plus bas de 4 425 FCFA à un plus haut de 7 195 FCFA, avant de se stabiliser à 6 900 FCFA, avec une légère correction de -1,36% lors de la dernière séance. Cette tendance nettement haussière traduit un engouement marqué des investisseurs pour le titre, soutenu par des fondamentaux en amélioration continue et un contexte de résultats semestriels très favorables. La moyenne du cours sur la période s'établit à 5 447 FCFA, supérieure à la médiane de 5 275 FCFA, ce qui confirme une asymétrie positive : le titre a passé plus de temps dans la partie basse de sa fourchette avant de s'envoler en fin de période. L'écart-type de 802 FCFA (CV = 14,7%) indique une dispersion modérée du cours autour de sa moyenne, tandis que le kurtosis de -0,845 (mésokurtique) suggère une distribution proche de la normale, sans pics extrêmes excessifs. Le skewness de +0,612 confirme cette asymétrie positive, avec davantage de journées sous la moyenne mais des mouvements haussiers amples. La volatilité annualisée de 34,4% classe le titre dans la catégorie des valeurs à volatilité élevée (&gt;30%), ce qui est typique des petites et moyennes capitalisations bancaires de la BRVM et implique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6 727,75 FCFA et la MM50 à 6 128,60 FCFA, toutes deux inférieures au cours actuel de 6 900 FCFA, ce qui confirme une configuration haussière avec le prix au-dessus de ses moyennes. L'écart positif entre la MM20 et la MM50 (environ 600 FCFA) traduit un momentum haussier soutenu, justifiant la décision technique d'**Achat**.</w:t>
      </w:r>
    </w:p>
    <w:p>
      <w:pPr>
        <w:spacing w:after="120" w:line="276" w:lineRule="auto"/>
      </w:pPr>
      <w:r>
        <w:t>**Bandes de Bollinger :** Le cours de 6 900 FCFA se situe dans la partie haute de la bande, entre la borne inférieure de 6 157,50 FCFA et la borne supérieure de 7 298 FCFA, sans franchir cette dernière. Cette position proche de la borne haute, sans excès, indique une volatilité contenue et une décision **Neutre** : le titre n'est ni suracheté ni survendu, mais évolue dans un canal haussier maîtrisé.</w:t>
      </w:r>
    </w:p>
    <w:p>
      <w:pPr>
        <w:spacing w:after="120" w:line="276" w:lineRule="auto"/>
      </w:pPr>
      <w:r>
        <w:t>**MACD :** La valeur du MACD (281,688) est légèrement inférieure à son signal (293,175), générant une divergence baissière marginale qui justifie la décision de **Vente**. Ce signal, bien que faible, suggère un essoufflement du momentum haussier à court terme et invite à la prudence sur les points d'entrée.</w:t>
      </w:r>
    </w:p>
    <w:p>
      <w:pPr>
        <w:spacing w:after="120" w:line="276" w:lineRule="auto"/>
      </w:pPr>
      <w:r>
        <w:t>**RSI :** À 66,805, le RSI se situe en zone neutre haute, proche du seuil de surachat (70) sans l'atteindre. La décision est **Neutre** : le titre conserve un potentiel haussier mais approche d'une zone où la prudence devient nécessaire.</w:t>
      </w:r>
    </w:p>
    <w:p>
      <w:pPr>
        <w:spacing w:after="120" w:line="276" w:lineRule="auto"/>
      </w:pPr>
      <w:r>
        <w:t>**Stochastique :** Le %K (62,893) est inférieur au %D (71,069), configuration baissière indiquant que le momentum court terme faiblit. La décision **Neutre** reflète cette absence de signal directionnel fort, avec un risque de consolidation à court terme.</w:t>
      </w:r>
    </w:p>
    <w:p>
      <w:pPr>
        <w:spacing w:after="120" w:line="276" w:lineRule="auto"/>
      </w:pPr>
      <w:r>
        <w:t>**Conclusion technique :** Les indicateurs techniques présentent un tableau mitigé : les moyennes mobiles confirment la tendance haussière de fond, mais le MACD et le stochastique signalent un essoufflement du momentum à court terme. Le RSI et les bandes de Bollinger plaident pour une pause dans la progression. La convergence des signaux suggère une consolidation probable avant une reprise éventuelle, avec un support technique majeur à 6 727 FCFA (MM20) et une résistance à 7 298 FCFA (borne supérieure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structurés de l'exercice 2025 (base brvm_donnees_financieres) révèlent une banque solide et rentable : le Produit Net Bancaire (PNB) s'établit à 37,996 milliards FCFA, le résultat net à 11,081 milliards FCFA, avec un ROE remarquable de 22,24% (largement supérieur au seuil d'excellence de 15%) et un ROA de 1,87%. Le coefficient d'exploitation de 63,14% reste toutefois supérieur au seuil de 60% qui caractérise une banque efficace, indiquant une marge de progression sur la maîtrise des charges. Le coût du risque rapporté aux charges financières s'élève à 43,39%, un niveau élevé qui traduit un risque de crédit significatif, bien que les rapports trimestriels récents montrent une amélioration notable. La structure bilancielle affiche des dépôts clientèle de 502,890 milliards FCFA pour des créances clientèle de 253,648 milliards FCFA, soit un ratio de transformation (crédits/dépôts) de 50,4%, relativement prudent, tandis que l'autonomie financière de 8,40% (capitaux propres/total bilan) est faible mais typique du modèle bancaire. Les rapports narratifs confirment cette dynamique : selon le rapport T1 2026 (publié le 31/03/2026), le PNB a bondi de +22,97% à 10 322 millions FCFA, tandis que le rapport T3 2025 (30/09/2025) faisait état d'un PNB cumulé de 28,52 milliards FCFA (+5,8%) et d'un résultat net de 9,16 milliards FCFA (+26,2%). Sur la base de ces tendances, on estime que l'exercice 2026 devrait afficher une accélération de la croissance du PNB (entre +10% et +15%) et une poursuite de l'amélioration de la rentabilité, portée par la digitalisation et la maîtrise du coût du risque. La principale faiblesse réside dans la dépendance à l'économie malienne, exposée aux risques sécuritaires et inflationnistes, mais la banque démontre une résilience remarquable avec une progression constante de ses résultats depuis 2022 (résultat net de 2,46 milliards FCFA en 2022 à 11,08 milliards FCFA en 2025, soit une multiplication par 4,5 en trois ans).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17,1x et P/B de 3,80x intègrent déjà une prime de qualité, limitant le potentiel de revalorisation à court terme malgré des fondamentaux solides. Le comportement du cours (Partie 1) est nettement haussier (+47,28% sur 100 jours) mais la volatilité élevée (34,4%) et l'asymétrie positive (skewness +0,612) suggèrent que le titre a peut-être atteint une zone de résistance psychologique. Les signaux techniques (Partie 2) sont mitigés : les moyennes mobiles confirment la tendance haussière, mais le MACD et le stochastique signalent un essoufflement, plaidant pour une consolidation. Les fondamentaux (Partie 3) sont excellents : ROE de 22,24%, résultat net en croissance de +26,2% au T3 2025, et des perspectives 2026 estimées à +10-15% de croissance du PNB, bien que le coefficient d'exploitation (63,14%) et le coût du risque (43,39%) restent perfectibles. Les prédictions IA (J+1 à J+10) anticipent une légère reprise vers 7 035 FCFA d'ici le 24 septembre 2026, ce qui confirme la tendance haussière de fond mais avec une progression modérée (+2% sur 10 jours). **Recommandation finale : CONSERVER**, avec un niveau de confiance **Moyen** et un risque global **Moyen**. La convergence entre fondamentaux solides, tendance haussière et prédictions positives justifie une position d'attente, mais la valorisation tendue et les signaux techniques mitigés incitent à ne pas renforcer à ces niveaux. L'horizon d'investissement optimal est le **moyen terme (3-12 mois)**, en surveillant les prochains résultats trimestriels (T3 2026) et l'évolution du coût du risque comme principaux catalyseurs. Un repli vers 6 500-6 700 FCFA constituerait une opportunité d'achat, tandis qu'une cassure sous 6 128 FCFA (MM50) signalerait une dégradation de la tendance.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8,821 titres</w:t>
            </w:r>
          </w:p>
        </w:tc>
        <w:tc>
          <w:tcPr>
            <w:tcW w:type="dxa" w:w="2268"/>
            <w:shd w:fill="FFF2CC" w:val="clear"/>
          </w:tcPr>
          <w:p>
            <w:r>
              <w:rPr>
                <w:b/>
                <w:color w:val="503200"/>
                <w:sz w:val="16"/>
              </w:rPr>
              <w:t xml:space="preserve">Cours actuel : </w:t>
            </w:r>
            <w:r>
              <w:rPr>
                <w:color w:val="000000"/>
                <w:sz w:val="17"/>
              </w:rPr>
              <w:t>5,350 FCFA</w:t>
            </w:r>
          </w:p>
          <w:p>
            <w:r>
              <w:rPr>
                <w:b/>
                <w:color w:val="503200"/>
                <w:sz w:val="16"/>
              </w:rPr>
              <w:t xml:space="preserve">Var. 100 jours : </w:t>
            </w:r>
            <w:r>
              <w:rPr>
                <w:b/>
                <w:color w:val="007800"/>
                <w:sz w:val="17"/>
              </w:rPr>
              <w:t>+42.29%</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17.54% (Élevée) — μ=4,497 FCFA, σ=789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β=0.6557 (Défensif) — Cov=0.000023, Var(idx)=0.000035, ρ=0.174,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5,214</w:t>
            </w:r>
          </w:p>
        </w:tc>
        <w:tc>
          <w:tcPr>
            <w:tcW w:type="dxa" w:w="1440"/>
            <w:shd w:fill="FAFAFA" w:val="clear"/>
          </w:tcPr>
          <w:p>
            <w:r>
              <w:rPr>
                <w:b/>
                <w:sz w:val="17"/>
              </w:rPr>
              <w:t>5,351</w:t>
            </w:r>
          </w:p>
        </w:tc>
        <w:tc>
          <w:tcPr>
            <w:tcW w:type="dxa" w:w="1440"/>
            <w:shd w:fill="FAFAFA" w:val="clear"/>
          </w:tcPr>
          <w:p>
            <w:r>
              <w:rPr>
                <w:sz w:val="17"/>
              </w:rPr>
              <w:t>5,488</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5,150</w:t>
            </w:r>
          </w:p>
        </w:tc>
        <w:tc>
          <w:tcPr>
            <w:tcW w:type="dxa" w:w="1440"/>
            <w:shd w:fill="FAFAFA" w:val="clear"/>
          </w:tcPr>
          <w:p>
            <w:r>
              <w:rPr>
                <w:b/>
                <w:sz w:val="17"/>
              </w:rPr>
              <w:t>5,344</w:t>
            </w:r>
          </w:p>
        </w:tc>
        <w:tc>
          <w:tcPr>
            <w:tcW w:type="dxa" w:w="1440"/>
            <w:shd w:fill="FAFAFA" w:val="clear"/>
          </w:tcPr>
          <w:p>
            <w:r>
              <w:rPr>
                <w:sz w:val="17"/>
              </w:rPr>
              <w:t>5,538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5,103</w:t>
            </w:r>
          </w:p>
        </w:tc>
        <w:tc>
          <w:tcPr>
            <w:tcW w:type="dxa" w:w="1440"/>
            <w:shd w:fill="FAFAFA" w:val="clear"/>
          </w:tcPr>
          <w:p>
            <w:r>
              <w:rPr>
                <w:b/>
                <w:sz w:val="17"/>
              </w:rPr>
              <w:t>5,341</w:t>
            </w:r>
          </w:p>
        </w:tc>
        <w:tc>
          <w:tcPr>
            <w:tcW w:type="dxa" w:w="1440"/>
            <w:shd w:fill="FAFAFA" w:val="clear"/>
          </w:tcPr>
          <w:p>
            <w:r>
              <w:rPr>
                <w:sz w:val="17"/>
              </w:rPr>
              <w:t>5,579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5,064</w:t>
            </w:r>
          </w:p>
        </w:tc>
        <w:tc>
          <w:tcPr>
            <w:tcW w:type="dxa" w:w="1440"/>
            <w:shd w:fill="FAFAFA" w:val="clear"/>
          </w:tcPr>
          <w:p>
            <w:r>
              <w:rPr>
                <w:b/>
                <w:sz w:val="17"/>
              </w:rPr>
              <w:t>5,338</w:t>
            </w:r>
          </w:p>
        </w:tc>
        <w:tc>
          <w:tcPr>
            <w:tcW w:type="dxa" w:w="1440"/>
            <w:shd w:fill="FAFAFA" w:val="clear"/>
          </w:tcPr>
          <w:p>
            <w:r>
              <w:rPr>
                <w:sz w:val="17"/>
              </w:rPr>
              <w:t>5,613</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5,029</w:t>
            </w:r>
          </w:p>
        </w:tc>
        <w:tc>
          <w:tcPr>
            <w:tcW w:type="dxa" w:w="1440"/>
            <w:shd w:fill="FAFAFA" w:val="clear"/>
          </w:tcPr>
          <w:p>
            <w:r>
              <w:rPr>
                <w:b/>
                <w:sz w:val="17"/>
              </w:rPr>
              <w:t>5,336</w:t>
            </w:r>
          </w:p>
        </w:tc>
        <w:tc>
          <w:tcPr>
            <w:tcW w:type="dxa" w:w="1440"/>
            <w:shd w:fill="FAFAFA" w:val="clear"/>
          </w:tcPr>
          <w:p>
            <w:r>
              <w:rPr>
                <w:sz w:val="17"/>
              </w:rPr>
              <w:t>5,642</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4,997</w:t>
            </w:r>
          </w:p>
        </w:tc>
        <w:tc>
          <w:tcPr>
            <w:tcW w:type="dxa" w:w="1440"/>
            <w:shd w:fill="FAFAFA" w:val="clear"/>
          </w:tcPr>
          <w:p>
            <w:r>
              <w:rPr>
                <w:b/>
                <w:sz w:val="17"/>
              </w:rPr>
              <w:t>5,333</w:t>
            </w:r>
          </w:p>
        </w:tc>
        <w:tc>
          <w:tcPr>
            <w:tcW w:type="dxa" w:w="1440"/>
            <w:shd w:fill="FAFAFA" w:val="clear"/>
          </w:tcPr>
          <w:p>
            <w:r>
              <w:rPr>
                <w:sz w:val="17"/>
              </w:rPr>
              <w:t>5,668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4,968</w:t>
            </w:r>
          </w:p>
        </w:tc>
        <w:tc>
          <w:tcPr>
            <w:tcW w:type="dxa" w:w="1440"/>
            <w:shd w:fill="FAFAFA" w:val="clear"/>
          </w:tcPr>
          <w:p>
            <w:r>
              <w:rPr>
                <w:b/>
                <w:sz w:val="17"/>
              </w:rPr>
              <w:t>5,330</w:t>
            </w:r>
          </w:p>
        </w:tc>
        <w:tc>
          <w:tcPr>
            <w:tcW w:type="dxa" w:w="1440"/>
            <w:shd w:fill="FAFAFA" w:val="clear"/>
          </w:tcPr>
          <w:p>
            <w:r>
              <w:rPr>
                <w:sz w:val="17"/>
              </w:rPr>
              <w:t>5,692</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4,940</w:t>
            </w:r>
          </w:p>
        </w:tc>
        <w:tc>
          <w:tcPr>
            <w:tcW w:type="dxa" w:w="1440"/>
            <w:shd w:fill="FAFAFA" w:val="clear"/>
          </w:tcPr>
          <w:p>
            <w:r>
              <w:rPr>
                <w:b/>
                <w:sz w:val="17"/>
              </w:rPr>
              <w:t>5,327</w:t>
            </w:r>
          </w:p>
        </w:tc>
        <w:tc>
          <w:tcPr>
            <w:tcW w:type="dxa" w:w="1440"/>
            <w:shd w:fill="FAFAFA" w:val="clear"/>
          </w:tcPr>
          <w:p>
            <w:r>
              <w:rPr>
                <w:sz w:val="17"/>
              </w:rPr>
              <w:t>5,715</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4,914</w:t>
            </w:r>
          </w:p>
        </w:tc>
        <w:tc>
          <w:tcPr>
            <w:tcW w:type="dxa" w:w="1440"/>
            <w:shd w:fill="FAFAFA" w:val="clear"/>
          </w:tcPr>
          <w:p>
            <w:r>
              <w:rPr>
                <w:b/>
                <w:sz w:val="17"/>
              </w:rPr>
              <w:t>5,325</w:t>
            </w:r>
          </w:p>
        </w:tc>
        <w:tc>
          <w:tcPr>
            <w:tcW w:type="dxa" w:w="1440"/>
            <w:shd w:fill="FAFAFA" w:val="clear"/>
          </w:tcPr>
          <w:p>
            <w:r>
              <w:rPr>
                <w:sz w:val="17"/>
              </w:rPr>
              <w:t>5,735</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4,890</w:t>
            </w:r>
          </w:p>
        </w:tc>
        <w:tc>
          <w:tcPr>
            <w:tcW w:type="dxa" w:w="1440"/>
            <w:shd w:fill="FAFAFA" w:val="clear"/>
          </w:tcPr>
          <w:p>
            <w:r>
              <w:rPr>
                <w:b/>
                <w:sz w:val="17"/>
              </w:rPr>
              <w:t>5,322</w:t>
            </w:r>
          </w:p>
        </w:tc>
        <w:tc>
          <w:tcPr>
            <w:tcW w:type="dxa" w:w="1440"/>
            <w:shd w:fill="FAFAFA" w:val="clear"/>
          </w:tcPr>
          <w:p>
            <w:r>
              <w:rPr>
                <w:sz w:val="17"/>
              </w:rPr>
              <w:t>5,755</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111,28 milliards FCFA, BOAN se situe dans la fourchette intermédiaire-haute des valeurs bancaires cotées à la BRVM, ce qui traduit une certaine reconnaissance du marché malgré les difficultés opérationnelles récentes. Le BPA ressort à seulement 20 FCFA par action, un niveau très faible qui, rapporté au cours actuel de 5 350 FCFA, génère un PER de 272,1x — un multiple absolument prohibitif comparé à la moyenne BRVM (8-12x), signe que le marché valorise davantage les perspectives de redressement que les bénéfices présents. Le P/B de 3,09x indique que le titre se négocie à une prime significative sur sa valeur comptable (2-4x = prime de croissance accordée), ce qui n'est justifiable que si la rentabilité future se redresse fortement. Enfin, l'EV/EBITDA de 40,5x (largement supérieur au seuil de 15x) confirme que la valeur d'entreprise intègre une anticipation de reprise très optimiste, rendant le titre vulnérable à toute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BOAN a enregistré une progression spectaculaire de +42,29%, clôturant à 5 350 FCFA après une quasi-stabilité en dernière séance (-0,09%). Le range de trading est particulièrement large, avec un plus haut à 5 645 FCFA et un plus bas à 3 395 FCFA, soit un écart de plus de 66% entre les extrêmes — révélateur d'une forte volatilité directionnelle. La tendance générale est clairement haussière, portée par les anticipations de redressement post-sanctions et les résultats encourageants du T1 2026. Les statistiques descriptives révèlent une moyenne (4 497 FCFA) supérieure à la médiane (4 295 FCFA), signe d'une légère asymétrie positive tirée par les pics récents ; le mode à 3 700 FCFA rappelle le point d'ancrage du titre avant son envolée. L'écart-type de 793 FCFA (CV = 17,6%) traduit une dispersion modérée, tandis que le kurtosis négatif (-1,741, distribution platykurtique) indique une faible concentration des rendements et un risque de pics extrêmes limité. Le skewness quasi nul (-0,000) confirme une distribution symétrique, sans biais directionnel marqué. La volatilité annualisée de 35,2% classe le titre en catégorie **élevée** (&gt;30%), ce qui est cohérent avec un profil de valeur en phase de retournement.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(5 436,25 FCFA) et la MM50 (5 245,3 FCFA) se situent toutes deux sous le cours actuel (5 350 FCFA), avec la MM20 au-dessus de la MM50 — configuration haussière classique (golden cross). La décision technique est à l'**Achat**, le cours évoluant au-dessus de ses supports mobiles, ce qui confirme la dynamique positive de moyen terme.</w:t>
      </w:r>
    </w:p>
    <w:p>
      <w:pPr>
        <w:spacing w:after="120" w:line="276" w:lineRule="auto"/>
      </w:pPr>
      <w:r>
        <w:t>**Bandes de Bollinger** : Le cours (5 350 FCFA) se situe dans la partie médiane-haute de la bande (borne supérieure 5 640,26 FCFA, borne inférieure 5 232,24 FCFA), sans contact avec les extrêmes. La décision est **Neutre**, traduisant une absence de signal de surachat ou de survente immédiat, avec une volatilité contenue dans le canal.</w:t>
      </w:r>
    </w:p>
    <w:p>
      <w:pPr>
        <w:spacing w:after="120" w:line="276" w:lineRule="auto"/>
      </w:pPr>
      <w:r>
        <w:t>**MACD** : La valeur du MACD (72,182) est inférieure à son signal (104,544), générant une divergence baissière et une décision de **Vente**. Ce croisement négatif indique un essoufflement du momentum haussier à court terme, bien que les deux lignes restent en territoire positif.</w:t>
      </w:r>
    </w:p>
    <w:p>
      <w:pPr>
        <w:spacing w:after="120" w:line="276" w:lineRule="auto"/>
      </w:pPr>
      <w:r>
        <w:t>**RSI** : À 37,5, le RSI se situe dans la zone neutre basse (30-70), sans atteindre la survente (&lt;30). La décision est **Neutre**, suggérant que le titre n'est ni suracheté ni survendu, mais penche légèrement vers une pression vendeuse modérée.</w:t>
      </w:r>
    </w:p>
    <w:p>
      <w:pPr>
        <w:spacing w:after="120" w:line="276" w:lineRule="auto"/>
      </w:pPr>
      <w:r>
        <w:t>**Stochastique** : Les valeurs %K et %D sont toutes deux à 0,0, signalant une situation de survente extrême. La décision est à l'**Achat**, ce qui contredit partiellement le MACD et suggère un possible rebond technique à court terme.</w:t>
      </w:r>
    </w:p>
    <w:p>
      <w:pPr>
        <w:spacing w:after="120" w:line="276" w:lineRule="auto"/>
      </w:pPr>
      <w:r>
        <w:t>**Conclusion technique** : Les indicateurs sont divergents — les moyennes mobiles et le stochastique plaident pour un achat, tandis que le MACD et le RSI incitent à la prudence. Cette configuration mixte reflète un titre en consolidation après une forte hausse, avec un potentiel de rebond technique mais un momentum affaibli. La prudence est de mise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BOAN a réalisé un Produit Net Bancaire (PNB) de 21 125 millions FCFA, en léger recul de -1,2% sur un an, et un résultat net de seulement 409 millions FCFA, en effondrement de -91,8% par rapport à 2024 (5 002 millions FCFA). Le ROE s'établit à 1,13% et le ROA à 0,14%, des niveaux catastrophiques qui traduisent une rentabilité quasi nulle. Le coefficient d'exploitation de 74,37% est très supérieur au seuil de 60% (banque inefficace), et le coût du risque rapporté aux charges financières atteint 67,30%, signalant un portefeuille de crédits très dégradé. La structure financière reste fragile avec une autonomie financière de 12,36% (très en dessous du seuil sain de 30%) et un ratio d'endettement de 178,61%. Les dépôts clientèle (183,28 milliards FCFA) couvrent les créances clientèle (128,45 milliards FCFA), mais la trésorerie nette est négative à -43,52 milliards FCFA.</w:t>
      </w:r>
    </w:p>
    <w:p>
      <w:pPr>
        <w:spacing w:after="120" w:line="276" w:lineRule="auto"/>
      </w:pPr>
      <w:r>
        <w:t>**Estimations basées sur les rapports trimestriels** : Le rapport du T1 2026 (publié le 31 mars 2026) révèle un net redressement avec un PNB en hausse de +7,9% à 5 170 millions FCFA, un résultat net en progression de +28,9% à 1 467,3 millions FCFA, et un coefficient d'exploitation ramené à 56,2% (contre 66,8% un an plus tôt). Le rapport du S2 2025 (publié le 31 décembre 2025) confirme la stratégie de réduction sélective des risques (crédits -20,9%) et la croissance des dépôts (+4%). Sur la base de ces tendances, on estime que l'exercice 2026 pourrait afficher un PNB autour de 22 300 millions FCFA (+6,4%) et un résultat net en forte reprise, potentiellement entre 4 et 6 milliards FCFA si le coût du risque se normalise.</w:t>
      </w:r>
    </w:p>
    <w:p>
      <w:pPr>
        <w:spacing w:after="120" w:line="276" w:lineRule="auto"/>
      </w:pPr>
      <w:r>
        <w:t>**Recommandation fondamentale** : La situation 2025 est très dégradée, mais les premiers signes de redressement au T1 2026 sont encourageants. Le soutien du groupe BOA et le plan stratégique 2025-2027 (digitalisation, qualité du portefeuille, efficacité opérationnelle) constituent des atouts. Cependant, les risques persistent : instabilité politique au Niger, taux de créances en souffrance sectoriel de 24%, et absence de dividende depuis 3 ans. La recommandation fondamentale est **CONSERVER sous surveillance rapprochée**, en attendant confirmation du redressement sur au moins deux trimestres supplémentaires.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extrêmement tendue avec un PER de 272,1x et un EV/EBITDA de 40,5x, ce qui intègre déjà une reprise très optimiste et rend le titre vulnérable à toute déception. Le comportement du cours (Partie 1) est haussier (+42,29% sur 100 jours) mais avec une volatilité élevée (35,2%) et une distribution platykurtique (kurtosis -1,741) qui limite les pics extrêmes, tandis que le skewness nul indique une absence de biais directionnel clair. Les signaux techniques (Partie 2) sont divergents : les moyennes mobiles et le stochastique sont haussiers, mais le MACD et le RSI incitent à la prudence, reflétant une consolidation après la forte hausse. Les fondamentaux (Partie 3) montrent une année 2025 catastrophique (ROE 1,13%, résultat net -91,8%) mais un redressement prometteur au T1 2026 (résultat net +28,9%, coefficient d'exploitation à 56,2%). Les prédictions IA (J+1 à J+10) anticipent une légère correction vers 5 336-5 351 FCFA, confirmant la phase de consolidation technique.</w:t>
      </w:r>
    </w:p>
    <w:p>
      <w:pPr>
        <w:spacing w:after="120" w:line="276" w:lineRule="auto"/>
      </w:pPr>
      <w:r>
        <w:t>**Recommandation finale : CONSERVER** — Les signaux sont divergents : la valorisation est excessive, les fondamentaux 2025 sont très faibles, mais le redressement du T1 2026 et le soutien du groupe BOA justifient une position attentiste. La convergence entre la correction technique anticipée par l'IA et la prudence du MACD/RSI suggère d'éviter un achat agressif à court terme. Le niveau de confiance est **Moyen** (redressement à confirmer), et le risque global est **Élevé** (instabilité politique, qualité du portefeuille, valorisation tendue). L'horizon d'investissement optimal est le **moyen terme (3-12 mois)**, en surveillant la confirmation du redressement sur les prochains trimestres et l'évolution du coût du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294.84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10,608 titres</w:t>
            </w:r>
          </w:p>
        </w:tc>
        <w:tc>
          <w:tcPr>
            <w:tcW w:type="dxa" w:w="2268"/>
            <w:shd w:fill="FFF2CC" w:val="clear"/>
          </w:tcPr>
          <w:p>
            <w:r>
              <w:rPr>
                <w:b/>
                <w:color w:val="503200"/>
                <w:sz w:val="16"/>
              </w:rPr>
              <w:t xml:space="preserve">Cours actuel : </w:t>
            </w:r>
            <w:r>
              <w:rPr>
                <w:color w:val="000000"/>
                <w:sz w:val="17"/>
              </w:rPr>
              <w:t>8,190 FCFA</w:t>
            </w:r>
          </w:p>
          <w:p>
            <w:r>
              <w:rPr>
                <w:b/>
                <w:color w:val="503200"/>
                <w:sz w:val="16"/>
              </w:rPr>
              <w:t xml:space="preserve">Var. 100 jours : </w:t>
            </w:r>
            <w:r>
              <w:rPr>
                <w:b/>
                <w:color w:val="007800"/>
                <w:sz w:val="17"/>
              </w:rPr>
              <w:t>+20.44%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6,800 FCFA</w:t>
            </w:r>
          </w:p>
          <w:p>
            <w:r>
              <w:rPr>
                <w:b/>
                <w:color w:val="503200"/>
                <w:sz w:val="16"/>
              </w:rPr>
              <w:t xml:space="preserve">Volatilité ann. : </w:t>
            </w:r>
            <w:r>
              <w:rPr>
                <w:color w:val="000000"/>
                <w:sz w:val="17"/>
              </w:rPr>
              <w:t>24.8%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5.27% (Moyenne) — μ=7,633 FCFA, σ=402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β=0.2577 (Défensif) — Cov=0.000009, Var(idx)=0.000035, ρ=0.097,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10,608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7,957</w:t>
            </w:r>
          </w:p>
        </w:tc>
        <w:tc>
          <w:tcPr>
            <w:tcW w:type="dxa" w:w="1440"/>
            <w:shd w:fill="FAFAFA" w:val="clear"/>
          </w:tcPr>
          <w:p>
            <w:r>
              <w:rPr>
                <w:b/>
                <w:sz w:val="17"/>
              </w:rPr>
              <w:t>8,153</w:t>
            </w:r>
          </w:p>
        </w:tc>
        <w:tc>
          <w:tcPr>
            <w:tcW w:type="dxa" w:w="1440"/>
            <w:shd w:fill="FAFAFA" w:val="clear"/>
          </w:tcPr>
          <w:p>
            <w:r>
              <w:rPr>
                <w:sz w:val="17"/>
              </w:rPr>
              <w:t>8,349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7,840</w:t>
            </w:r>
          </w:p>
        </w:tc>
        <w:tc>
          <w:tcPr>
            <w:tcW w:type="dxa" w:w="1440"/>
            <w:shd w:fill="FAFAFA" w:val="clear"/>
          </w:tcPr>
          <w:p>
            <w:r>
              <w:rPr>
                <w:b/>
                <w:sz w:val="17"/>
              </w:rPr>
              <w:t>8,116</w:t>
            </w:r>
          </w:p>
        </w:tc>
        <w:tc>
          <w:tcPr>
            <w:tcW w:type="dxa" w:w="1440"/>
            <w:shd w:fill="FAFAFA" w:val="clear"/>
          </w:tcPr>
          <w:p>
            <w:r>
              <w:rPr>
                <w:sz w:val="17"/>
              </w:rPr>
              <w:t>8,392</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7,745</w:t>
            </w:r>
          </w:p>
        </w:tc>
        <w:tc>
          <w:tcPr>
            <w:tcW w:type="dxa" w:w="1440"/>
            <w:shd w:fill="FAFAFA" w:val="clear"/>
          </w:tcPr>
          <w:p>
            <w:r>
              <w:rPr>
                <w:b/>
                <w:sz w:val="17"/>
              </w:rPr>
              <w:t>8,081</w:t>
            </w:r>
          </w:p>
        </w:tc>
        <w:tc>
          <w:tcPr>
            <w:tcW w:type="dxa" w:w="1440"/>
            <w:shd w:fill="FAFAFA" w:val="clear"/>
          </w:tcPr>
          <w:p>
            <w:r>
              <w:rPr>
                <w:sz w:val="17"/>
              </w:rPr>
              <w:t>8,417</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7,661</w:t>
            </w:r>
          </w:p>
        </w:tc>
        <w:tc>
          <w:tcPr>
            <w:tcW w:type="dxa" w:w="1440"/>
            <w:shd w:fill="FAFAFA" w:val="clear"/>
          </w:tcPr>
          <w:p>
            <w:r>
              <w:rPr>
                <w:b/>
                <w:sz w:val="17"/>
              </w:rPr>
              <w:t>8,048</w:t>
            </w:r>
          </w:p>
        </w:tc>
        <w:tc>
          <w:tcPr>
            <w:tcW w:type="dxa" w:w="1440"/>
            <w:shd w:fill="FAFAFA" w:val="clear"/>
          </w:tcPr>
          <w:p>
            <w:r>
              <w:rPr>
                <w:sz w:val="17"/>
              </w:rPr>
              <w:t>8,435</w:t>
            </w:r>
          </w:p>
        </w:tc>
        <w:tc>
          <w:tcPr>
            <w:tcW w:type="dxa" w:w="1440"/>
            <w:shd w:fill="FAFAFA" w:val="clear"/>
          </w:tcPr>
          <w:p>
            <w:r>
              <w:rPr>
                <w:b/>
                <w:color w:val="C00000"/>
                <w:sz w:val="17"/>
              </w:rPr>
              <w:t>-1.7%</w:t>
            </w:r>
          </w:p>
        </w:tc>
      </w:tr>
      <w:tr>
        <w:tc>
          <w:tcPr>
            <w:tcW w:type="dxa" w:w="1440"/>
            <w:shd w:fill="FFDCE0" w:val="clear"/>
          </w:tcPr>
          <w:p>
            <w:r>
              <w:rPr>
                <w:sz w:val="17"/>
              </w:rPr>
              <w:t>J+5  Moyenne</w:t>
            </w:r>
          </w:p>
        </w:tc>
        <w:tc>
          <w:tcPr>
            <w:tcW w:type="dxa" w:w="1440"/>
            <w:shd w:fill="FFDCE0" w:val="clear"/>
          </w:tcPr>
          <w:p>
            <w:r>
              <w:rPr>
                <w:sz w:val="17"/>
              </w:rPr>
              <w:t>2026-09-24</w:t>
            </w:r>
          </w:p>
        </w:tc>
        <w:tc>
          <w:tcPr>
            <w:tcW w:type="dxa" w:w="1440"/>
            <w:shd w:fill="FFDCE0" w:val="clear"/>
          </w:tcPr>
          <w:p>
            <w:r>
              <w:rPr>
                <w:sz w:val="17"/>
              </w:rPr>
              <w:t>7,585</w:t>
            </w:r>
          </w:p>
        </w:tc>
        <w:tc>
          <w:tcPr>
            <w:tcW w:type="dxa" w:w="1440"/>
            <w:shd w:fill="FFDCE0" w:val="clear"/>
          </w:tcPr>
          <w:p>
            <w:r>
              <w:rPr>
                <w:b/>
                <w:sz w:val="17"/>
              </w:rPr>
              <w:t>8,016</w:t>
            </w:r>
          </w:p>
        </w:tc>
        <w:tc>
          <w:tcPr>
            <w:tcW w:type="dxa" w:w="1440"/>
            <w:shd w:fill="FFDCE0" w:val="clear"/>
          </w:tcPr>
          <w:p>
            <w:r>
              <w:rPr>
                <w:sz w:val="17"/>
              </w:rPr>
              <w:t>8,447</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7,515</w:t>
            </w:r>
          </w:p>
        </w:tc>
        <w:tc>
          <w:tcPr>
            <w:tcW w:type="dxa" w:w="1440"/>
            <w:shd w:fill="FFDCE0" w:val="clear"/>
          </w:tcPr>
          <w:p>
            <w:r>
              <w:rPr>
                <w:b/>
                <w:sz w:val="17"/>
              </w:rPr>
              <w:t>7,985</w:t>
            </w:r>
          </w:p>
        </w:tc>
        <w:tc>
          <w:tcPr>
            <w:tcW w:type="dxa" w:w="1440"/>
            <w:shd w:fill="FFDCE0" w:val="clear"/>
          </w:tcPr>
          <w:p>
            <w:r>
              <w:rPr>
                <w:sz w:val="17"/>
              </w:rPr>
              <w:t>8,455</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7,451</w:t>
            </w:r>
          </w:p>
        </w:tc>
        <w:tc>
          <w:tcPr>
            <w:tcW w:type="dxa" w:w="1440"/>
            <w:shd w:fill="FFDCE0" w:val="clear"/>
          </w:tcPr>
          <w:p>
            <w:r>
              <w:rPr>
                <w:b/>
                <w:sz w:val="17"/>
              </w:rPr>
              <w:t>7,956</w:t>
            </w:r>
          </w:p>
        </w:tc>
        <w:tc>
          <w:tcPr>
            <w:tcW w:type="dxa" w:w="1440"/>
            <w:shd w:fill="FFDCE0" w:val="clear"/>
          </w:tcPr>
          <w:p>
            <w:r>
              <w:rPr>
                <w:sz w:val="17"/>
              </w:rPr>
              <w:t>8,462</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7,390</w:t>
            </w:r>
          </w:p>
        </w:tc>
        <w:tc>
          <w:tcPr>
            <w:tcW w:type="dxa" w:w="1440"/>
            <w:shd w:fill="FFDCE0" w:val="clear"/>
          </w:tcPr>
          <w:p>
            <w:r>
              <w:rPr>
                <w:b/>
                <w:sz w:val="17"/>
              </w:rPr>
              <w:t>7,928</w:t>
            </w:r>
          </w:p>
        </w:tc>
        <w:tc>
          <w:tcPr>
            <w:tcW w:type="dxa" w:w="1440"/>
            <w:shd w:fill="FFDCE0" w:val="clear"/>
          </w:tcPr>
          <w:p>
            <w:r>
              <w:rPr>
                <w:sz w:val="17"/>
              </w:rPr>
              <w:t>8,467</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7,332</w:t>
            </w:r>
          </w:p>
        </w:tc>
        <w:tc>
          <w:tcPr>
            <w:tcW w:type="dxa" w:w="1440"/>
            <w:shd w:fill="FFDCE0" w:val="clear"/>
          </w:tcPr>
          <w:p>
            <w:r>
              <w:rPr>
                <w:b/>
                <w:sz w:val="17"/>
              </w:rPr>
              <w:t>7,902</w:t>
            </w:r>
          </w:p>
        </w:tc>
        <w:tc>
          <w:tcPr>
            <w:tcW w:type="dxa" w:w="1440"/>
            <w:shd w:fill="FFDCE0" w:val="clear"/>
          </w:tcPr>
          <w:p>
            <w:r>
              <w:rPr>
                <w:sz w:val="17"/>
              </w:rPr>
              <w:t>8,471</w:t>
            </w:r>
          </w:p>
        </w:tc>
        <w:tc>
          <w:tcPr>
            <w:tcW w:type="dxa" w:w="1440"/>
            <w:shd w:fill="FFDCE0" w:val="clear"/>
          </w:tcPr>
          <w:p>
            <w:r>
              <w:rPr>
                <w:b/>
                <w:color w:val="C00000"/>
                <w:sz w:val="17"/>
              </w:rPr>
              <w:t>-3.5%</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7,278</w:t>
            </w:r>
          </w:p>
        </w:tc>
        <w:tc>
          <w:tcPr>
            <w:tcW w:type="dxa" w:w="1440"/>
            <w:shd w:fill="FFDCE0" w:val="clear"/>
          </w:tcPr>
          <w:p>
            <w:r>
              <w:rPr>
                <w:b/>
                <w:sz w:val="17"/>
              </w:rPr>
              <w:t>7,876</w:t>
            </w:r>
          </w:p>
        </w:tc>
        <w:tc>
          <w:tcPr>
            <w:tcW w:type="dxa" w:w="1440"/>
            <w:shd w:fill="FFDCE0" w:val="clear"/>
          </w:tcPr>
          <w:p>
            <w:r>
              <w:rPr>
                <w:sz w:val="17"/>
              </w:rPr>
              <w:t>8,475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ACTION BOAS (BANK OF AFRICA SÉNÉGAL)**</w:t>
        <w:br/>
        <w:t>*Marché : BRVM (Bourse Régionale des Valeurs Mobilières) — Secteur : Banque*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294,84 milliards FCFA, BOAS s'impose comme l'une des valeurs bancaires de référence de la cote BRVM, offrant une liquidité appréciable aux investisseurs institutionnels régionaux. Le BPA de 608 FCFA par action signifie que chaque titre génère près de 608 FCFA de bénéfice net, ce qui, rapporté au cours actuel de 8 190 FCFA, donne un PER de 13,5x — légèrement supérieur à la moyenne BRVM (8-12x), mais justifié par la qualité de la croissance et la solidité des fondamentaux. Le P/B de 3,05x indique que le marché valorise la banque à environ trois fois ses fonds propres comptables (96,5 Mds FCFA), une prime de croissance cohérente avec un ROE de 22,7% qui dépasse largement le coût des fonds propres. Enfin, l'EV/EBITDA de 8,7x, situé dans la fourchette raisonnable de 5-10x, suggère que la valeur d'entreprise reste proportionnée à la capacité opérationnelle de génération de résultats. Globalement, la valorisation apparaît modérée à légèrement premium, sans excès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affiche une performance remarquable de +20,44%, bien que la dernière séance (J-1) se soit soldée par un léger repli de -0,73%, signalant une prise de profit ponctuelle après un rallye soutenu. Le titre oscille dans un range de 6 800 FCFA (plus bas) à 8 500 FCFA (plus haut), soit une amplitude de 25%, avec un cours actuel de 8 190 FCFA positionné dans la partie haute de cette fourchette, à environ 3,6% sous son sommet. La tendance générale est donc nettement haussière, portée par un volume moyen quotidien de 10 608 titres qui témoigne d'un intérêt constant des investisseurs. Les statistiques descriptives révèlent une moyenne (7 633 FCFA) légèrement supérieure à la médiane (7 548 FCFA), un écart modeste qui traduit une distribution quasi-symétrique, confirmée par un skewness de 0,420 (asymétrie positive légère). L'écart-type de 404 FCFA avec un coefficient de variation de 5,3% indique une dispersion contenue autour de la moyenne, tandis que le kurtosis de -0,674 (mésokurtique) suggère une distribution proche de la normale, sans risque excessif de pics extrêmes. La volatilité annualisée de 24,8% classe le titre dans la catégorie modérée (15-30%), ce qui est rassurant pour une valeur bancaire de cette envergure.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8 270 FCFA et la MM50 à 7 884 FCFA, toutes deux inférieures au cours actuel de 8 190 FCFA pour la MM20 mais supérieures pour la MM50 — configuration haussière classique où le cours évolue au-dessus de ses moyennes de moyen terme. La décision technique est à l'**Achat**, confirmée par le croisement haussier MM20 &gt; MM50 qui valide la dynamique positive.</w:t>
      </w:r>
    </w:p>
    <w:p>
      <w:pPr>
        <w:spacing w:after="120" w:line="276" w:lineRule="auto"/>
      </w:pPr>
      <w:r>
        <w:t>**Bandes de Bollinger** : La borne supérieure se situe à 8 526 FCFA et la borne inférieure à 8 014 FCFA, encadrant un cours de 8 190 FCFA positionné dans la moitié basse du canal. La décision est **Neutre**, le titre évoluant sans tension excessive vers les extrêmes, ce qui laisse présager une consolidation avant une éventuelle reprise.</w:t>
      </w:r>
    </w:p>
    <w:p>
      <w:pPr>
        <w:spacing w:after="120" w:line="276" w:lineRule="auto"/>
      </w:pPr>
      <w:r>
        <w:t>**MACD** : La valeur du MACD (103,918) est inférieure à son signal (133,519), générant une divergence baissière qui traduit un essoufflement du momentum haussier. La décision est à la **Vente**, signalant une possible correction à court terme malgré la tendance de fond positive.</w:t>
      </w:r>
    </w:p>
    <w:p>
      <w:pPr>
        <w:spacing w:after="120" w:line="276" w:lineRule="auto"/>
      </w:pPr>
      <w:r>
        <w:t>**RSI** : À 43,125, le RSI se situe en zone neutre (30-70), sans surachat ni survente, indiquant un équilibre entre acheteurs et vendeurs. La décision est **Neutre**, le titre disposant d'une marge de progression avant d'atteindre des niveaux de surachat.</w:t>
      </w:r>
    </w:p>
    <w:p>
      <w:pPr>
        <w:spacing w:after="120" w:line="276" w:lineRule="auto"/>
      </w:pPr>
      <w:r>
        <w:t>**Stochastique** : Le %K à 0,0 et le %D à 24,717 révèlent une position extrême en zone de survente, avec un %K au plancher qui précède souvent un rebond technique. La décision est à l'**Achat**, ce signal contrarien suggérant une opportunité d'entrée à court terme.</w:t>
      </w:r>
    </w:p>
    <w:p>
      <w:pPr>
        <w:spacing w:after="120" w:line="276" w:lineRule="auto"/>
      </w:pPr>
      <w:r>
        <w:t>**Conclusion technique** : Les indicateurs présentent une configuration mitigée mais globalement constructive — les moyennes mobiles et le stochastique plaident pour un achat, tandis que le MACD et les bandes de Bollinger incitent à la prudence. Le RSI neutre offre un point d'équilibre, et la convergence des signaux haussiers (MM, stochastique) face aux signaux baissiers (MACD) suggère une consolidation avant une reprise, avec un biais haussier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2025 de BOAS (données structurées brvm_donnees_financieres) révèlent une banque solide et rentable : le Produit Net Bancaire (équivalent du chiffre d'affaires) s'établit à 51,926 Mds FCFA, générant un résultat net de 21,905 Mds FCFA, soit une marge nette exceptionnelle de 42,19%. Le ROE atteint 22,69% (largement supérieur au seuil d'excellence de 15%) et le ROA de 2,62%, confirmant une création de valeur significative pour les actionnaires. Le coefficient d'exploitation de 44,02% (bien en dessous du seuil de 60% et proche du niveau d'excellence de 50%) témoigne d'une efficacité opérationnelle remarquable, tandis que le coût du risque de 23,31% (provisions/charges financières) reste un point de vigilance modéré. La structure bilancielle affiche des dépôts clientèle de 686,927 Mds FCFA pour des créances clientèle de 386,424 Mds FCFA, soit un ratio de transformation de 56,3% — la banque collecte plus qu'elle ne prête, ce qui constitue une réserve de liquidité et un potentiel de croissance future. Les rapports trimestriels confirment cette dynamique : le rapport du T1 2026 (publié en 2026) indique un PNB de 12,580 Mds FCFA (+6,82%) et un résultat net de 5,741 Mds FCFA (+9,78%), avec un coefficient d'exploitation en amélioration à 42,1% (contre 42,8% au T1 2025). Le rapport du T3 2025 (30 septembre 2025) faisait état d'un PNB cumulé de 37,44 Mds FCFA (+6,71%) et d'un résultat net de 16,37 Mds FCFA (+10,01%), avec un coût du risque en baisse à -0,5% du PNB. Sur la base de ces tendances, on peut estimer que l'exercice 2026 devrait enregistrer une croissance du PNB de l'ordre de 6-7% (soit environ 55 Mds FCFA) et un résultat net proche de 23-24 Mds FCFA, confirmant la trajectoire de croissance durable. Le rapport du T1 2026 souligne également une forte progression des ressources clientèle (+16,68%) et une augmentation modérée des emplois (+4,76%), ce qui pourrait comprimer la marge d'intérêt à terme mais offre une base de financement solide. Les risques identifiés incluent la concentration sur le marché sénégalais, l'exposition au risque de crédit dans un environnement économique incertain, et la croissance plus rapide des ressources que des emplois. En synthèse, BOAS présente des fondamentaux de haute qualité, une rentabilité supérieure à la moyenne du secteur, et des perspectives de croissance soutenues, ce qui justifie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les ratios PER (13,5x), P/B (3,05x) et EV/EBITDA (8,7x) indiquent une valorisation modérée à légèrement premium, reflétant la qualité des fondamentaux mais laissant peu de marge d'erreur. Le **comportement du cours (Partie 1)** est favorable, avec une tendance haussière de +20,44% sur 100 jours, une volatilité modérée (24,8%) et des statistiques descriptives rassurantes (distribution symétrique, kurtosis proche de la normale). Les **signaux techniques (Partie 2)** sont mitigés : les moyennes mobiles et le stochastique plaident pour un achat, mais le MACD baissier et les bandes de Bollinger neutres suggèrent une consolidation imminente. Les **fondamentaux (Partie 3)** sont excellents, avec un ROE de 22,69%, un coefficient d'exploitation de 44,02% et une croissance estimée du résultat net de 6-7% pour 2026, bien que le coût du risque mérite une surveillance. Les **prédictions IA (J+1 à J+10)** anticipent une légère correction vers 8 016 FCFA d'ici le 24 septembre 2026, ce qui contredit partiellement les signaux haussiers à court terme mais s'aligne sur la consolidation attendue. Compte tenu de cette convergence partielle — fondamentaux solides et tendance de fond haussière, mais signaux techniques à court terme mitigés et prédictions baissières — la recommandation finale est **CONSERVER** avec un biais haussier. Le niveau de confiance est **Moyen** (les fondamentaux sont solides mais la valorisation et les signaux techniques incitent à la prudence), et le niveau de risque global est **Moyen** (volatilité modérée, exposition au risque de crédit et concentration géographique). L'horizon d'investissement optimal est le **moyen terme (3-12 mois)**, période durant laquelle la croissance des bénéfices devrait se matérialiser et soutenir le cours, avec un objectif de cours à 8 800-9 000 FCFA si les tendances trimestrielles se confirment.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20.31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2,093 titres</w:t>
            </w:r>
          </w:p>
        </w:tc>
        <w:tc>
          <w:tcPr>
            <w:tcW w:type="dxa" w:w="2268"/>
            <w:shd w:fill="FFF2CC" w:val="clear"/>
          </w:tcPr>
          <w:p>
            <w:r>
              <w:rPr>
                <w:b/>
                <w:color w:val="503200"/>
                <w:sz w:val="16"/>
              </w:rPr>
              <w:t xml:space="preserve">Cours actuel : </w:t>
            </w:r>
            <w:r>
              <w:rPr>
                <w:color w:val="000000"/>
                <w:sz w:val="17"/>
              </w:rPr>
              <w:t>3,430 FCFA</w:t>
            </w:r>
          </w:p>
          <w:p>
            <w:r>
              <w:rPr>
                <w:b/>
                <w:color w:val="503200"/>
                <w:sz w:val="16"/>
              </w:rPr>
              <w:t xml:space="preserve">Var. 100 jours : </w:t>
            </w:r>
            <w:r>
              <w:rPr>
                <w:b/>
                <w:color w:val="B40000"/>
                <w:sz w:val="17"/>
              </w:rPr>
              <w:t>-4.72%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3,400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7.25% (Moyenne) — μ=3,708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β=0.2114 (Défensif) — Cov=0.000007, Var(idx)=0.000035, ρ=0.044,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3,344</w:t>
            </w:r>
          </w:p>
        </w:tc>
        <w:tc>
          <w:tcPr>
            <w:tcW w:type="dxa" w:w="1440"/>
            <w:shd w:fill="FAFAFA" w:val="clear"/>
          </w:tcPr>
          <w:p>
            <w:r>
              <w:rPr>
                <w:b/>
                <w:sz w:val="17"/>
              </w:rPr>
              <w:t>3,419</w:t>
            </w:r>
          </w:p>
        </w:tc>
        <w:tc>
          <w:tcPr>
            <w:tcW w:type="dxa" w:w="1440"/>
            <w:shd w:fill="FAFAFA" w:val="clear"/>
          </w:tcPr>
          <w:p>
            <w:r>
              <w:rPr>
                <w:sz w:val="17"/>
              </w:rPr>
              <w:t>3,495</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3,290</w:t>
            </w:r>
          </w:p>
        </w:tc>
        <w:tc>
          <w:tcPr>
            <w:tcW w:type="dxa" w:w="1440"/>
            <w:shd w:fill="FAFAFA" w:val="clear"/>
          </w:tcPr>
          <w:p>
            <w:r>
              <w:rPr>
                <w:b/>
                <w:sz w:val="17"/>
              </w:rPr>
              <w:t>3,396</w:t>
            </w:r>
          </w:p>
        </w:tc>
        <w:tc>
          <w:tcPr>
            <w:tcW w:type="dxa" w:w="1440"/>
            <w:shd w:fill="FAFAFA" w:val="clear"/>
          </w:tcPr>
          <w:p>
            <w:r>
              <w:rPr>
                <w:sz w:val="17"/>
              </w:rPr>
              <w:t>3,502</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3,245</w:t>
            </w:r>
          </w:p>
        </w:tc>
        <w:tc>
          <w:tcPr>
            <w:tcW w:type="dxa" w:w="1440"/>
            <w:shd w:fill="FAFAFA" w:val="clear"/>
          </w:tcPr>
          <w:p>
            <w:r>
              <w:rPr>
                <w:b/>
                <w:sz w:val="17"/>
              </w:rPr>
              <w:t>3,374</w:t>
            </w:r>
          </w:p>
        </w:tc>
        <w:tc>
          <w:tcPr>
            <w:tcW w:type="dxa" w:w="1440"/>
            <w:shd w:fill="FAFAFA" w:val="clear"/>
          </w:tcPr>
          <w:p>
            <w:r>
              <w:rPr>
                <w:sz w:val="17"/>
              </w:rPr>
              <w:t>3,503</w:t>
            </w:r>
          </w:p>
        </w:tc>
        <w:tc>
          <w:tcPr>
            <w:tcW w:type="dxa" w:w="1440"/>
            <w:shd w:fill="FAFAFA" w:val="clear"/>
          </w:tcPr>
          <w:p>
            <w:r>
              <w:rPr>
                <w:b/>
                <w:color w:val="C00000"/>
                <w:sz w:val="17"/>
              </w:rPr>
              <w:t>-1.6%</w:t>
            </w:r>
          </w:p>
        </w:tc>
      </w:tr>
      <w:tr>
        <w:tc>
          <w:tcPr>
            <w:tcW w:type="dxa" w:w="1440"/>
            <w:shd w:fill="FFDCE0" w:val="clear"/>
          </w:tcPr>
          <w:p>
            <w:r>
              <w:rPr>
                <w:sz w:val="17"/>
              </w:rPr>
              <w:t>J+4  Moyenne</w:t>
            </w:r>
          </w:p>
        </w:tc>
        <w:tc>
          <w:tcPr>
            <w:tcW w:type="dxa" w:w="1440"/>
            <w:shd w:fill="FFDCE0" w:val="clear"/>
          </w:tcPr>
          <w:p>
            <w:r>
              <w:rPr>
                <w:sz w:val="17"/>
              </w:rPr>
              <w:t>2026-09-23</w:t>
            </w:r>
          </w:p>
        </w:tc>
        <w:tc>
          <w:tcPr>
            <w:tcW w:type="dxa" w:w="1440"/>
            <w:shd w:fill="FFDCE0" w:val="clear"/>
          </w:tcPr>
          <w:p>
            <w:r>
              <w:rPr>
                <w:sz w:val="17"/>
              </w:rPr>
              <w:t>3,205</w:t>
            </w:r>
          </w:p>
        </w:tc>
        <w:tc>
          <w:tcPr>
            <w:tcW w:type="dxa" w:w="1440"/>
            <w:shd w:fill="FFDCE0" w:val="clear"/>
          </w:tcPr>
          <w:p>
            <w:r>
              <w:rPr>
                <w:b/>
                <w:sz w:val="17"/>
              </w:rPr>
              <w:t>3,353</w:t>
            </w:r>
          </w:p>
        </w:tc>
        <w:tc>
          <w:tcPr>
            <w:tcW w:type="dxa" w:w="1440"/>
            <w:shd w:fill="FFDCE0" w:val="clear"/>
          </w:tcPr>
          <w:p>
            <w:r>
              <w:rPr>
                <w:sz w:val="17"/>
              </w:rPr>
              <w:t>3,500</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2026-09-24</w:t>
            </w:r>
          </w:p>
        </w:tc>
        <w:tc>
          <w:tcPr>
            <w:tcW w:type="dxa" w:w="1440"/>
            <w:shd w:fill="FFDCE0" w:val="clear"/>
          </w:tcPr>
          <w:p>
            <w:r>
              <w:rPr>
                <w:sz w:val="17"/>
              </w:rPr>
              <w:t>3,167</w:t>
            </w:r>
          </w:p>
        </w:tc>
        <w:tc>
          <w:tcPr>
            <w:tcW w:type="dxa" w:w="1440"/>
            <w:shd w:fill="FFDCE0" w:val="clear"/>
          </w:tcPr>
          <w:p>
            <w:r>
              <w:rPr>
                <w:b/>
                <w:sz w:val="17"/>
              </w:rPr>
              <w:t>3,331</w:t>
            </w:r>
          </w:p>
        </w:tc>
        <w:tc>
          <w:tcPr>
            <w:tcW w:type="dxa" w:w="1440"/>
            <w:shd w:fill="FFDCE0" w:val="clear"/>
          </w:tcPr>
          <w:p>
            <w:r>
              <w:rPr>
                <w:sz w:val="17"/>
              </w:rPr>
              <w:t>3,496</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3,132</w:t>
            </w:r>
          </w:p>
        </w:tc>
        <w:tc>
          <w:tcPr>
            <w:tcW w:type="dxa" w:w="1440"/>
            <w:shd w:fill="FFDCE0" w:val="clear"/>
          </w:tcPr>
          <w:p>
            <w:r>
              <w:rPr>
                <w:b/>
                <w:sz w:val="17"/>
              </w:rPr>
              <w:t>3,311</w:t>
            </w:r>
          </w:p>
        </w:tc>
        <w:tc>
          <w:tcPr>
            <w:tcW w:type="dxa" w:w="1440"/>
            <w:shd w:fill="FFDCE0" w:val="clear"/>
          </w:tcPr>
          <w:p>
            <w:r>
              <w:rPr>
                <w:sz w:val="17"/>
              </w:rPr>
              <w:t>3,490</w:t>
            </w:r>
          </w:p>
        </w:tc>
        <w:tc>
          <w:tcPr>
            <w:tcW w:type="dxa" w:w="1440"/>
            <w:shd w:fill="FFDCE0" w:val="clear"/>
          </w:tcPr>
          <w:p>
            <w:r>
              <w:rPr>
                <w:b/>
                <w:color w:val="C00000"/>
                <w:sz w:val="17"/>
              </w:rPr>
              <w:t>-3.5%</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3,099</w:t>
            </w:r>
          </w:p>
        </w:tc>
        <w:tc>
          <w:tcPr>
            <w:tcW w:type="dxa" w:w="1440"/>
            <w:shd w:fill="FFDCE0" w:val="clear"/>
          </w:tcPr>
          <w:p>
            <w:r>
              <w:rPr>
                <w:b/>
                <w:sz w:val="17"/>
              </w:rPr>
              <w:t>3,291</w:t>
            </w:r>
          </w:p>
        </w:tc>
        <w:tc>
          <w:tcPr>
            <w:tcW w:type="dxa" w:w="1440"/>
            <w:shd w:fill="FFDCE0" w:val="clear"/>
          </w:tcPr>
          <w:p>
            <w:r>
              <w:rPr>
                <w:sz w:val="17"/>
              </w:rPr>
              <w:t>3,483</w:t>
            </w:r>
          </w:p>
        </w:tc>
        <w:tc>
          <w:tcPr>
            <w:tcW w:type="dxa" w:w="1440"/>
            <w:shd w:fill="FFDCE0" w:val="clear"/>
          </w:tcPr>
          <w:p>
            <w:r>
              <w:rPr>
                <w:b/>
                <w:color w:val="C00000"/>
                <w:sz w:val="17"/>
              </w:rPr>
              <w:t>-4.1%</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3,067</w:t>
            </w:r>
          </w:p>
        </w:tc>
        <w:tc>
          <w:tcPr>
            <w:tcW w:type="dxa" w:w="1440"/>
            <w:shd w:fill="FFDCE0" w:val="clear"/>
          </w:tcPr>
          <w:p>
            <w:r>
              <w:rPr>
                <w:b/>
                <w:sz w:val="17"/>
              </w:rPr>
              <w:t>3,271</w:t>
            </w:r>
          </w:p>
        </w:tc>
        <w:tc>
          <w:tcPr>
            <w:tcW w:type="dxa" w:w="1440"/>
            <w:shd w:fill="FFDCE0" w:val="clear"/>
          </w:tcPr>
          <w:p>
            <w:r>
              <w:rPr>
                <w:sz w:val="17"/>
              </w:rPr>
              <w:t>3,475</w:t>
            </w:r>
          </w:p>
        </w:tc>
        <w:tc>
          <w:tcPr>
            <w:tcW w:type="dxa" w:w="1440"/>
            <w:shd w:fill="FFDCE0" w:val="clear"/>
          </w:tcPr>
          <w:p>
            <w:r>
              <w:rPr>
                <w:b/>
                <w:color w:val="C00000"/>
                <w:sz w:val="17"/>
              </w:rPr>
              <w:t>-4.6%</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3,036</w:t>
            </w:r>
          </w:p>
        </w:tc>
        <w:tc>
          <w:tcPr>
            <w:tcW w:type="dxa" w:w="1440"/>
            <w:shd w:fill="FFDCE0" w:val="clear"/>
          </w:tcPr>
          <w:p>
            <w:r>
              <w:rPr>
                <w:b/>
                <w:sz w:val="17"/>
              </w:rPr>
              <w:t>3,251</w:t>
            </w:r>
          </w:p>
        </w:tc>
        <w:tc>
          <w:tcPr>
            <w:tcW w:type="dxa" w:w="1440"/>
            <w:shd w:fill="FFDCE0" w:val="clear"/>
          </w:tcPr>
          <w:p>
            <w:r>
              <w:rPr>
                <w:sz w:val="17"/>
              </w:rPr>
              <w:t>3,466</w:t>
            </w:r>
          </w:p>
        </w:tc>
        <w:tc>
          <w:tcPr>
            <w:tcW w:type="dxa" w:w="1440"/>
            <w:shd w:fill="FFDCE0" w:val="clear"/>
          </w:tcPr>
          <w:p>
            <w:r>
              <w:rPr>
                <w:b/>
                <w:color w:val="C00000"/>
                <w:sz w:val="17"/>
              </w:rPr>
              <w:t>-5.2%</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3,006</w:t>
            </w:r>
          </w:p>
        </w:tc>
        <w:tc>
          <w:tcPr>
            <w:tcW w:type="dxa" w:w="1440"/>
            <w:shd w:fill="FFDCE0" w:val="clear"/>
          </w:tcPr>
          <w:p>
            <w:r>
              <w:rPr>
                <w:b/>
                <w:sz w:val="17"/>
              </w:rPr>
              <w:t>3,231</w:t>
            </w:r>
          </w:p>
        </w:tc>
        <w:tc>
          <w:tcPr>
            <w:tcW w:type="dxa" w:w="1440"/>
            <w:shd w:fill="FFDCE0" w:val="clear"/>
          </w:tcPr>
          <w:p>
            <w:r>
              <w:rPr>
                <w:sz w:val="17"/>
              </w:rPr>
              <w:t>3,457</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20,31 milliards FCFA, CABC se positionne comme une valeur de taille moyenne sur le compartiment industriel de la BRVM, loin des poids lourds comme SONATEL ou les banques de premier rang. Le BPA de 243 FCFA/action signifie que chaque titre génère théoriquement 243 FCFA de bénéfice net, ce qui, rapporté au cours actuel de 3 430 FCFA, donne un PER de 14,1x — soit une valorisation modérée mais légèrement supérieure à la moyenne du marché BRVM (8-12x), traduisant une certaine prime de qualité perçue par le marché. Le P/B de 2,17x indique que le marché valorise l'entreprise à plus du double de sa valeur comptable (capitaux propres de 9,346 Mds FCFA), ce qui est cohérent avec une prime de croissance accordée aux valeurs industrielles bénéficiaires. Enfin, l'EV/EBITDA de 7,1x situe la valeur d'entreprise (capitalisation + dette nette) à 7,1 fois la capacité opérationnelle, un niveau raisonnable qui suggère que le marché ne surpaye pas excessivement la génération de cash-flow opérationnel.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-4,72%, avec une dernière séance en repli de -2,00%, confirmant une dynamique baissière de court terme. Le cours actuel de 3 430 FCFA se situe dans la partie basse du range de trading établi entre 3 400 FCFA (plus bas) et 4 500 FCFA (plus haut), soit un écart de 1 100 FCFA qui témoigne d'une amplitude significative. La moyenne des cours s'établit à 3 708 FCFA, supérieure à la médiane de 3 610 FCFA, ce qui révèle une asymétrie positive (skewness de 1,147) : les journées de forte hausse, bien que moins nombreuses, tirent la moyenne vers le haut, tandis que la majorité des séances se situent sous la moyenne — un signal de pression vendeuse persistante. L'écart-type de 270 FCFA (CV de 7,3%) indique une dispersion modérée du cours autour de sa moyenne, tandis que le kurtosis de 0,785 (mésokurtique) suggère une distribution proche de la normale, sans risque excessif de pics extrêmes. La volatilité annualisée de 44,7% classe le titre dans la catégorie des valeurs à volatilité élevée (&gt;30%), ce qui implique un risque de perte en capital non négligeable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(3 517,75 FCFA) et la MM50 (3 614,70 FCFA) se situent toutes deux au-dessus du cours actuel (3 430 FCFA), confirmant une configuration baissière où le prix évolue sous ses moyennes de référence. La MM20 étant inférieure à la MM50, on observe un croisement baissier (death cross) qui renforce le signal de vente. La décision technique est donc **Vente**.</w:t>
      </w:r>
    </w:p>
    <w:p>
      <w:pPr>
        <w:spacing w:after="120" w:line="276" w:lineRule="auto"/>
      </w:pPr>
      <w:r>
        <w:t>**Bandes de Bollinger** : Le cours (3 430 FCFA) se situe dans la partie basse des bandes, entre la borne inférieure (3 381,47 FCFA) et la borne supérieure (3 654,03 FCFA), sans franchissement de seuil extrême. Cette position neutre indique une absence de signal de survente ou de surachat, mais la proximité de la borne inférieure suggère une pression baissière persistante. La décision est **Neutre**.</w:t>
      </w:r>
    </w:p>
    <w:p>
      <w:pPr>
        <w:spacing w:after="120" w:line="276" w:lineRule="auto"/>
      </w:pPr>
      <w:r>
        <w:t>**MACD** : La valeur du MACD (-47,66) est supérieure à son signal (-49,35), générant un croisement haussier (MACD &gt; Signal) qui indique un début de retournement du momentum baissier. Bien que les deux lignes restent en territoire négatif, cette divergence positive suggère un essoufflement de la tendance baissière. La décision est **Achat**.</w:t>
      </w:r>
    </w:p>
    <w:p>
      <w:pPr>
        <w:spacing w:after="120" w:line="276" w:lineRule="auto"/>
      </w:pPr>
      <w:r>
        <w:t>**RSI** : À 41,77, le RSI se situe en zone neutre (30-70), sans signal de survente (&lt;30) ni de surachat (&gt;70). Cette valeur médiane indique un équilibre relatif entre acheteurs et vendeurs, sans force directionnelle claire. La décision est **Neutre**.</w:t>
      </w:r>
    </w:p>
    <w:p>
      <w:pPr>
        <w:spacing w:after="120" w:line="276" w:lineRule="auto"/>
      </w:pPr>
      <w:r>
        <w:t>**Stochastique** : Le %K (14,29) est nettement inférieur au %D (26,19), et les deux se situent en zone de survente (&lt;20 pour le %K), ce qui suggère une possible réaction haussière à court terme. Le croisement du %K sous le %D est généralement un signal baissier, mais la position extrême en survente plaide pour un rebond technique imminent. La décision est **Achat**.</w:t>
      </w:r>
    </w:p>
    <w:p>
      <w:pPr>
        <w:spacing w:after="120" w:line="276" w:lineRule="auto"/>
      </w:pPr>
      <w:r>
        <w:t>**Conclusion technique** : Les indicateurs techniques présentent une divergence notable : les moyennes mobiles et les bandes de Bollinger confirment une tendance baissière, tandis que le MACD et le stochastique génèrent des signaux d'achat en raison de conditions de survente. Le RSI neutre ne tranche pas. Cette configuration suggère un possible rebond technique à court terme, mais la tendance de fond reste baissière tant que le cours évolue sous ses moyennes mobiles. La prudence est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de CABC (exercice provisoire) affichent un chiffre d'affaires de 21,263 Mds FCFA, en croissance de 11,18% par rapport à 2024, confirmant la dynamique commerciale positive observée depuis 2023. Le résultat net s'établit à 1,439 Mds FCFA, en hausse de 4,7% vs 2024, avec une marge nette de 6,77% — un niveau correct mais inférieur à la moyenne du secteur industriel BRVM (5-10%). Le ROE de 15,40% est excellent (&gt;15%), témoignant d'une bonne rentabilité des fonds propres, tandis que le ROA de 6,10% reste modéré, reflétant une rotation des actifs de 90,06% (le CA représente 90% du total actif). La structure financière est saine : autonomie financière de 39,58% (&gt;30%), ratio d'endettement de 60,42%, et liquidité générale de 242,60% (&gt;1). Cependant, deux points d'attention majeurs émergent : (1) le BFR de 7,186 Mds FCFA, avec des délais clients élevés (144,69 jours) et une durée de stockage de 152,12 jours, signalant un risque de trésorerie important ; (2) le flux opérationnel négatif de -819,66 M FCFA en 2025, malgré une CAF positive de 1,593 Mds FCFA, en raison d'une hausse des stocks (+1 994 M FCFA) et des créances clients (+1 544 M FCFA). Les rapports trimestriels récents confirment cette tendance : le rapport T3 2025 (daté du 30/09/2025) indique un CA cumulé de 16 630 M FCFA (+13,7%) et un résultat net de 1 329,5 M FCFA (+26,0%), mais avec un rétrécissement des marges opérationnelles (11,5% vs 10,7% en 2024). Le rapport S1 2025 (daté du 30/06/2025) faisait état d'un résultat net de 851,5 M FCFA (+55,3%) et d'une marge nette de 7,9%, portée par la hausse des cours des métaux. **Estimation pour 2026** : sur la base du T3 2025 (CA +13,7%, RN +26%), on peut estimer que l'exercice 2025 devrait clôturer avec un CA autour de 21,5-22 Mds FCFA et un résultat net de 1,5-1,6 Mds FCFA, soit une marge nette de 7-7,5%. Cependant, le rapport T1 2026 (daté du 31/03/2026) signale une forte dégradation : CA en baisse de 26,5% à 3 794 M FCFA, perte d'exploitation de 237 M FCFA et résultat net déficitaire de 222 M FCFA, en raison d'une maintenance planifiée et de l'inflation des cours des métaux (+23% en 3 mois). La direction anticipe une normalisation dès le T2 2026, mais le risque de prolongation des difficultés opérationnelles reste élevé. **Recommandation fondamentale** : la solidité financière de CABC est réelle (ROE &gt;15%, trésorerie nette de 5,139 Mds FCFA, endettement faible), mais les risques de trésorerie (BFR élevé, flux opérationnel négatif) et la dégradation récente du T1 2026 incitent à la prudence. Le titre reste un dossier à surveiller, avec un potentiel de rebond si la normalisation se confirme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CABC (PER 14,1x, P/B 2,17x, EV/EBITDA 7,1x) indique une légère surévaluation par rapport à la moyenne du marché BRVM (PER 8-12x), bien que les ratios restent dans des zones raisonnables pour une entreprise industrielle bénéficiaire. Le comportement du cours sur 100 jours est préoccupant : tendance baissière (-4,72%), volatilité élevée (44,7%), skewness positive (1,147) et cours sous les moyennes mobiles, ce qui suggère une pression vendeuse persistante. Les signaux techniques sont divergents : les moyennes mobiles et les bandes de Bollinger confirment la tendance baissière, tandis que le MACD et le stochastique génèrent des signaux d'achat en raison de conditions de survente — une configuration qui plaide pour un rebond technique à court terme, mais sans inversion de tendance durable. Les fondamentaux sont mitigés : la croissance du CA (+11,2% en 2025) et le ROE élevé (15,40%) sont des points forts, mais le BFR élevé (7,186 Mds FCFA), les délais clients (144,69 jours) et le flux opérationnel négatif (-819,66 M FCFA) constituent des risques majeurs. Le rapport T1 2026 (perte nette de 222 M FCFA) ajoute une incertitude significative sur la capacité de l'entreprise à maintenir sa rentabilité à court terme. Les prédictions IA (J+1 à J+10) anticipent une poursuite de la baisse, avec un cours cible de 3 331 FCFA à J+10 (soit -2,9% vs cours actuel), ce qui contredit les signaux d'achat techniques à court terme et confirme la tendance baissière. **Recommandation finale : CONSERVER (avec surveillance active)**. La convergence entre la valorisation légèrement surévaluée, la tendance baissière du cours, les signaux techniques divergents et les fondamentaux mitigés (croissance mais risques de trésorerie) ne justifie pas un achat agressif, mais la solidité financière de l'entreprise (ROE &gt;15%, trésorerie nette positive) et le potentiel de rebond technique incitent à ne pas vendre en panique. **Niveau de confiance : Moyen** (les signaux sont contradictoires). **Niveau de risque : Élevé** (volatilité 44,7%, BFR élevé, dégradation T1 2026). **Horizon d'investissement optimal : Moyen terme (3-12 mois)**, en attendant la confirmation de la normalisation des performances au T2 2026 et une clarification de la tendance technique. Les investisseurs averses au risque privilégieront des valeurs plus stables de la BRVM (SONATEL, BOA, NSIA).</w:t>
      </w:r>
    </w:p>
    <w:p>
      <w:pPr>
        <w:spacing w:after="120" w:line="276" w:lineRule="auto"/>
      </w:pPr>
      <w:r>
        <w:t>---</w:t>
      </w:r>
    </w:p>
    <w:p>
      <w:pPr>
        <w:spacing w:after="120" w:line="276" w:lineRule="auto"/>
      </w:pPr>
      <w:r>
        <w:t>*Rapport généré le 17 septembre 2026 — Basé sur les données de la BRVM, les états financiers 2025 (provisoires) et les rapports trimestriels T3 2025, S1 2025 et T1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1,503 titres</w:t>
            </w:r>
          </w:p>
        </w:tc>
        <w:tc>
          <w:tcPr>
            <w:tcW w:type="dxa" w:w="2268"/>
            <w:shd w:fill="FFF2CC" w:val="clear"/>
          </w:tcPr>
          <w:p>
            <w:r>
              <w:rPr>
                <w:b/>
                <w:color w:val="503200"/>
                <w:sz w:val="16"/>
              </w:rPr>
              <w:t xml:space="preserve">Cours actuel : </w:t>
            </w:r>
            <w:r>
              <w:rPr>
                <w:color w:val="000000"/>
                <w:sz w:val="17"/>
              </w:rPr>
              <w:t>33,500 FCFA</w:t>
            </w:r>
          </w:p>
          <w:p>
            <w:r>
              <w:rPr>
                <w:b/>
                <w:color w:val="503200"/>
                <w:sz w:val="16"/>
              </w:rPr>
              <w:t xml:space="preserve">Var. 100 jours : </w:t>
            </w:r>
            <w:r>
              <w:rPr>
                <w:b/>
                <w:color w:val="007800"/>
                <w:sz w:val="17"/>
              </w:rPr>
              <w:t>+103.15%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20.97% (Élevée) — μ=25,112 FCFA, σ=5,265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β=0.9013 (Neutre (suit le marché)) — Cov=0.000032, Var(idx)=0.000035, ρ=0.212,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1,503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2026-09-18</w:t>
            </w:r>
          </w:p>
        </w:tc>
        <w:tc>
          <w:tcPr>
            <w:tcW w:type="dxa" w:w="1440"/>
            <w:shd w:fill="FFDCE0" w:val="clear"/>
          </w:tcPr>
          <w:p>
            <w:r>
              <w:rPr>
                <w:sz w:val="17"/>
              </w:rPr>
              <w:t>30,333</w:t>
            </w:r>
          </w:p>
        </w:tc>
        <w:tc>
          <w:tcPr>
            <w:tcW w:type="dxa" w:w="1440"/>
            <w:shd w:fill="FFDCE0" w:val="clear"/>
          </w:tcPr>
          <w:p>
            <w:r>
              <w:rPr>
                <w:b/>
                <w:sz w:val="17"/>
              </w:rPr>
              <w:t>31,260</w:t>
            </w:r>
          </w:p>
        </w:tc>
        <w:tc>
          <w:tcPr>
            <w:tcW w:type="dxa" w:w="1440"/>
            <w:shd w:fill="FFDCE0" w:val="clear"/>
          </w:tcPr>
          <w:p>
            <w:r>
              <w:rPr>
                <w:sz w:val="17"/>
              </w:rPr>
              <w:t>32,187</w:t>
            </w:r>
          </w:p>
        </w:tc>
        <w:tc>
          <w:tcPr>
            <w:tcW w:type="dxa" w:w="1440"/>
            <w:shd w:fill="FFDCE0" w:val="clear"/>
          </w:tcPr>
          <w:p>
            <w:r>
              <w:rPr>
                <w:b/>
                <w:color w:val="C00000"/>
                <w:sz w:val="17"/>
              </w:rPr>
              <w:t>-6.7%</w:t>
            </w:r>
          </w:p>
        </w:tc>
      </w:tr>
      <w:tr>
        <w:tc>
          <w:tcPr>
            <w:tcW w:type="dxa" w:w="1440"/>
            <w:shd w:fill="FFDCE0" w:val="clear"/>
          </w:tcPr>
          <w:p>
            <w:r>
              <w:rPr>
                <w:sz w:val="17"/>
              </w:rPr>
              <w:t>J+2  ⭐⭐⭐</w:t>
            </w:r>
          </w:p>
        </w:tc>
        <w:tc>
          <w:tcPr>
            <w:tcW w:type="dxa" w:w="1440"/>
            <w:shd w:fill="FFDCE0" w:val="clear"/>
          </w:tcPr>
          <w:p>
            <w:r>
              <w:rPr>
                <w:sz w:val="17"/>
              </w:rPr>
              <w:t>2026-09-21</w:t>
            </w:r>
          </w:p>
        </w:tc>
        <w:tc>
          <w:tcPr>
            <w:tcW w:type="dxa" w:w="1440"/>
            <w:shd w:fill="FFDCE0" w:val="clear"/>
          </w:tcPr>
          <w:p>
            <w:r>
              <w:rPr>
                <w:sz w:val="17"/>
              </w:rPr>
              <w:t>29,064</w:t>
            </w:r>
          </w:p>
        </w:tc>
        <w:tc>
          <w:tcPr>
            <w:tcW w:type="dxa" w:w="1440"/>
            <w:shd w:fill="FFDCE0" w:val="clear"/>
          </w:tcPr>
          <w:p>
            <w:r>
              <w:rPr>
                <w:b/>
                <w:sz w:val="17"/>
              </w:rPr>
              <w:t>30,336</w:t>
            </w:r>
          </w:p>
        </w:tc>
        <w:tc>
          <w:tcPr>
            <w:tcW w:type="dxa" w:w="1440"/>
            <w:shd w:fill="FFDCE0" w:val="clear"/>
          </w:tcPr>
          <w:p>
            <w:r>
              <w:rPr>
                <w:sz w:val="17"/>
              </w:rPr>
              <w:t>31,607</w:t>
            </w:r>
          </w:p>
        </w:tc>
        <w:tc>
          <w:tcPr>
            <w:tcW w:type="dxa" w:w="1440"/>
            <w:shd w:fill="FFDCE0" w:val="clear"/>
          </w:tcPr>
          <w:p>
            <w:r>
              <w:rPr>
                <w:b/>
                <w:color w:val="C00000"/>
                <w:sz w:val="17"/>
              </w:rPr>
              <w:t>-9.4%</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28,386</w:t>
            </w:r>
          </w:p>
        </w:tc>
        <w:tc>
          <w:tcPr>
            <w:tcW w:type="dxa" w:w="1440"/>
            <w:shd w:fill="FFDCE0" w:val="clear"/>
          </w:tcPr>
          <w:p>
            <w:r>
              <w:rPr>
                <w:b/>
                <w:sz w:val="17"/>
              </w:rPr>
              <w:t>29,922</w:t>
            </w:r>
          </w:p>
        </w:tc>
        <w:tc>
          <w:tcPr>
            <w:tcW w:type="dxa" w:w="1440"/>
            <w:shd w:fill="FFDCE0" w:val="clear"/>
          </w:tcPr>
          <w:p>
            <w:r>
              <w:rPr>
                <w:sz w:val="17"/>
              </w:rPr>
              <w:t>31,458</w:t>
            </w:r>
          </w:p>
        </w:tc>
        <w:tc>
          <w:tcPr>
            <w:tcW w:type="dxa" w:w="1440"/>
            <w:shd w:fill="FFDCE0" w:val="clear"/>
          </w:tcPr>
          <w:p>
            <w:r>
              <w:rPr>
                <w:b/>
                <w:color w:val="C00000"/>
                <w:sz w:val="17"/>
              </w:rPr>
              <w:t>-10.7%</w:t>
            </w:r>
          </w:p>
        </w:tc>
      </w:tr>
      <w:tr>
        <w:tc>
          <w:tcPr>
            <w:tcW w:type="dxa" w:w="1440"/>
            <w:shd w:fill="FFDCE0" w:val="clear"/>
          </w:tcPr>
          <w:p>
            <w:r>
              <w:rPr>
                <w:sz w:val="17"/>
              </w:rPr>
              <w:t>J+4  Moyenne</w:t>
            </w:r>
          </w:p>
        </w:tc>
        <w:tc>
          <w:tcPr>
            <w:tcW w:type="dxa" w:w="1440"/>
            <w:shd w:fill="FFDCE0" w:val="clear"/>
          </w:tcPr>
          <w:p>
            <w:r>
              <w:rPr>
                <w:sz w:val="17"/>
              </w:rPr>
              <w:t>2026-09-23</w:t>
            </w:r>
          </w:p>
        </w:tc>
        <w:tc>
          <w:tcPr>
            <w:tcW w:type="dxa" w:w="1440"/>
            <w:shd w:fill="FFDCE0" w:val="clear"/>
          </w:tcPr>
          <w:p>
            <w:r>
              <w:rPr>
                <w:sz w:val="17"/>
              </w:rPr>
              <w:t>27,869</w:t>
            </w:r>
          </w:p>
        </w:tc>
        <w:tc>
          <w:tcPr>
            <w:tcW w:type="dxa" w:w="1440"/>
            <w:shd w:fill="FFDCE0" w:val="clear"/>
          </w:tcPr>
          <w:p>
            <w:r>
              <w:rPr>
                <w:b/>
                <w:sz w:val="17"/>
              </w:rPr>
              <w:t>29,625</w:t>
            </w:r>
          </w:p>
        </w:tc>
        <w:tc>
          <w:tcPr>
            <w:tcW w:type="dxa" w:w="1440"/>
            <w:shd w:fill="FFDCE0" w:val="clear"/>
          </w:tcPr>
          <w:p>
            <w:r>
              <w:rPr>
                <w:sz w:val="17"/>
              </w:rPr>
              <w:t>31,381</w:t>
            </w:r>
          </w:p>
        </w:tc>
        <w:tc>
          <w:tcPr>
            <w:tcW w:type="dxa" w:w="1440"/>
            <w:shd w:fill="FFDCE0" w:val="clear"/>
          </w:tcPr>
          <w:p>
            <w:r>
              <w:rPr>
                <w:b/>
                <w:color w:val="C00000"/>
                <w:sz w:val="17"/>
              </w:rPr>
              <w:t>-11.6%</w:t>
            </w:r>
          </w:p>
        </w:tc>
      </w:tr>
      <w:tr>
        <w:tc>
          <w:tcPr>
            <w:tcW w:type="dxa" w:w="1440"/>
            <w:shd w:fill="FFDCE0" w:val="clear"/>
          </w:tcPr>
          <w:p>
            <w:r>
              <w:rPr>
                <w:sz w:val="17"/>
              </w:rPr>
              <w:t>J+5  Moyenne</w:t>
            </w:r>
          </w:p>
        </w:tc>
        <w:tc>
          <w:tcPr>
            <w:tcW w:type="dxa" w:w="1440"/>
            <w:shd w:fill="FFDCE0" w:val="clear"/>
          </w:tcPr>
          <w:p>
            <w:r>
              <w:rPr>
                <w:sz w:val="17"/>
              </w:rPr>
              <w:t>2026-09-24</w:t>
            </w:r>
          </w:p>
        </w:tc>
        <w:tc>
          <w:tcPr>
            <w:tcW w:type="dxa" w:w="1440"/>
            <w:shd w:fill="FFDCE0" w:val="clear"/>
          </w:tcPr>
          <w:p>
            <w:r>
              <w:rPr>
                <w:sz w:val="17"/>
              </w:rPr>
              <w:t>27,419</w:t>
            </w:r>
          </w:p>
        </w:tc>
        <w:tc>
          <w:tcPr>
            <w:tcW w:type="dxa" w:w="1440"/>
            <w:shd w:fill="FFDCE0" w:val="clear"/>
          </w:tcPr>
          <w:p>
            <w:r>
              <w:rPr>
                <w:b/>
                <w:sz w:val="17"/>
              </w:rPr>
              <w:t>29,366</w:t>
            </w:r>
          </w:p>
        </w:tc>
        <w:tc>
          <w:tcPr>
            <w:tcW w:type="dxa" w:w="1440"/>
            <w:shd w:fill="FFDCE0" w:val="clear"/>
          </w:tcPr>
          <w:p>
            <w:r>
              <w:rPr>
                <w:sz w:val="17"/>
              </w:rPr>
              <w:t>31,312</w:t>
            </w:r>
          </w:p>
        </w:tc>
        <w:tc>
          <w:tcPr>
            <w:tcW w:type="dxa" w:w="1440"/>
            <w:shd w:fill="FFDCE0" w:val="clear"/>
          </w:tcPr>
          <w:p>
            <w:r>
              <w:rPr>
                <w:b/>
                <w:color w:val="C00000"/>
                <w:sz w:val="17"/>
              </w:rPr>
              <w:t>-12.3%</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27,033</w:t>
            </w:r>
          </w:p>
        </w:tc>
        <w:tc>
          <w:tcPr>
            <w:tcW w:type="dxa" w:w="1440"/>
            <w:shd w:fill="FFDCE0" w:val="clear"/>
          </w:tcPr>
          <w:p>
            <w:r>
              <w:rPr>
                <w:b/>
                <w:sz w:val="17"/>
              </w:rPr>
              <w:t>29,149</w:t>
            </w:r>
          </w:p>
        </w:tc>
        <w:tc>
          <w:tcPr>
            <w:tcW w:type="dxa" w:w="1440"/>
            <w:shd w:fill="FFDCE0" w:val="clear"/>
          </w:tcPr>
          <w:p>
            <w:r>
              <w:rPr>
                <w:sz w:val="17"/>
              </w:rPr>
              <w:t>31,266</w:t>
            </w:r>
          </w:p>
        </w:tc>
        <w:tc>
          <w:tcPr>
            <w:tcW w:type="dxa" w:w="1440"/>
            <w:shd w:fill="FFDCE0" w:val="clear"/>
          </w:tcPr>
          <w:p>
            <w:r>
              <w:rPr>
                <w:b/>
                <w:color w:val="C00000"/>
                <w:sz w:val="17"/>
              </w:rPr>
              <w:t>-13.0%</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26,695</w:t>
            </w:r>
          </w:p>
        </w:tc>
        <w:tc>
          <w:tcPr>
            <w:tcW w:type="dxa" w:w="1440"/>
            <w:shd w:fill="FFDCE0" w:val="clear"/>
          </w:tcPr>
          <w:p>
            <w:r>
              <w:rPr>
                <w:b/>
                <w:sz w:val="17"/>
              </w:rPr>
              <w:t>28,966</w:t>
            </w:r>
          </w:p>
        </w:tc>
        <w:tc>
          <w:tcPr>
            <w:tcW w:type="dxa" w:w="1440"/>
            <w:shd w:fill="FFDCE0" w:val="clear"/>
          </w:tcPr>
          <w:p>
            <w:r>
              <w:rPr>
                <w:sz w:val="17"/>
              </w:rPr>
              <w:t>31,238</w:t>
            </w:r>
          </w:p>
        </w:tc>
        <w:tc>
          <w:tcPr>
            <w:tcW w:type="dxa" w:w="1440"/>
            <w:shd w:fill="FFDCE0" w:val="clear"/>
          </w:tcPr>
          <w:p>
            <w:r>
              <w:rPr>
                <w:b/>
                <w:color w:val="C00000"/>
                <w:sz w:val="17"/>
              </w:rPr>
              <w:t>-13.5%</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26,393</w:t>
            </w:r>
          </w:p>
        </w:tc>
        <w:tc>
          <w:tcPr>
            <w:tcW w:type="dxa" w:w="1440"/>
            <w:shd w:fill="FFDCE0" w:val="clear"/>
          </w:tcPr>
          <w:p>
            <w:r>
              <w:rPr>
                <w:b/>
                <w:sz w:val="17"/>
              </w:rPr>
              <w:t>28,808</w:t>
            </w:r>
          </w:p>
        </w:tc>
        <w:tc>
          <w:tcPr>
            <w:tcW w:type="dxa" w:w="1440"/>
            <w:shd w:fill="FFDCE0" w:val="clear"/>
          </w:tcPr>
          <w:p>
            <w:r>
              <w:rPr>
                <w:sz w:val="17"/>
              </w:rPr>
              <w:t>31,224</w:t>
            </w:r>
          </w:p>
        </w:tc>
        <w:tc>
          <w:tcPr>
            <w:tcW w:type="dxa" w:w="1440"/>
            <w:shd w:fill="FFDCE0" w:val="clear"/>
          </w:tcPr>
          <w:p>
            <w:r>
              <w:rPr>
                <w:b/>
                <w:color w:val="C00000"/>
                <w:sz w:val="17"/>
              </w:rPr>
              <w:t>-14.0%</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26,121</w:t>
            </w:r>
          </w:p>
        </w:tc>
        <w:tc>
          <w:tcPr>
            <w:tcW w:type="dxa" w:w="1440"/>
            <w:shd w:fill="FFDCE0" w:val="clear"/>
          </w:tcPr>
          <w:p>
            <w:r>
              <w:rPr>
                <w:b/>
                <w:sz w:val="17"/>
              </w:rPr>
              <w:t>28,671</w:t>
            </w:r>
          </w:p>
        </w:tc>
        <w:tc>
          <w:tcPr>
            <w:tcW w:type="dxa" w:w="1440"/>
            <w:shd w:fill="FFDCE0" w:val="clear"/>
          </w:tcPr>
          <w:p>
            <w:r>
              <w:rPr>
                <w:sz w:val="17"/>
              </w:rPr>
              <w:t>31,220</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25,873</w:t>
            </w:r>
          </w:p>
        </w:tc>
        <w:tc>
          <w:tcPr>
            <w:tcW w:type="dxa" w:w="1440"/>
            <w:shd w:fill="FFDCE0" w:val="clear"/>
          </w:tcPr>
          <w:p>
            <w:r>
              <w:rPr>
                <w:b/>
                <w:sz w:val="17"/>
              </w:rPr>
              <w:t>28,549</w:t>
            </w:r>
          </w:p>
        </w:tc>
        <w:tc>
          <w:tcPr>
            <w:tcW w:type="dxa" w:w="1440"/>
            <w:shd w:fill="FFDCE0" w:val="clear"/>
          </w:tcPr>
          <w:p>
            <w:r>
              <w:rPr>
                <w:sz w:val="17"/>
              </w:rPr>
              <w:t>31,225</w:t>
            </w:r>
          </w:p>
        </w:tc>
        <w:tc>
          <w:tcPr>
            <w:tcW w:type="dxa" w:w="1440"/>
            <w:shd w:fill="FFDCE0" w:val="clear"/>
          </w:tcPr>
          <w:p>
            <w:r>
              <w:rPr>
                <w:b/>
                <w:color w:val="C00000"/>
                <w:sz w:val="17"/>
              </w:rPr>
              <w:t>-14.8%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1 072 milliards FCFA, CBIBF s'impose comme l'une des plus importantes capitalisations de la cote BRVM, ce qui témoigne de la confiance des investisseurs et de la profondeur du titre. Le BPA de 2 047 FCFA/action signifie que chaque titre génère près de 2 047 FCFA de bénéfice net, un niveau élevé qui traduit la forte rentabilité de la banque. Le PER de 16,4x se situe au-dessus de la moyenne du marché BRVM (généralement 8-12x), ce qui indique que les investisseurs acceptent de payer une prime de valorisation pour cette valeur bancaire de qualité, justifiée par sa croissance soutenue. L'EV/EBITDA de 12,1x, dans la fourchette 10-15x, confirme une valorisation élevée mais cohérente avec le profil de croissance et la solidité opérationnelle de l'émetteur. Le ratio P/B n'étant pas fourni dans les données disponibles, il n'est pas commenté ici.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+103,15%, passant d'un plus bas de 15 600 FCFA à un plus haut de 34 450 FCFA, avant de clôturer à 33 500 FCFA, soit un repli de -2,76% sur la dernière séance. Cette tendance nettement haussière traduit un fort engouement du marché pour le titre, porté par les excellents résultats publiés. La moyenne du cours s'établit à 25 112 FCFA contre une médiane de 25 975 FCFA, un écart modéré qui suggère une distribution quasi symétrique, confirmée par un skewness de -0,065 (distribution symétrique). L'écart-type de 5 292 FCFA avec un coefficient de variation de 21,1% indique une dispersion modérée du cours autour de sa moyenne, tandis que le kurtosis de -1,009 (distribution platykurtique) signale une faible concentration des valeurs extrêmes et donc un risque de pics de volatilité limité. La volatilité annualisée de 40,1% classe ce titre dans la catégorie à volatilité élevée (&gt;30%), ce qui est cohérent avec la forte amplitude du mouvement haussier observé et invite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(31 976 FCFA) et la MM50 (29 734 FCFA) se situent toutes deux en dessous du cours actuel (33 500 FCFA), avec une MM20 supérieure à la MM50, configurant un croisement haussier classique. Cette configuration confirme la dynamique positive et justifie la décision d'achat.</w:t>
      </w:r>
    </w:p>
    <w:p>
      <w:pPr>
        <w:spacing w:after="120" w:line="276" w:lineRule="auto"/>
      </w:pPr>
      <w:r>
        <w:t>**Bandes de Bollinger :** Le cours (33 500 FCFA) évolue dans la partie haute du canal, entre la borne inférieure (27 809 FCFA) et la borne supérieure (36 143 FCFA), sans franchir cette dernière. Cette position proche de la borne haute traduit une volatilité soutenue mais sans excès, d'où la décision neutre.</w:t>
      </w:r>
    </w:p>
    <w:p>
      <w:pPr>
        <w:spacing w:after="120" w:line="276" w:lineRule="auto"/>
      </w:pPr>
      <w:r>
        <w:t>**MACD :** Le MACD (1 519,36) est légèrement supérieur à son signal (1 468,49), avec un histogramme positif qui confirme un momentum haussier encore actif, bien que l'écart réduit suggère un essoufflement progressif. La décision d'achat reste justifiée.</w:t>
      </w:r>
    </w:p>
    <w:p>
      <w:pPr>
        <w:spacing w:after="120" w:line="276" w:lineRule="auto"/>
      </w:pPr>
      <w:r>
        <w:t>**RSI :** À 76,04, le RSI se situe nettement au-dessus du seuil de surachat (70), signalant que le titre a été fortement acheté et qu'une correction technique est probable. Cette configuration justifie la décision de vente à court terme.</w:t>
      </w:r>
    </w:p>
    <w:p>
      <w:pPr>
        <w:spacing w:after="120" w:line="276" w:lineRule="auto"/>
      </w:pPr>
      <w:r>
        <w:t>**Stochastique :** Le %K (80,29) est inférieur au %D (93,43), avec un croisement baissier en zone de surachat, confirmant la pression vendeuse naissante et justifiant la décision de vente.</w:t>
      </w:r>
    </w:p>
    <w:p>
      <w:pPr>
        <w:spacing w:after="120" w:line="276" w:lineRule="auto"/>
      </w:pPr>
      <w:r>
        <w:t>**Conclusion technique :** Les indicateurs de tendance (MM, MACD) restent haussiers et confirment la solidité du mouvement de fond, mais les oscillateurs (RSI, Stochastique) sont en zone de surachat avec des signaux de retournement baissier à court terme. Cette divergence classique suggère une consolidation ou une correction imminente, sans remettre en cause la tendance de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 réalisé un Produit Net Bancaire (PNB) de 138,99 milliards FCFA, en croissance de 6,11% par rapport à 2024, et un résultat net de 65,50 milliards FCFA, en progression remarquable de 36,6% (rapport annuel 2025). Le coefficient d'exploitation s'établit à 36,39%, un niveau excellent (&lt;50%) qui témoigne d'une grande efficacité opérationnelle. Le ROA ressort à 2,18% et la marge nette à 47,12%, confirmant la forte rentabilité de la banque. Le total du bilan atteint 2 997,78 milliards FCFA, avec des dépôts clientèle de 2 015,28 milliards FCFA (+14,9%) et des créances clientèle de 1 326,98 milliards FCFA (+5,4%), soit un ratio de transformation (crédits/dépôts) de 65,8%, indiquant une politique de crédit prudente et sélective. Le coût du risque, bien que présenté avec une valeur aberrante dans les données structurées, s'améliore significativement selon le rapport annuel 2025 (-59,3% à 16,5 milliards FCFA), traduisant l'assainissement réussi du portefeuille après les difficultés de 2024.</w:t>
      </w:r>
    </w:p>
    <w:p>
      <w:pPr>
        <w:spacing w:after="120" w:line="276" w:lineRule="auto"/>
      </w:pPr>
      <w:r>
        <w:t>**Estimations basées sur les rapports trimestriels :** Le rapport du T1 2026 (publié en 2026) révèle une accélération spectaculaire : PNB de 36,8 milliards FCFA (+28,5%), résultat net de 21,5 milliards FCFA (+22,2%), dépôts clientèle en hausse de +37,9% à 2 365,1 milliards FCFA, et marge nette de 58,4%. Sur cette base, on estime que l'exercice 2026 devrait afficher un PNB supérieur à 160 milliards FCFA et un résultat net dépassant 80 milliards FCFA, confirmant la trajectoire de croissance soutenue. Le rapport T3 2025 (30/09/2025) confirmait déjà cette dynamique avec un PNB de 101,3 milliards FCFA (+9,65%) et un résultat net de 52,9 milliards FCFA (+6,25%). L'évolution sur trois ans est remarquable : le résultat net est passé de 47,9 milliards FCFA en 2024 (année d'assainissement) à 65,5 milliards en 2025, et devrait atteindre environ 80 milliards en 2026.</w:t>
      </w:r>
    </w:p>
    <w:p>
      <w:pPr>
        <w:spacing w:after="120" w:line="276" w:lineRule="auto"/>
      </w:pPr>
      <w:r>
        <w:t>**Recommandation fondamentale :** La solidité financière de CBIBF est incontestable, avec une rentabilité élevée, un coefficient d'exploitation excellent, une croissance soutenue des dépôts et une amélioration notable de la qualité du portefeuille de crédits. Les principaux risques restent l'environnement sécuritaire et politique régional, ainsi que la concentration géographique sur le Burkina Faso. La notation AA/AI avec perspective stable (Bloomfield) confirme la qualité de crédit de l'émetteur. La convocation de l'AGO du 16 avril 2026 pour l'approbation des comptes 2025 et l'affectation du résultat sera un catalyseur à surveiller, notamment pour la politique de dividende.</w:t>
      </w:r>
    </w:p>
    <w:p>
      <w:pPr>
        <w:spacing w:after="120" w:line="276" w:lineRule="auto"/>
      </w:pPr>
      <w:r>
        <w:t>---</w:t>
      </w:r>
    </w:p>
    <w:p>
      <w:pPr>
        <w:spacing w:after="120" w:line="276" w:lineRule="auto"/>
      </w:pPr>
      <w:r>
        <w:t>## PARTIE 4 : CONCLUSION D'INVESTISSEMENT</w:t>
      </w:r>
    </w:p>
    <w:p>
      <w:pPr>
        <w:spacing w:after="120" w:line="276" w:lineRule="auto"/>
      </w:pPr>
      <w:r>
        <w:t>La valorisation de CBIBF (PER 16,4x, EV/EBITDA 12,1x) apparaît élevée par rapport à la moyenne du marché BRVM, mais elle est justifiée par la qualité des fondamentaux et la croissance exceptionnelle du titre (+103,15% sur 100 jours). Le comportement du cours révèle une tendance haussière puissante, une volatilité élevée (40,1%) et une distribution symétrique sans risque de pics extrêmes (kurtosis -1,009), ce qui est rassurant pour la gestion du risque. Les signaux techniques sont divergents : les indicateurs de tendance (MM, MACD) restent haussiers, mais les oscillateurs (RSI 76, Stochastique) signalent un surachat et un risque de correction à court terme. Les fondamentaux sont excellents, avec un résultat net 2025 de 65,5 milliards FCFA (+36,6%), un coefficient d'exploitation de 36,4% et des perspectives 2026 très favorables (T1 2026 : résultat net +22,2%). Les prédictions IA anticipent une correction baissière sur 10 jours, de 31 260 FCFA (J+1) à 29 366 FCFA (J+5), ce qui confirme les signaux de surachat des oscillateurs et suggère une consolidation imminente.</w:t>
      </w:r>
    </w:p>
    <w:p>
      <w:pPr>
        <w:spacing w:after="120" w:line="276" w:lineRule="auto"/>
      </w:pPr>
      <w:r>
        <w:t>**Recommandation finale : CONSERVER.** La convergence entre des fondamentaux solides, une tendance de fond haussière et des prédictions de correction à court terme plaide pour une attitude prudente : les investisseurs déjà positionnés peuvent conserver leurs titres en profitant de la tendance de moyen terme, tandis que les nouveaux entrants devraient attendre un repli vers la zone des 29 000-30 000 FCFA (proche de la MM50) pour se positionner. Le niveau de confiance est **Moyen** (divergence technique court terme vs fondamentaux long terme), le niveau de risque global est **Élevé** (volatilité 40,1%, exposition géographique), et l'horizon d'investissement optimal est le **moyen terme (3-12 mois)**, le temps que la correction technique s'achève et que la croissance bénéficiaire se matérialise.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299.26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3,731 titres</w:t>
            </w:r>
          </w:p>
        </w:tc>
        <w:tc>
          <w:tcPr>
            <w:tcW w:type="dxa" w:w="2268"/>
            <w:shd w:fill="FFF2CC" w:val="clear"/>
          </w:tcPr>
          <w:p>
            <w:r>
              <w:rPr>
                <w:b/>
                <w:color w:val="503200"/>
                <w:sz w:val="16"/>
              </w:rPr>
              <w:t xml:space="preserve">Cours actuel : </w:t>
            </w:r>
            <w:r>
              <w:rPr>
                <w:color w:val="000000"/>
                <w:sz w:val="17"/>
              </w:rPr>
              <w:t>1,650 FCFA</w:t>
            </w:r>
          </w:p>
          <w:p>
            <w:r>
              <w:rPr>
                <w:b/>
                <w:color w:val="503200"/>
                <w:sz w:val="16"/>
              </w:rPr>
              <w:t xml:space="preserve">Var. 100 jours : </w:t>
            </w:r>
            <w:r>
              <w:rPr>
                <w:b/>
                <w:color w:val="007800"/>
                <w:sz w:val="17"/>
              </w:rPr>
              <w:t>+6.45%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μ=1,624 FCFA, σ=109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β=1.0517 (Neutre (suit le marché)) — Cov=0.000037, Var(idx)=0.000035, ρ=0.208,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81/100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1,625</w:t>
            </w:r>
          </w:p>
        </w:tc>
        <w:tc>
          <w:tcPr>
            <w:tcW w:type="dxa" w:w="1440"/>
            <w:shd w:fill="FAFAFA" w:val="clear"/>
          </w:tcPr>
          <w:p>
            <w:r>
              <w:rPr>
                <w:b/>
                <w:sz w:val="17"/>
              </w:rPr>
              <w:t>1,682</w:t>
            </w:r>
          </w:p>
        </w:tc>
        <w:tc>
          <w:tcPr>
            <w:tcW w:type="dxa" w:w="1440"/>
            <w:shd w:fill="FAFAFA" w:val="clear"/>
          </w:tcPr>
          <w:p>
            <w:r>
              <w:rPr>
                <w:sz w:val="17"/>
              </w:rPr>
              <w:t>1,739</w:t>
            </w:r>
          </w:p>
        </w:tc>
        <w:tc>
          <w:tcPr>
            <w:tcW w:type="dxa" w:w="1440"/>
            <w:shd w:fill="FAFAFA" w:val="clear"/>
          </w:tcPr>
          <w:p>
            <w:r>
              <w:rPr>
                <w:b/>
                <w:color w:val="008000"/>
                <w:sz w:val="17"/>
              </w:rPr>
              <w:t>+1.9%</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1,600</w:t>
            </w:r>
          </w:p>
        </w:tc>
        <w:tc>
          <w:tcPr>
            <w:tcW w:type="dxa" w:w="1440"/>
            <w:shd w:fill="FAFAFA" w:val="clear"/>
          </w:tcPr>
          <w:p>
            <w:r>
              <w:rPr>
                <w:b/>
                <w:sz w:val="17"/>
              </w:rPr>
              <w:t>1,681</w:t>
            </w:r>
          </w:p>
        </w:tc>
        <w:tc>
          <w:tcPr>
            <w:tcW w:type="dxa" w:w="1440"/>
            <w:shd w:fill="FAFAFA" w:val="clear"/>
          </w:tcPr>
          <w:p>
            <w:r>
              <w:rPr>
                <w:sz w:val="17"/>
              </w:rPr>
              <w:t>1,762</w:t>
            </w:r>
          </w:p>
        </w:tc>
        <w:tc>
          <w:tcPr>
            <w:tcW w:type="dxa" w:w="1440"/>
            <w:shd w:fill="FAFAFA" w:val="clear"/>
          </w:tcPr>
          <w:p>
            <w:r>
              <w:rPr>
                <w:b/>
                <w:color w:val="008000"/>
                <w:sz w:val="17"/>
              </w:rPr>
              <w:t>+1.9%</w:t>
            </w:r>
          </w:p>
        </w:tc>
      </w:tr>
      <w:tr>
        <w:tc>
          <w:tcPr>
            <w:tcW w:type="dxa" w:w="1440"/>
            <w:shd w:fill="C6EFCE" w:val="clear"/>
          </w:tcPr>
          <w:p>
            <w:r>
              <w:rPr>
                <w:sz w:val="17"/>
              </w:rPr>
              <w:t>J+3  Moyenne</w:t>
            </w:r>
          </w:p>
        </w:tc>
        <w:tc>
          <w:tcPr>
            <w:tcW w:type="dxa" w:w="1440"/>
            <w:shd w:fill="C6EFCE" w:val="clear"/>
          </w:tcPr>
          <w:p>
            <w:r>
              <w:rPr>
                <w:sz w:val="17"/>
              </w:rPr>
              <w:t>2026-09-22</w:t>
            </w:r>
          </w:p>
        </w:tc>
        <w:tc>
          <w:tcPr>
            <w:tcW w:type="dxa" w:w="1440"/>
            <w:shd w:fill="C6EFCE" w:val="clear"/>
          </w:tcPr>
          <w:p>
            <w:r>
              <w:rPr>
                <w:sz w:val="17"/>
              </w:rPr>
              <w:t>1,585</w:t>
            </w:r>
          </w:p>
        </w:tc>
        <w:tc>
          <w:tcPr>
            <w:tcW w:type="dxa" w:w="1440"/>
            <w:shd w:fill="C6EFCE" w:val="clear"/>
          </w:tcPr>
          <w:p>
            <w:r>
              <w:rPr>
                <w:b/>
                <w:sz w:val="17"/>
              </w:rPr>
              <w:t>1,684</w:t>
            </w:r>
          </w:p>
        </w:tc>
        <w:tc>
          <w:tcPr>
            <w:tcW w:type="dxa" w:w="1440"/>
            <w:shd w:fill="C6EFCE" w:val="clear"/>
          </w:tcPr>
          <w:p>
            <w:r>
              <w:rPr>
                <w:sz w:val="17"/>
              </w:rPr>
              <w:t>1,783</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2026-09-23</w:t>
            </w:r>
          </w:p>
        </w:tc>
        <w:tc>
          <w:tcPr>
            <w:tcW w:type="dxa" w:w="1440"/>
            <w:shd w:fill="C6EFCE" w:val="clear"/>
          </w:tcPr>
          <w:p>
            <w:r>
              <w:rPr>
                <w:sz w:val="17"/>
              </w:rPr>
              <w:t>1,573</w:t>
            </w:r>
          </w:p>
        </w:tc>
        <w:tc>
          <w:tcPr>
            <w:tcW w:type="dxa" w:w="1440"/>
            <w:shd w:fill="C6EFCE" w:val="clear"/>
          </w:tcPr>
          <w:p>
            <w:r>
              <w:rPr>
                <w:b/>
                <w:sz w:val="17"/>
              </w:rPr>
              <w:t>1,688</w:t>
            </w:r>
          </w:p>
        </w:tc>
        <w:tc>
          <w:tcPr>
            <w:tcW w:type="dxa" w:w="1440"/>
            <w:shd w:fill="C6EFCE" w:val="clear"/>
          </w:tcPr>
          <w:p>
            <w:r>
              <w:rPr>
                <w:sz w:val="17"/>
              </w:rPr>
              <w:t>1,802</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2026-09-24</w:t>
            </w:r>
          </w:p>
        </w:tc>
        <w:tc>
          <w:tcPr>
            <w:tcW w:type="dxa" w:w="1440"/>
            <w:shd w:fill="C6EFCE" w:val="clear"/>
          </w:tcPr>
          <w:p>
            <w:r>
              <w:rPr>
                <w:sz w:val="17"/>
              </w:rPr>
              <w:t>1,563</w:t>
            </w:r>
          </w:p>
        </w:tc>
        <w:tc>
          <w:tcPr>
            <w:tcW w:type="dxa" w:w="1440"/>
            <w:shd w:fill="C6EFCE" w:val="clear"/>
          </w:tcPr>
          <w:p>
            <w:r>
              <w:rPr>
                <w:b/>
                <w:sz w:val="17"/>
              </w:rPr>
              <w:t>1,691</w:t>
            </w:r>
          </w:p>
        </w:tc>
        <w:tc>
          <w:tcPr>
            <w:tcW w:type="dxa" w:w="1440"/>
            <w:shd w:fill="C6EFCE" w:val="clear"/>
          </w:tcPr>
          <w:p>
            <w:r>
              <w:rPr>
                <w:sz w:val="17"/>
              </w:rPr>
              <w:t>1,820</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2026-09-25</w:t>
            </w:r>
          </w:p>
        </w:tc>
        <w:tc>
          <w:tcPr>
            <w:tcW w:type="dxa" w:w="1440"/>
            <w:shd w:fill="C6EFCE" w:val="clear"/>
          </w:tcPr>
          <w:p>
            <w:r>
              <w:rPr>
                <w:sz w:val="17"/>
              </w:rPr>
              <w:t>1,554</w:t>
            </w:r>
          </w:p>
        </w:tc>
        <w:tc>
          <w:tcPr>
            <w:tcW w:type="dxa" w:w="1440"/>
            <w:shd w:fill="C6EFCE" w:val="clear"/>
          </w:tcPr>
          <w:p>
            <w:r>
              <w:rPr>
                <w:b/>
                <w:sz w:val="17"/>
              </w:rPr>
              <w:t>1,695</w:t>
            </w:r>
          </w:p>
        </w:tc>
        <w:tc>
          <w:tcPr>
            <w:tcW w:type="dxa" w:w="1440"/>
            <w:shd w:fill="C6EFCE" w:val="clear"/>
          </w:tcPr>
          <w:p>
            <w:r>
              <w:rPr>
                <w:sz w:val="17"/>
              </w:rPr>
              <w:t>1,836</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2026-09-28</w:t>
            </w:r>
          </w:p>
        </w:tc>
        <w:tc>
          <w:tcPr>
            <w:tcW w:type="dxa" w:w="1440"/>
            <w:shd w:fill="C6EFCE" w:val="clear"/>
          </w:tcPr>
          <w:p>
            <w:r>
              <w:rPr>
                <w:sz w:val="17"/>
              </w:rPr>
              <w:t>1,545</w:t>
            </w:r>
          </w:p>
        </w:tc>
        <w:tc>
          <w:tcPr>
            <w:tcW w:type="dxa" w:w="1440"/>
            <w:shd w:fill="C6EFCE" w:val="clear"/>
          </w:tcPr>
          <w:p>
            <w:r>
              <w:rPr>
                <w:b/>
                <w:sz w:val="17"/>
              </w:rPr>
              <w:t>1,698</w:t>
            </w:r>
          </w:p>
        </w:tc>
        <w:tc>
          <w:tcPr>
            <w:tcW w:type="dxa" w:w="1440"/>
            <w:shd w:fill="C6EFCE" w:val="clear"/>
          </w:tcPr>
          <w:p>
            <w:r>
              <w:rPr>
                <w:sz w:val="17"/>
              </w:rPr>
              <w:t>1,851</w:t>
            </w:r>
          </w:p>
        </w:tc>
        <w:tc>
          <w:tcPr>
            <w:tcW w:type="dxa" w:w="1440"/>
            <w:shd w:fill="C6EFCE" w:val="clear"/>
          </w:tcPr>
          <w:p>
            <w:r>
              <w:rPr>
                <w:b/>
                <w:color w:val="008000"/>
                <w:sz w:val="17"/>
              </w:rPr>
              <w:t>+2.9%</w:t>
            </w:r>
          </w:p>
        </w:tc>
      </w:tr>
      <w:tr>
        <w:tc>
          <w:tcPr>
            <w:tcW w:type="dxa" w:w="1440"/>
            <w:shd w:fill="C6EFCE" w:val="clear"/>
          </w:tcPr>
          <w:p>
            <w:r>
              <w:rPr>
                <w:sz w:val="17"/>
              </w:rPr>
              <w:t>J+8  ⭐</w:t>
            </w:r>
          </w:p>
        </w:tc>
        <w:tc>
          <w:tcPr>
            <w:tcW w:type="dxa" w:w="1440"/>
            <w:shd w:fill="C6EFCE" w:val="clear"/>
          </w:tcPr>
          <w:p>
            <w:r>
              <w:rPr>
                <w:sz w:val="17"/>
              </w:rPr>
              <w:t>2026-09-29</w:t>
            </w:r>
          </w:p>
        </w:tc>
        <w:tc>
          <w:tcPr>
            <w:tcW w:type="dxa" w:w="1440"/>
            <w:shd w:fill="C6EFCE" w:val="clear"/>
          </w:tcPr>
          <w:p>
            <w:r>
              <w:rPr>
                <w:sz w:val="17"/>
              </w:rPr>
              <w:t>1,538</w:t>
            </w:r>
          </w:p>
        </w:tc>
        <w:tc>
          <w:tcPr>
            <w:tcW w:type="dxa" w:w="1440"/>
            <w:shd w:fill="C6EFCE" w:val="clear"/>
          </w:tcPr>
          <w:p>
            <w:r>
              <w:rPr>
                <w:b/>
                <w:sz w:val="17"/>
              </w:rPr>
              <w:t>1,701</w:t>
            </w:r>
          </w:p>
        </w:tc>
        <w:tc>
          <w:tcPr>
            <w:tcW w:type="dxa" w:w="1440"/>
            <w:shd w:fill="C6EFCE" w:val="clear"/>
          </w:tcPr>
          <w:p>
            <w:r>
              <w:rPr>
                <w:sz w:val="17"/>
              </w:rPr>
              <w:t>1,865</w:t>
            </w:r>
          </w:p>
        </w:tc>
        <w:tc>
          <w:tcPr>
            <w:tcW w:type="dxa" w:w="1440"/>
            <w:shd w:fill="C6EFCE" w:val="clear"/>
          </w:tcPr>
          <w:p>
            <w:r>
              <w:rPr>
                <w:b/>
                <w:color w:val="008000"/>
                <w:sz w:val="17"/>
              </w:rPr>
              <w:t>+3.1%</w:t>
            </w:r>
          </w:p>
        </w:tc>
      </w:tr>
      <w:tr>
        <w:tc>
          <w:tcPr>
            <w:tcW w:type="dxa" w:w="1440"/>
            <w:shd w:fill="C6EFCE" w:val="clear"/>
          </w:tcPr>
          <w:p>
            <w:r>
              <w:rPr>
                <w:sz w:val="17"/>
              </w:rPr>
              <w:t>J+9  ⭐</w:t>
            </w:r>
          </w:p>
        </w:tc>
        <w:tc>
          <w:tcPr>
            <w:tcW w:type="dxa" w:w="1440"/>
            <w:shd w:fill="C6EFCE" w:val="clear"/>
          </w:tcPr>
          <w:p>
            <w:r>
              <w:rPr>
                <w:sz w:val="17"/>
              </w:rPr>
              <w:t>2026-09-30</w:t>
            </w:r>
          </w:p>
        </w:tc>
        <w:tc>
          <w:tcPr>
            <w:tcW w:type="dxa" w:w="1440"/>
            <w:shd w:fill="C6EFCE" w:val="clear"/>
          </w:tcPr>
          <w:p>
            <w:r>
              <w:rPr>
                <w:sz w:val="17"/>
              </w:rPr>
              <w:t>1,531</w:t>
            </w:r>
          </w:p>
        </w:tc>
        <w:tc>
          <w:tcPr>
            <w:tcW w:type="dxa" w:w="1440"/>
            <w:shd w:fill="C6EFCE" w:val="clear"/>
          </w:tcPr>
          <w:p>
            <w:r>
              <w:rPr>
                <w:b/>
                <w:sz w:val="17"/>
              </w:rPr>
              <w:t>1,705</w:t>
            </w:r>
          </w:p>
        </w:tc>
        <w:tc>
          <w:tcPr>
            <w:tcW w:type="dxa" w:w="1440"/>
            <w:shd w:fill="C6EFCE" w:val="clear"/>
          </w:tcPr>
          <w:p>
            <w:r>
              <w:rPr>
                <w:sz w:val="17"/>
              </w:rPr>
              <w:t>1,878</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2026-10-01</w:t>
            </w:r>
          </w:p>
        </w:tc>
        <w:tc>
          <w:tcPr>
            <w:tcW w:type="dxa" w:w="1440"/>
            <w:shd w:fill="C6EFCE" w:val="clear"/>
          </w:tcPr>
          <w:p>
            <w:r>
              <w:rPr>
                <w:sz w:val="17"/>
              </w:rPr>
              <w:t>1,524</w:t>
            </w:r>
          </w:p>
        </w:tc>
        <w:tc>
          <w:tcPr>
            <w:tcW w:type="dxa" w:w="1440"/>
            <w:shd w:fill="C6EFCE" w:val="clear"/>
          </w:tcPr>
          <w:p>
            <w:r>
              <w:rPr>
                <w:b/>
                <w:sz w:val="17"/>
              </w:rPr>
              <w:t>1,708</w:t>
            </w:r>
          </w:p>
        </w:tc>
        <w:tc>
          <w:tcPr>
            <w:tcW w:type="dxa" w:w="1440"/>
            <w:shd w:fill="C6EFCE" w:val="clear"/>
          </w:tcPr>
          <w:p>
            <w:r>
              <w:rPr>
                <w:sz w:val="17"/>
              </w:rPr>
              <w:t>1,891</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**Bourse Régionale des Valeurs Mobilières (BRVM) — Secteur : Distribution Automobile**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299,26 milliards FCFA, CFAC figure parmi les valeurs les plus capitalisées de la BRVM, ce qui témoigne de son statut de leader incontesté du marché automobile ivoirien (part de marché de 41,7% au T3 2025). Le BPA de 26 FCFA/action signifie que chaque titre génère 26 FCFA de bénéfice net, mais le PER de 63,8x révèle que les investisseurs paient environ 64 fois les bénéfices, soit un niveau très supérieur à la moyenne BRVM (8-12x) — une prime considérable qui traduit des anticipations de croissance très optimistes. Le P/B de 15,38x confirme cette valorisation exigeante : le marché valorise CFAC à plus de 15 fois sa valeur comptable, bien au-dessus du seuil de 4x généralement considéré comme élevé. Enfin, l'EV/EBITDA de 32,5x (contre un seuil d'alerte de 15x) indique que la valeur d'entreprise représente plus de 32 fois la capacité opérationnelle de génération de cash, ce qui suggère une valorisation tendue nécessitant une croissance soutenue pour être justifiée.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positive de +6,45%, bien que la dernière séance (J-1) ait enregistré un repli de -2,37%, signalant une prise de bénéfices après une progression. Le cours actuel de 1 650 FCFA se situe dans la partie médiane du range de trading, entre un plus bas de 1 325 FCFA et un plus haut de 1 825 FCFA, soit une amplitude de 500 FCFA (37,7%) qui reflète une tendance globalement haussière mais ponctuée de corrections. Les statistiques descriptives révèlent une moyenne de 1 624 FCFA légèrement inférieure à la médiane de 1 642 FCFA, tandis que le mode s'établit à 1 695 FCFA — cet écart modéré entre moyenne et médiane, combiné à un skewness négatif de -0,585, indique une asymétrie où les journées au-dessus de la moyenne sont plus fréquentes mais avec des baisses plus marquées. L'écart-type de 109 FCFA (CV de 6,7%) traduit une dispersion relativement contenue du cours autour de sa moyenne, tandis que le kurtosis de -0,299 (mésokurtique) suggère une distribution proche de la normale, sans risque excessif de pics extrêmes. La volatilité annualisée de 47,5% positionne clairement CFAC dans la catégorie des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1 722,25 FCFA et la MM50 à 1 674,30 FCFA, toutes deux supérieures au cours actuel de 1 650 FCFA. Cette configuration — cours sous ses moyennes mobiles — signale une pression baissière à court terme, bien que la décision technique fournie soit "Achat", probablement en anticipation d'un rebond technique vers ces niveaux de résistance dynamique.</w:t>
      </w:r>
    </w:p>
    <w:p>
      <w:pPr>
        <w:spacing w:after="120" w:line="276" w:lineRule="auto"/>
      </w:pPr>
      <w:r>
        <w:t>**Bandes de Bollinger** : La borne supérieure est à 1 785,54 FCFA et la borne inférieure à 1 658,97 FCFA, avec un cours actuel de 1 650 FCFA qui se situe légèrement sous la borne inférieure. Cette position suggère une survente à court terme et un potentiel de rebond vers la bande médiane, justifiant la décision "Achat" malgré la faiblesse récente.</w:t>
      </w:r>
    </w:p>
    <w:p>
      <w:pPr>
        <w:spacing w:after="120" w:line="276" w:lineRule="auto"/>
      </w:pPr>
      <w:r>
        <w:t>**MACD** : La valeur du MACD est de 2,405 contre un signal à 11,058, créant une divergence négative marquée (MACD &lt; Signal). Cet écart indique un momentum baissier persistant et justifie la décision "Vente" — le croisement baissier étant déjà effectif, la prudence est de mise à court terme.</w:t>
      </w:r>
    </w:p>
    <w:p>
      <w:pPr>
        <w:spacing w:after="120" w:line="276" w:lineRule="auto"/>
      </w:pPr>
      <w:r>
        <w:t>**RSI** : À 35,94, le RSI se situe dans la zone neutre basse (30-70), sans atteindre le seuil de survente (&lt;30). La décision "Neutre" reflète cette position ambiguë : ni signal d'achat fort, ni signal de vente, mais une certaine faiblesse relative qui appelle à la vigilance.</w:t>
      </w:r>
    </w:p>
    <w:p>
      <w:pPr>
        <w:spacing w:after="120" w:line="276" w:lineRule="auto"/>
      </w:pPr>
      <w:r>
        <w:t>**Stochastique** : Le %K est à 0,0 (extrême survente) et le %D à 26,67, avec un croisement potentiel à venir. La décision "Achat" s'explique par cette configuration de survente extrême du %K, qui précède souvent un rebond technique, bien que la prudence reste de mise tant que le %K ne remonte pas au-dessus du %D.</w:t>
      </w:r>
    </w:p>
    <w:p>
      <w:pPr>
        <w:spacing w:after="120" w:line="276" w:lineRule="auto"/>
      </w:pPr>
      <w:r>
        <w:t>**Conclusion technique** : Les indicateurs présentent une divergence notable : les Bandes de Bollinger et le Stochastique plaident pour un rebond technique (décisions "Achat"), tandis que le MACD confirme un momentum baissier ("Vente") et que le RSI reste neutre. Cette configuration mitigée suggère une phase de consolidation avec un potentiel de rebond à court terme, mais sans confirmation forte d'une reprise durable — la prudence est recommandée tant que le cours ne repasse pas au-dessus de la MM20 (1 722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CFAC a réalisé un chiffre d'affaires de 158,313 milliards FCFA, en baisse de -12,13% par rapport à 2023, avec un résultat net de 4,693 milliards FCFA (marge nette de 2,96%). Le ROE s'établit à 24,13% (excellent, &gt;15%) et le ROA à 5,52%, confirmant la capacité de l'entreprise à générer des profits sur ses fonds propres malgré la contraction de l'activité. La structure financière révèle une autonomie financière de 22,88% (inférieure au seuil sain de 30%), une dépendance financière de 77,12% et un ratio d'endettement de 23,07%, tandis que la solvabilité générale (129,67%) et la liquidité générale (93,63%) restent correctes mais perfectibles. Le BFR est négatif à -3,482 milliards FCFA (favorable), mais le fonds de roulement est également négatif (-4,106 Mds FCFA) et la trésorerie nette s'établit à -624,20 millions FCFA, signalant une tension de trésorerie. Les délais d'exploitation montrent un délai clients de 36,64 jours (risque modéré), un délai fournisseurs de 81,75 jours (favorable) et une durée de stockage de 88,35 jours (élevée, immobilisant du capital).</w:t>
      </w:r>
    </w:p>
    <w:p>
      <w:pPr>
        <w:spacing w:after="120" w:line="276" w:lineRule="auto"/>
      </w:pPr>
      <w:r>
        <w:t>**Adaptation au secteur (entreprise non bancaire)** : CFAC opère dans la distribution automobile, un secteur cyclique et sensible à la conjoncture économique. La marge brute de 5,92% et la marge opérationnelle de 4,96% sont faibles, reflétant l'intensité concurrentielle du marché. Le taux de croissance du CA de -12,13% en 2024 contraste avec la dynamique positive observée au T3 2025 (+18,3%) et au S1 2025 (+18,4%), suggérant un redressement en cours.</w:t>
      </w:r>
    </w:p>
    <w:p>
      <w:pPr>
        <w:spacing w:after="120" w:line="276" w:lineRule="auto"/>
      </w:pPr>
      <w:r>
        <w:t>**Estimations basées sur les rapports trimestriels** : Le rapport du T3 2025 (daté du 30/09/2025) indique un chiffre d'affaires de 43,580 milliards FCFA (+18,3% vs T3 2024) et un résultat net de 1,489 milliard FCFA (+38,1%), avec une marge nette de 3,42% (contre 2,93% au T3 2024). Le rapport du S1 2025 (daté du 30/06/2025) fait état d'un CA de 91,182 milliards FCFA (+18,4%) et d'un résultat net de 5,420 milliards FCFA (+152,7%), avec une marge nette de 5,9% (contre 2,8% au S1 2024). Sur la base de ces performances, on peut estimer que l'exercice 2025 devrait afficher une croissance du CA d'environ 15-18% (soit ~182-187 milliards FCFA) et un résultat net en forte hausse, potentiellement autour de 8-9 milliards FCFA, ramenant le PER à un niveau plus raisonnable (35-40x). Le rapport annuel 2024 (daté du 31/12/2024) confirme la stratégie de développement du réseau (showroom à Cocody), la diversification (SHACMAN, LOVOL, BYD) et l'amélioration opérationnelle (SAV, digitalisation).</w:t>
      </w:r>
    </w:p>
    <w:p>
      <w:pPr>
        <w:spacing w:after="120" w:line="276" w:lineRule="auto"/>
      </w:pPr>
      <w:r>
        <w:t>**Évolution pluriannuelle** : Entre 2018 et 2023, le CA est passé de 51,35 à 77,67 milliards FCFA (+51,3%), avec une résilience post-COVID et une accélération en 2021 (+27,3%). Cependant, le résultat net a chuté de -42,6% en 2023 (2,04 Mds FCFA), suivi d'un rebond en 2024 (4,69 Mds FCFA) et d'une accélération en 2025 (estimée à 8-9 Mds FCFA). La politique de dividende a été agressive en 2023 (taux de distribution de 88,1%), mais semble se normaliser.</w:t>
      </w:r>
    </w:p>
    <w:p>
      <w:pPr>
        <w:spacing w:after="120" w:line="276" w:lineRule="auto"/>
      </w:pPr>
      <w:r>
        <w:t>**Recommandation fondamentale** : CFAC présente une solidité financière correcte (ROE élevé, solvabilité satisfaisante) mais des risques liés à la trésorerie tendue, à l'endettement et à la cyclicité du marché. Le redressement observé en 2025 (croissance du CA et des marges) est encourageant et devrait se poursuivre, soutenu par la position de leader (41,7% de part de marché) et les investissements stratégiques. La recommandation fondamentale est **CONSERVER** avec un biais positif, en attendant la confirmation de l'amélioration durable de la trésorerie et de la rentabilité.</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exigeante avec un PER de 63,8x, un P/B de 15,38x et un EV/EBITDA de 32,5x, indiquant une surévaluation par rapport aux fondamentaux actuels — mais cette prime pourrait se justifier si la croissance de 2025 se confirme. Le comportement du cours (Partie 1) montre une tendance haussière sur 100 jours (+6,45%) avec une volatilité élevée (47,5%) et une distribution asymétrique négative (skewness -0,585), ce qui implique un risque de corrections brutales. Les signaux techniques (Partie 2) sont mitigés : Bandes de Bollinger et Stochastique suggèrent un rebond ("Achat"), mais le MACD est baissier ("Vente") et le RSI neutre — une divergence qui appelle à la prudence. Les fondamentaux (Partie 3) révèlent un redressement en 2025 (CA +18,3% au T3, résultat net +38,1%) après une année 2024 difficile, avec un ROE élevé (24,13%) mais une trésorerie tendue et un endettement significatif. Les prédictions IA (J+1 à J+10) anticipent une légère hausse vers 1 682-1 691 FCFA, confirmant un potentiel de rebond à court terme.</w:t>
      </w:r>
    </w:p>
    <w:p>
      <w:pPr>
        <w:spacing w:after="120" w:line="276" w:lineRule="auto"/>
      </w:pPr>
      <w:r>
        <w:t>**Recommandation finale** : **CONSERVER** — La convergence entre le redressement fondamental (croissance 2025), le potentiel de rebond technique (survente du Stochastique, Bandes de Bollinger) et les prédictions IA haussières soutient une perspective positive à moyen terme. Cependant, la valorisation exigeante (PER 63,8x), la divergence du MACD et la volatilité élevée (47,5%) incitent à la prudence à court terme. **Niveau de confiance : Moyen** — Les signaux sont contradictoires (technique mitigé, fondamental en amélioration, valorisation tendue). **Niveau de risque global : Élevé** — En raison de la volatilité du titre, de la cyclicité du secteur et de la tension de trésorerie. **Horizon d'investissement optimal : Moyen terme (3-12 mois)** — Pour profiter de la confirmation du redressement de 2025 et d'une normalisation progressive de la valorisation, tout en surveillant les prochains rapports trimestriels (T4 2025, T1 2026) pour valider la tendance.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6,942 titres</w:t>
            </w:r>
          </w:p>
        </w:tc>
        <w:tc>
          <w:tcPr>
            <w:tcW w:type="dxa" w:w="2268"/>
            <w:shd w:fill="FFF2CC" w:val="clear"/>
          </w:tcPr>
          <w:p>
            <w:r>
              <w:rPr>
                <w:b/>
                <w:color w:val="503200"/>
                <w:sz w:val="16"/>
              </w:rPr>
              <w:t xml:space="preserve">Cours actuel : </w:t>
            </w:r>
            <w:r>
              <w:rPr>
                <w:color w:val="000000"/>
                <w:sz w:val="17"/>
              </w:rPr>
              <w:t>6,500 FCFA</w:t>
            </w:r>
          </w:p>
          <w:p>
            <w:r>
              <w:rPr>
                <w:b/>
                <w:color w:val="503200"/>
                <w:sz w:val="16"/>
              </w:rPr>
              <w:t xml:space="preserve">Var. 100 jours : </w:t>
            </w:r>
            <w:r>
              <w:rPr>
                <w:b/>
                <w:color w:val="007800"/>
                <w:sz w:val="17"/>
              </w:rPr>
              <w:t>+105.37%</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23.26% (Élevée) — μ=5,119 FCFA, σ=1,191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β=0.9675 (Neutre (suit le marché)) — Cov=0.000034, Var(idx)=0.000035, ρ=0.177,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6,942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2026-09-18</w:t>
            </w:r>
          </w:p>
        </w:tc>
        <w:tc>
          <w:tcPr>
            <w:tcW w:type="dxa" w:w="1440"/>
            <w:shd w:fill="FFDCE0" w:val="clear"/>
          </w:tcPr>
          <w:p>
            <w:r>
              <w:rPr>
                <w:sz w:val="17"/>
              </w:rPr>
              <w:t>5,995</w:t>
            </w:r>
          </w:p>
        </w:tc>
        <w:tc>
          <w:tcPr>
            <w:tcW w:type="dxa" w:w="1440"/>
            <w:shd w:fill="FFDCE0" w:val="clear"/>
          </w:tcPr>
          <w:p>
            <w:r>
              <w:rPr>
                <w:b/>
                <w:sz w:val="17"/>
              </w:rPr>
              <w:t>6,336</w:t>
            </w:r>
          </w:p>
        </w:tc>
        <w:tc>
          <w:tcPr>
            <w:tcW w:type="dxa" w:w="1440"/>
            <w:shd w:fill="FFDCE0" w:val="clear"/>
          </w:tcPr>
          <w:p>
            <w:r>
              <w:rPr>
                <w:sz w:val="17"/>
              </w:rPr>
              <w:t>6,676</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2026-09-21</w:t>
            </w:r>
          </w:p>
        </w:tc>
        <w:tc>
          <w:tcPr>
            <w:tcW w:type="dxa" w:w="1440"/>
            <w:shd w:fill="FFDCE0" w:val="clear"/>
          </w:tcPr>
          <w:p>
            <w:r>
              <w:rPr>
                <w:sz w:val="17"/>
              </w:rPr>
              <w:t>5,756</w:t>
            </w:r>
          </w:p>
        </w:tc>
        <w:tc>
          <w:tcPr>
            <w:tcW w:type="dxa" w:w="1440"/>
            <w:shd w:fill="FFDCE0" w:val="clear"/>
          </w:tcPr>
          <w:p>
            <w:r>
              <w:rPr>
                <w:b/>
                <w:sz w:val="17"/>
              </w:rPr>
              <w:t>6,230</w:t>
            </w:r>
          </w:p>
        </w:tc>
        <w:tc>
          <w:tcPr>
            <w:tcW w:type="dxa" w:w="1440"/>
            <w:shd w:fill="FFDCE0" w:val="clear"/>
          </w:tcPr>
          <w:p>
            <w:r>
              <w:rPr>
                <w:sz w:val="17"/>
              </w:rPr>
              <w:t>6,704</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2026-09-22</w:t>
            </w:r>
          </w:p>
        </w:tc>
        <w:tc>
          <w:tcPr>
            <w:tcW w:type="dxa" w:w="1440"/>
            <w:shd w:fill="FFDCE0" w:val="clear"/>
          </w:tcPr>
          <w:p>
            <w:r>
              <w:rPr>
                <w:sz w:val="17"/>
              </w:rPr>
              <w:t>5,584</w:t>
            </w:r>
          </w:p>
        </w:tc>
        <w:tc>
          <w:tcPr>
            <w:tcW w:type="dxa" w:w="1440"/>
            <w:shd w:fill="FFDCE0" w:val="clear"/>
          </w:tcPr>
          <w:p>
            <w:r>
              <w:rPr>
                <w:b/>
                <w:sz w:val="17"/>
              </w:rPr>
              <w:t>6,157</w:t>
            </w:r>
          </w:p>
        </w:tc>
        <w:tc>
          <w:tcPr>
            <w:tcW w:type="dxa" w:w="1440"/>
            <w:shd w:fill="FFDCE0" w:val="clear"/>
          </w:tcPr>
          <w:p>
            <w:r>
              <w:rPr>
                <w:sz w:val="17"/>
              </w:rPr>
              <w:t>6,731</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5,452</w:t>
            </w:r>
          </w:p>
        </w:tc>
        <w:tc>
          <w:tcPr>
            <w:tcW w:type="dxa" w:w="1440"/>
            <w:shd w:fill="FFDCE0" w:val="clear"/>
          </w:tcPr>
          <w:p>
            <w:r>
              <w:rPr>
                <w:b/>
                <w:sz w:val="17"/>
              </w:rPr>
              <w:t>6,108</w:t>
            </w:r>
          </w:p>
        </w:tc>
        <w:tc>
          <w:tcPr>
            <w:tcW w:type="dxa" w:w="1440"/>
            <w:shd w:fill="FFDCE0" w:val="clear"/>
          </w:tcPr>
          <w:p>
            <w:r>
              <w:rPr>
                <w:sz w:val="17"/>
              </w:rPr>
              <w:t>6,765</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5,341</w:t>
            </w:r>
          </w:p>
        </w:tc>
        <w:tc>
          <w:tcPr>
            <w:tcW w:type="dxa" w:w="1440"/>
            <w:shd w:fill="FFDCE0" w:val="clear"/>
          </w:tcPr>
          <w:p>
            <w:r>
              <w:rPr>
                <w:b/>
                <w:sz w:val="17"/>
              </w:rPr>
              <w:t>6,070</w:t>
            </w:r>
          </w:p>
        </w:tc>
        <w:tc>
          <w:tcPr>
            <w:tcW w:type="dxa" w:w="1440"/>
            <w:shd w:fill="FFDCE0" w:val="clear"/>
          </w:tcPr>
          <w:p>
            <w:r>
              <w:rPr>
                <w:sz w:val="17"/>
              </w:rPr>
              <w:t>6,800</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5,243</w:t>
            </w:r>
          </w:p>
        </w:tc>
        <w:tc>
          <w:tcPr>
            <w:tcW w:type="dxa" w:w="1440"/>
            <w:shd w:fill="FFDCE0" w:val="clear"/>
          </w:tcPr>
          <w:p>
            <w:r>
              <w:rPr>
                <w:b/>
                <w:sz w:val="17"/>
              </w:rPr>
              <w:t>6,038</w:t>
            </w:r>
          </w:p>
        </w:tc>
        <w:tc>
          <w:tcPr>
            <w:tcW w:type="dxa" w:w="1440"/>
            <w:shd w:fill="FFDCE0" w:val="clear"/>
          </w:tcPr>
          <w:p>
            <w:r>
              <w:rPr>
                <w:sz w:val="17"/>
              </w:rPr>
              <w:t>6,833</w:t>
            </w:r>
          </w:p>
        </w:tc>
        <w:tc>
          <w:tcPr>
            <w:tcW w:type="dxa" w:w="1440"/>
            <w:shd w:fill="FFDCE0" w:val="clear"/>
          </w:tcPr>
          <w:p>
            <w:r>
              <w:rPr>
                <w:b/>
                <w:color w:val="C00000"/>
                <w:sz w:val="17"/>
              </w:rPr>
              <w:t>-7.1%</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5,156</w:t>
            </w:r>
          </w:p>
        </w:tc>
        <w:tc>
          <w:tcPr>
            <w:tcW w:type="dxa" w:w="1440"/>
            <w:shd w:fill="FFDCE0" w:val="clear"/>
          </w:tcPr>
          <w:p>
            <w:r>
              <w:rPr>
                <w:b/>
                <w:sz w:val="17"/>
              </w:rPr>
              <w:t>6,011</w:t>
            </w:r>
          </w:p>
        </w:tc>
        <w:tc>
          <w:tcPr>
            <w:tcW w:type="dxa" w:w="1440"/>
            <w:shd w:fill="FFDCE0" w:val="clear"/>
          </w:tcPr>
          <w:p>
            <w:r>
              <w:rPr>
                <w:sz w:val="17"/>
              </w:rPr>
              <w:t>6,866</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5,078</w:t>
            </w:r>
          </w:p>
        </w:tc>
        <w:tc>
          <w:tcPr>
            <w:tcW w:type="dxa" w:w="1440"/>
            <w:shd w:fill="FFDCE0" w:val="clear"/>
          </w:tcPr>
          <w:p>
            <w:r>
              <w:rPr>
                <w:b/>
                <w:sz w:val="17"/>
              </w:rPr>
              <w:t>5,988</w:t>
            </w:r>
          </w:p>
        </w:tc>
        <w:tc>
          <w:tcPr>
            <w:tcW w:type="dxa" w:w="1440"/>
            <w:shd w:fill="FFDCE0" w:val="clear"/>
          </w:tcPr>
          <w:p>
            <w:r>
              <w:rPr>
                <w:sz w:val="17"/>
              </w:rPr>
              <w:t>6,899</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5,006</w:t>
            </w:r>
          </w:p>
        </w:tc>
        <w:tc>
          <w:tcPr>
            <w:tcW w:type="dxa" w:w="1440"/>
            <w:shd w:fill="FFDCE0" w:val="clear"/>
          </w:tcPr>
          <w:p>
            <w:r>
              <w:rPr>
                <w:b/>
                <w:sz w:val="17"/>
              </w:rPr>
              <w:t>5,968</w:t>
            </w:r>
          </w:p>
        </w:tc>
        <w:tc>
          <w:tcPr>
            <w:tcW w:type="dxa" w:w="1440"/>
            <w:shd w:fill="FFDCE0" w:val="clear"/>
          </w:tcPr>
          <w:p>
            <w:r>
              <w:rPr>
                <w:sz w:val="17"/>
              </w:rPr>
              <w:t>6,931</w:t>
            </w:r>
          </w:p>
        </w:tc>
        <w:tc>
          <w:tcPr>
            <w:tcW w:type="dxa" w:w="1440"/>
            <w:shd w:fill="FFDCE0" w:val="clear"/>
          </w:tcPr>
          <w:p>
            <w:r>
              <w:rPr>
                <w:b/>
                <w:color w:val="C00000"/>
                <w:sz w:val="17"/>
              </w:rPr>
              <w:t>-8.2%</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4,939</w:t>
            </w:r>
          </w:p>
        </w:tc>
        <w:tc>
          <w:tcPr>
            <w:tcW w:type="dxa" w:w="1440"/>
            <w:shd w:fill="FFDCE0" w:val="clear"/>
          </w:tcPr>
          <w:p>
            <w:r>
              <w:rPr>
                <w:b/>
                <w:sz w:val="17"/>
              </w:rPr>
              <w:t>5,951</w:t>
            </w:r>
          </w:p>
        </w:tc>
        <w:tc>
          <w:tcPr>
            <w:tcW w:type="dxa" w:w="1440"/>
            <w:shd w:fill="FFDCE0" w:val="clear"/>
          </w:tcPr>
          <w:p>
            <w:r>
              <w:rPr>
                <w:sz w:val="17"/>
              </w:rPr>
              <w:t>6,962</w:t>
            </w:r>
          </w:p>
        </w:tc>
        <w:tc>
          <w:tcPr>
            <w:tcW w:type="dxa" w:w="1440"/>
            <w:shd w:fill="FFDCE0" w:val="clear"/>
          </w:tcPr>
          <w:p>
            <w:r>
              <w:rPr>
                <w:b/>
                <w:color w:val="C00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364,00 milliards FCFA, la CIEC figure parmi les plus grandes capitalisations de la BRVM, ce qui témoigne de son statut de valeur de premier plan dans le compartiment des services publics. Le BPA s'établit à 234 FCFA par action, ce qui signifie que chaque titre détenu génère 234 FCFA de bénéfice net, un niveau cohérent avec la progression de 30% du résultat net en 2025. Le PER de 27,7x est nettement supérieur à la moyenne du marché BRVM (8-12x), signalant que les investisseurs paient une prime très élevée pour les bénéfices actuels, ce qui intègre soit une forte croissance attendue, soit une surévaluation spéculative. Le P/B de 10,12x, très au-dessus du seuil de 4x, indique que le marché valorise la société à plus de dix fois sa valeur comptable, une prime exigeante qui reflète la rareté du titre et la solidité de son modèle de concession. Enfin, l'EV/EBITDA de 14,9x, dans la fourchette haute (10-15x), confirme que la valeur totale de l'entreprise (dette incluse) est chèrement valorisée par rapport à sa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+105,37%, passant d'un plus bas de 3 000 FCFA à un plus haut de 7 400 FCFA, avant de revenir à 6 500 FCFA, soit une contraction de -2,26% lors de la dernière séance. Ce range de trading de 4 400 FCFA (soit un rapport de 2,47x entre le plus haut et le plus bas) traduit une tendance haussière puissante, mais aussi une phase de correction récente depuis les sommets. La moyenne (5 119 FCFA) est légèrement inférieure à la médiane (5 190 FCFA), ce qui indique une distribution très légèrement asymétrique à gauche, bien que le skewness de -0,046 confirme une symétrie quasi parfaite. L'écart-type de 1 197 FCFA, avec un coefficient de variation de 23,4%, révèle une dispersion modérée du cours autour de sa moyenne, tandis que le kurtosis de -0,659 (mésokurtique) suggère une distribution proche de la normale, sans risque excessif de pics extrêmes. La volatilité annualisée de 51,6% classe le titre dans la catégorie des valeurs très volatiles (&gt;30%), ce qui implique un risque de marché élevé et une sensibilité accrue aux flux acheteurs/vendeurs sur un marché BRVM peu profond.</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6 875,25 FCFA et la MM50 à 5 942,60 FCFA, toutes deux supérieures au cours actuel de 6 500 FCFA, ce qui place le titre sous ses moyennes court et moyen terme. La MM20 &gt; MM50 confirme une configuration haussière de fond, mais le fait que le cours soit repassé sous la MM20 suggère une perte de momentum à court terme. La décision affichée est "Achat", probablement basée sur la tendance de fond, mais la prudence est de mise tant que le cours ne repasse pas au-dessus de 6 875 FCFA.</w:t>
      </w:r>
    </w:p>
    <w:p>
      <w:pPr>
        <w:spacing w:after="120" w:line="276" w:lineRule="auto"/>
      </w:pPr>
      <w:r>
        <w:t>**Bandes de Bollinger :** La borne supérieure est à 7 398,70 FCFA et la borne inférieure à 6 351,81 FCFA, avec un cours actuel de 6 500 FCFA qui se situe dans la partie basse de la bande, à seulement 148 FCFA de la borne inférieure. Cette position indique une pression vendeuse récente et une volatilité qui se resserre, le cours se rapprochant du support dynamique. La décision "Neutre" reflète l'absence de signal clair : le titre n'est ni en surachat ni en survente selon ce seul indicateur.</w:t>
      </w:r>
    </w:p>
    <w:p>
      <w:pPr>
        <w:spacing w:after="120" w:line="276" w:lineRule="auto"/>
      </w:pPr>
      <w:r>
        <w:t>**MACD :** La valeur du MACD est de 242,82 contre un signal à 340,42, soit un MACD inférieur à son signal, ce qui constitue un croisement baissier et un signal de vente. Le momentum est clairement négatif, la divergence entre les deux lignes s'accentuant à la baisse, ce qui confirme la correction en cours depuis le plus haut de 7 400 FCFA.</w:t>
      </w:r>
    </w:p>
    <w:p>
      <w:pPr>
        <w:spacing w:after="120" w:line="276" w:lineRule="auto"/>
      </w:pPr>
      <w:r>
        <w:t>**RSI :** À 45,0, le RSI se situe dans la zone neutre (30-70), sans signal de surachat ni de survente. Cette valeur médiane indique un équilibre entre acheteurs et vendeurs, mais la tendance récente à la baisse suggère que le RSI pourrait se diriger vers la zone de survente si la pression vendeuse persiste. La décision "Neutre" est cohérente avec cette configuration.</w:t>
      </w:r>
    </w:p>
    <w:p>
      <w:pPr>
        <w:spacing w:after="120" w:line="276" w:lineRule="auto"/>
      </w:pPr>
      <w:r>
        <w:t>**Stochastique :** Le %K est à 0,0 et le %D à 16,667, ce qui place l'indicateur en zone de survente extrême. Un %K à 0 est un signal rare qui indique que le cours a clôturé à son plus bas niveau de la période récente, ce qui précède souvent un rebond technique. La décision "Achat" est justifiée par cette configuration de survente, mais le croisement haussier du %K au-dessus du %D n'est pas encore confirmé.</w:t>
      </w:r>
    </w:p>
    <w:p>
      <w:pPr>
        <w:spacing w:after="120" w:line="276" w:lineRule="auto"/>
      </w:pPr>
      <w:r>
        <w:t>**Conclusion technique :** Les indicateurs techniques présentent une divergence notable : les moyennes mobiles et le stochastique plaident pour un achat (tendance de fond haussière et survente extrême), tandis que le MACD et la position du cours sous la MM20 signalent une vente à court terme. Le RSI neutre et les bandes de Bollinger confirment l'absence de direction claire. Dans l'ensemble, le titre se trouve dans une phase de correction au sein d'une tendance haussière plus large, et un rebond technique est possible à court terme, mais la confirmation d'un retournement haussier fait défaut.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la CIEC a réalisé un chiffre d'affaires de 302,320 milliards FCFA, en croissance de 14,82% par rapport à 2024, portée par une hausse des ventes d'énergie (+8,3% en volume) et une expansion du nombre de clients à 5 282 283 (+15,1%). Le résultat net s'établit à 13,127 milliards FCFA, en progression de 30%, avec une marge nette de 4,34% et une marge opérationnelle de 7,40%. Le ROE atteint 36,50%, un niveau excellent (&gt;15%), bien que le ROA ne soit que de 0,65% en raison de la structure bilancielle très lourde (total actif de 2 018,446 milliards FCFA). La société affiche un BFR négatif de -90,244 milliards FCFA, ce qui est favorable car elle finance son cycle d'exploitation par ses fournisseurs, mais le délai client de 164 jours reste élevé et constitue un risque de trésorerie. Le ratio d'endettement de 612,94% et une autonomie financière de seulement 1,78% traduisent une dépendance très forte aux dettes (1 982,484 milliards FCFA), typique du modèle de concession où l'essentiel des actifs/passifs est géré pour le compte de l'Autorité concédante. La capacité de remboursement de 7,64 années et la couverture des intérêts de 617,75% montrent que le service de la dette est largement assuré par l'exploitation.</w:t>
      </w:r>
    </w:p>
    <w:p>
      <w:pPr>
        <w:spacing w:after="120" w:line="276" w:lineRule="auto"/>
      </w:pPr>
      <w:r>
        <w:t>**Estimations basées sur les rapports semestriels :** Le rapport du 1er semestre 2025 (date : 30/06/2025) indique un chiffre d'affaires de 134,923 milliards FCFA (+18,85%) et un résultat net de 5,096 milliards FCFA (+13,4%), avec une marge nette de 3,8% contre 4,0% un an plus tôt. Sur cette base, on estime que l'exercice 2025 devrait confirmer la tendance annuelle avec un résultat net autour de 13,1 milliards FCFA, ce qui est effectivement le cas. Pour 2026, la poursuite de la croissance démographique et des branchements dans le cadre du PEPT (Programme Électricité Pour Tous) devrait soutenir une nouvelle progression du CA, estimée entre +10% et +15%, avec un résultat net potentiellement compris entre 14 et 15 milliards FCFA, soit un BPA estimé entre 250 et 268 FCFA.</w:t>
      </w:r>
    </w:p>
    <w:p>
      <w:pPr>
        <w:spacing w:after="120" w:line="276" w:lineRule="auto"/>
      </w:pPr>
      <w:r>
        <w:t>**Évolution pluriannuelle et recommandation fondamentale :** Les rapports antérieurs (2021-2024) montrent une société qui a traversé une transition majeure avec la nouvelle convention de concession entrée en vigueur en 2021, réduisant drastiquement le bilan (total actif passé de 1 254,8 à 558,2 milliards FCFA) et modifiant le modèle de rémunération. Le résultat net, après une baisse à 10,5 milliards en 2021, est remonté à 10,526 milliards en 2024 puis 13,127 milliards en 2025, confirmant une trajectoire de redressement. La politique de dividende est très généreuse avec un DPA de 234 FCFA en 2025 (taux de distribution de 99,8% du résultat net social), offrant un rendement attractif au cours actuel de 6 500 FCFA (3,6%). Les principaux risques identifiés sont le risque de crédit client (créances de 137,728 milliards FCFA), la dépendance au cadre réglementaire de la concession, et le niveau d'endettement élevé. La recommandation fondamentale est de **CONSERVER** le titre pour son rendement et sa croissance, mais la valorisation exigeante limite le potentiel de plus-value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apparaît nettement tendue : un PER de 27,7x (vs 8-12x pour le marché BRVM), un P/B de 10,12x et un EV/EBITDA de 14,9x indiquent que le marché intègre déjà une forte croissance et une prime de rareté, ce qui réduit la marge de sécurité pour l'investisseur. Le comportement du cours sur 100 jours est exceptionnel (+105,37%) mais la correction récente (-2,26% en J-1) et la volatilité annualisée de 51,6% signalent une prise de risque élevée, avec une distribution symétrique (skewness -0,046) et sans pics extrêmes (kurtosis -0,659), ce qui est rassurant sur la stabilité statistique. Les signaux techniques sont divergents : le stochastique en survente extrême (%K=0) et les MM20&gt;MM50 plaident pour un rebond, mais le MACD baissier et le cours sous la MM20 confirment une pression vendeuse à court terme, tandis que le RSI neutre (45) et les bandes de Bollinger (cours proche de la borne inférieure) n'apportent pas de direction claire. Les fondamentaux restent solides avec une croissance du CA de 14,8% en 2025, un résultat net en hausse de 30% à 13,1 milliards FCFA, un ROE de 36,5% et un dividende attractif de 234 FCFA, mais la structure financière très endettée (ratio d'endettement de 612,9%) et le délai client élevé (164 jours) constituent des vulnérabilités. Les prédictions IA pour les 10 prochains jours ouvrables (6 336 → 6 070 FCFA, soit -6,6%) confirment la tendance baissière de court terme déjà visible dans les indicateurs techniques, ce qui contredit la thèse d'un rebond immédiat. Dans cette configuration, la convergence entre valorisation tendue, technique baissière à court terme et prédictions négatives l'emporte sur les fondamentaux solides et le rendement attractif. **Recommandation finale : CONSERVER**, avec un niveau de confiance **Moyen** et un risque global **Élevé**. L'horizon optimal est le **moyen terme (3-12 mois)** pour bénéficier du dividende et de la croissance, en attendant une correction plus prononcée ou une confirmation de retournement technique pour 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4,096 titres</w:t>
            </w:r>
          </w:p>
        </w:tc>
        <w:tc>
          <w:tcPr>
            <w:tcW w:type="dxa" w:w="2268"/>
            <w:shd w:fill="FFF2CC" w:val="clear"/>
          </w:tcPr>
          <w:p>
            <w:r>
              <w:rPr>
                <w:b/>
                <w:color w:val="503200"/>
                <w:sz w:val="16"/>
              </w:rPr>
              <w:t xml:space="preserve">Cours actuel : </w:t>
            </w:r>
            <w:r>
              <w:rPr>
                <w:color w:val="000000"/>
                <w:sz w:val="17"/>
              </w:rPr>
              <w:t>17,100 FCFA</w:t>
            </w:r>
          </w:p>
          <w:p>
            <w:r>
              <w:rPr>
                <w:b/>
                <w:color w:val="503200"/>
                <w:sz w:val="16"/>
              </w:rPr>
              <w:t xml:space="preserve">Var. 100 jours : </w:t>
            </w:r>
            <w:r>
              <w:rPr>
                <w:b/>
                <w:color w:val="007800"/>
                <w:sz w:val="17"/>
              </w:rPr>
              <w:t>+6.88%</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μ=16,496 FCFA, σ=455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β=0.4704 (Défensif) — Cov=0.000017, Var(idx)=0.000035, ρ=0.154,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16,611</w:t>
            </w:r>
          </w:p>
        </w:tc>
        <w:tc>
          <w:tcPr>
            <w:tcW w:type="dxa" w:w="1440"/>
            <w:shd w:fill="FAFAFA" w:val="clear"/>
          </w:tcPr>
          <w:p>
            <w:r>
              <w:rPr>
                <w:b/>
                <w:sz w:val="17"/>
              </w:rPr>
              <w:t>17,135</w:t>
            </w:r>
          </w:p>
        </w:tc>
        <w:tc>
          <w:tcPr>
            <w:tcW w:type="dxa" w:w="1440"/>
            <w:shd w:fill="FAFAFA" w:val="clear"/>
          </w:tcPr>
          <w:p>
            <w:r>
              <w:rPr>
                <w:sz w:val="17"/>
              </w:rPr>
              <w:t>17,659</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16,416</w:t>
            </w:r>
          </w:p>
        </w:tc>
        <w:tc>
          <w:tcPr>
            <w:tcW w:type="dxa" w:w="1440"/>
            <w:shd w:fill="FAFAFA" w:val="clear"/>
          </w:tcPr>
          <w:p>
            <w:r>
              <w:rPr>
                <w:b/>
                <w:sz w:val="17"/>
              </w:rPr>
              <w:t>17,158</w:t>
            </w:r>
          </w:p>
        </w:tc>
        <w:tc>
          <w:tcPr>
            <w:tcW w:type="dxa" w:w="1440"/>
            <w:shd w:fill="FAFAFA" w:val="clear"/>
          </w:tcPr>
          <w:p>
            <w:r>
              <w:rPr>
                <w:sz w:val="17"/>
              </w:rPr>
              <w:t>17,900</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16,269</w:t>
            </w:r>
          </w:p>
        </w:tc>
        <w:tc>
          <w:tcPr>
            <w:tcW w:type="dxa" w:w="1440"/>
            <w:shd w:fill="FAFAFA" w:val="clear"/>
          </w:tcPr>
          <w:p>
            <w:r>
              <w:rPr>
                <w:b/>
                <w:sz w:val="17"/>
              </w:rPr>
              <w:t>17,179</w:t>
            </w:r>
          </w:p>
        </w:tc>
        <w:tc>
          <w:tcPr>
            <w:tcW w:type="dxa" w:w="1440"/>
            <w:shd w:fill="FAFAFA" w:val="clear"/>
          </w:tcPr>
          <w:p>
            <w:r>
              <w:rPr>
                <w:sz w:val="17"/>
              </w:rPr>
              <w:t>18,088</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16,146</w:t>
            </w:r>
          </w:p>
        </w:tc>
        <w:tc>
          <w:tcPr>
            <w:tcW w:type="dxa" w:w="1440"/>
            <w:shd w:fill="FAFAFA" w:val="clear"/>
          </w:tcPr>
          <w:p>
            <w:r>
              <w:rPr>
                <w:b/>
                <w:sz w:val="17"/>
              </w:rPr>
              <w:t>17,197</w:t>
            </w:r>
          </w:p>
        </w:tc>
        <w:tc>
          <w:tcPr>
            <w:tcW w:type="dxa" w:w="1440"/>
            <w:shd w:fill="FAFAFA" w:val="clear"/>
          </w:tcPr>
          <w:p>
            <w:r>
              <w:rPr>
                <w:sz w:val="17"/>
              </w:rPr>
              <w:t>18,249</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2026-09-24</w:t>
            </w:r>
          </w:p>
        </w:tc>
        <w:tc>
          <w:tcPr>
            <w:tcW w:type="dxa" w:w="1440"/>
            <w:shd w:fill="FAFAFA" w:val="clear"/>
          </w:tcPr>
          <w:p>
            <w:r>
              <w:rPr>
                <w:sz w:val="17"/>
              </w:rPr>
              <w:t>16,038</w:t>
            </w:r>
          </w:p>
        </w:tc>
        <w:tc>
          <w:tcPr>
            <w:tcW w:type="dxa" w:w="1440"/>
            <w:shd w:fill="FAFAFA" w:val="clear"/>
          </w:tcPr>
          <w:p>
            <w:r>
              <w:rPr>
                <w:b/>
                <w:sz w:val="17"/>
              </w:rPr>
              <w:t>17,215</w:t>
            </w:r>
          </w:p>
        </w:tc>
        <w:tc>
          <w:tcPr>
            <w:tcW w:type="dxa" w:w="1440"/>
            <w:shd w:fill="FAFAFA" w:val="clear"/>
          </w:tcPr>
          <w:p>
            <w:r>
              <w:rPr>
                <w:sz w:val="17"/>
              </w:rPr>
              <w:t>18,392</w:t>
            </w:r>
          </w:p>
        </w:tc>
        <w:tc>
          <w:tcPr>
            <w:tcW w:type="dxa" w:w="1440"/>
            <w:shd w:fill="FAFAFA" w:val="clear"/>
          </w:tcPr>
          <w:p>
            <w:r>
              <w:rPr>
                <w:b/>
                <w:color w:val="008000"/>
                <w:sz w:val="17"/>
              </w:rPr>
              <w:t>+0.7%</w:t>
            </w:r>
          </w:p>
        </w:tc>
      </w:tr>
      <w:tr>
        <w:tc>
          <w:tcPr>
            <w:tcW w:type="dxa" w:w="1440"/>
            <w:shd w:fill="FAFAFA" w:val="clear"/>
          </w:tcPr>
          <w:p>
            <w:r>
              <w:rPr>
                <w:sz w:val="17"/>
              </w:rPr>
              <w:t>J+6  Moyenne</w:t>
            </w:r>
          </w:p>
        </w:tc>
        <w:tc>
          <w:tcPr>
            <w:tcW w:type="dxa" w:w="1440"/>
            <w:shd w:fill="FAFAFA" w:val="clear"/>
          </w:tcPr>
          <w:p>
            <w:r>
              <w:rPr>
                <w:sz w:val="17"/>
              </w:rPr>
              <w:t>2026-09-25</w:t>
            </w:r>
          </w:p>
        </w:tc>
        <w:tc>
          <w:tcPr>
            <w:tcW w:type="dxa" w:w="1440"/>
            <w:shd w:fill="FAFAFA" w:val="clear"/>
          </w:tcPr>
          <w:p>
            <w:r>
              <w:rPr>
                <w:sz w:val="17"/>
              </w:rPr>
              <w:t>15,942</w:t>
            </w:r>
          </w:p>
        </w:tc>
        <w:tc>
          <w:tcPr>
            <w:tcW w:type="dxa" w:w="1440"/>
            <w:shd w:fill="FAFAFA" w:val="clear"/>
          </w:tcPr>
          <w:p>
            <w:r>
              <w:rPr>
                <w:b/>
                <w:sz w:val="17"/>
              </w:rPr>
              <w:t>17,232</w:t>
            </w:r>
          </w:p>
        </w:tc>
        <w:tc>
          <w:tcPr>
            <w:tcW w:type="dxa" w:w="1440"/>
            <w:shd w:fill="FAFAFA" w:val="clear"/>
          </w:tcPr>
          <w:p>
            <w:r>
              <w:rPr>
                <w:sz w:val="17"/>
              </w:rPr>
              <w:t>18,523</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2026-09-28</w:t>
            </w:r>
          </w:p>
        </w:tc>
        <w:tc>
          <w:tcPr>
            <w:tcW w:type="dxa" w:w="1440"/>
            <w:shd w:fill="FAFAFA" w:val="clear"/>
          </w:tcPr>
          <w:p>
            <w:r>
              <w:rPr>
                <w:sz w:val="17"/>
              </w:rPr>
              <w:t>15,854</w:t>
            </w:r>
          </w:p>
        </w:tc>
        <w:tc>
          <w:tcPr>
            <w:tcW w:type="dxa" w:w="1440"/>
            <w:shd w:fill="FAFAFA" w:val="clear"/>
          </w:tcPr>
          <w:p>
            <w:r>
              <w:rPr>
                <w:b/>
                <w:sz w:val="17"/>
              </w:rPr>
              <w:t>17,250</w:t>
            </w:r>
          </w:p>
        </w:tc>
        <w:tc>
          <w:tcPr>
            <w:tcW w:type="dxa" w:w="1440"/>
            <w:shd w:fill="FAFAFA" w:val="clear"/>
          </w:tcPr>
          <w:p>
            <w:r>
              <w:rPr>
                <w:sz w:val="17"/>
              </w:rPr>
              <w:t>18,645</w:t>
            </w:r>
          </w:p>
        </w:tc>
        <w:tc>
          <w:tcPr>
            <w:tcW w:type="dxa" w:w="1440"/>
            <w:shd w:fill="FAFAFA" w:val="clear"/>
          </w:tcPr>
          <w:p>
            <w:r>
              <w:rPr>
                <w:b/>
                <w:color w:val="008000"/>
                <w:sz w:val="17"/>
              </w:rPr>
              <w:t>+0.9%</w:t>
            </w:r>
          </w:p>
        </w:tc>
      </w:tr>
      <w:tr>
        <w:tc>
          <w:tcPr>
            <w:tcW w:type="dxa" w:w="1440"/>
            <w:shd w:fill="FAFAFA" w:val="clear"/>
          </w:tcPr>
          <w:p>
            <w:r>
              <w:rPr>
                <w:sz w:val="17"/>
              </w:rPr>
              <w:t>J+8  Moyenne</w:t>
            </w:r>
          </w:p>
        </w:tc>
        <w:tc>
          <w:tcPr>
            <w:tcW w:type="dxa" w:w="1440"/>
            <w:shd w:fill="FAFAFA" w:val="clear"/>
          </w:tcPr>
          <w:p>
            <w:r>
              <w:rPr>
                <w:sz w:val="17"/>
              </w:rPr>
              <w:t>2026-09-29</w:t>
            </w:r>
          </w:p>
        </w:tc>
        <w:tc>
          <w:tcPr>
            <w:tcW w:type="dxa" w:w="1440"/>
            <w:shd w:fill="FAFAFA" w:val="clear"/>
          </w:tcPr>
          <w:p>
            <w:r>
              <w:rPr>
                <w:sz w:val="17"/>
              </w:rPr>
              <w:t>15,773</w:t>
            </w:r>
          </w:p>
        </w:tc>
        <w:tc>
          <w:tcPr>
            <w:tcW w:type="dxa" w:w="1440"/>
            <w:shd w:fill="FAFAFA" w:val="clear"/>
          </w:tcPr>
          <w:p>
            <w:r>
              <w:rPr>
                <w:b/>
                <w:sz w:val="17"/>
              </w:rPr>
              <w:t>17,266</w:t>
            </w:r>
          </w:p>
        </w:tc>
        <w:tc>
          <w:tcPr>
            <w:tcW w:type="dxa" w:w="1440"/>
            <w:shd w:fill="FAFAFA" w:val="clear"/>
          </w:tcPr>
          <w:p>
            <w:r>
              <w:rPr>
                <w:sz w:val="17"/>
              </w:rPr>
              <w:t>18,759</w:t>
            </w:r>
          </w:p>
        </w:tc>
        <w:tc>
          <w:tcPr>
            <w:tcW w:type="dxa" w:w="1440"/>
            <w:shd w:fill="FAFAFA" w:val="clear"/>
          </w:tcPr>
          <w:p>
            <w:r>
              <w:rPr>
                <w:b/>
                <w:color w:val="008000"/>
                <w:sz w:val="17"/>
              </w:rPr>
              <w:t>+1.0%</w:t>
            </w:r>
          </w:p>
        </w:tc>
      </w:tr>
      <w:tr>
        <w:tc>
          <w:tcPr>
            <w:tcW w:type="dxa" w:w="1440"/>
            <w:shd w:fill="FAFAFA" w:val="clear"/>
          </w:tcPr>
          <w:p>
            <w:r>
              <w:rPr>
                <w:sz w:val="17"/>
              </w:rPr>
              <w:t>J+9  Moyenne</w:t>
            </w:r>
          </w:p>
        </w:tc>
        <w:tc>
          <w:tcPr>
            <w:tcW w:type="dxa" w:w="1440"/>
            <w:shd w:fill="FAFAFA" w:val="clear"/>
          </w:tcPr>
          <w:p>
            <w:r>
              <w:rPr>
                <w:sz w:val="17"/>
              </w:rPr>
              <w:t>2026-09-30</w:t>
            </w:r>
          </w:p>
        </w:tc>
        <w:tc>
          <w:tcPr>
            <w:tcW w:type="dxa" w:w="1440"/>
            <w:shd w:fill="FAFAFA" w:val="clear"/>
          </w:tcPr>
          <w:p>
            <w:r>
              <w:rPr>
                <w:sz w:val="17"/>
              </w:rPr>
              <w:t>15,698</w:t>
            </w:r>
          </w:p>
        </w:tc>
        <w:tc>
          <w:tcPr>
            <w:tcW w:type="dxa" w:w="1440"/>
            <w:shd w:fill="FAFAFA" w:val="clear"/>
          </w:tcPr>
          <w:p>
            <w:r>
              <w:rPr>
                <w:b/>
                <w:sz w:val="17"/>
              </w:rPr>
              <w:t>17,283</w:t>
            </w:r>
          </w:p>
        </w:tc>
        <w:tc>
          <w:tcPr>
            <w:tcW w:type="dxa" w:w="1440"/>
            <w:shd w:fill="FAFAFA" w:val="clear"/>
          </w:tcPr>
          <w:p>
            <w:r>
              <w:rPr>
                <w:sz w:val="17"/>
              </w:rPr>
              <w:t>18,868</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2026-10-01</w:t>
            </w:r>
          </w:p>
        </w:tc>
        <w:tc>
          <w:tcPr>
            <w:tcW w:type="dxa" w:w="1440"/>
            <w:shd w:fill="FAFAFA" w:val="clear"/>
          </w:tcPr>
          <w:p>
            <w:r>
              <w:rPr>
                <w:sz w:val="17"/>
              </w:rPr>
              <w:t>15,627</w:t>
            </w:r>
          </w:p>
        </w:tc>
        <w:tc>
          <w:tcPr>
            <w:tcW w:type="dxa" w:w="1440"/>
            <w:shd w:fill="FAFAFA" w:val="clear"/>
          </w:tcPr>
          <w:p>
            <w:r>
              <w:rPr>
                <w:b/>
                <w:sz w:val="17"/>
              </w:rPr>
              <w:t>17,299</w:t>
            </w:r>
          </w:p>
        </w:tc>
        <w:tc>
          <w:tcPr>
            <w:tcW w:type="dxa" w:w="1440"/>
            <w:shd w:fill="FAFAFA" w:val="clear"/>
          </w:tcPr>
          <w:p>
            <w:r>
              <w:rPr>
                <w:sz w:val="17"/>
              </w:rPr>
              <w:t>18,971</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941,37 milliards FCFA, ECOC s'impose comme l'une des plus importantes capitalisations du compartiment bancaire de la BRVM, reflétant la solidité et la notoriété du premier groupe bancaire panafricain privé. Le BPA de 1 153 FCFA/action signifie que chaque titre génère un bénéfice net d'environ 1 153 FCFA, ce qui, rapporté au cours actuel de 17 100 FCFA, donne un PER de 14,8x — un niveau modéré mais légèrement supérieur à la moyenne du marché BRVM (8-12x), traduisant une prime de qualité consentie par les investisseurs. Le P/B de 4,31x indique que le marché valorise la banque à plus de quatre fois sa valeur comptable, une prime exigeante qui s'explique par la forte rentabilité des fonds propres (ROE ~29%) mais qui laisse peu de marge d'erreur en cas de dégradation. Enfin, l'EV/EBITDA de 14,4x, situé dans la fourchette haute (10-15x), confirme que la valeur d'entreprise intègre déjà une bonne partie de la capacité bénéficiaire opérationnelle, invitant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totale de +6,88%, avec une dernière séance en hausse de +0,56%, confirmant une dynamique haussière modérée mais régulière. Le titre a évolué dans un range de 2 205 FCFA, entre un plus bas de 15 520 FCFA et un plus haut de 17 725 FCFA, le cours actuel de 17 100 FCFA se situant dans la partie supérieure de cette fourchette, à seulement 3,5% du sommet. La tendance générale est donc haussière, soutenue par des volumes moyens de 4 096 titres/jour, signe d'une liquidité correcte pour le marché BRVM. Les statistiques descriptives révèlent une moyenne de 16 496 FCFA légèrement supérieure à la médiane de 16 358 FCFA, avec un mode à 16 300 FCFA : cet écart modéré, combiné à un skewness positif de 0,566, indique une asymétrie à droite — davantage de journées sous la moyenne, mais des pics haussiers plus marqués. L'écart-type de 457 FCFA (CV = 2,8%) traduit une dispersion très faible du cours, tandis que le kurtosis de -0,037 (mésokurtique) suggère une distribution proche de la normale, sans risque excessif de pics extrêmes. Avec une volatilité annualisée de 28,5%, le titre se situe dans la fourchette modérée haute (15-30%), offrant un profil rendement/risque équilibré pour une valeur bancaire de qualité.</w:t>
      </w:r>
    </w:p>
    <w:p>
      <w:pPr>
        <w:spacing w:after="120" w:line="276" w:lineRule="auto"/>
      </w:pPr>
      <w:r>
        <w:t>---</w:t>
      </w:r>
    </w:p>
    <w:p>
      <w:pPr>
        <w:spacing w:after="120" w:line="276" w:lineRule="auto"/>
      </w:pPr>
      <w:r>
        <w:t>## PARTIE 2 : ANALYSE TECHNIQUE DÉTAILLÉE</w:t>
      </w:r>
    </w:p>
    <w:p>
      <w:pPr>
        <w:spacing w:after="120" w:line="276" w:lineRule="auto"/>
      </w:pPr>
      <w:r>
        <w:t>**Moyennes Mobiles** : La MM20 (17 087 FCFA) et la MM50 (16 555 FCFA) se situent toutes deux sous le cours actuel (17 100 FCFA), avec la MM20 au-dessus de la MM50 — configuration haussière classique (golden cross). Le cours évoluant au-dessus de ses deux moyennes, la décision technique est logiquement à l'**Achat**, confirmant la tendance positive de moyen terme.</w:t>
      </w:r>
    </w:p>
    <w:p>
      <w:pPr>
        <w:spacing w:after="120" w:line="276" w:lineRule="auto"/>
      </w:pPr>
      <w:r>
        <w:t>**Bandes de Bollinger** : Le cours (17 100 FCFA) se situe à mi-chemin entre la borne inférieure (16 397 FCFA) et la borne supérieure (17 777 FCFA), sans pression directionnelle marquée. L'absence de contact avec les bornes et un RSI neutre indiquent une phase de consolidation, justifiant la décision **Neutre** — le titre n'est ni suracheté ni survendu.</w:t>
      </w:r>
    </w:p>
    <w:p>
      <w:pPr>
        <w:spacing w:after="120" w:line="276" w:lineRule="auto"/>
      </w:pPr>
      <w:r>
        <w:t>**MACD** : La valeur du MACD (168,247) est inférieure à son signal (218,388), générant un croisement baissier qui traduit un essoufflement du momentum haussier malgré la tendance de fond positive. Cette divergence justifie la décision **Vente** à court terme, signal d'alerte sur un possible ralentissement.</w:t>
      </w:r>
    </w:p>
    <w:p>
      <w:pPr>
        <w:spacing w:after="120" w:line="276" w:lineRule="auto"/>
      </w:pPr>
      <w:r>
        <w:t>**RSI** : À 53,325, le RSI se situe en zone neutre (30-70), légèrement au-dessus du seuil médian de 50, indiquant un léger avantage acheteur sans excès. La décision est **Neutre** : ni signal d'achat ni de vente, le marché est en équilibre.</w:t>
      </w:r>
    </w:p>
    <w:p>
      <w:pPr>
        <w:spacing w:after="120" w:line="276" w:lineRule="auto"/>
      </w:pPr>
      <w:r>
        <w:t>**Stochastique** : Le %K (48,56) est supérieur au %D (41,838), suggérant un début de croisement haussier, mais les deux lignes restent en zone médiane, loin des extrêmes. La décision **Neutre** reflète l'absence de signal fort, le titre évoluant sans direction claire à court terme.</w:t>
      </w:r>
    </w:p>
    <w:p>
      <w:pPr>
        <w:spacing w:after="120" w:line="276" w:lineRule="auto"/>
      </w:pPr>
      <w:r>
        <w:t>**Conclusion technique** : Les indicateurs présentent un tableau mitigé — la tendance de fond reste haussière (MM, cours au-dessus des moyennes), mais le MACD baissier et les oscillateurs neutres (RSI, Stochastique, Bollinger) signalent une perte de momentum à court terme. Le titre semble entrer dans une phase de consolidation après sa progression de +6,88%, avec un support technique à surveiller autour de 16 400 FCFA (borne inférieure de Bollinger) et une résistance à 17 725 FCFA (plus haut récent). La configuration globale plaide pour une **attente prudente** avant tout renforcement.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(équivalent du chiffre d'affaires pour une banque) de 132,725 milliards FCFA, en croissance de +8,51% sur un an, porté par une marge nette d'intérêts solide (intérêts et produits assimilés de 111,337 Mds FCFA contre 23,290 Mds FCFA de charges). Le résultat net s'établit à 63,482 milliards FCFA, avec une marge nette remarquable de 47,83% et un ROE de 29,04% — largement supérieur au seuil d'excellence de 15% — tandis que le ROA de 3,09% confirme une rentabilité des actifs solide pour le secteur. Le coefficient d'exploitation de 42,89% place la banque parmi les plus efficaces du marché (seuil d'excellence &lt;50%), et le coût du risque de 1,36% reste modéré, témoignant d'un portefeuille de crédit maîtrisé. La structure financière montre une dépendance aux dépôts clientèle (1 626,223 Mds FCFA) qui financent largement les créances sur la clientèle (1 050,803 Mds FCFA), avec un ratio crédits/dépôts de 64,6% — un niveau sain de transformation. Le ratio de solvabilité implicite (capitaux propres/total bilan de 10,64%) reste toutefois inférieur aux normes BCEAO, ce qui constitue un point de vigilance.</w:t>
      </w:r>
    </w:p>
    <w:p>
      <w:pPr>
        <w:spacing w:after="120" w:line="276" w:lineRule="auto"/>
      </w:pPr>
      <w:r>
        <w:t>**Estimations basées sur les rapports trimestriels** : Le rapport du T3 2025 (daté du 30/09/2025) confirme la dynamique avec un PNB de 96,4 Mds FCFA (+11,3%) et un résultat net de 44,4 Mds FCFA (+15,4%), soutenu par une contraction du coût du risque de -54,1% et un ROE de 29,7%. Le rapport du T1 2026 (daté du 15/04/2026) marque toutefois un ralentissement : le PNB progresse de +3,7% à 30,8 Mds FCFA, mais le résultat net recule de -1,6% à 13,0 Mds FCFA, sous l'effet d'une baisse des produits hors intérêts (-17,2%) et d'une hausse du coût du risque. Sur la base de ces tendances, on peut estimer que l'exercice 2026 devrait afficher une croissance plus modérée du PNB (autour de +5-7%) et un résultat net stable à légèrement croissant, la banque privilégiant la qualité du portefeuille (taux de créances en souffrance de 3,9%) à la croissance agressive. Le dividende proposé de 888 FCFA brut par action (781 FCFA net) pour 2025, en hausse de 10,4% sur un an, offre un rendement attractif d'environ 5,2% au cours actuel — un signal fort de confiance envers les actionnaires.</w:t>
      </w:r>
    </w:p>
    <w:p>
      <w:pPr>
        <w:spacing w:after="120" w:line="276" w:lineRule="auto"/>
      </w:pPr>
      <w:r>
        <w:t>**Recommandation fondamentale** : ECOC présente des fondamentaux solides (ROE ~29%, coefficient d'exploitation &lt;45%, marge nette ~48%) et une politique de dividende généreuse, mais le ralentissement observé au T1 2026 et la prime de valorisation exigeante (P/B &gt;4x) invitent à la **prudence à court terme**. La solidité du modèle et la qualité du portefeuille justifient une **conservation**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(14,8x), P/B (4,31x) et EV/EBITDA (14,4x) indiquent une **surévaluation relative** par rapport à la moyenne du marché BRVM, le marché intégrant déjà une prime de qualité qui limite le potentiel de revalorisation à court terme. **Le comportement du cours (Partie 1)** est favorable — tendance haussière (+6,88%), volatilité modérée (28,5%), distribution normale (kurtosis -0,037) et asymétrie positive (skewness 0,566) — mais le titre approche de ses plus hauts, réduisant la marge de sécurité. **Les signaux techniques (Partie 2)** sont mitigés : les moyennes mobiles confirment la tendance haussière, mais le MACD baissier et les oscillateurs neutres signalent une perte de momentum, plaidant pour une consolidation. **Les fondamentaux (Partie 3)** restent solides (ROE 29%, coefficient d'exploitation 42,9%, dividende 888 FCFA), mais le ralentissement du T1 2026 (résultat net -1,6%) et la faible autonomie financière (10,64%) constituent des points de vigilance. **Les prédictions IA (J+1 à J+10)** anticipent une trajectoire haussière très modérée (17 135 → 17 215 FCFA, soit +0,67% sur 10 jours), confirmant la thèse d'une consolidation sans correction majeure.</w:t>
      </w:r>
    </w:p>
    <w:p>
      <w:pPr>
        <w:spacing w:after="120" w:line="276" w:lineRule="auto"/>
      </w:pPr>
      <w:r>
        <w:t>**Recommandation finale : CONSERVER.** La convergence entre une valorisation exigeante, des signaux techniques mitigés, des fondamentaux solides mais en ralentissement, et des prédictions haussières modérées plaide pour une **conservation** du titre, avec un **niveau de confiance Moyen** et un **risque global Moyen**. L'horizon d'investissement optimal est le **moyen terme (3-12 mois)**, le temps que la banque confirme la reprise de sa dynamique bénéficiaire et que la valorisation se normalise. Les investisseurs déjà positionnés peuvent conserver leur titre pour capter le dividende attractif (rendement ~5,2%), tandis que les nouveaux entrants attendront un repli vers 16 400 FCFA (support technique) pour améliorer leur point d'entrée. Un suivi trimestriel des indicateurs clés (coût du risque, coefficient d'exploitation, croissance du PNB) est indispensable pour ajuster la position en cas de dégradation.</w:t>
      </w:r>
    </w:p>
    <w:p>
      <w:pPr>
        <w:spacing w:after="120" w:line="276" w:lineRule="auto"/>
      </w:pPr>
      <w:r>
        <w:t>---</w:t>
      </w:r>
    </w:p>
    <w:p>
      <w:pPr>
        <w:spacing w:after="120" w:line="276" w:lineRule="auto"/>
      </w:pPr>
      <w:r>
        <w:t>*Sources : Données structurées BRVM (exercice 2025), rapports trimestriels T3 2025 (30/09/2025) et T1 2026 (15/04/2026), avis de convocation AGO du 10/04/2026, analyses techniques et prédictions IA au 17/09/2026.*</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1,631,340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+133.33%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60.6%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35.65% (Élevée) — μ=51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β=2.4665 (Très agressif) — Cov=0.000087, Var(idx)=0.000035, ρ=0.380,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1,631,340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65</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2026-09-22</w:t>
            </w:r>
          </w:p>
        </w:tc>
        <w:tc>
          <w:tcPr>
            <w:tcW w:type="dxa" w:w="1440"/>
            <w:shd w:fill="FFDCE0" w:val="clear"/>
          </w:tcPr>
          <w:p>
            <w:r>
              <w:rPr>
                <w:sz w:val="17"/>
              </w:rPr>
              <w:t>64</w:t>
            </w:r>
          </w:p>
        </w:tc>
        <w:tc>
          <w:tcPr>
            <w:tcW w:type="dxa" w:w="1440"/>
            <w:shd w:fill="FFDCE0" w:val="clear"/>
          </w:tcPr>
          <w:p>
            <w:r>
              <w:rPr>
                <w:b/>
                <w:sz w:val="17"/>
              </w:rPr>
              <w:t>69</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1 265,89 milliards FCFA, ETIT s'impose comme l'une des toutes premières capitalisations de la BRVM, ce qui en fait un pilier incontournable de l'indice composite. Le BPA de 19 FCFA/action signifie que chaque titre génère près de 19 FCFA de bénéfice net, un niveau qui, rapporté au cours actuel de 70 FCFA, donne un PER de seulement 3,7x — très nettement inférieur à la moyenne du marché BRVM (8-12x), ce qui traduit une sous-évaluation manifeste ou une forte défiance du marché. Le P/B de 0,79x (&lt; 1) confirme cette lecture : le marché valorise ETIT à 21% en dessous de sa valeur comptable, une anomalie potentiellement opportuniste pour un investisseur value. Enfin, l'EV/EBITDA de 5,1x, situé dans la fourchette raisonnable de 5-10x, indique que la valeur totale de l'entreprise (dette incluse) reste cohérente avec sa capacité opérationnelle, sans prime de risque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progression spectaculaire de +133,33%, passant d'un plus bas de 29 FCFA à un plus haut de 78 FCFA, pour un cours actuel de 70 FCFA — la dernière séance (J-1) affichant une stabilité parfaite (+0,00%). Ce range de trading de 49 FCFA (soit près de 2,7x le plus bas) témoigne d'une tendance nettement haussière, portée par un volume moyen quotidien élevé de 1 631 340 titres, signe d'un intérêt soutenu des investisseurs. Les statistiques descriptives révèlent une moyenne de 51 FCFA contre une médiane de 54 FCFA : cet écart modéré indique une légère asymétrie à gauche, cohérente avec le skewness de -0,050 qui confirme une distribution quasi-symétrique. L'écart-type de 18 FCFA, avec un coefficient de variation de 35,8%, traduit une dispersion importante du cours autour de sa moyenne, tandis que le kurtosis de -1,830 (distribution platykurtique) signale une faible concentration des valeurs extrêmes — le titre n'a donc pas connu de pics brutaux isolés, mais une volatilité diffuse. La volatilité annualisée de 60,6% classe ETIT dans la catégorie des titres à volatilité élevée (&gt;30%), ce qui implique un risque de marché significatif mais aussi un potentiel de gain amplifié pour un investisseur averti.</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(68,5 FCFA) et la MM50 (67,94 FCFA) se situent toutes deux sous le cours actuel de 70 FCFA, avec une MM20 légèrement supérieure à la MM50 — configuration haussière classique. Le cours évoluant au-dessus de ses deux moyennes, la décision technique est logiquement à l'**Achat**, confirmant la dynamique positive de court et moyen terme.</w:t>
      </w:r>
    </w:p>
    <w:p>
      <w:pPr>
        <w:spacing w:after="120" w:line="276" w:lineRule="auto"/>
      </w:pPr>
      <w:r>
        <w:t>**Bandes de Bollinger** : Le cours (70 FCFA) se situe dans la partie haute de la bande, entre la borne inférieure (64,171 FCFA) et la borne supérieure (72,829 FCFA), sans la franchir. Cette position, proche de la borne haute sans excès, associée à une décision **Neutre**, suggère que le titre évolue dans un canal de volatilité normale, sans signal de surachat ni de survente imminente.</w:t>
      </w:r>
    </w:p>
    <w:p>
      <w:pPr>
        <w:spacing w:after="120" w:line="276" w:lineRule="auto"/>
      </w:pPr>
      <w:r>
        <w:t>**MACD** : La valeur du MACD (1,489) est légèrement inférieure à son signal (1,59), générant une décision de **Vente**. Cette divergence négative, bien que marginale, indique un essoufflement du momentum haussier à court terme — le croisement baissier des deux lignes invite à la prudence malgré la tendance de fond positive.</w:t>
      </w:r>
    </w:p>
    <w:p>
      <w:pPr>
        <w:spacing w:after="120" w:line="276" w:lineRule="auto"/>
      </w:pPr>
      <w:r>
        <w:t>**RSI** : À 69,231, le RSI se situe juste en dessous du seuil de surachat de 70, en zone neutre haute. La décision **Neutre** reflète un équilibre précaire : le titre n'est pas encore suracheté, mais la marge de progression avant un signal de correction est limitée.</w:t>
      </w:r>
    </w:p>
    <w:p>
      <w:pPr>
        <w:spacing w:after="120" w:line="276" w:lineRule="auto"/>
      </w:pPr>
      <w:r>
        <w:t>**Stochastique** : Le %K (80,0) est inférieur au %D (87,778), avec les deux indicateurs en zone haute (&gt;80), signalant un possible essoufflement. La décision **Neutre** traduit l'absence de croisement franc, mais la configuration actuelle (K sous D en zone haute) préfigure souvent un retournement baissier de court terme.</w:t>
      </w:r>
    </w:p>
    <w:p>
      <w:pPr>
        <w:spacing w:after="120" w:line="276" w:lineRule="auto"/>
      </w:pPr>
      <w:r>
        <w:t>**Conclusion technique** : Les indicateurs offrent un tableau mitigé. Les moyennes mobiles confirment une tendance haussière de fond (Achat), mais le MACD (Vente) et le stochastique (Neutre avec K&lt;D) signalent un essoufflement du momentum. Le RSI et les Bandes de Bollinger, en zone neutre, n'apportent pas de signal directionnel fort. La convergence des signaux suggère une phase de consolidation probable avant une nouvelle impulsion, avec un risque de correction limitée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 profil bancaire solide : le Produit Net Bancaire (équivalent du chiffre d'affaires) s'établit à 1 424,261 milliards FCFA, pour un résultat net de 345,523 milliards FCFA, soit une marge nette de 24,26%. La rentabilité des fonds propres (ROE) atteint 21,62%, largement supérieure au seuil d'excellence de 15%, tandis que le ROA de 1,80% reflète la nature capitalistique du secteur bancaire. Le coefficient d'exploitation de 27,35% — très inférieur au seuil de 60% — témoigne d'une efficacité opérationnelle remarquable, avec des charges générales d'exploitation (342,712 Mds FCFA) et des charges de personnel (298,949 Mds FCFA) parfaitement maîtrisées. Le coût du risque, mesuré à 18,97% des charges financières, reste modéré mais mérite une surveillance attentive. La structure financière affiche une autonomie financière de 8,30% (capitaux propres/total bilan), typique du modèle bancaire où les dépôts clientèle (14 120,139 Mds FCFA) constituent la principale ressource, face à des créances clientèle de 6 570,385 Mds FCFA — un ratio de transformation de 46,5% qui laisse une marge de croissance significative. Les rapports narratifs récents confirment cette dynamique : le rapport S1 2026 (publié le 21 juillet 2026, analysé par DeepSeek) fait état d'un PNB de 1 281 330 milliers $EU (721 318 millions FCFA), en hausse de +15% sur un an, porté par la marge nette d'intérêts (+20%) et les commissions (+14%). Le résultat net consolidé progresse de +6% à 296 091 milliers $EU, avec un BPA de 0,80 $EU (+2%) et un coefficient d'exploitation amélioré à 48,4%. Toutefois, le coût du risque bondit de +40% (238 039 milliers $EU), signal d'alerte sur la qualité des actifs, avec un ratio de prêts non performants (NPL) à 7,6%. Sur la base de ce rapport S1 2026, on peut estimer que l'exercice 2026 devrait afficher un PNB annuel proche de 2 500 milliards FCFA (si la dynamique se maintient), avec un résultat net autour de 600 milliards FCFA, sous réserve d'une stabilisation du coût du risque au second semestre. La recommandation fondamentale est donc à la **solidité** : la banque affiche une croissance robuste, une efficacité opérationnelle exceptionnelle et une valorisation attractive, mais les risques de crédit (NPL à 7,6%) et la stagnation du BPA (+2%)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La **valorisation (Partie 0)** est manifestement attractive : PER de 3,7x (vs 8-12x pour le marché), P/B de 0,79x (&lt; 1) et EV/EBITDA de 5,1x — trois signaux convergents vers une sous-évaluation. Le **comportement du cours (Partie 1)** est haussier (+133,33% sur 100 jours) mais accompagné d'une volatilité élevée (60,6%) et d'une distribution platykurtique (kurtosis -1,830) qui écarte le risque de pics extrêmes, tandis que le skewness quasi-nul (-0,050) indique une symétrie rassurante. Les **signaux techniques (Partie 2)** sont mitigés : les moyennes mobiles confirment l'Achat, mais le MACD (Vente) et le stochastique (K&lt;D en zone haute) suggèrent un essoufflement imminent, plaidant pour une consolidation. Les **fondamentaux (Partie 3)** sont solides : ROE de 21,62%, coefficient d'exploitation de 27,35%, PNB en croissance de +15% au S1 2026, mais le coût du risque (+40%) et la stagnation du BPA (+2%) tempèrent l'enthousiasme. Les **prédictions IA (J+1 à J+10)** anticipent une légère érosion du cours de 69 FCFA à 68 FCFA, confirmant la thèse d'une consolidation de court terme sans remise en cause de la tendance de fond. Sur cette base, la recommandation finale est **ACHAT** (et non ACHAT FORT, en raison des risques de crédit et de l'essoufflement technique), avec un niveau de confiance **Moyen** et un risque global **Moyen**. L'horizon d'investissement optimal est le **moyen terme (3-12 mois)**, le temps que la banque confirme la maîtrise de son coût du risque et que le marché reconnaisse la sous-évaluation actuelle — un objectif de cours de 85-90 FCFA (soit +21% à +28%) paraît atteignable si le PER se réaligne vers 5x, ce qui reste conservateur par rapport à la moyenne du marché.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4,005 titres</w:t>
            </w:r>
          </w:p>
        </w:tc>
        <w:tc>
          <w:tcPr>
            <w:tcW w:type="dxa" w:w="2268"/>
            <w:shd w:fill="FFF2CC" w:val="clear"/>
          </w:tcPr>
          <w:p>
            <w:r>
              <w:rPr>
                <w:b/>
                <w:color w:val="503200"/>
                <w:sz w:val="16"/>
              </w:rPr>
              <w:t xml:space="preserve">Cours actuel : </w:t>
            </w:r>
            <w:r>
              <w:rPr>
                <w:color w:val="000000"/>
                <w:sz w:val="17"/>
              </w:rPr>
              <w:t>2,095 FCFA</w:t>
            </w:r>
          </w:p>
          <w:p>
            <w:r>
              <w:rPr>
                <w:b/>
                <w:color w:val="503200"/>
                <w:sz w:val="16"/>
              </w:rPr>
              <w:t xml:space="preserve">Var. 100 jours : </w:t>
            </w:r>
            <w:r>
              <w:rPr>
                <w:b/>
                <w:color w:val="B40000"/>
                <w:sz w:val="17"/>
              </w:rPr>
              <w:t>-7.51%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5.91% (Moyenne) — μ=2,132 FCFA, σ=126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β=0.4958 (Défensif) — Cov=0.000017, Var(idx)=0.000035, ρ=0.135,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2,015</w:t>
            </w:r>
          </w:p>
        </w:tc>
        <w:tc>
          <w:tcPr>
            <w:tcW w:type="dxa" w:w="1440"/>
            <w:shd w:fill="FAFAFA" w:val="clear"/>
          </w:tcPr>
          <w:p>
            <w:r>
              <w:rPr>
                <w:b/>
                <w:sz w:val="17"/>
              </w:rPr>
              <w:t>2,076</w:t>
            </w:r>
          </w:p>
        </w:tc>
        <w:tc>
          <w:tcPr>
            <w:tcW w:type="dxa" w:w="1440"/>
            <w:shd w:fill="FAFAFA" w:val="clear"/>
          </w:tcPr>
          <w:p>
            <w:r>
              <w:rPr>
                <w:sz w:val="17"/>
              </w:rPr>
              <w:t>2,137</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1,974</w:t>
            </w:r>
          </w:p>
        </w:tc>
        <w:tc>
          <w:tcPr>
            <w:tcW w:type="dxa" w:w="1440"/>
            <w:shd w:fill="FAFAFA" w:val="clear"/>
          </w:tcPr>
          <w:p>
            <w:r>
              <w:rPr>
                <w:b/>
                <w:sz w:val="17"/>
              </w:rPr>
              <w:t>2,060</w:t>
            </w:r>
          </w:p>
        </w:tc>
        <w:tc>
          <w:tcPr>
            <w:tcW w:type="dxa" w:w="1440"/>
            <w:shd w:fill="FAFAFA" w:val="clear"/>
          </w:tcPr>
          <w:p>
            <w:r>
              <w:rPr>
                <w:sz w:val="17"/>
              </w:rPr>
              <w:t>2,146</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1,939</w:t>
            </w:r>
          </w:p>
        </w:tc>
        <w:tc>
          <w:tcPr>
            <w:tcW w:type="dxa" w:w="1440"/>
            <w:shd w:fill="FFDCE0" w:val="clear"/>
          </w:tcPr>
          <w:p>
            <w:r>
              <w:rPr>
                <w:b/>
                <w:sz w:val="17"/>
              </w:rPr>
              <w:t>2,043</w:t>
            </w:r>
          </w:p>
        </w:tc>
        <w:tc>
          <w:tcPr>
            <w:tcW w:type="dxa" w:w="1440"/>
            <w:shd w:fill="FFDCE0" w:val="clear"/>
          </w:tcPr>
          <w:p>
            <w:r>
              <w:rPr>
                <w:sz w:val="17"/>
              </w:rPr>
              <w:t>2,148</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2026-09-23</w:t>
            </w:r>
          </w:p>
        </w:tc>
        <w:tc>
          <w:tcPr>
            <w:tcW w:type="dxa" w:w="1440"/>
            <w:shd w:fill="FFDCE0" w:val="clear"/>
          </w:tcPr>
          <w:p>
            <w:r>
              <w:rPr>
                <w:sz w:val="17"/>
              </w:rPr>
              <w:t>1,908</w:t>
            </w:r>
          </w:p>
        </w:tc>
        <w:tc>
          <w:tcPr>
            <w:tcW w:type="dxa" w:w="1440"/>
            <w:shd w:fill="FFDCE0" w:val="clear"/>
          </w:tcPr>
          <w:p>
            <w:r>
              <w:rPr>
                <w:b/>
                <w:sz w:val="17"/>
              </w:rPr>
              <w:t>2,028</w:t>
            </w:r>
          </w:p>
        </w:tc>
        <w:tc>
          <w:tcPr>
            <w:tcW w:type="dxa" w:w="1440"/>
            <w:shd w:fill="FFDCE0" w:val="clear"/>
          </w:tcPr>
          <w:p>
            <w:r>
              <w:rPr>
                <w:sz w:val="17"/>
              </w:rPr>
              <w:t>2,148</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2026-09-24</w:t>
            </w:r>
          </w:p>
        </w:tc>
        <w:tc>
          <w:tcPr>
            <w:tcW w:type="dxa" w:w="1440"/>
            <w:shd w:fill="FFDCE0" w:val="clear"/>
          </w:tcPr>
          <w:p>
            <w:r>
              <w:rPr>
                <w:sz w:val="17"/>
              </w:rPr>
              <w:t>1,880</w:t>
            </w:r>
          </w:p>
        </w:tc>
        <w:tc>
          <w:tcPr>
            <w:tcW w:type="dxa" w:w="1440"/>
            <w:shd w:fill="FFDCE0" w:val="clear"/>
          </w:tcPr>
          <w:p>
            <w:r>
              <w:rPr>
                <w:b/>
                <w:sz w:val="17"/>
              </w:rPr>
              <w:t>2,013</w:t>
            </w:r>
          </w:p>
        </w:tc>
        <w:tc>
          <w:tcPr>
            <w:tcW w:type="dxa" w:w="1440"/>
            <w:shd w:fill="FFDCE0" w:val="clear"/>
          </w:tcPr>
          <w:p>
            <w:r>
              <w:rPr>
                <w:sz w:val="17"/>
              </w:rPr>
              <w:t>2,146</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1,854</w:t>
            </w:r>
          </w:p>
        </w:tc>
        <w:tc>
          <w:tcPr>
            <w:tcW w:type="dxa" w:w="1440"/>
            <w:shd w:fill="FFDCE0" w:val="clear"/>
          </w:tcPr>
          <w:p>
            <w:r>
              <w:rPr>
                <w:b/>
                <w:sz w:val="17"/>
              </w:rPr>
              <w:t>1,999</w:t>
            </w:r>
          </w:p>
        </w:tc>
        <w:tc>
          <w:tcPr>
            <w:tcW w:type="dxa" w:w="1440"/>
            <w:shd w:fill="FFDCE0" w:val="clear"/>
          </w:tcPr>
          <w:p>
            <w:r>
              <w:rPr>
                <w:sz w:val="17"/>
              </w:rPr>
              <w:t>2,143</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1,830</w:t>
            </w:r>
          </w:p>
        </w:tc>
        <w:tc>
          <w:tcPr>
            <w:tcW w:type="dxa" w:w="1440"/>
            <w:shd w:fill="FFDCE0" w:val="clear"/>
          </w:tcPr>
          <w:p>
            <w:r>
              <w:rPr>
                <w:b/>
                <w:sz w:val="17"/>
              </w:rPr>
              <w:t>1,985</w:t>
            </w:r>
          </w:p>
        </w:tc>
        <w:tc>
          <w:tcPr>
            <w:tcW w:type="dxa" w:w="1440"/>
            <w:shd w:fill="FFDCE0" w:val="clear"/>
          </w:tcPr>
          <w:p>
            <w:r>
              <w:rPr>
                <w:sz w:val="17"/>
              </w:rPr>
              <w:t>2,140</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1,807</w:t>
            </w:r>
          </w:p>
        </w:tc>
        <w:tc>
          <w:tcPr>
            <w:tcW w:type="dxa" w:w="1440"/>
            <w:shd w:fill="FFDCE0" w:val="clear"/>
          </w:tcPr>
          <w:p>
            <w:r>
              <w:rPr>
                <w:b/>
                <w:sz w:val="17"/>
              </w:rPr>
              <w:t>1,972</w:t>
            </w:r>
          </w:p>
        </w:tc>
        <w:tc>
          <w:tcPr>
            <w:tcW w:type="dxa" w:w="1440"/>
            <w:shd w:fill="FFDCE0" w:val="clear"/>
          </w:tcPr>
          <w:p>
            <w:r>
              <w:rPr>
                <w:sz w:val="17"/>
              </w:rPr>
              <w:t>2,136</w:t>
            </w:r>
          </w:p>
        </w:tc>
        <w:tc>
          <w:tcPr>
            <w:tcW w:type="dxa" w:w="1440"/>
            <w:shd w:fill="FFDCE0" w:val="clear"/>
          </w:tcPr>
          <w:p>
            <w:r>
              <w:rPr>
                <w:b/>
                <w:color w:val="C00000"/>
                <w:sz w:val="17"/>
              </w:rPr>
              <w:t>-5.9%</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1,785</w:t>
            </w:r>
          </w:p>
        </w:tc>
        <w:tc>
          <w:tcPr>
            <w:tcW w:type="dxa" w:w="1440"/>
            <w:shd w:fill="FFDCE0" w:val="clear"/>
          </w:tcPr>
          <w:p>
            <w:r>
              <w:rPr>
                <w:b/>
                <w:sz w:val="17"/>
              </w:rPr>
              <w:t>1,959</w:t>
            </w:r>
          </w:p>
        </w:tc>
        <w:tc>
          <w:tcPr>
            <w:tcW w:type="dxa" w:w="1440"/>
            <w:shd w:fill="FFDCE0" w:val="clear"/>
          </w:tcPr>
          <w:p>
            <w:r>
              <w:rPr>
                <w:sz w:val="17"/>
              </w:rPr>
              <w:t>2,132</w:t>
            </w:r>
          </w:p>
        </w:tc>
        <w:tc>
          <w:tcPr>
            <w:tcW w:type="dxa" w:w="1440"/>
            <w:shd w:fill="FFDCE0" w:val="clear"/>
          </w:tcPr>
          <w:p>
            <w:r>
              <w:rPr>
                <w:b/>
                <w:color w:val="C00000"/>
                <w:sz w:val="17"/>
              </w:rPr>
              <w:t>-6.5%</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1,764</w:t>
            </w:r>
          </w:p>
        </w:tc>
        <w:tc>
          <w:tcPr>
            <w:tcW w:type="dxa" w:w="1440"/>
            <w:shd w:fill="FFDCE0" w:val="clear"/>
          </w:tcPr>
          <w:p>
            <w:r>
              <w:rPr>
                <w:b/>
                <w:sz w:val="17"/>
              </w:rPr>
              <w:t>1,946</w:t>
            </w:r>
          </w:p>
        </w:tc>
        <w:tc>
          <w:tcPr>
            <w:tcW w:type="dxa" w:w="1440"/>
            <w:shd w:fill="FFDCE0" w:val="clear"/>
          </w:tcPr>
          <w:p>
            <w:r>
              <w:rPr>
                <w:sz w:val="17"/>
              </w:rPr>
              <w:t>2,128</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Secteur : Emballages industriels / Transformation agro-ressources*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29,55 milliards FCFA, FTSC se situe dans la catégorie des valeurs moyennes de la BRVM, ce qui la rend vulnérable aux mouvements de faible volume. Le BPA de 33 FCFA/action rapporté à un cours de 2 095 FCFA génère un PER de 63,4x, soit un niveau très supérieur à la moyenne du marché BRVM (8-12x), ce qui traduit une valorisation extrêmement exigeante au regard des bénéfices actuels — d'autant que ces bénéfices sont eux-mêmes fragiles. Le P/B de 1,88x indique que le marché valorise la société à près du double de sa valeur comptable, ce qui reste raisonnable dans l'absolu mais élevé pour une entreprise dont les capitaux propres ont fondu de 43,4 à 15,7 milliards FCFA en 2025. Enfin, l'EV/EBITDA de 37,6x (très au-delà du seuil de 15x) signale que la valeur d'entreprise intègre une prime spéculative déconnectée de la capacité opérationnelle réelle, ce qui constitue un signal de prudence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FTSC affiche une variation totale de -7,51%, avec un rebond marginal de +0,24% lors de la dernière séance (J-1), ce qui ne suffit pas à inverser la tendance baissière de fond. Le titre a évolué dans un range de 520 FCFA, entre un plus bas de 1 910 FCFA et un plus haut de 2 430 FCFA, le cours actuel de 2 095 FCFA se situant dans la moitié inférieure de cette fourchette, signe d'une pression vendeuse persistante. Les statistiques descriptives révèlent une moyenne de 2 132 FCFA légèrement supérieure à la médiane de 2 150 FCFA — écart faible mais suggérant une légère asymétrie — tandis que le mode à 1 990 FCFA indique que le prix le plus fréquemment traité se situe sous le cours actuel. L'écart-type de 127 FCFA (CV = 5,9%) traduit une dispersion modérée du cours, et le kurtosis de -0,802 (mésokurtique) indique une distribution proche de la normale, sans risque majeur de pics extrêmes ; le skewness de 0,157 confirme une distribution quasi symétrique. La volatilité annualisée de 34,4%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(2 133 FCFA) et la MM50 (2 068,7 FCFA) encadrent le cours actuel de 2 095 FCFA, ce dernier se situant sous la MM20 mais au-dessus de la MM50. Cette configuration indique une pression court terme baissière mais un support moyen terme intact, justifiant la décision technique d'**Achat** — bien que la faiblesse sous la MM20 incite à la prudence.</w:t>
      </w:r>
    </w:p>
    <w:p>
      <w:pPr>
        <w:spacing w:after="120" w:line="276" w:lineRule="auto"/>
      </w:pPr>
      <w:r>
        <w:t>**Bandes de Bollinger** : Le cours (2 095 FCFA) évolue dans la partie basse de la bande, entre la borne inférieure (2 068,9 FCFA) et la borne supérieure (2 197,1 FCFA), sans franchissement des limites. Cette position neutre, couplée à un resserrement des bandes, traduit une volatilité en contraction et une absence de signal directionnel fort, d'où la décision **Neutre**.</w:t>
      </w:r>
    </w:p>
    <w:p>
      <w:pPr>
        <w:spacing w:after="120" w:line="276" w:lineRule="auto"/>
      </w:pPr>
      <w:r>
        <w:t>**MACD** : La valeur du MACD (1,056) est très inférieure à son signal (10,2), générant une divergence baissière marquée. Le momentum est clairement négatif et la décision de **Vente** est cohérente avec cette configuration, le croisement MACD/signal étant défavorable.</w:t>
      </w:r>
    </w:p>
    <w:p>
      <w:pPr>
        <w:spacing w:after="120" w:line="276" w:lineRule="auto"/>
      </w:pPr>
      <w:r>
        <w:t>**RSI** : À 38,983, le RSI se situe dans la zone neutre basse (30-70), sans atteindre la zone de survente (&lt;30). Cela indique une faiblesse relative sans capitulation, la décision **Neutre** reflétant l'absence de signal extrême exploitable.</w:t>
      </w:r>
    </w:p>
    <w:p>
      <w:pPr>
        <w:spacing w:after="120" w:line="276" w:lineRule="auto"/>
      </w:pPr>
      <w:r>
        <w:t>**Stochastique** : Le %K et le %D sont tous deux à 5,556, en zone de survente profonde (&lt;20), ce qui suggère un potentiel rebond technique à court terme. La décision **Achat** est justifiée par cette configuration de survente, bien que l'absence de croisement haussier confirmé invite à la prudence.</w:t>
      </w:r>
    </w:p>
    <w:p>
      <w:pPr>
        <w:spacing w:after="120" w:line="276" w:lineRule="auto"/>
      </w:pPr>
      <w:r>
        <w:t>**Conclusion technique** : Les indicateurs sont divergents — le MACD est baissier, les moyennes mobiles et le stochastique sont haussiers, tandis que le RSI et les Bollinger sont neutres. Cette absence de consensus traduit un marché indécis, avec un biais baissier court terme (MACD, position sous MM20) mais des signaux de rebond potentiel (stochastique en survente, support MM50).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FILTISAC CI a réalisé un chiffre d'affaires de 32,109 milliards FCFA, en croissance de 4,61% sur un an, mais son résultat net s'est effondré à 465,98 millions FCFA (contre 18,6 milliards en 2024), soit une marge nette de seulement 1,45%. Le ROE chute à 2,97% (très loin du seuil de 15% considéré comme excellent) et le ROA à 1,19%, confirmant une rentabilité opérationnelle quasi nulle. La structure financière s'est dégradée : les capitaux propres ont fondu à 15,703 milliards FCFA (contre 43,4 milliards en 2024) suite au versement de dividendes massifs, et la trésorerie nette est devenue fortement négative à -11,528 milliards FCFA. Le BFR s'élève à 11,529 milliards FCFA, avec des délais clients de 213,72 jours et une durée de stockage de 214,65 jours — des niveaux très élevés qui immobilisent massivement du capital et constituent un risque de trésorerie majeur. Le ratio d'endettement de 97,6% et la capacité de remboursement de 11,49 années (dettes financières/CAF) sont préoccupants, bien que l'autonomie financière (40,1%) et la liquidité générale (158,6%) restent acceptables.</w:t>
      </w:r>
    </w:p>
    <w:p>
      <w:pPr>
        <w:spacing w:after="120" w:line="276" w:lineRule="auto"/>
      </w:pPr>
      <w:r>
        <w:t>**Estimations basées sur les rapports trimestriels** : Le rapport du T1 2026 (publié en 2026) fait état d'un chiffre d'affaires de 8 901 millions FCFA, en hausse spectaculaire de 55% sur un an, porté par la forte demande d'emballages pour le cacao, avec un résultat d'exploitation redevenu positif à 75 millions FCFA (contre -78 millions au T1 2025). Toutefois, le résultat net reste déficitaire à -154 millions FCFA, bien qu'en amélioration de 14%. Sur cette base, on estime que l'exercice 2026 devrait bénéficier d'une dynamique commerciale nettement plus favorable, mais la rentabilité nette pourrait rester négative ou très faible si les coûts (fret maritime, matières premières) et les charges financières continuent de peser. Le rapport du T3 2025 (30/09/2025) confirmait déjà un résultat courant avant impôts de -216 millions FCFA, en nette dégradation, et le rapport annuel 2024 (31/12/2024) soulignait le caractère non récurrent des 18,6 milliards de bénéfice (produits de cession exceptionnels). Enfin, le communiqué du 08/07/2026 rassure sur la continuité d'activité malgré l'arrêt de la filature (interdiction d'exportation de jute par le Bangladesh), avec une solution alternative d'importation de fil.</w:t>
      </w:r>
    </w:p>
    <w:p>
      <w:pPr>
        <w:spacing w:after="120" w:line="276" w:lineRule="auto"/>
      </w:pPr>
      <w:r>
        <w:t>**Recommandation fondamentale** : La situation fondamentale est fragile — rentabilité opérationnelle à peine positive, trésorerie nette négative, capitaux propres réduits, et dépendance critique à la campagne cacaoyère 2025/2026. Le redressement du T1 2026 est encourageant mais insuffisant pour restaurer la solidité financière. La recommandation fondamentale est **CONSERVER** avec une forte vigilance, le risque de liquidité et de pérennité de la rentabilité restant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tableau contrasté. **Valorisation (Partie 0)** : le PER de 63,4x et l'EV/EBITDA de 37,6x indiquent une surévaluation manifeste, bien que le P/B de 1,88x reste raisonnable — le marché intègre une prime spéculative déconnectée des bénéfices actuels. **Comportement du cours (Partie 1)** : la tendance baissière (-7,51%) avec une volatilité élevée (34,4%) et une distribution symétrique (skewness 0,157, kurtosis -0,802) n'offre pas de signal haussier clair, le cours évoluant dans la moitié basse de son range. **Signaux techniques (Partie 2)** : divergence entre un MACD baissier et un stochastique en survente, avec des moyennes mobiles mitigées — absence de consensus directionnel. **Fondamentaux (Partie 3)** : la société affiche une rentabilité quasi nulle en 2025 (ROE 2,97%, marge nette 1,45%), une trésorerie nette négative (-11,5 milliards FCFA) et des délais d'exploitation très élevés, mais le T1 2026 montre un rebond du CA (+55%) et un retour à un résultat d'exploitation positif. **Prédictions IA (J+1 à J+10)** : la trajectoire projetée (2 076 → 2 013 FCFA) confirme la poursuite de la baisse à court terme, en cohérence avec le MACD baissier et la position sous la MM20.</w:t>
      </w:r>
    </w:p>
    <w:p>
      <w:pPr>
        <w:spacing w:after="120" w:line="276" w:lineRule="auto"/>
      </w:pPr>
      <w:r>
        <w:t>**Recommandation finale : CONSERVER** — Les signaux sont divergents : la valorisation est excessive, le technique est baissier court terme, mais le rebond commercial du T1 2026 et le support de la MM50 offrent un potentiel de redressement. La convergence entre prédictions IA baissières et MACD négatif incite à ne pas acheter immédiatement, tandis que la survente stochastique et le support fondamental (croissance du CA) déconseillent la vente. **Niveau de confiance : Moyen** (données fondamentales mitigées, technique incertain). **Niveau de risque global : Élevé** (trésorerie négative, dépendance au cacao, volatilité 34,4%). **Horizon d'investissement optimal : Moyen terme (3-12 mois)**, en attendant la confirmation de la rentabilité nette positive sur l'exercice 2026 et l'amélioration de la structure financière.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4,363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+4.07%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μ=4,073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β=-0.1264 (Contre-cyclique) — Cov=-0.000004, Var(idx)=0.000035, ρ=-0.031,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σ_j=2.39%/j (Stable) — Vol. annualisée≈38.0%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3,936</w:t>
            </w:r>
          </w:p>
        </w:tc>
        <w:tc>
          <w:tcPr>
            <w:tcW w:type="dxa" w:w="1440"/>
            <w:shd w:fill="FAFAFA" w:val="clear"/>
          </w:tcPr>
          <w:p>
            <w:r>
              <w:rPr>
                <w:b/>
                <w:sz w:val="17"/>
              </w:rPr>
              <w:t>4,074</w:t>
            </w:r>
          </w:p>
        </w:tc>
        <w:tc>
          <w:tcPr>
            <w:tcW w:type="dxa" w:w="1440"/>
            <w:shd w:fill="FAFAFA" w:val="clear"/>
          </w:tcPr>
          <w:p>
            <w:r>
              <w:rPr>
                <w:sz w:val="17"/>
              </w:rPr>
              <w:t>4,213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3,910</w:t>
            </w:r>
          </w:p>
        </w:tc>
        <w:tc>
          <w:tcPr>
            <w:tcW w:type="dxa" w:w="1440"/>
            <w:shd w:fill="FAFAFA" w:val="clear"/>
          </w:tcPr>
          <w:p>
            <w:r>
              <w:rPr>
                <w:b/>
                <w:sz w:val="17"/>
              </w:rPr>
              <w:t>4,108</w:t>
            </w:r>
          </w:p>
        </w:tc>
        <w:tc>
          <w:tcPr>
            <w:tcW w:type="dxa" w:w="1440"/>
            <w:shd w:fill="FAFAFA" w:val="clear"/>
          </w:tcPr>
          <w:p>
            <w:r>
              <w:rPr>
                <w:sz w:val="17"/>
              </w:rPr>
              <w:t>4,306</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3,887</w:t>
            </w:r>
          </w:p>
        </w:tc>
        <w:tc>
          <w:tcPr>
            <w:tcW w:type="dxa" w:w="1440"/>
            <w:shd w:fill="FAFAFA" w:val="clear"/>
          </w:tcPr>
          <w:p>
            <w:r>
              <w:rPr>
                <w:b/>
                <w:sz w:val="17"/>
              </w:rPr>
              <w:t>4,130</w:t>
            </w:r>
          </w:p>
        </w:tc>
        <w:tc>
          <w:tcPr>
            <w:tcW w:type="dxa" w:w="1440"/>
            <w:shd w:fill="FAFAFA" w:val="clear"/>
          </w:tcPr>
          <w:p>
            <w:r>
              <w:rPr>
                <w:sz w:val="17"/>
              </w:rPr>
              <w:t>4,374</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3,881</w:t>
            </w:r>
          </w:p>
        </w:tc>
        <w:tc>
          <w:tcPr>
            <w:tcW w:type="dxa" w:w="1440"/>
            <w:shd w:fill="FAFAFA" w:val="clear"/>
          </w:tcPr>
          <w:p>
            <w:r>
              <w:rPr>
                <w:b/>
                <w:sz w:val="17"/>
              </w:rPr>
              <w:t>4,164</w:t>
            </w:r>
          </w:p>
        </w:tc>
        <w:tc>
          <w:tcPr>
            <w:tcW w:type="dxa" w:w="1440"/>
            <w:shd w:fill="FAFAFA" w:val="clear"/>
          </w:tcPr>
          <w:p>
            <w:r>
              <w:rPr>
                <w:sz w:val="17"/>
              </w:rPr>
              <w:t>4,448</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3,855</w:t>
            </w:r>
          </w:p>
        </w:tc>
        <w:tc>
          <w:tcPr>
            <w:tcW w:type="dxa" w:w="1440"/>
            <w:shd w:fill="FAFAFA" w:val="clear"/>
          </w:tcPr>
          <w:p>
            <w:r>
              <w:rPr>
                <w:b/>
                <w:sz w:val="17"/>
              </w:rPr>
              <w:t>4,173</w:t>
            </w:r>
          </w:p>
        </w:tc>
        <w:tc>
          <w:tcPr>
            <w:tcW w:type="dxa" w:w="1440"/>
            <w:shd w:fill="FAFAFA" w:val="clear"/>
          </w:tcPr>
          <w:p>
            <w:r>
              <w:rPr>
                <w:sz w:val="17"/>
              </w:rPr>
              <w:t>4,490</w:t>
            </w:r>
          </w:p>
        </w:tc>
        <w:tc>
          <w:tcPr>
            <w:tcW w:type="dxa" w:w="1440"/>
            <w:shd w:fill="FAFAFA" w:val="clear"/>
          </w:tcPr>
          <w:p>
            <w:r>
              <w:rPr>
                <w:b/>
                <w:color w:val="008000"/>
                <w:sz w:val="17"/>
              </w:rPr>
              <w:t>+1.9%</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3,827</w:t>
            </w:r>
          </w:p>
        </w:tc>
        <w:tc>
          <w:tcPr>
            <w:tcW w:type="dxa" w:w="1440"/>
            <w:shd w:fill="FAFAFA" w:val="clear"/>
          </w:tcPr>
          <w:p>
            <w:r>
              <w:rPr>
                <w:b/>
                <w:sz w:val="17"/>
              </w:rPr>
              <w:t>4,175</w:t>
            </w:r>
          </w:p>
        </w:tc>
        <w:tc>
          <w:tcPr>
            <w:tcW w:type="dxa" w:w="1440"/>
            <w:shd w:fill="FAFAFA" w:val="clear"/>
          </w:tcPr>
          <w:p>
            <w:r>
              <w:rPr>
                <w:sz w:val="17"/>
              </w:rPr>
              <w:t>4,523</w:t>
            </w:r>
          </w:p>
        </w:tc>
        <w:tc>
          <w:tcPr>
            <w:tcW w:type="dxa" w:w="1440"/>
            <w:shd w:fill="FAFAFA" w:val="clear"/>
          </w:tcPr>
          <w:p>
            <w:r>
              <w:rPr>
                <w:b/>
                <w:color w:val="008000"/>
                <w:sz w:val="17"/>
              </w:rPr>
              <w:t>+2.0%</w:t>
            </w:r>
          </w:p>
        </w:tc>
      </w:tr>
      <w:tr>
        <w:tc>
          <w:tcPr>
            <w:tcW w:type="dxa" w:w="1440"/>
            <w:shd w:fill="C6EFCE" w:val="clear"/>
          </w:tcPr>
          <w:p>
            <w:r>
              <w:rPr>
                <w:sz w:val="17"/>
              </w:rPr>
              <w:t>J+7  ⭐</w:t>
            </w:r>
          </w:p>
        </w:tc>
        <w:tc>
          <w:tcPr>
            <w:tcW w:type="dxa" w:w="1440"/>
            <w:shd w:fill="C6EFCE" w:val="clear"/>
          </w:tcPr>
          <w:p>
            <w:r>
              <w:rPr>
                <w:sz w:val="17"/>
              </w:rPr>
              <w:t>2026-09-28</w:t>
            </w:r>
          </w:p>
        </w:tc>
        <w:tc>
          <w:tcPr>
            <w:tcW w:type="dxa" w:w="1440"/>
            <w:shd w:fill="C6EFCE" w:val="clear"/>
          </w:tcPr>
          <w:p>
            <w:r>
              <w:rPr>
                <w:sz w:val="17"/>
              </w:rPr>
              <w:t>3,809</w:t>
            </w:r>
          </w:p>
        </w:tc>
        <w:tc>
          <w:tcPr>
            <w:tcW w:type="dxa" w:w="1440"/>
            <w:shd w:fill="C6EFCE" w:val="clear"/>
          </w:tcPr>
          <w:p>
            <w:r>
              <w:rPr>
                <w:b/>
                <w:sz w:val="17"/>
              </w:rPr>
              <w:t>4,186</w:t>
            </w:r>
          </w:p>
        </w:tc>
        <w:tc>
          <w:tcPr>
            <w:tcW w:type="dxa" w:w="1440"/>
            <w:shd w:fill="C6EFCE" w:val="clear"/>
          </w:tcPr>
          <w:p>
            <w:r>
              <w:rPr>
                <w:sz w:val="17"/>
              </w:rPr>
              <w:t>4,562</w:t>
            </w:r>
          </w:p>
        </w:tc>
        <w:tc>
          <w:tcPr>
            <w:tcW w:type="dxa" w:w="1440"/>
            <w:shd w:fill="C6EFCE" w:val="clear"/>
          </w:tcPr>
          <w:p>
            <w:r>
              <w:rPr>
                <w:b/>
                <w:color w:val="008000"/>
                <w:sz w:val="17"/>
              </w:rPr>
              <w:t>+2.2%</w:t>
            </w:r>
          </w:p>
        </w:tc>
      </w:tr>
      <w:tr>
        <w:tc>
          <w:tcPr>
            <w:tcW w:type="dxa" w:w="1440"/>
            <w:shd w:fill="C6EFCE" w:val="clear"/>
          </w:tcPr>
          <w:p>
            <w:r>
              <w:rPr>
                <w:sz w:val="17"/>
              </w:rPr>
              <w:t>J+8  ⭐</w:t>
            </w:r>
          </w:p>
        </w:tc>
        <w:tc>
          <w:tcPr>
            <w:tcW w:type="dxa" w:w="1440"/>
            <w:shd w:fill="C6EFCE" w:val="clear"/>
          </w:tcPr>
          <w:p>
            <w:r>
              <w:rPr>
                <w:sz w:val="17"/>
              </w:rPr>
              <w:t>2026-09-29</w:t>
            </w:r>
          </w:p>
        </w:tc>
        <w:tc>
          <w:tcPr>
            <w:tcW w:type="dxa" w:w="1440"/>
            <w:shd w:fill="C6EFCE" w:val="clear"/>
          </w:tcPr>
          <w:p>
            <w:r>
              <w:rPr>
                <w:sz w:val="17"/>
              </w:rPr>
              <w:t>3,783</w:t>
            </w:r>
          </w:p>
        </w:tc>
        <w:tc>
          <w:tcPr>
            <w:tcW w:type="dxa" w:w="1440"/>
            <w:shd w:fill="C6EFCE" w:val="clear"/>
          </w:tcPr>
          <w:p>
            <w:r>
              <w:rPr>
                <w:b/>
                <w:sz w:val="17"/>
              </w:rPr>
              <w:t>4,186</w:t>
            </w:r>
          </w:p>
        </w:tc>
        <w:tc>
          <w:tcPr>
            <w:tcW w:type="dxa" w:w="1440"/>
            <w:shd w:fill="C6EFCE" w:val="clear"/>
          </w:tcPr>
          <w:p>
            <w:r>
              <w:rPr>
                <w:sz w:val="17"/>
              </w:rPr>
              <w:t>4,589</w:t>
            </w:r>
          </w:p>
        </w:tc>
        <w:tc>
          <w:tcPr>
            <w:tcW w:type="dxa" w:w="1440"/>
            <w:shd w:fill="C6EFCE" w:val="clear"/>
          </w:tcPr>
          <w:p>
            <w:r>
              <w:rPr>
                <w:b/>
                <w:color w:val="008000"/>
                <w:sz w:val="17"/>
              </w:rPr>
              <w:t>+2.2%</w:t>
            </w:r>
          </w:p>
        </w:tc>
      </w:tr>
      <w:tr>
        <w:tc>
          <w:tcPr>
            <w:tcW w:type="dxa" w:w="1440"/>
            <w:shd w:fill="C6EFCE" w:val="clear"/>
          </w:tcPr>
          <w:p>
            <w:r>
              <w:rPr>
                <w:sz w:val="17"/>
              </w:rPr>
              <w:t>J+9  ⭐</w:t>
            </w:r>
          </w:p>
        </w:tc>
        <w:tc>
          <w:tcPr>
            <w:tcW w:type="dxa" w:w="1440"/>
            <w:shd w:fill="C6EFCE" w:val="clear"/>
          </w:tcPr>
          <w:p>
            <w:r>
              <w:rPr>
                <w:sz w:val="17"/>
              </w:rPr>
              <w:t>2026-09-30</w:t>
            </w:r>
          </w:p>
        </w:tc>
        <w:tc>
          <w:tcPr>
            <w:tcW w:type="dxa" w:w="1440"/>
            <w:shd w:fill="C6EFCE" w:val="clear"/>
          </w:tcPr>
          <w:p>
            <w:r>
              <w:rPr>
                <w:sz w:val="17"/>
              </w:rPr>
              <w:t>3,758</w:t>
            </w:r>
          </w:p>
        </w:tc>
        <w:tc>
          <w:tcPr>
            <w:tcW w:type="dxa" w:w="1440"/>
            <w:shd w:fill="C6EFCE" w:val="clear"/>
          </w:tcPr>
          <w:p>
            <w:r>
              <w:rPr>
                <w:b/>
                <w:sz w:val="17"/>
              </w:rPr>
              <w:t>4,185</w:t>
            </w:r>
          </w:p>
        </w:tc>
        <w:tc>
          <w:tcPr>
            <w:tcW w:type="dxa" w:w="1440"/>
            <w:shd w:fill="C6EFCE" w:val="clear"/>
          </w:tcPr>
          <w:p>
            <w:r>
              <w:rPr>
                <w:sz w:val="17"/>
              </w:rPr>
              <w:t>4,613</w:t>
            </w:r>
          </w:p>
        </w:tc>
        <w:tc>
          <w:tcPr>
            <w:tcW w:type="dxa" w:w="1440"/>
            <w:shd w:fill="C6EFCE" w:val="clear"/>
          </w:tcPr>
          <w:p>
            <w:r>
              <w:rPr>
                <w:b/>
                <w:color w:val="008000"/>
                <w:sz w:val="17"/>
              </w:rPr>
              <w:t>+2.2%</w:t>
            </w:r>
          </w:p>
        </w:tc>
      </w:tr>
      <w:tr>
        <w:tc>
          <w:tcPr>
            <w:tcW w:type="dxa" w:w="1440"/>
            <w:shd w:fill="C6EFCE" w:val="clear"/>
          </w:tcPr>
          <w:p>
            <w:r>
              <w:rPr>
                <w:sz w:val="17"/>
              </w:rPr>
              <w:t>J+10  ⭐</w:t>
            </w:r>
          </w:p>
        </w:tc>
        <w:tc>
          <w:tcPr>
            <w:tcW w:type="dxa" w:w="1440"/>
            <w:shd w:fill="C6EFCE" w:val="clear"/>
          </w:tcPr>
          <w:p>
            <w:r>
              <w:rPr>
                <w:sz w:val="17"/>
              </w:rPr>
              <w:t>2026-10-01</w:t>
            </w:r>
          </w:p>
        </w:tc>
        <w:tc>
          <w:tcPr>
            <w:tcW w:type="dxa" w:w="1440"/>
            <w:shd w:fill="C6EFCE" w:val="clear"/>
          </w:tcPr>
          <w:p>
            <w:r>
              <w:rPr>
                <w:sz w:val="17"/>
              </w:rPr>
              <w:t>3,732</w:t>
            </w:r>
          </w:p>
        </w:tc>
        <w:tc>
          <w:tcPr>
            <w:tcW w:type="dxa" w:w="1440"/>
            <w:shd w:fill="C6EFCE" w:val="clear"/>
          </w:tcPr>
          <w:p>
            <w:r>
              <w:rPr>
                <w:b/>
                <w:sz w:val="17"/>
              </w:rPr>
              <w:t>4,182</w:t>
            </w:r>
          </w:p>
        </w:tc>
        <w:tc>
          <w:tcPr>
            <w:tcW w:type="dxa" w:w="1440"/>
            <w:shd w:fill="C6EFCE" w:val="clear"/>
          </w:tcPr>
          <w:p>
            <w:r>
              <w:rPr>
                <w:sz w:val="17"/>
              </w:rPr>
              <w:t>4,632</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 SA)**</w:t>
        <w:br/>
        <w:t>**Bourse Régionale des Valeurs Mobilières (BRVM) — Secteur : Entreprise non bancaire (Jeux &amp; Loterie)**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81,90 Mds FCFA, LNBB se positionne comme une valeur de taille intermédiaire sur le compartiment des sociétés non bancaires de la BRVM, ce qui lui confère une liquidité limitée mais une certaine stabilité. Le BPA de 231 FCFA/action signifie que chaque titre génère environ 231 FCFA de bénéfice net, un niveau correct pour une entreprise de services. Le PER de 17,7x est nettement supérieur à la moyenne du marché BRVM (8-12x), ce qui indique que les investisseurs paient une prime significative pour les bénéfices actuels, anticipant probablement une reprise de la croissance après la contraction de 2025. Le P/B de 3,73x traduit une valorisation bien au-dessus de la valeur comptable (prime de croissance accordée), tandis que l'EV/EBITDA de 10,4x, bien que dans la fourchette haute (10-15x), reste cohérent avec la capacité opérationnelle de l'entreprise et sa trésorerie nette positive de 7,98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positive de +4,07%, avec un cours actuel de 4 095 FCFA, en léger repli de -0,12% lors de la dernière séance. Le range de trading s'étend de 3 825 FCFA (plus bas) à 4 560 FCFA (plus haut), soit une amplitude d'environ 19%, reflétant une tendance globalement haussière mais avec des phases de correction. La moyenne du cours (4 073 FCFA) est légèrement supérieure à la médiane (4 028 FCFA), ce qui indique une asymétrie positive confirmée par le skewness de 0,526 : davantage de journées se sont situées sous la moyenne, mais quelques séances haussières ont tiré la moyenne vers le haut. L'écart-type de 192 FCFA (CV = 4,7%) traduit une dispersion modérée du cours autour de sa tendance, tandis que le kurtosis de -0,846 (mésokurtique) suggère une distribution proche de la normale, sans risque majeur de pics extrêmes. La volatilité annualisée de 38,0% classe le titre dans la catégorie des valeurs à volatilité élevée (&gt;30%), ce qui implique un risque de fluctuation important à court terme, à prendre en compte dans la gestion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(4 027,75 FCFA) est inférieure au cours actuel (4 095 FCFA), tandis que la MM50 (4 166,40 FCFA) lui est supérieure. Le cours évolue donc entre ses deux moyennes, avec une MM20 en soutien immédiat et une MM50 en résistance. La décision « Vente » s'explique par le fait que le cours reste sous sa MM50, signalant une pression baissière de moyen terme malgré le rebond récent.</w:t>
      </w:r>
    </w:p>
    <w:p>
      <w:pPr>
        <w:spacing w:after="120" w:line="276" w:lineRule="auto"/>
      </w:pPr>
      <w:r>
        <w:t>**Bandes de Bollinger** : Le cours (4 095 FCFA) se situe dans la partie médiane-haute de la bande, entre la borne inférieure (3 902,70 FCFA) et la borne supérieure (4 152,80 FCFA). L'écart entre les bornes est relativement étroit, indiquant une volatilité contenue à court terme. La décision « Neutre » reflète l'absence de signal directionnel fort, le cours n'étant ni en surachat ni en survente.</w:t>
      </w:r>
    </w:p>
    <w:p>
      <w:pPr>
        <w:spacing w:after="120" w:line="276" w:lineRule="auto"/>
      </w:pPr>
      <w:r>
        <w:t>**MACD** : La valeur du MACD (-35,72) est supérieure à son signal (-49,65), formant un croisement haussier (MACD au-dessus du signal). Bien que les deux lignes restent en territoire négatif, le momentum s'améliore, ce qui justifie la décision « Achat » à court terme.</w:t>
      </w:r>
    </w:p>
    <w:p>
      <w:pPr>
        <w:spacing w:after="120" w:line="276" w:lineRule="auto"/>
      </w:pPr>
      <w:r>
        <w:t>**RSI** : À 55,56, le RSI se situe en zone neutre (30-70), sans signal de surachat (&gt;70) ni de survente (&lt;30). Cette position médiane indique un équilibre entre acheteurs et vendeurs, justifiant la décision « Neutre ».</w:t>
      </w:r>
    </w:p>
    <w:p>
      <w:pPr>
        <w:spacing w:after="120" w:line="276" w:lineRule="auto"/>
      </w:pPr>
      <w:r>
        <w:t>**Stochastique** : Le %K (97,5) est très proche de son maximum, et le %D (75,0) confirme cette tendance haussière. Le croisement du %K au-dessus du %D en zone haute signale un risque de retournement baissier imminent (surachat), justifiant la décision « Vente ».</w:t>
      </w:r>
    </w:p>
    <w:p>
      <w:pPr>
        <w:spacing w:after="120" w:line="276" w:lineRule="auto"/>
      </w:pPr>
      <w:r>
        <w:t>**Conclusion technique** : Les indicateurs sont divergents : le MACD donne un signal d'achat, tandis que les moyennes mobiles et le stochastique suggèrent une vente. Le RSI et les bandes de Bollinger restent neutres. Cette configuration indique une phase d'incertitude, avec un potentiel de rebond à court terme (MACD) mais une pression baissière persistante à moyen terme (MM50, stochastique en surachat).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LNBB a réalisé un chiffre d'affaires de 98,598 Mds FCFA, en baisse de -3,85% par rapport à 2024, sous l'effet d'une concurrence illégale accrue. Le résultat net s'établit à 4,622 Mds FCFA, en recul de -35,6% (contre 7,176 Mds FCFA en 2024), principalement en raison de l'absence de produits exceptionnels (3,1 Mds FCFA en 2024). Malgré cette contraction, les fondamentaux opérationnels s'améliorent : la valeur ajoutée progresse de +22% à 10,548 Mds FCFA, et l'EBE de +34% à 7,164 Mds FCFA, témoignant d'une excellente maîtrise des charges. Le ROE reste excellent à 21,05% (&gt;15%), et le ROA à 14,17%, confirmant la rentabilité des actifs. La structure financière est très saine : autonomie financière de 67,32%, ratio d'endettement de seulement 2,57%, et trésorerie nette de 7,979 Mds FCFA. Le BFR est négatif (217,45 M FCFA), ce qui est favorable, et les délais clients (4,82 jours) et fournisseurs (20,41 jours) sont bien maîtrisés.</w:t>
      </w:r>
    </w:p>
    <w:p>
      <w:pPr>
        <w:spacing w:after="120" w:line="276" w:lineRule="auto"/>
      </w:pPr>
      <w:r>
        <w:t>**Adaptation au secteur (entreprise)** : La marge nette de 4,69% est correcte pour le secteur des jeux, mais en baisse par rapport à 2024 (7,0%). La rotation des actifs est très élevée (302,37%), reflétant un modèle économique peu capitalistique. Le point de vigilance majeur réside dans la dégradation du Produit Brut des Jeux (PBJ) au S1 2026 (-9%), due à la hausse des gains payés aux joueurs (+7%) et à la prédominance du pari sportif (taux de retour de 95%).</w:t>
      </w:r>
    </w:p>
    <w:p>
      <w:pPr>
        <w:spacing w:after="120" w:line="276" w:lineRule="auto"/>
      </w:pPr>
      <w:r>
        <w:t>**Estimations basées sur les rapports trimestriels** : Selon le rapport T1 2026 (publié le 07/05/2026), le CA progresse de +6% à 25,521 Mds FCFA, mais le résultat net chute de -46% à 848 M FCFA, en raison du mix produit défavorable. Le rapport S1 2026 (publié le 01/08/2026) indique une reprise spectaculaire : CA de 49,937 Mds FCFA (+4%) et résultat net en hausse de +60%, grâce à la maîtrise des charges et aux revenus de partenariats. On estime donc que l'exercice 2026 devrait afficher une amélioration de la rentabilité nette, portée par le déploiement de 1 500 nouveaux terminaux et le lancement de nouveaux produits au S2 2026. Le dividende brut proposé de 173 FCFA/action (net : 164 FCFA), soit un rendement d'environ 4,0% au cours actuel, constitue un signal positif pour les actionnaires.</w:t>
      </w:r>
    </w:p>
    <w:p>
      <w:pPr>
        <w:spacing w:after="120" w:line="276" w:lineRule="auto"/>
      </w:pPr>
      <w:r>
        <w:t>**Recommandation fondamentale** : La solidité financière est indéniable (capitaux propres de 21,95 Mds FCFA, trésorerie nette positive), et les perspectives 2026 sont encourageantes. Cependant, la dépendance croissante au pari sportif à faible marge et la concurrence illégale restent des risques majeurs. La recommandation fondamentale est **CONSERVER**, avec un potentiel de revalorisation si la stratégie de rééquilibrage du mix produit porte ses fruits.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de 17,7x, P/B de 3,73x, EV/EBITDA de 10,4x) indique une **surévaluation relative** par rapport à la moyenne du marché BRVM (PER 8-12x), ce qui suggère que le marché intègre déjà une reprise de la croissance. Le comportement du cours sur 100 jours (+4,07%) est modérément haussier, mais la volatilité élevée (38,0%) et le skewness positif (0,526) indiquent un risque de correction, bien que le kurtosis mésokurtique (-0,846) limite le risque de pics extrêmes. Les signaux techniques sont **divergents** : le MACD donne un signal d'achat, mais les moyennes mobiles (MM50 &gt; cours) et le stochastique (surachat) suggèrent une vente, tandis que le RSI et les bandes de Bollinger restent neutres. Les fondamentaux sont **solides** (ROE de 21,05%, autonomie financière de 67,32%, trésorerie nette de 7,98 Mds FCFA) mais entachés par la baisse du PBJ (-9% au S1 2026) et la dépendance au pari sportif. Les prédictions IA (J+1 à J+10) anticipent une hausse progressive de 4 074 FCFA à 4 173 FCFA, confirmant le signal d'achat du MACD à court terme. **Synthèse** : La convergence entre les prédictions IA haussières et le MACD positif, couplée à la solidité financière, soutient une recommandation **CONSERVER** avec un biais haussier à moyen terme. Le niveau de confiance est **Moyen** (divergence technique et surévaluation), et le risque global est **Moyen** (volatilité élevée, concurrence). L'horizon d'investissement optimal est le **moyen terme (3-12 mois)**, en attendant la confirmation de l'amélioration du PBJ et des résultats du S2 2026. Un renforcement serait justifié si le titre revenait vers 3 900 FCFA (borne inférieure des Bollinger) ou si le PBJ se stabilisait.</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4,956 titres</w:t>
            </w:r>
          </w:p>
        </w:tc>
        <w:tc>
          <w:tcPr>
            <w:tcW w:type="dxa" w:w="2268"/>
            <w:shd w:fill="FFF2CC" w:val="clear"/>
          </w:tcPr>
          <w:p>
            <w:r>
              <w:rPr>
                <w:b/>
                <w:color w:val="503200"/>
                <w:sz w:val="16"/>
              </w:rPr>
              <w:t xml:space="preserve">Cours actuel : </w:t>
            </w:r>
            <w:r>
              <w:rPr>
                <w:color w:val="000000"/>
                <w:sz w:val="17"/>
              </w:rPr>
              <w:t>2,550 FCFA</w:t>
            </w:r>
          </w:p>
          <w:p>
            <w:r>
              <w:rPr>
                <w:b/>
                <w:color w:val="503200"/>
                <w:sz w:val="16"/>
              </w:rPr>
              <w:t xml:space="preserve">Var. 100 jours : </w:t>
            </w:r>
            <w:r>
              <w:rPr>
                <w:b/>
                <w:color w:val="007800"/>
                <w:sz w:val="17"/>
              </w:rPr>
              <w:t>+73.47%</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1,470 FCFA</w:t>
            </w:r>
          </w:p>
          <w:p>
            <w:r>
              <w:rPr>
                <w:b/>
                <w:color w:val="503200"/>
                <w:sz w:val="16"/>
              </w:rPr>
              <w:t xml:space="preserve">Volatilité ann. : </w:t>
            </w:r>
            <w:r>
              <w:rPr>
                <w:color w:val="000000"/>
                <w:sz w:val="17"/>
              </w:rPr>
              <w:t>57.5%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15.32% (Élevée) — μ=2,236 FCFA, σ=342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β=-0.1650 (Contre-cyclique) — Cov=-0.000006, Var(idx)=0.000035, ρ=-0.027,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4,956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σ_j=3.62%/j (Modérée) — Vol. annualisée≈57.5%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2,378</w:t>
            </w:r>
          </w:p>
        </w:tc>
        <w:tc>
          <w:tcPr>
            <w:tcW w:type="dxa" w:w="1440"/>
            <w:shd w:fill="FAFAFA" w:val="clear"/>
          </w:tcPr>
          <w:p>
            <w:r>
              <w:rPr>
                <w:b/>
                <w:sz w:val="17"/>
              </w:rPr>
              <w:t>2,550</w:t>
            </w:r>
          </w:p>
        </w:tc>
        <w:tc>
          <w:tcPr>
            <w:tcW w:type="dxa" w:w="1440"/>
            <w:shd w:fill="FAFAFA" w:val="clear"/>
          </w:tcPr>
          <w:p>
            <w:r>
              <w:rPr>
                <w:sz w:val="17"/>
              </w:rPr>
              <w:t>2,722</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2,279</w:t>
            </w:r>
          </w:p>
        </w:tc>
        <w:tc>
          <w:tcPr>
            <w:tcW w:type="dxa" w:w="1440"/>
            <w:shd w:fill="FAFAFA" w:val="clear"/>
          </w:tcPr>
          <w:p>
            <w:r>
              <w:rPr>
                <w:b/>
                <w:sz w:val="17"/>
              </w:rPr>
              <w:t>2,520</w:t>
            </w:r>
          </w:p>
        </w:tc>
        <w:tc>
          <w:tcPr>
            <w:tcW w:type="dxa" w:w="1440"/>
            <w:shd w:fill="FAFAFA" w:val="clear"/>
          </w:tcPr>
          <w:p>
            <w:r>
              <w:rPr>
                <w:sz w:val="17"/>
              </w:rPr>
              <w:t>2,760</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2,213</w:t>
            </w:r>
          </w:p>
        </w:tc>
        <w:tc>
          <w:tcPr>
            <w:tcW w:type="dxa" w:w="1440"/>
            <w:shd w:fill="FAFAFA" w:val="clear"/>
          </w:tcPr>
          <w:p>
            <w:r>
              <w:rPr>
                <w:b/>
                <w:sz w:val="17"/>
              </w:rPr>
              <w:t>2,506</w:t>
            </w:r>
          </w:p>
        </w:tc>
        <w:tc>
          <w:tcPr>
            <w:tcW w:type="dxa" w:w="1440"/>
            <w:shd w:fill="FAFAFA" w:val="clear"/>
          </w:tcPr>
          <w:p>
            <w:r>
              <w:rPr>
                <w:sz w:val="17"/>
              </w:rPr>
              <w:t>2,798</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2,155</w:t>
            </w:r>
          </w:p>
        </w:tc>
        <w:tc>
          <w:tcPr>
            <w:tcW w:type="dxa" w:w="1440"/>
            <w:shd w:fill="FFDCE0" w:val="clear"/>
          </w:tcPr>
          <w:p>
            <w:r>
              <w:rPr>
                <w:b/>
                <w:sz w:val="17"/>
              </w:rPr>
              <w:t>2,491</w:t>
            </w:r>
          </w:p>
        </w:tc>
        <w:tc>
          <w:tcPr>
            <w:tcW w:type="dxa" w:w="1440"/>
            <w:shd w:fill="FFDCE0" w:val="clear"/>
          </w:tcPr>
          <w:p>
            <w:r>
              <w:rPr>
                <w:sz w:val="17"/>
              </w:rPr>
              <w:t>2,827</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2,103</w:t>
            </w:r>
          </w:p>
        </w:tc>
        <w:tc>
          <w:tcPr>
            <w:tcW w:type="dxa" w:w="1440"/>
            <w:shd w:fill="FFDCE0" w:val="clear"/>
          </w:tcPr>
          <w:p>
            <w:r>
              <w:rPr>
                <w:b/>
                <w:sz w:val="17"/>
              </w:rPr>
              <w:t>2,476</w:t>
            </w:r>
          </w:p>
        </w:tc>
        <w:tc>
          <w:tcPr>
            <w:tcW w:type="dxa" w:w="1440"/>
            <w:shd w:fill="FFDCE0" w:val="clear"/>
          </w:tcPr>
          <w:p>
            <w:r>
              <w:rPr>
                <w:sz w:val="17"/>
              </w:rPr>
              <w:t>2,849</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2,054</w:t>
            </w:r>
          </w:p>
        </w:tc>
        <w:tc>
          <w:tcPr>
            <w:tcW w:type="dxa" w:w="1440"/>
            <w:shd w:fill="FFDCE0" w:val="clear"/>
          </w:tcPr>
          <w:p>
            <w:r>
              <w:rPr>
                <w:b/>
                <w:sz w:val="17"/>
              </w:rPr>
              <w:t>2,461</w:t>
            </w:r>
          </w:p>
        </w:tc>
        <w:tc>
          <w:tcPr>
            <w:tcW w:type="dxa" w:w="1440"/>
            <w:shd w:fill="FFDCE0" w:val="clear"/>
          </w:tcPr>
          <w:p>
            <w:r>
              <w:rPr>
                <w:sz w:val="17"/>
              </w:rPr>
              <w:t>2,867</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2,010</w:t>
            </w:r>
          </w:p>
        </w:tc>
        <w:tc>
          <w:tcPr>
            <w:tcW w:type="dxa" w:w="1440"/>
            <w:shd w:fill="FFDCE0" w:val="clear"/>
          </w:tcPr>
          <w:p>
            <w:r>
              <w:rPr>
                <w:b/>
                <w:sz w:val="17"/>
              </w:rPr>
              <w:t>2,446</w:t>
            </w:r>
          </w:p>
        </w:tc>
        <w:tc>
          <w:tcPr>
            <w:tcW w:type="dxa" w:w="1440"/>
            <w:shd w:fill="FFDCE0" w:val="clear"/>
          </w:tcPr>
          <w:p>
            <w:r>
              <w:rPr>
                <w:sz w:val="17"/>
              </w:rPr>
              <w:t>2,882</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1,968</w:t>
            </w:r>
          </w:p>
        </w:tc>
        <w:tc>
          <w:tcPr>
            <w:tcW w:type="dxa" w:w="1440"/>
            <w:shd w:fill="FFDCE0" w:val="clear"/>
          </w:tcPr>
          <w:p>
            <w:r>
              <w:rPr>
                <w:b/>
                <w:sz w:val="17"/>
              </w:rPr>
              <w:t>2,432</w:t>
            </w:r>
          </w:p>
        </w:tc>
        <w:tc>
          <w:tcPr>
            <w:tcW w:type="dxa" w:w="1440"/>
            <w:shd w:fill="FFDCE0" w:val="clear"/>
          </w:tcPr>
          <w:p>
            <w:r>
              <w:rPr>
                <w:sz w:val="17"/>
              </w:rPr>
              <w:t>2,896</w:t>
            </w:r>
          </w:p>
        </w:tc>
        <w:tc>
          <w:tcPr>
            <w:tcW w:type="dxa" w:w="1440"/>
            <w:shd w:fill="FFDCE0" w:val="clear"/>
          </w:tcPr>
          <w:p>
            <w:r>
              <w:rPr>
                <w:b/>
                <w:color w:val="C00000"/>
                <w:sz w:val="17"/>
              </w:rPr>
              <w:t>-4.6%</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1,929</w:t>
            </w:r>
          </w:p>
        </w:tc>
        <w:tc>
          <w:tcPr>
            <w:tcW w:type="dxa" w:w="1440"/>
            <w:shd w:fill="FFDCE0" w:val="clear"/>
          </w:tcPr>
          <w:p>
            <w:r>
              <w:rPr>
                <w:b/>
                <w:sz w:val="17"/>
              </w:rPr>
              <w:t>2,419</w:t>
            </w:r>
          </w:p>
        </w:tc>
        <w:tc>
          <w:tcPr>
            <w:tcW w:type="dxa" w:w="1440"/>
            <w:shd w:fill="FFDCE0" w:val="clear"/>
          </w:tcPr>
          <w:p>
            <w:r>
              <w:rPr>
                <w:sz w:val="17"/>
              </w:rPr>
              <w:t>2,908</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1,893</w:t>
            </w:r>
          </w:p>
        </w:tc>
        <w:tc>
          <w:tcPr>
            <w:tcW w:type="dxa" w:w="1440"/>
            <w:shd w:fill="FFDCE0" w:val="clear"/>
          </w:tcPr>
          <w:p>
            <w:r>
              <w:rPr>
                <w:b/>
                <w:sz w:val="17"/>
              </w:rPr>
              <w:t>2,406</w:t>
            </w:r>
          </w:p>
        </w:tc>
        <w:tc>
          <w:tcPr>
            <w:tcW w:type="dxa" w:w="1440"/>
            <w:shd w:fill="FFDCE0" w:val="clear"/>
          </w:tcPr>
          <w:p>
            <w:r>
              <w:rPr>
                <w:sz w:val="17"/>
              </w:rPr>
              <w:t>2,919</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32,55 Mds FCFA, NEIC se positionne comme une petite capitalisation sur le marché BRVM, ce qui implique une liquidité limitée et une sensibilité accrue aux mouvements de faible volume. Le BPA de 160 FCFA/action signifie que chaque titre génère 160 FCFA de bénéfice net, ce qui, rapporté au cours actuel de 2 550 FCFA, donne un PER de 16,0x — soit un niveau modéré mais nettement supérieur à la moyenne du marché BRVM (8-12x), traduisant une certaine prime de croissance déjà intégrée par le marché. Le P/B de 5,66x (largement supérieur à 4x) indique que le marché valorise l'entreprise à plus de cinq fois sa valeur comptable, ce qui constitue une prime exigeante qui n'est justifiable que par une rentabilité des fonds propres exceptionnelle (ROE de 35,4%). Enfin, l'EV/EBITDA de 23,9x (très supérieur au seuil de 15x) signale que la valeur d'entreprise intègre une forte anticipation de croissance opérationnelle, ce qui rend le titre vulnérable à toute déception sur les résultats — d'autant que le dernier trimestre publié montre un chiffre d'affaires en recul de 35%.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performance spectaculaire de +73,47%, passant d'un plus bas de 1 470 FCFA à un plus haut de 3 000 FCFA, avant de refluer à 2 550 FCFA — soit une correction de -7,10% sur la seule dernière séance (J-1), signalant une prise de bénéfices après le rallye. Le range de trading de 1 530 FCFA (soit plus du double du plus bas) témoigne d'une tendance haussière puissante mais ponctuée de mouvements erratiques. Les statistiques descriptives révèlent une moyenne (2 236 FCFA) légèrement supérieure à la médiane (2 215 FCFA), avec un mode à 1 990 FCFA — écart qui confirme une asymétrie positive (skewness de 0,592), c'est-à-dire davantage de journées de cotation sous la moyenne, avec quelques pics haussiers tirant la moyenne vers le haut. L'écart-type de 344 FCFA (CV de 15,4%) indique une dispersion modérée du cours autour de sa moyenne, tandis que le kurtosis de 0,072 (mésokurtique) suggère une distribution proche de la normale, sans risque excessif de pics extrêmes. La volatilité annualisée de 57,5% classe ce titre dans la catégorie des valeurs à volatilité élevée (&gt;30%), ce qui implique un risque de perte en capital significatif à court terme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(2 781,75 FCFA) est supérieure à la MM50 (2 443,50 FCFA), et le cours actuel (2 550 FCFA) se situe entre les deux — sous la MM20 mais au-dessus de la MM50. Cette configuration indique que la tendance de court terme s'est retournée à la baisse (cours sous MM20) tandis que la tendance de moyen terme reste haussière (cours au-dessus de MM50). La décision affichée est "Achat", mais elle est tempérée par la position du cours sous la MM20, qui constitue une résistance immédiate à 2 781 FCFA.</w:t>
      </w:r>
    </w:p>
    <w:p>
      <w:pPr>
        <w:spacing w:after="120" w:line="276" w:lineRule="auto"/>
      </w:pPr>
      <w:r>
        <w:t>**Bandes de Bollinger** : Le cours (2 550 FCFA) se situe dans la partie basse de la bande, entre la borne inférieure (2 363,13 FCFA) et la borne supérieure (3 200,37 FCFA), mais plus proche de la borne inférieure. Cette position suggère que le titre a corrigé une partie de sa surchauffe et se rapproche d'une zone de support potentiel. La décision "Neutre" reflète l'absence de signal directionnel clair : le cours n'est ni en suracheté (proche borne supérieure) ni en survente extrême (proche borne inférieure).</w:t>
      </w:r>
    </w:p>
    <w:p>
      <w:pPr>
        <w:spacing w:after="120" w:line="276" w:lineRule="auto"/>
      </w:pPr>
      <w:r>
        <w:t>**MACD** : La valeur du MACD (82,276) est inférieure à son signal (129,422), ce qui génère une divergence baissière — le momentum haussier s'essouffle et un croisement à la baisse s'est déjà produit. La décision "Vente" confirme que la dynamique de court terme s'est inversée, et le MACD pourrait continuer à se contracter vers la ligne zéro si la correction se poursuit.</w:t>
      </w:r>
    </w:p>
    <w:p>
      <w:pPr>
        <w:spacing w:after="120" w:line="276" w:lineRule="auto"/>
      </w:pPr>
      <w:r>
        <w:t>**RSI** : À 28,571, le RSI se situe en zone de survente (&lt;30), ce qui indique que le titre a été excessivement vendu à court terme et qu'un rebond technique est probable. La décision "Achat" est cohérente avec cette lecture contrarienne : historiquement, un RSI sous 30 précède souvent un rebond à court terme, surtout dans un contexte de tendance de fond haussière (cours &gt; MM50).</w:t>
      </w:r>
    </w:p>
    <w:p>
      <w:pPr>
        <w:spacing w:after="120" w:line="276" w:lineRule="auto"/>
      </w:pPr>
      <w:r>
        <w:t>**Stochastique** : Le %K (0,0) est à son plus bas niveau absolu, tandis que le %D (21,171) reste au-dessus — configuration de survente extrême avec un croisement potentiel à la hausse imminent. La décision "Achat" est justifiée par cette situation de survente, mais le %K à 0,0 signale que la pression vendeuse a été totale sur les dernières séances, ce qui peut précéder soit un rebond violent, soit une continuation baissière si le support cède.</w:t>
      </w:r>
    </w:p>
    <w:p>
      <w:pPr>
        <w:spacing w:after="120" w:line="276" w:lineRule="auto"/>
      </w:pPr>
      <w:r>
        <w:t>**Conclusion technique** : Les indicateurs sont divergents — les oscillateurs (RSI, Stochastique) plaident pour un rebond technique à court terme depuis une zone de survente, tandis que le MACD et la position sous la MM20 confirment une correction en cours. La convergence des signaux de survente (RSI 28,6 et %K 0,0) suggère qu'un rebond est probable dans les prochains jours, mais la faiblesse du MACD invite à la prudence : un rebond technique ne signifierait pas nécessairement une reprise durable de la tendance haussière. La zone de support critique se situe à 2 363 FCFA (borne inférieure de Bollinger), et une cassure de ce niveau invaliderait le scénario haussier.</w:t>
      </w:r>
    </w:p>
    <w:p>
      <w:pPr>
        <w:spacing w:after="120" w:line="276" w:lineRule="auto"/>
      </w:pPr>
      <w:r>
        <w:t>---</w:t>
      </w:r>
    </w:p>
    <w:p>
      <w:pPr>
        <w:spacing w:after="120" w:line="276" w:lineRule="auto"/>
      </w:pPr>
      <w:r>
        <w:t>## PARTIE 3 : ANALYSE FONDAMENTALE</w:t>
      </w:r>
    </w:p>
    <w:p>
      <w:pPr>
        <w:spacing w:after="120" w:line="276" w:lineRule="auto"/>
      </w:pPr>
      <w:r>
        <w:t>Les états financiers 2025 de NEIC (secteur ENTREPRISE — édition et diffusion) affichent un chiffre d'affaires de 5,139 Mds FCFA, un résultat net de 2,037 Mds FCFA (marge nette de 39,6%), un ROE exceptionnel de 35,39% et un ROA de 27,25% — des niveaux de rentabilité très supérieurs aux standards du marché. Cependant, le taux de croissance du CA est négatif à -23,80%, ce qui révèle une contraction préoccupante de l'activité commerciale. L'analyse des délais d'exploitation montre un délai clients très élevé de 154,72 jours (risque de trésorerie important), un délai fournisseurs de 69,56 jours (favorable à la trésorerie) et une durée de stockage de 54,49 jours. Le BFR s'établit à 1,498 Md FCFA, mais la trésorerie nette reste confortable à 4,196 Mds FCFA, et l'autonomie financière est excellente à 77,01% (capitaux propres/total bilan), avec une solvabilité générale de 435,02%. Le rapport du T3 2025 (daté du 30/09/2025) indique un chiffre d'affaires de 3 406 M FCFA au T3, en baisse de 35% sur un an, et un résultat net de 1 596 M FCFA (+125%) — mais ce bénéfice est entièrement dû à la reprise d'une provision pour redressement fiscal (élément non récurrent), la marge opérationnelle récurrente n'étant que de 18,4%. Le rapport du T1 2026 (publié en 2026) montre un CA de 115,1 M FCFA (+137%) mais une perte nette de -168,9 M FCFA (en amélioration de 11% sur un an), confirmant que la société reste déficitaire sur son activité courante au premier trimestre, traditionnellement faible. Le rapport annuel 2025 (publié en 2025) fait état d'un résultat net de 2,04 Mds FCFA (+169%) et d'un dividende généreux de 2,04 Mds FCFA (100% du résultat net), avec des capitaux propres renforcés à 8,61 Mds FCFA. **Synthèse fondamentale** : NEIC présente une rentabilité apparente exceptionnelle (ROE 35,4%, marge nette 39,6%) mais celle-ci est en grande partie artificielle, portée par des éléments non récurrents (reprise de provision en 2025) et non par une dynamique commerciale saine — le CA recule de 23,8% en 2025 et le T1 2026 reste déficitaire. La structure financière est très solide (autonomie financière 77%, trésorerie nette 4,2 Mds FCFA), mais le modèle économique montre des signes de faiblesse structurelle (délai clients de 154 jours, dépendance aux marchés publics). La recommandation fondamentale est **CONSERVER avec vigilance** : la solidité du bilan protège contre un effondrement, mais l'absence de croissance récurrente et la distribution de 100% du résultat en dividende limitent les capacités de réinvestissement et exposent le titre à une correction si les prochains trimestres ne confirment pas le redressement.</w:t>
      </w:r>
    </w:p>
    <w:p>
      <w:pPr>
        <w:spacing w:after="120" w:line="276" w:lineRule="auto"/>
      </w:pPr>
      <w:r>
        <w:t>---</w:t>
      </w:r>
    </w:p>
    <w:p>
      <w:pPr>
        <w:spacing w:after="120" w:line="276" w:lineRule="auto"/>
      </w:pPr>
      <w:r>
        <w:t>## PARTIE 4 : CONCLUSION D'INVESTISSEMENT</w:t>
      </w:r>
    </w:p>
    <w:p>
      <w:pPr>
        <w:spacing w:after="120" w:line="276" w:lineRule="auto"/>
      </w:pPr>
      <w:r>
        <w:t>La valorisation de NEIC (PER 16,0x, P/B 5,66x, EV/EBITDA 23,9x) indique une **surévaluation relative** par rapport aux standards du marché BRVM (PER moyen 8-12x), le marché intégrant déjà une prime de croissance que les fondamentaux récents ne confirment pas pleinement — le CA recule de 23,8% en 2025 et le T1 2026 reste déficitaire. Le comportement du cours sur 100 jours (+73,47%) témoigne d'un rallye haussier exceptionnel, mais la correction de -7,10% en J-1 et la volatilité élevée (57,5%) signalent une prise de bénéfices et un risque de correction plus ample ; les statistiques (skewness positif, kurtosis normal) indiquent une distribution asymétrique avec des pics haussiers, ce qui est favorable mais ne protège pas contre les retournements. Les signaux techniques sont **divergents** : les oscillateurs (RSI 28,6 en survente, Stochastique %K à 0,0) plaident pour un rebond technique à court terme, tandis que le MACD (vente) et la position sous la MM20 confirment une correction en cours — la convergence des signaux de survente suggère un rebond possible, mais sa durabilité est incertaine. Les fondamentaux sont **mitigés** : la structure financière est très solide (autonomie 77%, trésorerie 4,2 Mds FCFA, ROE 35,4%), mais la qualité des bénéfices est faible (éléments non récurrents) et la dynamique commerciale est négative (CA -23,8% en 2025). Les prédictions IA (J+1 à J+10) anticipent une **poursuite de la correction baissière** de 2 550 FCFA à 2 476 FCFA (-2,9% sur 10 jours), ce qui contredit les signaux de survente des oscillateurs et suggère que le rebond technique pourrait être de courte durée. **Recommandation finale : CONSERVER** — la convergence entre la surévaluation (Partie 0), la correction technique en cours (Parties 1-2) et la faiblesse des fondamentaux récurrents (Partie 3) ne justifie pas un achat à ces niveaux, mais la solidité du bilan et le potentiel de rebond technique (RSI/Stochastique en survente) excluent une vente panique. Le niveau de confiance est **Moyen** (les signaux sont divergents), le risque global est **Élevé** (volatilité 57,5%, surévaluation, dépendance aux éléments non récurrents), et l'horizon d'investissement optimal est **court terme (&lt;3 mois)** pour profiter d'un éventuel rebond technique, avec un objectif de cours à 2 781 FCFA (MM20) et un stop-loss à 2 363 FCFA (borne inférieure de Bollinger). Une entrée à long terme nécessiterait des signaux plus clairs de redressement du CA récurrent et une confirmation de la rentabilité opérationnelle hors éléments exceptionnels.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606.12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2,411 titres</w:t>
            </w:r>
          </w:p>
        </w:tc>
        <w:tc>
          <w:tcPr>
            <w:tcW w:type="dxa" w:w="2268"/>
            <w:shd w:fill="FFF2CC" w:val="clear"/>
          </w:tcPr>
          <w:p>
            <w:r>
              <w:rPr>
                <w:b/>
                <w:color w:val="503200"/>
                <w:sz w:val="16"/>
              </w:rPr>
              <w:t xml:space="preserve">Cours actuel : </w:t>
            </w:r>
            <w:r>
              <w:rPr>
                <w:color w:val="000000"/>
                <w:sz w:val="17"/>
              </w:rPr>
              <w:t>24,505 FCFA</w:t>
            </w:r>
          </w:p>
          <w:p>
            <w:r>
              <w:rPr>
                <w:b/>
                <w:color w:val="503200"/>
                <w:sz w:val="16"/>
              </w:rPr>
              <w:t xml:space="preserve">Var. 100 jours : </w:t>
            </w:r>
            <w:r>
              <w:rPr>
                <w:b/>
                <w:color w:val="007800"/>
                <w:sz w:val="17"/>
              </w:rPr>
              <w:t>+76.29%</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16.53% (Élevée) — μ=20,325 FCFA, σ=3,361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β=1.2774 (Agressif) — Cov=0.000045, Var(idx)=0.000035, ρ=0.301,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23,790</w:t>
            </w:r>
          </w:p>
        </w:tc>
        <w:tc>
          <w:tcPr>
            <w:tcW w:type="dxa" w:w="1440"/>
            <w:shd w:fill="FAFAFA" w:val="clear"/>
          </w:tcPr>
          <w:p>
            <w:r>
              <w:rPr>
                <w:b/>
                <w:sz w:val="17"/>
              </w:rPr>
              <w:t>24,461</w:t>
            </w:r>
          </w:p>
        </w:tc>
        <w:tc>
          <w:tcPr>
            <w:tcW w:type="dxa" w:w="1440"/>
            <w:shd w:fill="FAFAFA" w:val="clear"/>
          </w:tcPr>
          <w:p>
            <w:r>
              <w:rPr>
                <w:sz w:val="17"/>
              </w:rPr>
              <w:t>25,133</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23,493</w:t>
            </w:r>
          </w:p>
        </w:tc>
        <w:tc>
          <w:tcPr>
            <w:tcW w:type="dxa" w:w="1440"/>
            <w:shd w:fill="FAFAFA" w:val="clear"/>
          </w:tcPr>
          <w:p>
            <w:r>
              <w:rPr>
                <w:b/>
                <w:sz w:val="17"/>
              </w:rPr>
              <w:t>24,441</w:t>
            </w:r>
          </w:p>
        </w:tc>
        <w:tc>
          <w:tcPr>
            <w:tcW w:type="dxa" w:w="1440"/>
            <w:shd w:fill="FAFAFA" w:val="clear"/>
          </w:tcPr>
          <w:p>
            <w:r>
              <w:rPr>
                <w:sz w:val="17"/>
              </w:rPr>
              <w:t>25,390</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23,266</w:t>
            </w:r>
          </w:p>
        </w:tc>
        <w:tc>
          <w:tcPr>
            <w:tcW w:type="dxa" w:w="1440"/>
            <w:shd w:fill="FAFAFA" w:val="clear"/>
          </w:tcPr>
          <w:p>
            <w:r>
              <w:rPr>
                <w:b/>
                <w:sz w:val="17"/>
              </w:rPr>
              <w:t>24,427</w:t>
            </w:r>
          </w:p>
        </w:tc>
        <w:tc>
          <w:tcPr>
            <w:tcW w:type="dxa" w:w="1440"/>
            <w:shd w:fill="FAFAFA" w:val="clear"/>
          </w:tcPr>
          <w:p>
            <w:r>
              <w:rPr>
                <w:sz w:val="17"/>
              </w:rPr>
              <w:t>25,588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23,075</w:t>
            </w:r>
          </w:p>
        </w:tc>
        <w:tc>
          <w:tcPr>
            <w:tcW w:type="dxa" w:w="1440"/>
            <w:shd w:fill="FAFAFA" w:val="clear"/>
          </w:tcPr>
          <w:p>
            <w:r>
              <w:rPr>
                <w:b/>
                <w:sz w:val="17"/>
              </w:rPr>
              <w:t>24,416</w:t>
            </w:r>
          </w:p>
        </w:tc>
        <w:tc>
          <w:tcPr>
            <w:tcW w:type="dxa" w:w="1440"/>
            <w:shd w:fill="FAFAFA" w:val="clear"/>
          </w:tcPr>
          <w:p>
            <w:r>
              <w:rPr>
                <w:sz w:val="17"/>
              </w:rPr>
              <w:t>25,756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22,908</w:t>
            </w:r>
          </w:p>
        </w:tc>
        <w:tc>
          <w:tcPr>
            <w:tcW w:type="dxa" w:w="1440"/>
            <w:shd w:fill="FAFAFA" w:val="clear"/>
          </w:tcPr>
          <w:p>
            <w:r>
              <w:rPr>
                <w:b/>
                <w:sz w:val="17"/>
              </w:rPr>
              <w:t>24,406</w:t>
            </w:r>
          </w:p>
        </w:tc>
        <w:tc>
          <w:tcPr>
            <w:tcW w:type="dxa" w:w="1440"/>
            <w:shd w:fill="FAFAFA" w:val="clear"/>
          </w:tcPr>
          <w:p>
            <w:r>
              <w:rPr>
                <w:sz w:val="17"/>
              </w:rPr>
              <w:t>25,904</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22,757</w:t>
            </w:r>
          </w:p>
        </w:tc>
        <w:tc>
          <w:tcPr>
            <w:tcW w:type="dxa" w:w="1440"/>
            <w:shd w:fill="FAFAFA" w:val="clear"/>
          </w:tcPr>
          <w:p>
            <w:r>
              <w:rPr>
                <w:b/>
                <w:sz w:val="17"/>
              </w:rPr>
              <w:t>24,397</w:t>
            </w:r>
          </w:p>
        </w:tc>
        <w:tc>
          <w:tcPr>
            <w:tcW w:type="dxa" w:w="1440"/>
            <w:shd w:fill="FAFAFA" w:val="clear"/>
          </w:tcPr>
          <w:p>
            <w:r>
              <w:rPr>
                <w:sz w:val="17"/>
              </w:rPr>
              <w:t>26,038</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22,618</w:t>
            </w:r>
          </w:p>
        </w:tc>
        <w:tc>
          <w:tcPr>
            <w:tcW w:type="dxa" w:w="1440"/>
            <w:shd w:fill="FAFAFA" w:val="clear"/>
          </w:tcPr>
          <w:p>
            <w:r>
              <w:rPr>
                <w:b/>
                <w:sz w:val="17"/>
              </w:rPr>
              <w:t>24,390</w:t>
            </w:r>
          </w:p>
        </w:tc>
        <w:tc>
          <w:tcPr>
            <w:tcW w:type="dxa" w:w="1440"/>
            <w:shd w:fill="FAFAFA" w:val="clear"/>
          </w:tcPr>
          <w:p>
            <w:r>
              <w:rPr>
                <w:sz w:val="17"/>
              </w:rPr>
              <w:t>26,161</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22,489</w:t>
            </w:r>
          </w:p>
        </w:tc>
        <w:tc>
          <w:tcPr>
            <w:tcW w:type="dxa" w:w="1440"/>
            <w:shd w:fill="FAFAFA" w:val="clear"/>
          </w:tcPr>
          <w:p>
            <w:r>
              <w:rPr>
                <w:b/>
                <w:sz w:val="17"/>
              </w:rPr>
              <w:t>24,382</w:t>
            </w:r>
          </w:p>
        </w:tc>
        <w:tc>
          <w:tcPr>
            <w:tcW w:type="dxa" w:w="1440"/>
            <w:shd w:fill="FAFAFA" w:val="clear"/>
          </w:tcPr>
          <w:p>
            <w:r>
              <w:rPr>
                <w:sz w:val="17"/>
              </w:rPr>
              <w:t>26,275</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22,368</w:t>
            </w:r>
          </w:p>
        </w:tc>
        <w:tc>
          <w:tcPr>
            <w:tcW w:type="dxa" w:w="1440"/>
            <w:shd w:fill="FAFAFA" w:val="clear"/>
          </w:tcPr>
          <w:p>
            <w:r>
              <w:rPr>
                <w:b/>
                <w:sz w:val="17"/>
              </w:rPr>
              <w:t>24,375</w:t>
            </w:r>
          </w:p>
        </w:tc>
        <w:tc>
          <w:tcPr>
            <w:tcW w:type="dxa" w:w="1440"/>
            <w:shd w:fill="FAFAFA" w:val="clear"/>
          </w:tcPr>
          <w:p>
            <w:r>
              <w:rPr>
                <w:sz w:val="17"/>
              </w:rPr>
              <w:t>26,382</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22,253</w:t>
            </w:r>
          </w:p>
        </w:tc>
        <w:tc>
          <w:tcPr>
            <w:tcW w:type="dxa" w:w="1440"/>
            <w:shd w:fill="FAFAFA" w:val="clear"/>
          </w:tcPr>
          <w:p>
            <w:r>
              <w:rPr>
                <w:b/>
                <w:sz w:val="17"/>
              </w:rPr>
              <w:t>24,368</w:t>
            </w:r>
          </w:p>
        </w:tc>
        <w:tc>
          <w:tcPr>
            <w:tcW w:type="dxa" w:w="1440"/>
            <w:shd w:fill="FAFAFA" w:val="clear"/>
          </w:tcPr>
          <w:p>
            <w:r>
              <w:rPr>
                <w:sz w:val="17"/>
              </w:rPr>
              <w:t>26,483</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CI (NSBC)**</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606,12 milliards FCFA, NSBC s'impose comme l'une des valeurs bancaires les plus capitalisées de la cote BRVM, ce qui témoigne de sa liquidité relative et de son poids dans l'indice sectoriel. Le BPA de 1 646 FCFA/action signifie que chaque titre génère près de 1 646 FCFA de bénéfice net, un niveau élevé qui traduit la forte rentabilité de la banque. Le PER de 14,9x se situe au-dessus de la moyenne du marché BRVM (généralement comprise entre 8 et 12x), ce qui indique que les investisseurs acceptent de payer une prime pour la qualité de la croissance, sans pour autant tomber dans une exubérance manifeste. Le P/B de 2,60x montre que le marché valorise l'action à plus de deux fois et demie sa valeur comptable, une prime de croissance justifiée par un ROE de 17,45% nettement supérieur au coût des fonds propres. En revanche, l'EV/EBITDA de 22,2x apparaît très exigeant (seuil d'alerte &gt;15x), signalant que la valeur d'entreprise intègre déjà une bonne partie des anticipations de croissance future, ce qui réduit la marge de sécurité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affiche une performance spectaculaire de +76,29%, avec une dernière séance quasi stable (+0,02%) à 24 505 FCFA. Le range de trading est particulièrement large, le plus haut ayant atteint 24 885 FCFA contre un plus bas de 13 810 FCFA, soit un écart de plus de 11 000 FCFA qui illustre une tendance nettement haussière, portée par un volume moyen quotidien de 2 411 titres. La moyenne de 20 325 FCFA se situe en dessous de la médiane (20 750 FCFA), ce qui confirme une asymétrie négative (skewness de -0,657) : le cours a passé davantage de séances au-dessus de sa moyenne, signe d'une dynamique haussière soutenue mais avec des corrections ponctuelles. L'écart-type de 3 378 FCFA et le coefficient de variation de 16,6% traduisent une dispersion modérée du cours, tandis que le kurtosis de -0,709 (mésokurtique) indique une distribution proche de la normale, sans risque majeur de pics extrêmes. La volatilité annualisée de 39,6% classe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(23 567 FCFA) et la MM50 (23 167 FCFA) se situent toutes deux sous le cours actuel (24 505 FCFA), avec une MM20 au-dessus de la MM50, configuration typique d'une tendance haussière confirmée. Le signal d'achat est donc justifié par cette structure de moyennes croissantes et un cours évoluant au-dessus des deux références.</w:t>
      </w:r>
    </w:p>
    <w:p>
      <w:pPr>
        <w:spacing w:after="120" w:line="276" w:lineRule="auto"/>
      </w:pPr>
      <w:r>
        <w:t>**Bandes de Bollinger** : Le cours (24 505 FCFA) évolue dans la partie haute du canal, entre la borne inférieure (21 892,70 FCFA) et la borne supérieure (25 241,30 FCFA), sans franchissement de cette dernière. La décision est neutre car le titre reste dans le canal, mais la proximité de la borne haute suggère une possible résistance à court terme.</w:t>
      </w:r>
    </w:p>
    <w:p>
      <w:pPr>
        <w:spacing w:after="120" w:line="276" w:lineRule="auto"/>
      </w:pPr>
      <w:r>
        <w:t>**MACD** : La ligne MACD (461,99) est supérieure à sa ligne de signal (393,04), avec un histogramme positif qui confirme un momentum haussier intact. Le signal d'achat est donc cohérent avec la dynamique actuelle du titre.</w:t>
      </w:r>
    </w:p>
    <w:p>
      <w:pPr>
        <w:spacing w:after="120" w:line="276" w:lineRule="auto"/>
      </w:pPr>
      <w:r>
        <w:t>**RSI** : À 73,51, le RSI franchit le seuil de surachat (&gt;70), ce qui déclenche un signal de vente technique. Cela signifie que le titre pourrait connaître une consolidation ou une correction à court terme après la forte hausse enregistrée.</w:t>
      </w:r>
    </w:p>
    <w:p>
      <w:pPr>
        <w:spacing w:after="120" w:line="276" w:lineRule="auto"/>
      </w:pPr>
      <w:r>
        <w:t>**Stochastique** : Le %K (80,31) et le %D (82,68) évoluent tous deux en zone de surachat, avec un %K légèrement sous le %D, ce qui peut annoncer un croisement baissier imminent. Le signal de vente est donc justifié par cette configuration de retournement potentiel.</w:t>
      </w:r>
    </w:p>
    <w:p>
      <w:pPr>
        <w:spacing w:after="120" w:line="276" w:lineRule="auto"/>
      </w:pPr>
      <w:r>
        <w:t>**Conclusion technique** : Les indicateurs de tendance (MM et MACD) restent haussiers et confirment la solidité du mouvement, mais les oscillateurs (RSI et Stochastique) signalent une zone de surachat avancée, avec un risque de consolidation à court terme. La divergence entre indicateurs de tendance et oscillateurs plaide pour une prudence tactique, avec un potentiel de repli vers la MM20 (23 567 FCFA) avant une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CI a réalisé un Produit Net Bancaire (PNB) de 112,928 milliards FCFA, en croissance de 15,45% sur un an, porté par une marge d'intérêts en hausse de 26% et une bonne tenue des commissions. Le résultat net s'établit à 40,712 milliards FCFA, en progression de 7% par rapport à 2024, avec une marge nette élevée de 36,05% et un ROE de 17,45%, nettement supérieur au seuil d'excellence de 15%. Le coefficient d'exploitation de 54,59% confirme l'efficacité opérationnelle de la banque (&lt;60% = efficace), tandis que le coût du risque de 7,54% reste modéré mais en dégradation par rapport à 2024 (où il était positif à +0,6 milliard FCFA). Le total du bilan atteint 3 073,06 milliards FCFA, en hausse de 22%, avec des dépôts clientèle de 2 242,22 milliards FCFA (transformation des dépôts en crédits de 1 818,67 milliards FCFA, soit un ratio crédits/dépôts de 81,1%, légèrement au-dessus du seuil prudentiel de 80%). Le rapport du T1 2026 (publié le 31/03/2026) révèle une accélération spectaculaire : PNB de 28,615 milliards FCFA (+28%) et résultat net de 10,912 milliards FCFA (+53%), avec une marge nette de 38,1%, tirée par l'activité titres. Sur la base de ce T1 2026, on peut estimer que l'exercice 2026 devrait afficher un PNB supérieur à 125 milliards FCFA et un résultat net proche de 45 milliards FCFA si la dynamique se maintient. Le rapport annuel 2025 (publié le 13/05/2026) souligne cependant une forte hausse du coût du risque (-8,5 milliards FCFA contre +0,6 milliard en 2024), un signal d'alerte à surveiller. La banque bénéficie d'une solvabilité générale de 108,22% et d'une autonomie financière de 7,59%, typique du modèle bancaire, mais son ratio d'endettement de 227,90% reste élevé. La recommandation fondamentale est de **CONSERVER** : la solidité financière et la croissance sont indéniables, mais la dégradation du coût du risque et la dépendance aux revenus titres (volatils) appellent à la prudence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(PER 14,9x, P/B 2,60x, EV/EBITDA 22,2x) indique que le marché intègre déjà une prime de croissance significative, sans pour autant atteindre des niveaux de surévaluation extrême. Le comportement du cours sur 100 jours (+76,29%) est exceptionnel, avec une volatilité élevée (39,6%) et une asymétrie négative qui suggère que la hausse a été ponctuée de corrections, mais la tendance reste solidement haussière. Les signaux techniques sont divergents : les moyennes mobiles et le MACD confirment la tendance haussière, tandis que le RSI (73,5) et le stochastique (80,3/82,7) signalent une zone de surachat propice à une consolidation à court terme. Les fondamentaux sont robustes (ROE 17,45%, marge nette 36,05%, PNB +15,45% en 2025), et les estimations basées sur le T1 2026 (+53% de résultat net) laissent entrevoir une année 2026 encore plus dynamique, malgré la dégradation du coût du risque. Les prédictions IA (J+1 à J+10) anticipent une légère érosion du cours vers 24 406 FCFA, ce qui confirme la thèse d'une consolidation technique après la forte hausse. Sur la base de cette synthèse, la recommandation finale est **CONSERVER** : la convergence entre fondamentaux solides et technique haussière est tempérée par la valorisation exigeante et le signal de surachat, qui plaident pour une prise de bénéfices partielle plutôt qu'un renforcement. Le niveau de confiance est **Moyen** (les fondamentaux sont solides mais la technique est en zone de surachat), et le niveau de risque global est **Élevé** (volatilité de 39,6%, EV/EBITDA de 22,2x, dépendance aux revenus titres). L'horizon d'investissement optimal est **moyen terme (3-12 mois)**, en attendant une consolidation vers la MM20 (23 567 FCFA) pour envisager un renforcement, avec un objectif de cours à 26 000-27 000 FCFA si la dynamique du T1 2026 se confirme.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1,177 titres</w:t>
            </w:r>
          </w:p>
        </w:tc>
        <w:tc>
          <w:tcPr>
            <w:tcW w:type="dxa" w:w="2268"/>
            <w:shd w:fill="FFF2CC" w:val="clear"/>
          </w:tcPr>
          <w:p>
            <w:r>
              <w:rPr>
                <w:b/>
                <w:color w:val="503200"/>
                <w:sz w:val="16"/>
              </w:rPr>
              <w:t xml:space="preserve">Cours actuel : </w:t>
            </w:r>
            <w:r>
              <w:rPr>
                <w:color w:val="000000"/>
                <w:sz w:val="17"/>
              </w:rPr>
              <w:t>16,355 FCFA</w:t>
            </w:r>
          </w:p>
          <w:p>
            <w:r>
              <w:rPr>
                <w:b/>
                <w:color w:val="503200"/>
                <w:sz w:val="16"/>
              </w:rPr>
              <w:t xml:space="preserve">Var. 100 jours : </w:t>
            </w:r>
            <w:r>
              <w:rPr>
                <w:b/>
                <w:color w:val="007800"/>
                <w:sz w:val="17"/>
              </w:rPr>
              <w:t>+31.90%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12.80% (Moyenne) — μ=15,107 FCFA, σ=1,933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β=0.1214 (Défensif) — Cov=0.000004, Var(idx)=0.000035, ρ=0.030,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15,891</w:t>
            </w:r>
          </w:p>
        </w:tc>
        <w:tc>
          <w:tcPr>
            <w:tcW w:type="dxa" w:w="1440"/>
            <w:shd w:fill="FAFAFA" w:val="clear"/>
          </w:tcPr>
          <w:p>
            <w:r>
              <w:rPr>
                <w:b/>
                <w:sz w:val="17"/>
              </w:rPr>
              <w:t>16,593</w:t>
            </w:r>
          </w:p>
        </w:tc>
        <w:tc>
          <w:tcPr>
            <w:tcW w:type="dxa" w:w="1440"/>
            <w:shd w:fill="FAFAFA" w:val="clear"/>
          </w:tcPr>
          <w:p>
            <w:r>
              <w:rPr>
                <w:sz w:val="17"/>
              </w:rPr>
              <w:t>17,295</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15,574</w:t>
            </w:r>
          </w:p>
        </w:tc>
        <w:tc>
          <w:tcPr>
            <w:tcW w:type="dxa" w:w="1440"/>
            <w:shd w:fill="FAFAFA" w:val="clear"/>
          </w:tcPr>
          <w:p>
            <w:r>
              <w:rPr>
                <w:b/>
                <w:sz w:val="17"/>
              </w:rPr>
              <w:t>16,565</w:t>
            </w:r>
          </w:p>
        </w:tc>
        <w:tc>
          <w:tcPr>
            <w:tcW w:type="dxa" w:w="1440"/>
            <w:shd w:fill="FAFAFA" w:val="clear"/>
          </w:tcPr>
          <w:p>
            <w:r>
              <w:rPr>
                <w:sz w:val="17"/>
              </w:rPr>
              <w:t>17,556</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15,348</w:t>
            </w:r>
          </w:p>
        </w:tc>
        <w:tc>
          <w:tcPr>
            <w:tcW w:type="dxa" w:w="1440"/>
            <w:shd w:fill="FAFAFA" w:val="clear"/>
          </w:tcPr>
          <w:p>
            <w:r>
              <w:rPr>
                <w:b/>
                <w:sz w:val="17"/>
              </w:rPr>
              <w:t>16,562</w:t>
            </w:r>
          </w:p>
        </w:tc>
        <w:tc>
          <w:tcPr>
            <w:tcW w:type="dxa" w:w="1440"/>
            <w:shd w:fill="FAFAFA" w:val="clear"/>
          </w:tcPr>
          <w:p>
            <w:r>
              <w:rPr>
                <w:sz w:val="17"/>
              </w:rPr>
              <w:t>17,776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15,163</w:t>
            </w:r>
          </w:p>
        </w:tc>
        <w:tc>
          <w:tcPr>
            <w:tcW w:type="dxa" w:w="1440"/>
            <w:shd w:fill="FAFAFA" w:val="clear"/>
          </w:tcPr>
          <w:p>
            <w:r>
              <w:rPr>
                <w:b/>
                <w:sz w:val="17"/>
              </w:rPr>
              <w:t>16,565</w:t>
            </w:r>
          </w:p>
        </w:tc>
        <w:tc>
          <w:tcPr>
            <w:tcW w:type="dxa" w:w="1440"/>
            <w:shd w:fill="FAFAFA" w:val="clear"/>
          </w:tcPr>
          <w:p>
            <w:r>
              <w:rPr>
                <w:sz w:val="17"/>
              </w:rPr>
              <w:t>17,966</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15,000</w:t>
            </w:r>
          </w:p>
        </w:tc>
        <w:tc>
          <w:tcPr>
            <w:tcW w:type="dxa" w:w="1440"/>
            <w:shd w:fill="FAFAFA" w:val="clear"/>
          </w:tcPr>
          <w:p>
            <w:r>
              <w:rPr>
                <w:b/>
                <w:sz w:val="17"/>
              </w:rPr>
              <w:t>16,567</w:t>
            </w:r>
          </w:p>
        </w:tc>
        <w:tc>
          <w:tcPr>
            <w:tcW w:type="dxa" w:w="1440"/>
            <w:shd w:fill="FAFAFA" w:val="clear"/>
          </w:tcPr>
          <w:p>
            <w:r>
              <w:rPr>
                <w:sz w:val="17"/>
              </w:rPr>
              <w:t>18,134</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14,851</w:t>
            </w:r>
          </w:p>
        </w:tc>
        <w:tc>
          <w:tcPr>
            <w:tcW w:type="dxa" w:w="1440"/>
            <w:shd w:fill="FAFAFA" w:val="clear"/>
          </w:tcPr>
          <w:p>
            <w:r>
              <w:rPr>
                <w:b/>
                <w:sz w:val="17"/>
              </w:rPr>
              <w:t>16,568</w:t>
            </w:r>
          </w:p>
        </w:tc>
        <w:tc>
          <w:tcPr>
            <w:tcW w:type="dxa" w:w="1440"/>
            <w:shd w:fill="FAFAFA" w:val="clear"/>
          </w:tcPr>
          <w:p>
            <w:r>
              <w:rPr>
                <w:sz w:val="17"/>
              </w:rPr>
              <w:t>18,285</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14,714</w:t>
            </w:r>
          </w:p>
        </w:tc>
        <w:tc>
          <w:tcPr>
            <w:tcW w:type="dxa" w:w="1440"/>
            <w:shd w:fill="FAFAFA" w:val="clear"/>
          </w:tcPr>
          <w:p>
            <w:r>
              <w:rPr>
                <w:b/>
                <w:sz w:val="17"/>
              </w:rPr>
              <w:t>16,569</w:t>
            </w:r>
          </w:p>
        </w:tc>
        <w:tc>
          <w:tcPr>
            <w:tcW w:type="dxa" w:w="1440"/>
            <w:shd w:fill="FAFAFA" w:val="clear"/>
          </w:tcPr>
          <w:p>
            <w:r>
              <w:rPr>
                <w:sz w:val="17"/>
              </w:rPr>
              <w:t>18,424</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14,586</w:t>
            </w:r>
          </w:p>
        </w:tc>
        <w:tc>
          <w:tcPr>
            <w:tcW w:type="dxa" w:w="1440"/>
            <w:shd w:fill="FAFAFA" w:val="clear"/>
          </w:tcPr>
          <w:p>
            <w:r>
              <w:rPr>
                <w:b/>
                <w:sz w:val="17"/>
              </w:rPr>
              <w:t>16,569</w:t>
            </w:r>
          </w:p>
        </w:tc>
        <w:tc>
          <w:tcPr>
            <w:tcW w:type="dxa" w:w="1440"/>
            <w:shd w:fill="FAFAFA" w:val="clear"/>
          </w:tcPr>
          <w:p>
            <w:r>
              <w:rPr>
                <w:sz w:val="17"/>
              </w:rPr>
              <w:t>18,552</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14,466</w:t>
            </w:r>
          </w:p>
        </w:tc>
        <w:tc>
          <w:tcPr>
            <w:tcW w:type="dxa" w:w="1440"/>
            <w:shd w:fill="FAFAFA" w:val="clear"/>
          </w:tcPr>
          <w:p>
            <w:r>
              <w:rPr>
                <w:b/>
                <w:sz w:val="17"/>
              </w:rPr>
              <w:t>16,569</w:t>
            </w:r>
          </w:p>
        </w:tc>
        <w:tc>
          <w:tcPr>
            <w:tcW w:type="dxa" w:w="1440"/>
            <w:shd w:fill="FAFAFA" w:val="clear"/>
          </w:tcPr>
          <w:p>
            <w:r>
              <w:rPr>
                <w:sz w:val="17"/>
              </w:rPr>
              <w:t>18,672</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14,352</w:t>
            </w:r>
          </w:p>
        </w:tc>
        <w:tc>
          <w:tcPr>
            <w:tcW w:type="dxa" w:w="1440"/>
            <w:shd w:fill="FAFAFA" w:val="clear"/>
          </w:tcPr>
          <w:p>
            <w:r>
              <w:rPr>
                <w:b/>
                <w:sz w:val="17"/>
              </w:rPr>
              <w:t>16,569</w:t>
            </w:r>
          </w:p>
        </w:tc>
        <w:tc>
          <w:tcPr>
            <w:tcW w:type="dxa" w:w="1440"/>
            <w:shd w:fill="FAFAFA" w:val="clear"/>
          </w:tcPr>
          <w:p>
            <w:r>
              <w:rPr>
                <w:sz w:val="17"/>
              </w:rPr>
              <w:t>18,785</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Entreprise (Agroalimentaire)**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360,96 milliards FCFA, NTLC figure parmi les valeurs les plus capitalisées de la cote BRVM, ce qui en fait un pilier de l'indice BRVM Composite et un titre de référence pour les investisseurs institutionnels. Le BPA de 835 FCFA/action signifie que chaque titre génère près de 835 FCFA de bénéfice net, un niveau de rentabilité par action solide. Le PER de 19,6x se situe nettement au-dessus de la moyenne du marché BRVM (généralement 8-12x), ce qui traduit une prime de qualité — les investisseurs acceptent de payer cher pour la solidité de la marque Nestlé, mais cette valorisation n'offre pas de marge de sécurité évidente. Le P/B de 12,20x, très supérieur au seuil de 4x, indique que le marché valorise l'entreprise à plus de douze fois sa valeur comptable, reflétant la puissance des actifs immatériels (marques, réseau de distribution) non inscrits au bilan. Enfin, l'EV/EBITDA de 9,7x, dans la fourchette raisonnable de 5-10x, suggère que la valeur totale de l'entreprise (dette incluse) reste cohérente avec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affiche une performance remarquable de **+31,90%**, malgré un léger repli de -0,27% lors de la dernière séance, le cours s'établissant à 16 355 FCFA. Le titre a évolué dans un range large de 11 150 FCFA (plus bas) à 18 000 FCFA (plus haut), soit une amplitude de près de 61%, témoignant d'une tendance générale nettement haussière portée par la dynamique fondamentale positive. Les statistiques descriptives révèlent une moyenne de 15 107 FCFA inférieure à la médiane de 15 988 FCFA, signe d'une distribution asymétrique où le cours a passé plus de temps dans les niveaux élevés, confirmé par un skewness négatif (-0,657) indiquant davantage de journées au-dessus de la moyenne. L'écart-type de 1 943 FCFA (CV=12,9%) traduit une dispersion modérée du cours autour de sa moyenne, tandis que le kurtosis négatif (-1,063, distribution platykurtique) signale une distribution aplatie avec une faible concentration des variations extrêmes — le risque de pics brutaux est donc limité. La volatilité annualisée de 38,4% classe ce titre dans la catégorie **élevée** (&gt;30%), ce qui est cohérent avec un marché frontière comme la BRVM où les volumes moyens sont faibles (1 177 titres/jour), amplifiant mécaniquement les mouvements de prix.</w:t>
      </w:r>
    </w:p>
    <w:p>
      <w:pPr>
        <w:spacing w:after="120" w:line="276" w:lineRule="auto"/>
      </w:pPr>
      <w:r>
        <w:t>---</w:t>
      </w:r>
    </w:p>
    <w:p>
      <w:pPr>
        <w:spacing w:after="120" w:line="276" w:lineRule="auto"/>
      </w:pPr>
      <w:r>
        <w:t>## PARTIE 2 : ANALYSE TECHNIQUE DÉTAILLÉE</w:t>
      </w:r>
    </w:p>
    <w:p>
      <w:pPr>
        <w:spacing w:after="120" w:line="276" w:lineRule="auto"/>
      </w:pPr>
      <w:r>
        <w:t>**Moyennes Mobiles** : La MM20 (16 761,5 FCFA) et la MM50 (16 637,4 FCFA) se situent toutes deux au-dessus du cours actuel (16 355 FCFA), ce qui place le titre en position de repli sous ses moyennes court et moyen terme. Cependant, la MM20 reste supérieure à la MM50, configuration haussière de fond, et la décision technique affichée est **Achat**, suggérant que ce repli pourrait constituer une opportunité d'entrée dans la tendance haussière.</w:t>
      </w:r>
    </w:p>
    <w:p>
      <w:pPr>
        <w:spacing w:after="120" w:line="276" w:lineRule="auto"/>
      </w:pPr>
      <w:r>
        <w:t>**Bandes de Bollinger** : Le cours (16 355 FCFA) évolue dans la partie basse du canal, entre la borne inférieure (15 930,6 FCFA) et la borne supérieure (17 592,4 FCFA), sans toucher les extrêmes. Cette position médiane-basse indique une absence de signal directionnel fort, justifiant la décision **Neutre** — le titre n'est ni en surachat ni en survente selon ce critère.</w:t>
      </w:r>
    </w:p>
    <w:p>
      <w:pPr>
        <w:spacing w:after="120" w:line="276" w:lineRule="auto"/>
      </w:pPr>
      <w:r>
        <w:t>**MACD** : La valeur du MACD (-27,785) est nettement inférieure à son signal (50,382), générant un croisement baissier et une divergence négative marquée. Ce momentum négatif à court terme justifie la décision **Vente**, signalant que la dynamique récente s'essouffle malgré la tendance haussière de fond.</w:t>
      </w:r>
    </w:p>
    <w:p>
      <w:pPr>
        <w:spacing w:after="120" w:line="276" w:lineRule="auto"/>
      </w:pPr>
      <w:r>
        <w:t>**RSI** : À 54,081, le RSI se situe dans la zone neutre (30-70), légèrement au-dessus du point d'équilibre de 50. Cette configuration indique un marché sans excès, ni suracheté ni survendu, justifiant la décision **Neutre** — le titre dispose d'un potentiel de progression sans contrainte technique immédiate.</w:t>
      </w:r>
    </w:p>
    <w:p>
      <w:pPr>
        <w:spacing w:after="120" w:line="276" w:lineRule="auto"/>
      </w:pPr>
      <w:r>
        <w:t>**Stochastique** : Le %K (8,611) est très bas et inférieur au %D (20,331), configuration de survente marquée. Ce positionnement extrême en bas de range suggère un rebond technique imminent, justifiant la décision **Achat** — le titre pourrait amorcer une reprise à court terme.</w:t>
      </w:r>
    </w:p>
    <w:p>
      <w:pPr>
        <w:spacing w:after="120" w:line="276" w:lineRule="auto"/>
      </w:pPr>
      <w:r>
        <w:t>**Conclusion technique** : Les indicateurs présentent un tableau mitigé avec une divergence entre les signaux de momentum (MACD vendeur) et les signaux de retournement (Stochastique acheteur, MM en support). Le titre se trouve dans une phase de consolidation au sein d'une tendance haussière de fond, avec un potentiel de rebond technique à court terme mais une prudence nécessaire tant que le MACD ne se retourne pas. La convergence des signaux Neutre (RSI, Bollinger) et Achat (MM, Stochastique) suggère une fenêtre d'accumulation progressive plutôt qu'un mouvement directionnel fort.</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Nestlé Côte d'Ivoire a réalisé un chiffre d'affaires de **233,261 milliards FCFA**, en croissance de **+5,97%** par rapport à 2024 (220,113 milliards FCFA), portée par les ventes de produits fabriqués (+6,3%). Le résultat net s'établit à **18,427 milliards FCFA**, en légère progression de +1,53%, avec une marge nette de **7,90%** (contre 8,25% en 2024), traduisant une compression des marges sous l'effet de la hausse des charges (impôts et taxes ayant presque doublé à 7,5 milliards FCFA). Le ROE atteint un niveau exceptionnel de **62,28%**, bien supérieur au seuil de 15% considéré comme excellent, tandis que le ROA de **9,70%** reste solide pour une entreprise industrielle. La rotation des actifs de **122,80%** (CA/Total Actif) démontre une efficacité opérationnelle remarquable dans l'utilisation des ressources.</w:t>
      </w:r>
    </w:p>
    <w:p>
      <w:pPr>
        <w:spacing w:after="120" w:line="276" w:lineRule="auto"/>
      </w:pPr>
      <w:r>
        <w:t>**Adaptation au secteur Entreprise** : Le BFR de **22,625 milliards FCFA** (positif) et le Fonds de Roulement négatif (-24,206 milliards FCFA) révèlent une structure de financement tendue, avec une trésorerie nette de **-46,831 milliards FCFA** — situation préoccupante qui explique la hausse des frais financiers (+25,8% à 8 milliards FCFA). Les délais clients de **74,30 jours** et la durée de stockage de **59,39 jours** immobilisent du capital et exposent l'entreprise à un risque de trésorerie, bien que la couverture des intérêts par le résultat d'exploitation (473,6%) reste très confortable. L'autonomie financière de **15,58%** est faible (&lt;30% = sain), avec un ratio d'endettement de **135,85%** (dettes totales/capitaux propres) qui traduit une dépendance significative aux financements externes.</w:t>
      </w:r>
    </w:p>
    <w:p>
      <w:pPr>
        <w:spacing w:after="120" w:line="276" w:lineRule="auto"/>
      </w:pPr>
      <w:r>
        <w:t>**Estimations basées sur les rapports trimestriels** : Le rapport du **T1 2026 (arrêté au 31 mars 2026, analysé le 01/05/2026)** révèle une accélération spectaculaire avec un CA de **70,822 milliards FCFA (+31%)** et un résultat net de **7,526 milliards FCFA (+37%)**, portant la marge nette à **10,6%** (contre 10,1% au T1 2025). Sur la base de cette dynamique, on peut estimer que l'exercice 2026 devrait afficher une croissance du CA supérieure à 15% (vs +5,97% en 2025) et une amélioration de la marge nette vers 9-10%, sous réserve que la pression sur les coûts des matières premières reste maîtrisée. Le rapport annuel 2025 (analysé le 01/05/2026) confirme la stratégie de réinvestissement avec une réduction du dividende à **9,270 milliards FCFA** (payout ratio de 50,3% contre 99,7% en 2024), le report à nouveau passant de 62 millions à **9,22 milliards FCFA** — signal fort de financement de la croissance future.</w:t>
      </w:r>
    </w:p>
    <w:p>
      <w:pPr>
        <w:spacing w:after="120" w:line="276" w:lineRule="auto"/>
      </w:pPr>
      <w:r>
        <w:t>**Recommandation fondamentale** : La solidité du modèle Nestlé (marque leader, croissance régulière, ROE exceptionnel) est incontestable, mais les risques liés à l'endettement élevé, à la trésorerie négative et à la compression des marges en 2025 incitent à la prudence. La dynamique du T1 2026 est très encourageante et pourrait marquer une inflexion positive durable. **Recommandation : CONSERVER avec biais acheteur** — le titre offre un potentiel de revalorisation lié à l'accélération de la croissance, mais la valorisation exigeante (PER 19,6x) limite la marge de sécurité.</w:t>
      </w:r>
    </w:p>
    <w:p>
      <w:pPr>
        <w:spacing w:after="120" w:line="276" w:lineRule="auto"/>
      </w:pPr>
      <w:r>
        <w:t>---</w:t>
      </w:r>
    </w:p>
    <w:p>
      <w:pPr>
        <w:spacing w:after="120" w:line="276" w:lineRule="auto"/>
      </w:pPr>
      <w:r>
        <w:t>## PARTIE 4 : CONCLUSION D'INVESTISSEMENT</w:t>
      </w:r>
    </w:p>
    <w:p>
      <w:pPr>
        <w:spacing w:after="120" w:line="276" w:lineRule="auto"/>
      </w:pPr>
      <w:r>
        <w:t>La valorisation de NTLC (PER 19,6x, P/B 12,20x) indique une **surévaluation relative** par rapport aux standards du marché BRVM (PER moyen 8-12x), bien que l'EV/EBITDA de 9,7x reste raisonnable — le marché paie une prime de qualité pour la solidité de la marque et la régularité des résultats. Le comportement du cours sur 100 jours est nettement haussier (+31,90%) avec une volatilité élevée (38,4%) mais une distribution sans pics extrêmes (kurtosis négatif), et les statistiques (skewness négatif, médiane &gt; moyenne) suggèrent que le titre a tendance à évoluer dans les niveaux élevés de son range. Les signaux techniques sont **divergents** : le MACD est vendeur (momentum négatif) tandis que le Stochastique est acheteur (survente) et les MM restent en configuration haussière — cette divergence plaide pour une consolidation avant une reprise. Les fondamentaux sont **solides mais nuancés** : ROE exceptionnel (62,28%), croissance du CA (+5,97% en 2025), mais endettement élevé (135,85%) et trésorerie négative (-46,8 milliards FCFA) ; cependant, le T1 2026 (+31% de CA, +37% de résultat net) marque une accélération spectaculaire qui pourrait justifier une revalorisation. Les prédictions IA (J+1 à J+10) anticipent une **stabilisation autour de 16 565-16 593 FCFA**, confirmant l'absence de mouvement directionnel fort à court terme et la phase de consolidation en cours.</w:t>
      </w:r>
    </w:p>
    <w:p>
      <w:pPr>
        <w:spacing w:after="120" w:line="276" w:lineRule="auto"/>
      </w:pPr>
      <w:r>
        <w:t>**Recommandation finale : CONSERVER (avec opportunité d'achat sur repli vers 15 900-16 000 FCFA)**</w:t>
        <w:br/>
        <w:t>**Justification** : La convergence entre une valorisation exigeante (limitant le potentiel haussier immédiat), des signaux techniques mitigés (consolidation) et des fondamentaux en nette amélioration (T1 2026 exceptionnel) plaide pour une position d'attente active. Le titre mérite d'être conservé pour capter la revalorisation liée à l'accélération de la croissance, mais les nouveaux investisseurs devraient attendre un repli vers le support des Bandes de Bollinger (15 930 FCFA) pour optimiser leur point d'entrée.</w:t>
        <w:br/>
        <w:t>**Niveau de confiance** : Moyen — la divergence des signaux techniques et la valorisation tendue tempèrent l'optimisme des fondamentaux.</w:t>
        <w:br/>
        <w:t>**Niveau de risque global** : Moyen à Élevé — volatilité de 38,4%, endettement significatif et dépendance aux matières premières.</w:t>
        <w:br/>
        <w:t>**Horizon d'investissement optimal** : Moyen terme (3-12 mois) — pour capturer l'inflexion de croissance du T1 2026 tout en laissant le temps aux marges de se normaliser.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5,159 titres</w:t>
            </w:r>
          </w:p>
        </w:tc>
        <w:tc>
          <w:tcPr>
            <w:tcW w:type="dxa" w:w="2268"/>
            <w:shd w:fill="FFF2CC" w:val="clear"/>
          </w:tcPr>
          <w:p>
            <w:r>
              <w:rPr>
                <w:b/>
                <w:color w:val="503200"/>
                <w:sz w:val="16"/>
              </w:rPr>
              <w:t xml:space="preserve">Cours actuel : </w:t>
            </w:r>
            <w:r>
              <w:rPr>
                <w:color w:val="000000"/>
                <w:sz w:val="17"/>
              </w:rPr>
              <w:t>2,890 FCFA</w:t>
            </w:r>
          </w:p>
          <w:p>
            <w:r>
              <w:rPr>
                <w:b/>
                <w:color w:val="503200"/>
                <w:sz w:val="16"/>
              </w:rPr>
              <w:t xml:space="preserve">Var. 100 jours : </w:t>
            </w:r>
            <w:r>
              <w:rPr>
                <w:b/>
                <w:color w:val="007800"/>
                <w:sz w:val="17"/>
              </w:rPr>
              <w:t>+6.25%</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2.94% (Faible) — μ=2,831 FCFA, σ=83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β=0.3871 (Défensif) — Cov=0.000014, Var(idx)=0.000035, ρ=0.119,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2,784</w:t>
            </w:r>
          </w:p>
        </w:tc>
        <w:tc>
          <w:tcPr>
            <w:tcW w:type="dxa" w:w="1440"/>
            <w:shd w:fill="FAFAFA" w:val="clear"/>
          </w:tcPr>
          <w:p>
            <w:r>
              <w:rPr>
                <w:b/>
                <w:sz w:val="17"/>
              </w:rPr>
              <w:t>2,858</w:t>
            </w:r>
          </w:p>
        </w:tc>
        <w:tc>
          <w:tcPr>
            <w:tcW w:type="dxa" w:w="1440"/>
            <w:shd w:fill="FAFAFA" w:val="clear"/>
          </w:tcPr>
          <w:p>
            <w:r>
              <w:rPr>
                <w:sz w:val="17"/>
              </w:rPr>
              <w:t>2,932</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2,750</w:t>
            </w:r>
          </w:p>
        </w:tc>
        <w:tc>
          <w:tcPr>
            <w:tcW w:type="dxa" w:w="1440"/>
            <w:shd w:fill="FAFAFA" w:val="clear"/>
          </w:tcPr>
          <w:p>
            <w:r>
              <w:rPr>
                <w:b/>
                <w:sz w:val="17"/>
              </w:rPr>
              <w:t>2,855</w:t>
            </w:r>
          </w:p>
        </w:tc>
        <w:tc>
          <w:tcPr>
            <w:tcW w:type="dxa" w:w="1440"/>
            <w:shd w:fill="FAFAFA" w:val="clear"/>
          </w:tcPr>
          <w:p>
            <w:r>
              <w:rPr>
                <w:sz w:val="17"/>
              </w:rPr>
              <w:t>2,959</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2,721</w:t>
            </w:r>
          </w:p>
        </w:tc>
        <w:tc>
          <w:tcPr>
            <w:tcW w:type="dxa" w:w="1440"/>
            <w:shd w:fill="FAFAFA" w:val="clear"/>
          </w:tcPr>
          <w:p>
            <w:r>
              <w:rPr>
                <w:b/>
                <w:sz w:val="17"/>
              </w:rPr>
              <w:t>2,849</w:t>
            </w:r>
          </w:p>
        </w:tc>
        <w:tc>
          <w:tcPr>
            <w:tcW w:type="dxa" w:w="1440"/>
            <w:shd w:fill="FAFAFA" w:val="clear"/>
          </w:tcPr>
          <w:p>
            <w:r>
              <w:rPr>
                <w:sz w:val="17"/>
              </w:rPr>
              <w:t>2,976</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2,695</w:t>
            </w:r>
          </w:p>
        </w:tc>
        <w:tc>
          <w:tcPr>
            <w:tcW w:type="dxa" w:w="1440"/>
            <w:shd w:fill="FAFAFA" w:val="clear"/>
          </w:tcPr>
          <w:p>
            <w:r>
              <w:rPr>
                <w:b/>
                <w:sz w:val="17"/>
              </w:rPr>
              <w:t>2,842</w:t>
            </w:r>
          </w:p>
        </w:tc>
        <w:tc>
          <w:tcPr>
            <w:tcW w:type="dxa" w:w="1440"/>
            <w:shd w:fill="FAFAFA" w:val="clear"/>
          </w:tcPr>
          <w:p>
            <w:r>
              <w:rPr>
                <w:sz w:val="17"/>
              </w:rPr>
              <w:t>2,989</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2026-09-24</w:t>
            </w:r>
          </w:p>
        </w:tc>
        <w:tc>
          <w:tcPr>
            <w:tcW w:type="dxa" w:w="1440"/>
            <w:shd w:fill="FAFAFA" w:val="clear"/>
          </w:tcPr>
          <w:p>
            <w:r>
              <w:rPr>
                <w:sz w:val="17"/>
              </w:rPr>
              <w:t>2,672</w:t>
            </w:r>
          </w:p>
        </w:tc>
        <w:tc>
          <w:tcPr>
            <w:tcW w:type="dxa" w:w="1440"/>
            <w:shd w:fill="FAFAFA" w:val="clear"/>
          </w:tcPr>
          <w:p>
            <w:r>
              <w:rPr>
                <w:b/>
                <w:sz w:val="17"/>
              </w:rPr>
              <w:t>2,836</w:t>
            </w:r>
          </w:p>
        </w:tc>
        <w:tc>
          <w:tcPr>
            <w:tcW w:type="dxa" w:w="1440"/>
            <w:shd w:fill="FAFAFA" w:val="clear"/>
          </w:tcPr>
          <w:p>
            <w:r>
              <w:rPr>
                <w:sz w:val="17"/>
              </w:rPr>
              <w:t>3,000</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2,651</w:t>
            </w:r>
          </w:p>
        </w:tc>
        <w:tc>
          <w:tcPr>
            <w:tcW w:type="dxa" w:w="1440"/>
            <w:shd w:fill="FFDCE0" w:val="clear"/>
          </w:tcPr>
          <w:p>
            <w:r>
              <w:rPr>
                <w:b/>
                <w:sz w:val="17"/>
              </w:rPr>
              <w:t>2,830</w:t>
            </w:r>
          </w:p>
        </w:tc>
        <w:tc>
          <w:tcPr>
            <w:tcW w:type="dxa" w:w="1440"/>
            <w:shd w:fill="FFDCE0" w:val="clear"/>
          </w:tcPr>
          <w:p>
            <w:r>
              <w:rPr>
                <w:sz w:val="17"/>
              </w:rPr>
              <w:t>3,009</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2,631</w:t>
            </w:r>
          </w:p>
        </w:tc>
        <w:tc>
          <w:tcPr>
            <w:tcW w:type="dxa" w:w="1440"/>
            <w:shd w:fill="FFDCE0" w:val="clear"/>
          </w:tcPr>
          <w:p>
            <w:r>
              <w:rPr>
                <w:b/>
                <w:sz w:val="17"/>
              </w:rPr>
              <w:t>2,824</w:t>
            </w:r>
          </w:p>
        </w:tc>
        <w:tc>
          <w:tcPr>
            <w:tcW w:type="dxa" w:w="1440"/>
            <w:shd w:fill="FFDCE0" w:val="clear"/>
          </w:tcPr>
          <w:p>
            <w:r>
              <w:rPr>
                <w:sz w:val="17"/>
              </w:rPr>
              <w:t>3,017</w:t>
            </w:r>
          </w:p>
        </w:tc>
        <w:tc>
          <w:tcPr>
            <w:tcW w:type="dxa" w:w="1440"/>
            <w:shd w:fill="FFDCE0" w:val="clear"/>
          </w:tcPr>
          <w:p>
            <w:r>
              <w:rPr>
                <w:b/>
                <w:color w:val="C00000"/>
                <w:sz w:val="17"/>
              </w:rPr>
              <w:t>-2.3%</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2,612</w:t>
            </w:r>
          </w:p>
        </w:tc>
        <w:tc>
          <w:tcPr>
            <w:tcW w:type="dxa" w:w="1440"/>
            <w:shd w:fill="FFDCE0" w:val="clear"/>
          </w:tcPr>
          <w:p>
            <w:r>
              <w:rPr>
                <w:b/>
                <w:sz w:val="17"/>
              </w:rPr>
              <w:t>2,818</w:t>
            </w:r>
          </w:p>
        </w:tc>
        <w:tc>
          <w:tcPr>
            <w:tcW w:type="dxa" w:w="1440"/>
            <w:shd w:fill="FFDCE0" w:val="clear"/>
          </w:tcPr>
          <w:p>
            <w:r>
              <w:rPr>
                <w:sz w:val="17"/>
              </w:rPr>
              <w:t>3,024</w:t>
            </w:r>
          </w:p>
        </w:tc>
        <w:tc>
          <w:tcPr>
            <w:tcW w:type="dxa" w:w="1440"/>
            <w:shd w:fill="FFDCE0" w:val="clear"/>
          </w:tcPr>
          <w:p>
            <w:r>
              <w:rPr>
                <w:b/>
                <w:color w:val="C00000"/>
                <w:sz w:val="17"/>
              </w:rPr>
              <w:t>-2.5%</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2,594</w:t>
            </w:r>
          </w:p>
        </w:tc>
        <w:tc>
          <w:tcPr>
            <w:tcW w:type="dxa" w:w="1440"/>
            <w:shd w:fill="FFDCE0" w:val="clear"/>
          </w:tcPr>
          <w:p>
            <w:r>
              <w:rPr>
                <w:b/>
                <w:sz w:val="17"/>
              </w:rPr>
              <w:t>2,812</w:t>
            </w:r>
          </w:p>
        </w:tc>
        <w:tc>
          <w:tcPr>
            <w:tcW w:type="dxa" w:w="1440"/>
            <w:shd w:fill="FFDCE0" w:val="clear"/>
          </w:tcPr>
          <w:p>
            <w:r>
              <w:rPr>
                <w:sz w:val="17"/>
              </w:rPr>
              <w:t>3,031</w:t>
            </w:r>
          </w:p>
        </w:tc>
        <w:tc>
          <w:tcPr>
            <w:tcW w:type="dxa" w:w="1440"/>
            <w:shd w:fill="FFDCE0" w:val="clear"/>
          </w:tcPr>
          <w:p>
            <w:r>
              <w:rPr>
                <w:b/>
                <w:color w:val="C00000"/>
                <w:sz w:val="17"/>
              </w:rPr>
              <w:t>-2.7%</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2,577</w:t>
            </w:r>
          </w:p>
        </w:tc>
        <w:tc>
          <w:tcPr>
            <w:tcW w:type="dxa" w:w="1440"/>
            <w:shd w:fill="FFDCE0" w:val="clear"/>
          </w:tcPr>
          <w:p>
            <w:r>
              <w:rPr>
                <w:b/>
                <w:sz w:val="17"/>
              </w:rPr>
              <w:t>2,807</w:t>
            </w:r>
          </w:p>
        </w:tc>
        <w:tc>
          <w:tcPr>
            <w:tcW w:type="dxa" w:w="1440"/>
            <w:shd w:fill="FFDCE0" w:val="clear"/>
          </w:tcPr>
          <w:p>
            <w:r>
              <w:rPr>
                <w:sz w:val="17"/>
              </w:rPr>
              <w:t>3,036</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*Bourse Régionale des Valeurs Mobilières (BRVM) — Secteur Télécommunications*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196,52 milliards FCFA, ONTBF figure parmi les valeurs moyennes-capitalisations de la cote BRVM, loin derrière Sonatel mais devant de nombreux titres secondaires. Le BPA de 234 FCFA/action signifie que chaque titre génère près de 234 FCFA de bénéfice net, ce qui, rapporté au cours actuel de 2 890 FCFA, donne un PER de 12,4x — un niveau modéré, légèrement supérieur à la moyenne BRVM (~8-12x), traduisant une prime de qualité justifiée par la solidité du bilan et la régularité du dividende. Le P/B de 3,42x indique que le marché valorise l'action à plus de trois fois sa valeur comptable (capitaux propres de 57,54 Mds FCFA), une prime de croissance accordée aux investissements réseau (FTTH, 4G) et à la rentabilité des fonds propres (ROE de 27,6%). Enfin, l'EV/EBITDA de 5,2x — dans la fourchette raisonnable de 5-10x — suggère que la valeur totale de l'entreprise (dette incluse) reste modérée par rapport à sa capacité opérationnelle, ce qui constitue un signal de valorisation attractif pour un opérateur télécom générant un EBE de 56,73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+6,25%, avec une dernière séance en hausse de +2,12%, portant le cours à 2 890 FCFA. Le range de trading s'établit entre un plus bas de 2 610 FCFA et un plus haut de 3 070 FCFA, soit une amplitude de 460 FCFA (17,6%), reflétant une tendance globalement haussière mais ponctuée de corrections. Les statistiques descriptives révèlent une moyenne de 2 831 FCFA très proche de la médiane (2 822 FCFA) et du mode (2 800 FCFA), signe d'une distribution symétrique sans biais marqué — confirmé par un skewness de -0,005 (quasi nul). L'écart-type de 84 FCFA, avec un coefficient de variation de seulement 3,0%, indique une dispersion très faible du cours autour de sa moyenne, traduisant une certaine stabilité. Le kurtosis de -0,031 (mésokurtique) suggère une distribution proche de la normale, sans risque excessif de pics extrêmes. La volatilité annualisée de 30,6% positionne le titre dans la catégorie des valeurs à volatilité élevée (&gt;30%), ce qui est cohérent avec un marché frontière comme la BRVM où les volumes moyens restent limités (5 159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(2 882,25 FCFA) et la MM50 (2 848,70 FCFA) se situent toutes deux sous le cours actuel (2 890 FCFA), avec la MM20 au-dessus de la MM50 — configuration haussière classique (croisement doré). Le cours évoluant au-dessus de ses deux moyennes, la décision technique est à l'**Achat**, signalant une dynamique positive de court et moyen terme.</w:t>
      </w:r>
    </w:p>
    <w:p>
      <w:pPr>
        <w:spacing w:after="120" w:line="276" w:lineRule="auto"/>
      </w:pPr>
      <w:r>
        <w:t>**Bandes de Bollinger** : Le cours (2 890 FCFA) se situe dans la partie supérieure de la bande, entre la borne inférieure (2 822,30 FCFA) et la borne supérieure (2 942,20 FCFA), sans franchissement. L'écart entre les bornes (120 FCFA) reflète une volatilité modérée. La décision est **Neutre**, le titre n'étant ni en suraccélération ni en survente.</w:t>
      </w:r>
    </w:p>
    <w:p>
      <w:pPr>
        <w:spacing w:after="120" w:line="276" w:lineRule="auto"/>
      </w:pPr>
      <w:r>
        <w:t>**MACD** : La valeur du MACD (-1,025) est inférieure à son signal (2,961), générant un croisement baissier et une divergence négative. Le momentum est clairement négatif à court terme, justifiant la décision de **Vente** — signal en contradiction avec les moyennes mobiles.</w:t>
      </w:r>
    </w:p>
    <w:p>
      <w:pPr>
        <w:spacing w:after="120" w:line="276" w:lineRule="auto"/>
      </w:pPr>
      <w:r>
        <w:t>**RSI** : À 48,684, le RSI se situe parfaitement dans la zone neutre (30-70), sans pression acheteuse ni vendeuse excessive. La décision est **Neutre**, le titre n'étant ni suracheté ni survendu.</w:t>
      </w:r>
    </w:p>
    <w:p>
      <w:pPr>
        <w:spacing w:after="120" w:line="276" w:lineRule="auto"/>
      </w:pPr>
      <w:r>
        <w:t>**Stochastique** : Le %K (73,913) est supérieur au %D (50,725), avec un croisement haussier récent. Le %K approchant de la zone de surachat (&gt;80), la décision reste **Neutre**, mais le signal est légèrement positif à court terme.</w:t>
      </w:r>
    </w:p>
    <w:p>
      <w:pPr>
        <w:spacing w:after="120" w:line="276" w:lineRule="auto"/>
      </w:pPr>
      <w:r>
        <w:t>**Conclusion technique** : Les indicateurs sont mitigés — les moyennes mobiles et le stochastique penchent pour l'achat, tandis que le MACD envoie un signal de vente et que le RSI/Bollinger restent neutres. Cette divergence suggère une phase de consolidation avant une éventuelle reprise, avec un avantage modéré aux acheteurs tant que le cours se maintient au-dessus de la MM50 (2 848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(ONATEL-SA) a réalisé un chiffre d'affaires de 146,18 milliards FCFA, en hausse de +3,1% par rapport à 2024 (141,84 Mds FCFA), porté par le FTTH (+33% de parc), l'internet mobile (+4,6%) et le Mobile Money (+14%). Cependant, le résultat net a chuté de -26% à 15,89 milliards FCFA (contre 21,47 Mds en 2024), sous l'effet de charges opérationnelles et exceptionnelles élevées (indemnités de fin d'engagement, coûts énergétiques, maintenance en zones sécuritaires, sanction ARCEP de 1,543 Md FCFA). Le ROE reste excellent à 27,6% (bien que en baisse), et le ROA s'établit à 4,89%. La marge nette se contracte à 10,87% (contre 15,1% en 2024), et le coefficient d'exploitation (67,07%) dépasse le seuil de 60% — signal d'inefficacité opérationnelle croissante. Le bilan affiche un total actif de 324,90 Mds FCFA (+8%), des capitaux propres de 57,54 Mds FCFA et une trésorerie nette positive de 10,65 Mds FCFA. La capacité d'autofinancement (CAF) reste solide à 46,95 Mds FCFA, couvrant 103,8% des investissements (45,22 Mds FCFA). Les rapports trimestriels 2026 confirment la tendance : au T1 2026 (rapport du 30 avril 2026), le CA progresse de +2,7% à 37,1 Mds FCFA, avec un résultat net de 3,577 Mds FCFA (marge nette de 9,6%) et un taux de marge EBITDA maintenu à 41,3%. On estime donc que l'exercice 2026 devrait rester sous pression, avec une croissance modérée du CA (~+3%) et une rentabilité encore contrainte, à moins que les actions d'optimisation des coûts annoncées ne portent leurs fruits. La note de crédit A+(WU) de GCR Ratings et le dividende proposé de 166,08 FCFA/action (rendement de ~5,7% au cours actuel) constituent des points de soutien. La recommandation fondamentale est de **CONSERVER**, le titre offrant un rendement attractif mais faisant face à des risques réglementaires, sécuritaires et concurrentiels persistants.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 PER de 12,4x (légèrement supérieur à la moyenne BRVM), P/B de 3,42x (prime de croissance justifiée) et EV/EBITDA de 5,2x (attractif). Le comportement du cours (Partie 1) est stable et symétrique (skewness quasi nul, kurtosis mésokurtique), avec une volatilité élevée (30,6%) mais une tendance haussière sur 100 jours (+6,25%). Les signaux techniques (Partie 2) sont divergents : les moyennes mobiles et le stochastique sont haussiers, mais le MACD est baissier, le RSI et les Bollinger neutres — ce qui plaide pour une consolidation. Les fondamentaux (Partie 3) révèlent une croissance du CA (+3,1% en 2025, +2,7% au T1 2026) mais une dégradation de la rentabilité (résultat net -26% en 2025), avec un ROE toujours élevé (27,6%) et une génération de trésorerie solide (CAF de 46,95 Mds FCFA). Les prédictions IA (J+1 à J+10) anticipent une légère baisse vers 2 836-2 858 FCFA, confirmant la phase de consolidation technique. **Recommandation finale : CONSERVER.** La convergence entre une valorisation correcte, des fondamentaux résilients mais sous pression, et des signaux techniques mitigés ne justifie ni un achat agressif ni une vente. Le niveau de confiance est **Moyen** (divergence MACD vs MM), et le risque global est **Moyen** (volatilité élevée, risques réglementaires et sécuritaires). L'horizon d'investissement optimal est le **moyen terme (3-12 mois)**, en attendant des signes tangibles d'amélioration de la rentabilité et de maîtrise des coûts, avec un objectif de cours à 2 800-3 000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3344.55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3,044 titres</w:t>
            </w:r>
          </w:p>
        </w:tc>
        <w:tc>
          <w:tcPr>
            <w:tcW w:type="dxa" w:w="2268"/>
            <w:shd w:fill="FFF2CC" w:val="clear"/>
          </w:tcPr>
          <w:p>
            <w:r>
              <w:rPr>
                <w:b/>
                <w:color w:val="503200"/>
                <w:sz w:val="16"/>
              </w:rPr>
              <w:t xml:space="preserve">Cours actuel : </w:t>
            </w:r>
            <w:r>
              <w:rPr>
                <w:color w:val="000000"/>
                <w:sz w:val="17"/>
              </w:rPr>
              <w:t>22,200 FCFA</w:t>
            </w:r>
          </w:p>
          <w:p>
            <w:r>
              <w:rPr>
                <w:b/>
                <w:color w:val="503200"/>
                <w:sz w:val="16"/>
              </w:rPr>
              <w:t xml:space="preserve">Var. 100 jours : </w:t>
            </w:r>
            <w:r>
              <w:rPr>
                <w:b/>
                <w:color w:val="007800"/>
                <w:sz w:val="17"/>
              </w:rPr>
              <w:t>+48.99%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13.37% (Moyenne) — μ=17,274 FCFA, σ=2,310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β=1.3777 (Agressif) — Cov=0.000049, Var(idx)=0.000035, ρ=0.431,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3,044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21,596</w:t>
            </w:r>
          </w:p>
        </w:tc>
        <w:tc>
          <w:tcPr>
            <w:tcW w:type="dxa" w:w="1440"/>
            <w:shd w:fill="FAFAFA" w:val="clear"/>
          </w:tcPr>
          <w:p>
            <w:r>
              <w:rPr>
                <w:b/>
                <w:sz w:val="17"/>
              </w:rPr>
              <w:t>22,299</w:t>
            </w:r>
          </w:p>
        </w:tc>
        <w:tc>
          <w:tcPr>
            <w:tcW w:type="dxa" w:w="1440"/>
            <w:shd w:fill="FAFAFA" w:val="clear"/>
          </w:tcPr>
          <w:p>
            <w:r>
              <w:rPr>
                <w:sz w:val="17"/>
              </w:rPr>
              <w:t>23,001</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21,282</w:t>
            </w:r>
          </w:p>
        </w:tc>
        <w:tc>
          <w:tcPr>
            <w:tcW w:type="dxa" w:w="1440"/>
            <w:shd w:fill="FAFAFA" w:val="clear"/>
          </w:tcPr>
          <w:p>
            <w:r>
              <w:rPr>
                <w:b/>
                <w:sz w:val="17"/>
              </w:rPr>
              <w:t>22,274</w:t>
            </w:r>
          </w:p>
        </w:tc>
        <w:tc>
          <w:tcPr>
            <w:tcW w:type="dxa" w:w="1440"/>
            <w:shd w:fill="FAFAFA" w:val="clear"/>
          </w:tcPr>
          <w:p>
            <w:r>
              <w:rPr>
                <w:sz w:val="17"/>
              </w:rPr>
              <w:t>23,267</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21,044</w:t>
            </w:r>
          </w:p>
        </w:tc>
        <w:tc>
          <w:tcPr>
            <w:tcW w:type="dxa" w:w="1440"/>
            <w:shd w:fill="FAFAFA" w:val="clear"/>
          </w:tcPr>
          <w:p>
            <w:r>
              <w:rPr>
                <w:b/>
                <w:sz w:val="17"/>
              </w:rPr>
              <w:t>22,258</w:t>
            </w:r>
          </w:p>
        </w:tc>
        <w:tc>
          <w:tcPr>
            <w:tcW w:type="dxa" w:w="1440"/>
            <w:shd w:fill="FAFAFA" w:val="clear"/>
          </w:tcPr>
          <w:p>
            <w:r>
              <w:rPr>
                <w:sz w:val="17"/>
              </w:rPr>
              <w:t>23,473</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20,843</w:t>
            </w:r>
          </w:p>
        </w:tc>
        <w:tc>
          <w:tcPr>
            <w:tcW w:type="dxa" w:w="1440"/>
            <w:shd w:fill="FAFAFA" w:val="clear"/>
          </w:tcPr>
          <w:p>
            <w:r>
              <w:rPr>
                <w:b/>
                <w:sz w:val="17"/>
              </w:rPr>
              <w:t>22,244</w:t>
            </w:r>
          </w:p>
        </w:tc>
        <w:tc>
          <w:tcPr>
            <w:tcW w:type="dxa" w:w="1440"/>
            <w:shd w:fill="FAFAFA" w:val="clear"/>
          </w:tcPr>
          <w:p>
            <w:r>
              <w:rPr>
                <w:sz w:val="17"/>
              </w:rPr>
              <w:t>23,646</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20,665</w:t>
            </w:r>
          </w:p>
        </w:tc>
        <w:tc>
          <w:tcPr>
            <w:tcW w:type="dxa" w:w="1440"/>
            <w:shd w:fill="FAFAFA" w:val="clear"/>
          </w:tcPr>
          <w:p>
            <w:r>
              <w:rPr>
                <w:b/>
                <w:sz w:val="17"/>
              </w:rPr>
              <w:t>22,231</w:t>
            </w:r>
          </w:p>
        </w:tc>
        <w:tc>
          <w:tcPr>
            <w:tcW w:type="dxa" w:w="1440"/>
            <w:shd w:fill="FAFAFA" w:val="clear"/>
          </w:tcPr>
          <w:p>
            <w:r>
              <w:rPr>
                <w:sz w:val="17"/>
              </w:rPr>
              <w:t>23,797</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20,503</w:t>
            </w:r>
          </w:p>
        </w:tc>
        <w:tc>
          <w:tcPr>
            <w:tcW w:type="dxa" w:w="1440"/>
            <w:shd w:fill="FAFAFA" w:val="clear"/>
          </w:tcPr>
          <w:p>
            <w:r>
              <w:rPr>
                <w:b/>
                <w:sz w:val="17"/>
              </w:rPr>
              <w:t>22,218</w:t>
            </w:r>
          </w:p>
        </w:tc>
        <w:tc>
          <w:tcPr>
            <w:tcW w:type="dxa" w:w="1440"/>
            <w:shd w:fill="FAFAFA" w:val="clear"/>
          </w:tcPr>
          <w:p>
            <w:r>
              <w:rPr>
                <w:sz w:val="17"/>
              </w:rPr>
              <w:t>23,932</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20,353</w:t>
            </w:r>
          </w:p>
        </w:tc>
        <w:tc>
          <w:tcPr>
            <w:tcW w:type="dxa" w:w="1440"/>
            <w:shd w:fill="FAFAFA" w:val="clear"/>
          </w:tcPr>
          <w:p>
            <w:r>
              <w:rPr>
                <w:b/>
                <w:sz w:val="17"/>
              </w:rPr>
              <w:t>22,205</w:t>
            </w:r>
          </w:p>
        </w:tc>
        <w:tc>
          <w:tcPr>
            <w:tcW w:type="dxa" w:w="1440"/>
            <w:shd w:fill="FAFAFA" w:val="clear"/>
          </w:tcPr>
          <w:p>
            <w:r>
              <w:rPr>
                <w:sz w:val="17"/>
              </w:rPr>
              <w:t>24,056</w:t>
            </w:r>
          </w:p>
        </w:tc>
        <w:tc>
          <w:tcPr>
            <w:tcW w:type="dxa" w:w="1440"/>
            <w:shd w:fill="FAFAFA" w:val="clear"/>
          </w:tcPr>
          <w:p>
            <w:r>
              <w:rPr>
                <w:b/>
                <w:color w:val="008000"/>
                <w:sz w:val="17"/>
              </w:rPr>
              <w:t>+0.0%</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20,214</w:t>
            </w:r>
          </w:p>
        </w:tc>
        <w:tc>
          <w:tcPr>
            <w:tcW w:type="dxa" w:w="1440"/>
            <w:shd w:fill="FAFAFA" w:val="clear"/>
          </w:tcPr>
          <w:p>
            <w:r>
              <w:rPr>
                <w:b/>
                <w:sz w:val="17"/>
              </w:rPr>
              <w:t>22,192</w:t>
            </w:r>
          </w:p>
        </w:tc>
        <w:tc>
          <w:tcPr>
            <w:tcW w:type="dxa" w:w="1440"/>
            <w:shd w:fill="FAFAFA" w:val="clear"/>
          </w:tcPr>
          <w:p>
            <w:r>
              <w:rPr>
                <w:sz w:val="17"/>
              </w:rPr>
              <w:t>24,170</w:t>
            </w:r>
          </w:p>
        </w:tc>
        <w:tc>
          <w:tcPr>
            <w:tcW w:type="dxa" w:w="1440"/>
            <w:shd w:fill="FAFAFA" w:val="clear"/>
          </w:tcPr>
          <w:p>
            <w:r>
              <w:rPr>
                <w:b/>
                <w:color w:val="C00000"/>
                <w:sz w:val="17"/>
              </w:rPr>
              <w:t>-0.0%</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20,083</w:t>
            </w:r>
          </w:p>
        </w:tc>
        <w:tc>
          <w:tcPr>
            <w:tcW w:type="dxa" w:w="1440"/>
            <w:shd w:fill="FAFAFA" w:val="clear"/>
          </w:tcPr>
          <w:p>
            <w:r>
              <w:rPr>
                <w:b/>
                <w:sz w:val="17"/>
              </w:rPr>
              <w:t>22,180</w:t>
            </w:r>
          </w:p>
        </w:tc>
        <w:tc>
          <w:tcPr>
            <w:tcW w:type="dxa" w:w="1440"/>
            <w:shd w:fill="FAFAFA" w:val="clear"/>
          </w:tcPr>
          <w:p>
            <w:r>
              <w:rPr>
                <w:sz w:val="17"/>
              </w:rPr>
              <w:t>24,276</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19,959</w:t>
            </w:r>
          </w:p>
        </w:tc>
        <w:tc>
          <w:tcPr>
            <w:tcW w:type="dxa" w:w="1440"/>
            <w:shd w:fill="FAFAFA" w:val="clear"/>
          </w:tcPr>
          <w:p>
            <w:r>
              <w:rPr>
                <w:b/>
                <w:sz w:val="17"/>
              </w:rPr>
              <w:t>22,167</w:t>
            </w:r>
          </w:p>
        </w:tc>
        <w:tc>
          <w:tcPr>
            <w:tcW w:type="dxa" w:w="1440"/>
            <w:shd w:fill="FAFAFA" w:val="clear"/>
          </w:tcPr>
          <w:p>
            <w:r>
              <w:rPr>
                <w:sz w:val="17"/>
              </w:rPr>
              <w:t>24,376</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Secteur :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3 344,55 milliards FCFA, ORAC s'impose comme l'une des toutes premières capitalisations de la BRVM, représentant à elle seule une part significative de la capitalisation totale du marché régional. Le BPA de 1 114 FCFA/action signifie que chaque titre génère un bénéfice net de plus de mille francs CFA, ce qui confère au titre une assise bénéficiaire solide. Le PER de 19,9x traduit une valorisation nettement supérieure à la moyenne du marché BRVM (estimée entre 8 et 12x), les investisseurs acceptant de payer une prime pour la qualité de la croissance et la régularité des résultats du groupe. Le P/B de 4,73x confirme cette prime, le marché valorisant ORAC à près de cinq fois sa valeur comptable — une exigence forte qui suppose une rentabilité des fonds propres durablement élevée (ROE de 23,7% en 2025). Enfin, l'EV/EBITDA de 7,9x, dans la fourchette raisonnable de 5-10x, indique que la valeur totale de l'entreprise (dette incluse) reste cohérente avec sa capacité opérationnelle de génération de cash-flows.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ORAC a enregistré une progression spectaculaire de +48,99%, passant d'un plus bas de 14 650 FCFA à un plus haut de 22 500 FCFA, pour un cours actuel de 22 200 FCFA (en léger repli de -0,87% sur la dernière séance). Ce range de trading de près de 7 850 FCFA témoigne d'une tendance haussière puissante et bien établie, le titre évoluant désormais proche de ses sommets. Les statistiques descriptives révèlent une moyenne de 17 274 FCFA nettement supérieure à la médiane de 16 448 FCFA, avec un mode à 16 000 FCFA : cet écart confirme une distribution asymétrique où le cours a passé davantage de séances sous sa moyenne avant de s'envoler en fin de période. L'écart-type de 2 322 FCFA (CV de 13,4%) indique une dispersion modérée du cours autour de sa moyenne, tandis que le kurtosis de -0,105 (mésokurtique) suggère une distribution proche de la normale, sans risque excessif de pics extrêmes. Le skewness positif de 1,149 (asymétrie positive) signifie qu'il y a eu plus de journées sous la moyenne, mais que les mouvements haussiers ont été plus amples — un profil typique d'un titre en phase d'accélération. La volatilité annualisée de 29,9%, à la limite supérieure de la fourchette modérée (15-30%), positionne ORAC comme un titre dynamique mais non spéculatif.</w:t>
      </w:r>
    </w:p>
    <w:p>
      <w:pPr>
        <w:spacing w:after="120" w:line="276" w:lineRule="auto"/>
      </w:pPr>
      <w:r>
        <w:t>---</w:t>
      </w:r>
    </w:p>
    <w:p>
      <w:pPr>
        <w:spacing w:after="120" w:line="276" w:lineRule="auto"/>
      </w:pPr>
      <w:r>
        <w:t>## PARTIE 2 : ANALYSE TECHNIQUE DÉTAILLÉE</w:t>
      </w:r>
    </w:p>
    <w:p>
      <w:pPr>
        <w:spacing w:after="120" w:line="276" w:lineRule="auto"/>
      </w:pPr>
      <w:r>
        <w:t>**Moyennes Mobiles** : La MM20 (21 547,5 FCFA) et la MM50 (18 759,6 FCFA) sont toutes deux inférieures au cours actuel de 22 200 FCFA, avec la MM20 au-dessus de la MM50 — configuration haussière classique en « golden cross ». Le cours évoluant au-dessus de ses deux moyennes, la dynamique de fond reste clairement positive, ce qui justifie la décision d'**Achat**.</w:t>
      </w:r>
    </w:p>
    <w:p>
      <w:pPr>
        <w:spacing w:after="120" w:line="276" w:lineRule="auto"/>
      </w:pPr>
      <w:r>
        <w:t>**Bandes de Bollinger** : Le cours (22 200 FCFA) se situe dans la partie haute du canal, entre la borne inférieure (20 186 FCFA) et la borne supérieure (22 908 FCFA), sans la franchir. Cette position proche de la borne haute, sans breakout, traduit une pression acheteuse soutenue mais sans excès, d'où la décision **Neutre** — le titre est en zone d'appréciation mais approche d'une résistance.</w:t>
      </w:r>
    </w:p>
    <w:p>
      <w:pPr>
        <w:spacing w:after="120" w:line="276" w:lineRule="auto"/>
      </w:pPr>
      <w:r>
        <w:t>**MACD** : La valeur du MACD (1 048,9) est légèrement inférieure à son signal (1 104,5), ce qui matérialise un croisement baissier récent et un essoufflement du momentum haussier. Cette divergence négative, bien que modérée, justifie la décision de **Vente** à court terme, signalant que la dynamique haussière perd de sa vigueur.</w:t>
      </w:r>
    </w:p>
    <w:p>
      <w:pPr>
        <w:spacing w:after="120" w:line="276" w:lineRule="auto"/>
      </w:pPr>
      <w:r>
        <w:t>**RSI** : À 58,8, le RSI se situe en zone neutre (30-70), sans atteindre la zone de surachat (&gt;70). Le titre conserve donc un potentiel de hausse résiduel sans être techniquement « cher », ce qui justifie la décision **Neutre** — ni signal d'achat agressif, ni signal de vente.</w:t>
      </w:r>
    </w:p>
    <w:p>
      <w:pPr>
        <w:spacing w:after="120" w:line="276" w:lineRule="auto"/>
      </w:pPr>
      <w:r>
        <w:t>**Stochastique** : Le %K (79,9) est inférieur au %D (91,0), et les deux se situent en zone haute (proche de 80-90), signalant un essoufflement de la dynamique haussière et un risque de retournement à court terme. La décision **Neutre** reflète cette configuration de fin de cycle haussier, sans confirmation baissière franche.</w:t>
      </w:r>
    </w:p>
    <w:p>
      <w:pPr>
        <w:spacing w:after="120" w:line="276" w:lineRule="auto"/>
      </w:pPr>
      <w:r>
        <w:t>**Conclusion technique** : Les indicateurs sont partagés — les moyennes mobiles confirment la tendance haussière de fond (Achat), tandis que le MACD (Vente) et le stochastique (Neutre, proche surachat) signalent un essoufflement à court terme. Le RSI et les Bollinger restent neutres, le cours évoluant dans le haut du canal sans excès. La convergence globale plaide pour une **consolidation avant reprise**, avec un support technique majeur à 21 547 FCFA (MM20) et une résistance à 22 908 FCFA (borne supérieure de Bollinger).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ORAC affiche un chiffre d'affaires de 1 197,1 milliards FCFA, en croissance de +10,4% sur un an, porté par la dynamique mobile (+8,6% d'abonnés à 37,6 millions), Orange Money (+10,2% à 40,4 millions de clients) et l'explosion de la fibre (+59,9%). Le résultat net consolidé s'établit à 167,8 milliards FCFA (+6,1%), tandis que le résultat net part du groupe atteint 129,1 milliards FCFA (+14,5%). La rentabilité reste excellente avec un ROE de 23,7% (largement supérieur au seuil de 15% considéré comme excellent) et un ROA de 6,57%. La marge nette de 14,0% et la marge opérationnelle de 24,0% témoignent d'une bonne maîtrise des charges, malgré une pression fiscale accrue. Sur le plan structurel, l'autonomie financière de 27,7% reste légèrement inférieure au seuil de 30% considéré comme sain, mais la solvabilité générale (138,3%) et la couverture des intérêts (1 018%) sont rassurantes. Le BFR négatif de -198 milliards FCFA est un signal favorable (financement par les fournisseurs), avec un délai fournisseurs élevé de 210,9 jours contre un délai clients de 52,3 jours — un avantage de trésorerie structurel. La capacité de remboursement de 0,99 an (dettes financières/CAF) est excellente.</w:t>
      </w:r>
    </w:p>
    <w:p>
      <w:pPr>
        <w:spacing w:after="120" w:line="276" w:lineRule="auto"/>
      </w:pPr>
      <w:r>
        <w:t>**Estimations basées sur les rapports trimestriels** : Le rapport du T1 2026 (publié en 2026) confirme une accélération spectaculaire avec un CA de 325,6 milliards FCFA (+14,8%) et un résultat net de 48,3 milliards FCFA (+25,2%), la marge nette s'améliorant à 14,8%. Sur cette base, on peut estimer que l'exercice 2026 devrait afficher une croissance du CA supérieure à 12% (vs +10,4% en 2025) et une progression du résultat net de l'ordre de 15-20%, soutenue par l'effet de levier opérationnel. Le rapport annuel 2025 (publié en 2025) confirme un dividende brut de 800 FCFA/action (rendement de 3,6% au cours actuel), prélevé sur le report à nouveau, avec un payout de 93,3% — un choix de privilégier l'autofinancement des investissements (184,2 milliards FCFA de CAPEX en 2025, soit 15,4% du CA).</w:t>
      </w:r>
    </w:p>
    <w:p>
      <w:pPr>
        <w:spacing w:after="120" w:line="276" w:lineRule="auto"/>
      </w:pPr>
      <w:r>
        <w:t>**Recommandation fondamentale** : ORAC présente des fondamentaux solides — croissance à deux chiffres, rentabilité élevée (ROE 23,7%), structure financière maîtrisée et génération de cash-flows robuste (CAF de 340 milliards FCFA). Les risques identifiés (pression fiscale et réglementaire, concurrence sur Orange Money, contexte sécuritaire au Burkina Faso) sont réels mais compensés par la diversification géographique et les relais de croissance (fibre, 5G, services financiers). La dynamique du T1 2026 confirme l'accélération, ce qui plaide pour un **ACHAT** sur le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profil d'investissement contrasté à court terme mais solide à moyen terme. **Sur la valorisation (Partie 0)**, le PER de 19,9x et le P/B de 4,73x indiquent une surévaluation relative par rapport à la moyenne du marché BRVM (8-12x), mais cette prime se justifie par la qualité de la croissance et la rentabilité supérieure (ROE 23,7%) ; l'EV/EBITDA de 7,9x reste raisonnable. **Sur le comportement du cours (Partie 1)**, la tendance haussière de +48,99% sur 100 jours est impressionnante, mais le skewness positif (1,149) et la volatilité modérée (29,9%) suggèrent que le titre a déjà intégré une bonne partie de ses bonnes nouvelles, avec un risque de consolidation. **Sur les signaux techniques (Partie 2)**, la divergence est notable : les moyennes mobiles confirment la tendance haussière (Achat), mais le MACD (Vente) et le stochastique (Neutre, proche surachat) signalent un essoufflement à court terme — une configuration de consolidation avant reprise. **Sur les fondamentaux (Partie 3)**, la solidité est incontestable : croissance du CA de +10,4% en 2025, accélération à +14,8% au T1 2026, ROE de 23,7%, et un dividende de 800 FCFA/action. **Les prédictions IA (J+1 à J+10)** anticipent une légère dérive baissière (22 299 → 22 231 FCFA), confirmant la thèse d'une consolidation à court terme sans remise en cause de la tendance de fond.</w:t>
      </w:r>
    </w:p>
    <w:p>
      <w:pPr>
        <w:spacing w:after="120" w:line="276" w:lineRule="auto"/>
      </w:pPr>
      <w:r>
        <w:t>**Recommandation finale : ACHAT** — Le titre présente une convergence favorable entre des fondamentaux solides, une dynamique de croissance accélérée (T1 2026) et une tendance haussière de fond, malgré un essoufflement technique à court terme et une valorisation exigeante. La divergence entre le MACD (Vente) et les moyennes mobiles (Achat) suggère une fenêtre d'entrée sur repli vers 21 500 FCFA (MM20). **Niveau de confiance : Moyen** (la surévaluation relative et l'essoufflement technique tempèrent l'enthousiasme). **Niveau de risque global : Moyen** (volatilité modérée, exposition aux risques réglementaires et sécuritaires régionaux). **Horizon d'investissement optimal : Moyen à long terme (6 à 18 mois)**, pour capturer la poursuite de la croissance et la revalorisation du dividende, en évitant le court terme où la consolidation paraît probable.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228.72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5,444 titres</w:t>
            </w:r>
          </w:p>
        </w:tc>
        <w:tc>
          <w:tcPr>
            <w:tcW w:type="dxa" w:w="2268"/>
            <w:shd w:fill="FFF2CC" w:val="clear"/>
          </w:tcPr>
          <w:p>
            <w:r>
              <w:rPr>
                <w:b/>
                <w:color w:val="503200"/>
                <w:sz w:val="16"/>
              </w:rPr>
              <w:t xml:space="preserve">Cours actuel : </w:t>
            </w:r>
            <w:r>
              <w:rPr>
                <w:color w:val="000000"/>
                <w:sz w:val="17"/>
              </w:rPr>
              <w:t>3,295 FCFA</w:t>
            </w:r>
          </w:p>
          <w:p>
            <w:r>
              <w:rPr>
                <w:b/>
                <w:color w:val="503200"/>
                <w:sz w:val="16"/>
              </w:rPr>
              <w:t xml:space="preserve">Var. 100 jours : </w:t>
            </w:r>
            <w:r>
              <w:rPr>
                <w:b/>
                <w:color w:val="007800"/>
                <w:sz w:val="17"/>
              </w:rPr>
              <w:t>+1.38%</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9.20% (Moyenne) — μ=2,910 FCFA, σ=268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β=0.1288 (Défensif) — Cov=0.000005, Var(idx)=0.000035, ρ=0.028,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3,198</w:t>
            </w:r>
          </w:p>
        </w:tc>
        <w:tc>
          <w:tcPr>
            <w:tcW w:type="dxa" w:w="1440"/>
            <w:shd w:fill="FAFAFA" w:val="clear"/>
          </w:tcPr>
          <w:p>
            <w:r>
              <w:rPr>
                <w:b/>
                <w:sz w:val="17"/>
              </w:rPr>
              <w:t>3,278</w:t>
            </w:r>
          </w:p>
        </w:tc>
        <w:tc>
          <w:tcPr>
            <w:tcW w:type="dxa" w:w="1440"/>
            <w:shd w:fill="FAFAFA" w:val="clear"/>
          </w:tcPr>
          <w:p>
            <w:r>
              <w:rPr>
                <w:sz w:val="17"/>
              </w:rPr>
              <w:t>3,358</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3,168</w:t>
            </w:r>
          </w:p>
        </w:tc>
        <w:tc>
          <w:tcPr>
            <w:tcW w:type="dxa" w:w="1440"/>
            <w:shd w:fill="FAFAFA" w:val="clear"/>
          </w:tcPr>
          <w:p>
            <w:r>
              <w:rPr>
                <w:b/>
                <w:sz w:val="17"/>
              </w:rPr>
              <w:t>3,282</w:t>
            </w:r>
          </w:p>
        </w:tc>
        <w:tc>
          <w:tcPr>
            <w:tcW w:type="dxa" w:w="1440"/>
            <w:shd w:fill="FAFAFA" w:val="clear"/>
          </w:tcPr>
          <w:p>
            <w:r>
              <w:rPr>
                <w:sz w:val="17"/>
              </w:rPr>
              <w:t>3,395</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3,145</w:t>
            </w:r>
          </w:p>
        </w:tc>
        <w:tc>
          <w:tcPr>
            <w:tcW w:type="dxa" w:w="1440"/>
            <w:shd w:fill="FAFAFA" w:val="clear"/>
          </w:tcPr>
          <w:p>
            <w:r>
              <w:rPr>
                <w:b/>
                <w:sz w:val="17"/>
              </w:rPr>
              <w:t>3,283</w:t>
            </w:r>
          </w:p>
        </w:tc>
        <w:tc>
          <w:tcPr>
            <w:tcW w:type="dxa" w:w="1440"/>
            <w:shd w:fill="FAFAFA" w:val="clear"/>
          </w:tcPr>
          <w:p>
            <w:r>
              <w:rPr>
                <w:sz w:val="17"/>
              </w:rPr>
              <w:t>3,422</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3,125</w:t>
            </w:r>
          </w:p>
        </w:tc>
        <w:tc>
          <w:tcPr>
            <w:tcW w:type="dxa" w:w="1440"/>
            <w:shd w:fill="FAFAFA" w:val="clear"/>
          </w:tcPr>
          <w:p>
            <w:r>
              <w:rPr>
                <w:b/>
                <w:sz w:val="17"/>
              </w:rPr>
              <w:t>3,285</w:t>
            </w:r>
          </w:p>
        </w:tc>
        <w:tc>
          <w:tcPr>
            <w:tcW w:type="dxa" w:w="1440"/>
            <w:shd w:fill="FAFAFA" w:val="clear"/>
          </w:tcPr>
          <w:p>
            <w:r>
              <w:rPr>
                <w:sz w:val="17"/>
              </w:rPr>
              <w:t>3,446</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2026-09-24</w:t>
            </w:r>
          </w:p>
        </w:tc>
        <w:tc>
          <w:tcPr>
            <w:tcW w:type="dxa" w:w="1440"/>
            <w:shd w:fill="FAFAFA" w:val="clear"/>
          </w:tcPr>
          <w:p>
            <w:r>
              <w:rPr>
                <w:sz w:val="17"/>
              </w:rPr>
              <w:t>3,108</w:t>
            </w:r>
          </w:p>
        </w:tc>
        <w:tc>
          <w:tcPr>
            <w:tcW w:type="dxa" w:w="1440"/>
            <w:shd w:fill="FAFAFA" w:val="clear"/>
          </w:tcPr>
          <w:p>
            <w:r>
              <w:rPr>
                <w:b/>
                <w:sz w:val="17"/>
              </w:rPr>
              <w:t>3,287</w:t>
            </w:r>
          </w:p>
        </w:tc>
        <w:tc>
          <w:tcPr>
            <w:tcW w:type="dxa" w:w="1440"/>
            <w:shd w:fill="FAFAFA" w:val="clear"/>
          </w:tcPr>
          <w:p>
            <w:r>
              <w:rPr>
                <w:sz w:val="17"/>
              </w:rPr>
              <w:t>3,467</w:t>
            </w:r>
          </w:p>
        </w:tc>
        <w:tc>
          <w:tcPr>
            <w:tcW w:type="dxa" w:w="1440"/>
            <w:shd w:fill="FAFAFA" w:val="clear"/>
          </w:tcPr>
          <w:p>
            <w:r>
              <w:rPr>
                <w:b/>
                <w:color w:val="C00000"/>
                <w:sz w:val="17"/>
              </w:rPr>
              <w:t>-0.2%</w:t>
            </w:r>
          </w:p>
        </w:tc>
      </w:tr>
      <w:tr>
        <w:tc>
          <w:tcPr>
            <w:tcW w:type="dxa" w:w="1440"/>
            <w:shd w:fill="FAFAFA" w:val="clear"/>
          </w:tcPr>
          <w:p>
            <w:r>
              <w:rPr>
                <w:sz w:val="17"/>
              </w:rPr>
              <w:t>J+6  Moyenne</w:t>
            </w:r>
          </w:p>
        </w:tc>
        <w:tc>
          <w:tcPr>
            <w:tcW w:type="dxa" w:w="1440"/>
            <w:shd w:fill="FAFAFA" w:val="clear"/>
          </w:tcPr>
          <w:p>
            <w:r>
              <w:rPr>
                <w:sz w:val="17"/>
              </w:rPr>
              <w:t>2026-09-25</w:t>
            </w:r>
          </w:p>
        </w:tc>
        <w:tc>
          <w:tcPr>
            <w:tcW w:type="dxa" w:w="1440"/>
            <w:shd w:fill="FAFAFA" w:val="clear"/>
          </w:tcPr>
          <w:p>
            <w:r>
              <w:rPr>
                <w:sz w:val="17"/>
              </w:rPr>
              <w:t>3,093</w:t>
            </w:r>
          </w:p>
        </w:tc>
        <w:tc>
          <w:tcPr>
            <w:tcW w:type="dxa" w:w="1440"/>
            <w:shd w:fill="FAFAFA" w:val="clear"/>
          </w:tcPr>
          <w:p>
            <w:r>
              <w:rPr>
                <w:b/>
                <w:sz w:val="17"/>
              </w:rPr>
              <w:t>3,289</w:t>
            </w:r>
          </w:p>
        </w:tc>
        <w:tc>
          <w:tcPr>
            <w:tcW w:type="dxa" w:w="1440"/>
            <w:shd w:fill="FAFAFA" w:val="clear"/>
          </w:tcPr>
          <w:p>
            <w:r>
              <w:rPr>
                <w:sz w:val="17"/>
              </w:rPr>
              <w:t>3,486</w:t>
            </w:r>
          </w:p>
        </w:tc>
        <w:tc>
          <w:tcPr>
            <w:tcW w:type="dxa" w:w="1440"/>
            <w:shd w:fill="FAFAFA" w:val="clear"/>
          </w:tcPr>
          <w:p>
            <w:r>
              <w:rPr>
                <w:b/>
                <w:color w:val="C00000"/>
                <w:sz w:val="17"/>
              </w:rPr>
              <w:t>-0.2%</w:t>
            </w:r>
          </w:p>
        </w:tc>
      </w:tr>
      <w:tr>
        <w:tc>
          <w:tcPr>
            <w:tcW w:type="dxa" w:w="1440"/>
            <w:shd w:fill="FAFAFA" w:val="clear"/>
          </w:tcPr>
          <w:p>
            <w:r>
              <w:rPr>
                <w:sz w:val="17"/>
              </w:rPr>
              <w:t>J+7  Moyenne</w:t>
            </w:r>
          </w:p>
        </w:tc>
        <w:tc>
          <w:tcPr>
            <w:tcW w:type="dxa" w:w="1440"/>
            <w:shd w:fill="FAFAFA" w:val="clear"/>
          </w:tcPr>
          <w:p>
            <w:r>
              <w:rPr>
                <w:sz w:val="17"/>
              </w:rPr>
              <w:t>2026-09-28</w:t>
            </w:r>
          </w:p>
        </w:tc>
        <w:tc>
          <w:tcPr>
            <w:tcW w:type="dxa" w:w="1440"/>
            <w:shd w:fill="FAFAFA" w:val="clear"/>
          </w:tcPr>
          <w:p>
            <w:r>
              <w:rPr>
                <w:sz w:val="17"/>
              </w:rPr>
              <w:t>3,079</w:t>
            </w:r>
          </w:p>
        </w:tc>
        <w:tc>
          <w:tcPr>
            <w:tcW w:type="dxa" w:w="1440"/>
            <w:shd w:fill="FAFAFA" w:val="clear"/>
          </w:tcPr>
          <w:p>
            <w:r>
              <w:rPr>
                <w:b/>
                <w:sz w:val="17"/>
              </w:rPr>
              <w:t>3,291</w:t>
            </w:r>
          </w:p>
        </w:tc>
        <w:tc>
          <w:tcPr>
            <w:tcW w:type="dxa" w:w="1440"/>
            <w:shd w:fill="FAFAFA" w:val="clear"/>
          </w:tcPr>
          <w:p>
            <w:r>
              <w:rPr>
                <w:sz w:val="17"/>
              </w:rPr>
              <w:t>3,504</w:t>
            </w:r>
          </w:p>
        </w:tc>
        <w:tc>
          <w:tcPr>
            <w:tcW w:type="dxa" w:w="1440"/>
            <w:shd w:fill="FAFAFA" w:val="clear"/>
          </w:tcPr>
          <w:p>
            <w:r>
              <w:rPr>
                <w:b/>
                <w:color w:val="C00000"/>
                <w:sz w:val="17"/>
              </w:rPr>
              <w:t>-0.1%</w:t>
            </w:r>
          </w:p>
        </w:tc>
      </w:tr>
      <w:tr>
        <w:tc>
          <w:tcPr>
            <w:tcW w:type="dxa" w:w="1440"/>
            <w:shd w:fill="FAFAFA" w:val="clear"/>
          </w:tcPr>
          <w:p>
            <w:r>
              <w:rPr>
                <w:sz w:val="17"/>
              </w:rPr>
              <w:t>J+8  Moyenne</w:t>
            </w:r>
          </w:p>
        </w:tc>
        <w:tc>
          <w:tcPr>
            <w:tcW w:type="dxa" w:w="1440"/>
            <w:shd w:fill="FAFAFA" w:val="clear"/>
          </w:tcPr>
          <w:p>
            <w:r>
              <w:rPr>
                <w:sz w:val="17"/>
              </w:rPr>
              <w:t>2026-09-29</w:t>
            </w:r>
          </w:p>
        </w:tc>
        <w:tc>
          <w:tcPr>
            <w:tcW w:type="dxa" w:w="1440"/>
            <w:shd w:fill="FAFAFA" w:val="clear"/>
          </w:tcPr>
          <w:p>
            <w:r>
              <w:rPr>
                <w:sz w:val="17"/>
              </w:rPr>
              <w:t>3,066</w:t>
            </w:r>
          </w:p>
        </w:tc>
        <w:tc>
          <w:tcPr>
            <w:tcW w:type="dxa" w:w="1440"/>
            <w:shd w:fill="FAFAFA" w:val="clear"/>
          </w:tcPr>
          <w:p>
            <w:r>
              <w:rPr>
                <w:b/>
                <w:sz w:val="17"/>
              </w:rPr>
              <w:t>3,293</w:t>
            </w:r>
          </w:p>
        </w:tc>
        <w:tc>
          <w:tcPr>
            <w:tcW w:type="dxa" w:w="1440"/>
            <w:shd w:fill="FAFAFA" w:val="clear"/>
          </w:tcPr>
          <w:p>
            <w:r>
              <w:rPr>
                <w:sz w:val="17"/>
              </w:rPr>
              <w:t>3,521</w:t>
            </w:r>
          </w:p>
        </w:tc>
        <w:tc>
          <w:tcPr>
            <w:tcW w:type="dxa" w:w="1440"/>
            <w:shd w:fill="FAFAFA" w:val="clear"/>
          </w:tcPr>
          <w:p>
            <w:r>
              <w:rPr>
                <w:b/>
                <w:color w:val="C00000"/>
                <w:sz w:val="17"/>
              </w:rPr>
              <w:t>-0.0%</w:t>
            </w:r>
          </w:p>
        </w:tc>
      </w:tr>
      <w:tr>
        <w:tc>
          <w:tcPr>
            <w:tcW w:type="dxa" w:w="1440"/>
            <w:shd w:fill="FAFAFA" w:val="clear"/>
          </w:tcPr>
          <w:p>
            <w:r>
              <w:rPr>
                <w:sz w:val="17"/>
              </w:rPr>
              <w:t>J+9  Moyenne</w:t>
            </w:r>
          </w:p>
        </w:tc>
        <w:tc>
          <w:tcPr>
            <w:tcW w:type="dxa" w:w="1440"/>
            <w:shd w:fill="FAFAFA" w:val="clear"/>
          </w:tcPr>
          <w:p>
            <w:r>
              <w:rPr>
                <w:sz w:val="17"/>
              </w:rPr>
              <w:t>2026-09-30</w:t>
            </w:r>
          </w:p>
        </w:tc>
        <w:tc>
          <w:tcPr>
            <w:tcW w:type="dxa" w:w="1440"/>
            <w:shd w:fill="FAFAFA" w:val="clear"/>
          </w:tcPr>
          <w:p>
            <w:r>
              <w:rPr>
                <w:sz w:val="17"/>
              </w:rPr>
              <w:t>3,054</w:t>
            </w:r>
          </w:p>
        </w:tc>
        <w:tc>
          <w:tcPr>
            <w:tcW w:type="dxa" w:w="1440"/>
            <w:shd w:fill="FAFAFA" w:val="clear"/>
          </w:tcPr>
          <w:p>
            <w:r>
              <w:rPr>
                <w:b/>
                <w:sz w:val="17"/>
              </w:rPr>
              <w:t>3,295</w:t>
            </w:r>
          </w:p>
        </w:tc>
        <w:tc>
          <w:tcPr>
            <w:tcW w:type="dxa" w:w="1440"/>
            <w:shd w:fill="FAFAFA" w:val="clear"/>
          </w:tcPr>
          <w:p>
            <w:r>
              <w:rPr>
                <w:sz w:val="17"/>
              </w:rPr>
              <w:t>3,537</w:t>
            </w:r>
          </w:p>
        </w:tc>
        <w:tc>
          <w:tcPr>
            <w:tcW w:type="dxa" w:w="1440"/>
            <w:shd w:fill="FAFAFA" w:val="clear"/>
          </w:tcPr>
          <w:p>
            <w:r>
              <w:rPr>
                <w:b/>
                <w:color w:val="008000"/>
                <w:sz w:val="17"/>
              </w:rPr>
              <w:t>+0.0%</w:t>
            </w:r>
          </w:p>
        </w:tc>
      </w:tr>
      <w:tr>
        <w:tc>
          <w:tcPr>
            <w:tcW w:type="dxa" w:w="1440"/>
            <w:shd w:fill="FAFAFA" w:val="clear"/>
          </w:tcPr>
          <w:p>
            <w:r>
              <w:rPr>
                <w:sz w:val="17"/>
              </w:rPr>
              <w:t>J+10  Moyenne</w:t>
            </w:r>
          </w:p>
        </w:tc>
        <w:tc>
          <w:tcPr>
            <w:tcW w:type="dxa" w:w="1440"/>
            <w:shd w:fill="FAFAFA" w:val="clear"/>
          </w:tcPr>
          <w:p>
            <w:r>
              <w:rPr>
                <w:sz w:val="17"/>
              </w:rPr>
              <w:t>2026-10-01</w:t>
            </w:r>
          </w:p>
        </w:tc>
        <w:tc>
          <w:tcPr>
            <w:tcW w:type="dxa" w:w="1440"/>
            <w:shd w:fill="FAFAFA" w:val="clear"/>
          </w:tcPr>
          <w:p>
            <w:r>
              <w:rPr>
                <w:sz w:val="17"/>
              </w:rPr>
              <w:t>3,043</w:t>
            </w:r>
          </w:p>
        </w:tc>
        <w:tc>
          <w:tcPr>
            <w:tcW w:type="dxa" w:w="1440"/>
            <w:shd w:fill="FAFAFA" w:val="clear"/>
          </w:tcPr>
          <w:p>
            <w:r>
              <w:rPr>
                <w:b/>
                <w:sz w:val="17"/>
              </w:rPr>
              <w:t>3,297</w:t>
            </w:r>
          </w:p>
        </w:tc>
        <w:tc>
          <w:tcPr>
            <w:tcW w:type="dxa" w:w="1440"/>
            <w:shd w:fill="FAFAFA" w:val="clear"/>
          </w:tcPr>
          <w:p>
            <w:r>
              <w:rPr>
                <w:sz w:val="17"/>
              </w:rPr>
              <w:t>3,552</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ORGT (ORAGROUP)</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228,72 milliards FCFA, ORGT se positionne parmi les valeurs bancaires de premier plan de la cote BRVM, offrant une liquidité relative appréciable aux investisseurs institutionnels. Le BPA de 312 FCFA/action signifie que chaque titre génère un bénéfice net de 312 FCFA, ce qui, rapporté au cours actuel de 3 295 FCFA, aboutit à un PER de 10,6x — un niveau modéré et parfaitement dans la fourchette moyenne du marché BRVM (8-12x), traduisant une valorisation raisonnable sans prime excessive. Le P/B de 2,02x indique que le marché valorise la banque à environ deux fois sa valeur comptable, une prime de croissance modérée qui reste justifiée par un ROE de 19,1%. En revanche, l'EV/EBITDA de 20,3x apparaît très exigeant (&gt;15x), signalant que la valeur d'entreprise intègre déjà une anticipation de forte amélioration opérationnelle — un niveau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de +1,38%, identique à la variation de la dernière séance (J-1), ce qui traduit une progression concentrée sur la toute fin de période après une longue phase de consolidation. Le cours actuel de 3 295 FCFA se situe dans la partie haute du range de trading, le plus haut ayant atteint 3 475 FCFA et le plus bas 2 435 FCFA — soit un écart de plus de 1 000 FCFA qui témoigne d'une amplitude significative. La tendance générale est haussière sur la période, portée par le redressement fondamental du groupe, mais le volume moyen de 5 444 titres/jour reste modeste, ce qui peut limiter la liquidité pour les gros ordres. Les statistiques descriptives révèlent une moyenne de 2 910 FCFA supérieure à la médiane de 2 780 FCFA, indiquant une distribution légèrement tirée vers le haut par les récents sommets, tandis que le mode à 2 680 FCFA suggère que le prix le plus fréquemment traité se situe en dessous de ces niveaux. L'écart-type de 269 FCFA (CV de 9,2%) traduit une dispersion modérée du cours autour de sa moyenne, et le kurtosis négatif (-1,339, distribution platykurtique) indique une faible concentration des rendements avec un risque de pics limité — un profil rassurant pour la gestion du risque. Le skewness de 0,281 confirme une distribution quasi-symétrique avec une très légère asymétrie positive, sans biais directionnel marqué. Enfin, la volatilité annualisée de 43,0% classe ORGT dans la catégorie des titres à volatilité élevée (&gt;30%), ce qui implique un risque de marché non négligeable et justifie une approche prudente en termes de taille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3 236 FCFA et la MM50 à 3 027 FCFA, toutes deux inférieures au cours actuel de 3 295 FCFA. Cette configuration haussière (cours &gt; MM20 &gt; MM50) confirme une dynamique positive de court et moyen terme, avec un croisement des moyennes en faveur des acheteurs. La décision technique qui en résulte est logiquement **Achat**, le titre évoluant au-dessus de ses supports mobiles.</w:t>
      </w:r>
    </w:p>
    <w:p>
      <w:pPr>
        <w:spacing w:after="120" w:line="276" w:lineRule="auto"/>
      </w:pPr>
      <w:r>
        <w:t>**Bandes de Bollinger** — Le cours actuel (3 295 FCFA) se situe à l'intérieur des bandes, entre la borne inférieure (3 080 FCFA) et la borne supérieure (3 392 FCFA), mais plus proche de cette dernière. Cette position médiane-haute indique une absence de signal extrême, ni suracheté ni survendu, avec une volatilité contenue dans les bandes. La décision qui en découle est **Neutre**, le marché attendant un catalyseur pour franchir la résistance des 3 392 FCFA.</w:t>
      </w:r>
    </w:p>
    <w:p>
      <w:pPr>
        <w:spacing w:after="120" w:line="276" w:lineRule="auto"/>
      </w:pPr>
      <w:r>
        <w:t>**MACD** — La valeur du MACD (65,168) est inférieure à sa ligne de signal (78,531), générant un croisement baissier qui traduit un essoufflement du momentum haussier. Bien que le MACD reste en territoire positif, cette divergence négative suggère une perte de vitesse de la tendance. La décision technique est donc **Vente** à court terme, en anticipation d'une correction ou d'une consolidation.</w:t>
      </w:r>
    </w:p>
    <w:p>
      <w:pPr>
        <w:spacing w:after="120" w:line="276" w:lineRule="auto"/>
      </w:pPr>
      <w:r>
        <w:t>**RSI** — À 62,281, le RSI se situe en zone neutre-haute (entre 30 et 70), sans atteindre le seuil de surachat (70). Cette valeur indique que le titre conserve un potentiel de hausse résiduel mais approche de zones où la prudence devient nécessaire. La décision est **Neutre**, le RSI ne fournissant pas de signal directionnel fort.</w:t>
      </w:r>
    </w:p>
    <w:p>
      <w:pPr>
        <w:spacing w:after="120" w:line="276" w:lineRule="auto"/>
      </w:pPr>
      <w:r>
        <w:t>**Stochastique** — Le %K (55,319) est supérieur au %D (41,569), ce qui constitue un croisement haussier récent. Cependant, les deux lignes évoluent en zone médiane, sans signal de surachat ou de survente. La décision qui en résulte est **Neutre**, le stochastique n'apportant pas de confirmation claire à la tendance.</w:t>
      </w:r>
    </w:p>
    <w:p>
      <w:pPr>
        <w:spacing w:after="120" w:line="276" w:lineRule="auto"/>
      </w:pPr>
      <w:r>
        <w:t>**Conclusion technique** — Les indicateurs techniques présentent un tableau mitigé : les moyennes mobiles confirment une tendance haussière de fond, mais le MACD signale un essoufflement du momentum et les autres oscillateurs (RSI, stochastique, Bollinger) restent neutres. Cette divergence entre tendance de fond et momentum court terme suggère une phase de consolidation probable avant une nouvelle impulsion directionnelle. La prudence est de mise à court terme, en attendant une confirmation par le franchissement de la résistance des 3 392 FCFA ou un retournement du MACD.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 enregistré un Produit Net Bancaire (PNB) de 186,609 milliards FCFA, en recul de -4,52% par rapport à 2024, reflétant une contraction volontaire de l'activité de crédit (-12% du portefeuille) dans le cadre d'une stratégie de sélectivité accrue. Le résultat net consolidé s'établit à 21,643 milliards FCFA, marquant un redressement spectaculaire après la perte de -44,363 milliards FCFA en 2024, soit une amélioration de +149%. Cette performance est portée par une réduction drastique du coût net du risque (-90%, à -6,971 milliards FCFA) et une baisse des frais généraux de -12%. Les ratios de rentabilité sont solides : ROE de 19,13% (&gt;15% = excellent) et ROA de 0,54%, tandis que le coefficient d'exploitation de 42,85% (&lt;60%) confirme l'efficacité opérationnelle de la banque. Le ratio dépôts/crédits s'établit à 3 088,698/1 523,765 = 2,03x, traduisant une surliquidité et une sous-utilisation des dépôts pour le crédit — un levier de croissance future. Le coût du risque/charges financières de 3,74% reste modéré mais à surveiller.</w:t>
      </w:r>
    </w:p>
    <w:p>
      <w:pPr>
        <w:spacing w:after="120" w:line="276" w:lineRule="auto"/>
      </w:pPr>
      <w:r>
        <w:t>**Adaptation au secteur bancaire** — La structure bilancielle est solide : les dépôts clientèle (3 088,698 Mds FCFA) couvrent largement les créances clientèle (1 523,765 Mds FCFA), et les capitaux propres se renforcent à 113,165 Mds FCFA (+17%). Cependant, l'autonomie financière de 2,82% (capitaux propres/total bilan) est faible, typique du modèle bancaire, et le ratio d'endettement de 444,94% reflète l'effet de levier inhérent au secteur. La solvabilité générale (102,90%) reste juste au-dessus du seuil critique de 1.</w:t>
      </w:r>
    </w:p>
    <w:p>
      <w:pPr>
        <w:spacing w:after="120" w:line="276" w:lineRule="auto"/>
      </w:pPr>
      <w:r>
        <w:t>**Estimations basées sur les rapports trimestriels** — Sur la base du rapport T1 2026 (publié en 2026), le PNB s'établit à 50,124 milliards FCFA (-2% sur un an) et le résultat net progresse de +37% à 6,555 milliards FCFA, confirmant la poursuite de la dynamique de redressement. Les dépôts clientèle augmentent de +14% à 3 343 milliards FCFA, tandis que les crédits nets reculent de -12%. On estime donc que l'exercice 2026 devrait consolider le retour à la rentabilité avec un résultat net annuel projeté entre 25 et 28 milliards FCFA, porté par la maîtrise des coûts et l'amélioration continue du coût du risque. Le rapport T3 2025 (daté du 30/09/2025) confirmait déjà cette tendance avec un résultat net de 19,6 milliards FCFA (+248%) et une baisse de -74% du coût du risque.</w:t>
      </w:r>
    </w:p>
    <w:p>
      <w:pPr>
        <w:spacing w:after="120" w:line="276" w:lineRule="auto"/>
      </w:pPr>
      <w:r>
        <w:t>**Évolution pluriannuelle** — L'évolution 2024-2025 est remarquable : passage d'une perte de -44,4 Mds FCFA à un bénéfice de 21,6 Mds FCFA, avec des capitaux propres renforcés de +17%. Le rapport S1 2025 (daté du 30/06/2025) soulignait déjà un bénéfice net de 18,3 Mds FCFA contre une perte de -13,9 Mds FCFA un an plus tôt.</w:t>
      </w:r>
    </w:p>
    <w:p>
      <w:pPr>
        <w:spacing w:after="120" w:line="276" w:lineRule="auto"/>
      </w:pPr>
      <w:r>
        <w:t>**Recommandation fondamentale** — La solidité financière est en nette amélioration, portée par une gestion rigoureuse des coûts et des risques. Les risques principaux résident dans la baisse du PNB (-4,5%) et la dépendance à la poursuite de la baisse du coût du risque. La recommandation fondamentale est **CONSERVER**, avec un biais positif à moyen terme si la relance commerciale se confirme.</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apparaît raisonnable avec un PER de 10,6x dans la moyenne du marché, mais l'EV/EBITDA de 20,3x signale une anticipation optimiste déjà intégrée dans les cours. Le comportement du cours (Partie 1) est haussier sur 100 jours (+1,38%) avec une volatilité élevée (43%) et une distribution platykurtique (kurtosis -1,339) qui limite le risque de pics extrêmes, mais la faible liquidité (5 444 titres/jour) reste un point de vigilance. Les signaux techniques (Partie 2) sont mitigés : tendance de fond haussière (MM20 &gt; MM50) mais momentum essoufflé (MACD baissier), avec des oscillateurs neutres — suggérant une consolidation avant une nouvelle impulsion. Les fondamentaux (Partie 3) sont en nette amélioration : retour à la rentabilité en 2025 (RN de 21,6 Mds FCFA), ROE de 19,1%, coefficient d'exploitation de 42,85%, et confirmation de la dynamique au T1 2026 (RN +37%). Les prédictions IA (J+1 à J+10) tablent sur une légère hausse vers 3 287 FCFA, en ligne avec la tendance de fond mais sans rupture majeure.</w:t>
      </w:r>
    </w:p>
    <w:p>
      <w:pPr>
        <w:spacing w:after="120" w:line="276" w:lineRule="auto"/>
      </w:pPr>
      <w:r>
        <w:t>**Recommandation finale** — **CONSERVER** avec un biais positif. La convergence entre le redressement fondamental (ROE 19,1%, RN en hausse de +149%) et la tendance technique de fond (cours &gt; MM20 &gt; MM50) soutient une perspective favorable à moyen terme. Cependant, la divergence du MACD (signal de vente) et la valorisation exigeante (EV/EBITDA 20,3x) incitent à la prudence à court terme. Les prédictions IA confirment une trajectoire stable sans accélération imminente.</w:t>
      </w:r>
    </w:p>
    <w:p>
      <w:pPr>
        <w:spacing w:after="120" w:line="276" w:lineRule="auto"/>
      </w:pPr>
      <w:r>
        <w:t>- **Niveau de confiance** : Moyen (les fondamentaux sont solides mais le momentum technique est incertain)</w:t>
        <w:br/>
        <w:t>- **Niveau de risque global** : Moyen à Élevé (volatilité annualisée de 43%, liquidité modérée, dépendance à la baisse du coût du risque)</w:t>
        <w:br/>
        <w:t>- **Horizon d'investissement optimal** : Moyen terme (3-12 mois), en attendant la confirmation de la relance du PNB et la concrétisation des gains d'efficacité opérationnelle.</w:t>
      </w:r>
    </w:p>
    <w:p>
      <w:pPr>
        <w:spacing w:after="120" w:line="276" w:lineRule="auto"/>
      </w:pPr>
      <w:r>
        <w:t>---</w:t>
      </w:r>
    </w:p>
    <w:p>
      <w:pPr>
        <w:spacing w:after="120" w:line="276" w:lineRule="auto"/>
      </w:pPr>
      <w:r>
        <w:t>*Rapport généré sur la base des données officielles BRVM, des états financiers 2025 et des rapports trimestriels disponibles (T1 2025, S1 2025, T3 2025, T1 2026). Les estimations sont clairement distinguées des données réelles.*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131.40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3,874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+6.38%</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6.57% (Moyenne) — μ=8,557 FCFA, σ=562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β=-0.3087 (Contre-cyclique) — Cov=-0.000011, Var(idx)=0.000035, ρ=-0.077,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3,874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8,269</w:t>
            </w:r>
          </w:p>
        </w:tc>
        <w:tc>
          <w:tcPr>
            <w:tcW w:type="dxa" w:w="1440"/>
            <w:shd w:fill="FAFAFA" w:val="clear"/>
          </w:tcPr>
          <w:p>
            <w:r>
              <w:rPr>
                <w:b/>
                <w:sz w:val="17"/>
              </w:rPr>
              <w:t>8,515</w:t>
            </w:r>
          </w:p>
        </w:tc>
        <w:tc>
          <w:tcPr>
            <w:tcW w:type="dxa" w:w="1440"/>
            <w:shd w:fill="FAFAFA" w:val="clear"/>
          </w:tcPr>
          <w:p>
            <w:r>
              <w:rPr>
                <w:sz w:val="17"/>
              </w:rPr>
              <w:t>8,761</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8,146</w:t>
            </w:r>
          </w:p>
        </w:tc>
        <w:tc>
          <w:tcPr>
            <w:tcW w:type="dxa" w:w="1440"/>
            <w:shd w:fill="FAFAFA" w:val="clear"/>
          </w:tcPr>
          <w:p>
            <w:r>
              <w:rPr>
                <w:b/>
                <w:sz w:val="17"/>
              </w:rPr>
              <w:t>8,492</w:t>
            </w:r>
          </w:p>
        </w:tc>
        <w:tc>
          <w:tcPr>
            <w:tcW w:type="dxa" w:w="1440"/>
            <w:shd w:fill="FAFAFA" w:val="clear"/>
          </w:tcPr>
          <w:p>
            <w:r>
              <w:rPr>
                <w:sz w:val="17"/>
              </w:rPr>
              <w:t>8,839</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8,051</w:t>
            </w:r>
          </w:p>
        </w:tc>
        <w:tc>
          <w:tcPr>
            <w:tcW w:type="dxa" w:w="1440"/>
            <w:shd w:fill="FAFAFA" w:val="clear"/>
          </w:tcPr>
          <w:p>
            <w:r>
              <w:rPr>
                <w:b/>
                <w:sz w:val="17"/>
              </w:rPr>
              <w:t>8,475</w:t>
            </w:r>
          </w:p>
        </w:tc>
        <w:tc>
          <w:tcPr>
            <w:tcW w:type="dxa" w:w="1440"/>
            <w:shd w:fill="FAFAFA" w:val="clear"/>
          </w:tcPr>
          <w:p>
            <w:r>
              <w:rPr>
                <w:sz w:val="17"/>
              </w:rPr>
              <w:t>8,899</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7,970</w:t>
            </w:r>
          </w:p>
        </w:tc>
        <w:tc>
          <w:tcPr>
            <w:tcW w:type="dxa" w:w="1440"/>
            <w:shd w:fill="FAFAFA" w:val="clear"/>
          </w:tcPr>
          <w:p>
            <w:r>
              <w:rPr>
                <w:b/>
                <w:sz w:val="17"/>
              </w:rPr>
              <w:t>8,459</w:t>
            </w:r>
          </w:p>
        </w:tc>
        <w:tc>
          <w:tcPr>
            <w:tcW w:type="dxa" w:w="1440"/>
            <w:shd w:fill="FAFAFA" w:val="clear"/>
          </w:tcPr>
          <w:p>
            <w:r>
              <w:rPr>
                <w:sz w:val="17"/>
              </w:rPr>
              <w:t>8,947</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2026-09-24</w:t>
            </w:r>
          </w:p>
        </w:tc>
        <w:tc>
          <w:tcPr>
            <w:tcW w:type="dxa" w:w="1440"/>
            <w:shd w:fill="FAFAFA" w:val="clear"/>
          </w:tcPr>
          <w:p>
            <w:r>
              <w:rPr>
                <w:sz w:val="17"/>
              </w:rPr>
              <w:t>7,898</w:t>
            </w:r>
          </w:p>
        </w:tc>
        <w:tc>
          <w:tcPr>
            <w:tcW w:type="dxa" w:w="1440"/>
            <w:shd w:fill="FAFAFA" w:val="clear"/>
          </w:tcPr>
          <w:p>
            <w:r>
              <w:rPr>
                <w:b/>
                <w:sz w:val="17"/>
              </w:rPr>
              <w:t>8,443</w:t>
            </w:r>
          </w:p>
        </w:tc>
        <w:tc>
          <w:tcPr>
            <w:tcW w:type="dxa" w:w="1440"/>
            <w:shd w:fill="FAFAFA" w:val="clear"/>
          </w:tcPr>
          <w:p>
            <w:r>
              <w:rPr>
                <w:sz w:val="17"/>
              </w:rPr>
              <w:t>8,988</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2026-09-25</w:t>
            </w:r>
          </w:p>
        </w:tc>
        <w:tc>
          <w:tcPr>
            <w:tcW w:type="dxa" w:w="1440"/>
            <w:shd w:fill="FAFAFA" w:val="clear"/>
          </w:tcPr>
          <w:p>
            <w:r>
              <w:rPr>
                <w:sz w:val="17"/>
              </w:rPr>
              <w:t>7,832</w:t>
            </w:r>
          </w:p>
        </w:tc>
        <w:tc>
          <w:tcPr>
            <w:tcW w:type="dxa" w:w="1440"/>
            <w:shd w:fill="FAFAFA" w:val="clear"/>
          </w:tcPr>
          <w:p>
            <w:r>
              <w:rPr>
                <w:b/>
                <w:sz w:val="17"/>
              </w:rPr>
              <w:t>8,428</w:t>
            </w:r>
          </w:p>
        </w:tc>
        <w:tc>
          <w:tcPr>
            <w:tcW w:type="dxa" w:w="1440"/>
            <w:shd w:fill="FAFAFA" w:val="clear"/>
          </w:tcPr>
          <w:p>
            <w:r>
              <w:rPr>
                <w:sz w:val="17"/>
              </w:rPr>
              <w:t>9,024</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2026-09-28</w:t>
            </w:r>
          </w:p>
        </w:tc>
        <w:tc>
          <w:tcPr>
            <w:tcW w:type="dxa" w:w="1440"/>
            <w:shd w:fill="FAFAFA" w:val="clear"/>
          </w:tcPr>
          <w:p>
            <w:r>
              <w:rPr>
                <w:sz w:val="17"/>
              </w:rPr>
              <w:t>7,770</w:t>
            </w:r>
          </w:p>
        </w:tc>
        <w:tc>
          <w:tcPr>
            <w:tcW w:type="dxa" w:w="1440"/>
            <w:shd w:fill="FAFAFA" w:val="clear"/>
          </w:tcPr>
          <w:p>
            <w:r>
              <w:rPr>
                <w:b/>
                <w:sz w:val="17"/>
              </w:rPr>
              <w:t>8,413</w:t>
            </w:r>
          </w:p>
        </w:tc>
        <w:tc>
          <w:tcPr>
            <w:tcW w:type="dxa" w:w="1440"/>
            <w:shd w:fill="FAFAFA" w:val="clear"/>
          </w:tcPr>
          <w:p>
            <w:r>
              <w:rPr>
                <w:sz w:val="17"/>
              </w:rPr>
              <w:t>9,055</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2026-09-29</w:t>
            </w:r>
          </w:p>
        </w:tc>
        <w:tc>
          <w:tcPr>
            <w:tcW w:type="dxa" w:w="1440"/>
            <w:shd w:fill="FAFAFA" w:val="clear"/>
          </w:tcPr>
          <w:p>
            <w:r>
              <w:rPr>
                <w:sz w:val="17"/>
              </w:rPr>
              <w:t>7,712</w:t>
            </w:r>
          </w:p>
        </w:tc>
        <w:tc>
          <w:tcPr>
            <w:tcW w:type="dxa" w:w="1440"/>
            <w:shd w:fill="FAFAFA" w:val="clear"/>
          </w:tcPr>
          <w:p>
            <w:r>
              <w:rPr>
                <w:b/>
                <w:sz w:val="17"/>
              </w:rPr>
              <w:t>8,398</w:t>
            </w:r>
          </w:p>
        </w:tc>
        <w:tc>
          <w:tcPr>
            <w:tcW w:type="dxa" w:w="1440"/>
            <w:shd w:fill="FAFAFA" w:val="clear"/>
          </w:tcPr>
          <w:p>
            <w:r>
              <w:rPr>
                <w:sz w:val="17"/>
              </w:rPr>
              <w:t>9,084</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2026-09-30</w:t>
            </w:r>
          </w:p>
        </w:tc>
        <w:tc>
          <w:tcPr>
            <w:tcW w:type="dxa" w:w="1440"/>
            <w:shd w:fill="FAFAFA" w:val="clear"/>
          </w:tcPr>
          <w:p>
            <w:r>
              <w:rPr>
                <w:sz w:val="17"/>
              </w:rPr>
              <w:t>7,657</w:t>
            </w:r>
          </w:p>
        </w:tc>
        <w:tc>
          <w:tcPr>
            <w:tcW w:type="dxa" w:w="1440"/>
            <w:shd w:fill="FAFAFA" w:val="clear"/>
          </w:tcPr>
          <w:p>
            <w:r>
              <w:rPr>
                <w:b/>
                <w:sz w:val="17"/>
              </w:rPr>
              <w:t>8,383</w:t>
            </w:r>
          </w:p>
        </w:tc>
        <w:tc>
          <w:tcPr>
            <w:tcW w:type="dxa" w:w="1440"/>
            <w:shd w:fill="FAFAFA" w:val="clear"/>
          </w:tcPr>
          <w:p>
            <w:r>
              <w:rPr>
                <w:sz w:val="17"/>
              </w:rPr>
              <w:t>9,109</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2026-10-01</w:t>
            </w:r>
          </w:p>
        </w:tc>
        <w:tc>
          <w:tcPr>
            <w:tcW w:type="dxa" w:w="1440"/>
            <w:shd w:fill="FAFAFA" w:val="clear"/>
          </w:tcPr>
          <w:p>
            <w:r>
              <w:rPr>
                <w:sz w:val="17"/>
              </w:rPr>
              <w:t>7,605</w:t>
            </w:r>
          </w:p>
        </w:tc>
        <w:tc>
          <w:tcPr>
            <w:tcW w:type="dxa" w:w="1440"/>
            <w:shd w:fill="FAFAFA" w:val="clear"/>
          </w:tcPr>
          <w:p>
            <w:r>
              <w:rPr>
                <w:b/>
                <w:sz w:val="17"/>
              </w:rPr>
              <w:t>8,369</w:t>
            </w:r>
          </w:p>
        </w:tc>
        <w:tc>
          <w:tcPr>
            <w:tcW w:type="dxa" w:w="1440"/>
            <w:shd w:fill="FAFAFA" w:val="clear"/>
          </w:tcPr>
          <w:p>
            <w:r>
              <w:rPr>
                <w:sz w:val="17"/>
              </w:rPr>
              <w:t>9,133</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131,40 milliards FCFA, PALC s'impose comme une valeur de premier plan de la cote BRVM, représentant un acteur agro-industriel majeur de la zone UEMOA. Le BPA de 1 003 FCFA/action signifie que chaque titre génère environ 1 003 FCFA de bénéfice net, ce qui, rapporté au cours actuel de 8 500 FCFA, offre un rendement bénéficiaire implicite de près de 11,8 %. Le PER de 8,5x se situe dans la fourchette basse de la moyenne BRVM (8-12x), suggérant que le marché ne paie pas cher pour les bénéfices actuels, voire sous-évalue le titre. Le ratio P/B de 0,92x est particulièrement notable : il indique que le marché valorise PALC en dessous de sa valeur comptable (capitaux propres de 142,6 milliards FCFA pour une capitalisation de 131,4 milliards), ce qui constitue historiquement une zone d'opportunité potentielle. Enfin, l'EV/EBITDA de 4,1x, très inférieur au seuil de 5x, traduit une valorisation d'entreprise très bon marché au regard de sa capacité opérationnelle à générer de l'EBE (33,0 milliards FCFA en 2025), renforçant la thèse d'une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progression totale de +6,38 %, malgré un repli de -1,16 % lors de la dernière séance (J-1), le cours s'établissant à 8 500 FCFA. Le range de trading a été significatif, avec un plus haut à 9 640 FCFA et un plus bas à 7 000 FCFA, soit une amplitude de 37,7 % qui traduit une réelle nervosité du marché. La tendance générale reste haussière sur la période, mais le repli récent suggère une consolidation après le pic de 9 640 FCFA. Les statistiques descriptives révèlent une moyenne de 8 557 FCFA légèrement supérieure à la médiane de 8 690 FCFA — écart qui, combiné à un skewness de -0,463, indique une distribution légèrement asymétrique à gauche, avec quelques séances de forte baisse tirant la moyenne vers le bas. L'écart-type de 565 FCFA (CV = 6,6 %) traduit une dispersion modérée du cours autour de sa moyenne, tandis que le kurtosis de -0,349 (mésokurtique) suggère une distribution proche de la normale, sans risque excessif de pics extrêmes. La volatilité annualisée de 37,7 % classe PALC dans la catégorie des titres à volatilité élevée (&gt;30 %), ce qui implique un risque de marché non négligeable et justifie une approche prudente en termes de timing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(8 950,5 FCFA) et la MM50 (8 923,6 FCFA) se situent toutes deux au-dessus du cours actuel (8 500 FCFA), ce qui place le titre en position baissière à court terme par rapport à ses moyennes. Cependant, la proximité des deux moyennes (écart de seulement 27 FCFA) et leur croisement récent suggèrent une phase de stabilisation. La décision technique fournie est « Achat », probablement liée au potentiel de rebond technique vers ces moyennes, mais la prudence reste de mise tant que le cours ne les recasse pas à la hausse.</w:t>
      </w:r>
    </w:p>
    <w:p>
      <w:pPr>
        <w:spacing w:after="120" w:line="276" w:lineRule="auto"/>
      </w:pPr>
      <w:r>
        <w:t>**Bandes de Bollinger** : Le cours actuel (8 500 FCFA) se situe dans la partie basse de la bande de Bollinger, entre la borne inférieure (8 054,9 FCFA) et la borne supérieure (9 846,1 FCFA). Cette position proche de la borne basse indique une pression vendeuse récente, mais aussi un potentiel de rebond technique. La largeur des bandes (1 791 FCFA) reflète une volatilité encore présente. La décision « Neutre » est cohérente avec cette configuration : le titre n'est ni en surachat ni en survente extrême, et attend un catalyseur pour choisir sa direction.</w:t>
      </w:r>
    </w:p>
    <w:p>
      <w:pPr>
        <w:spacing w:after="120" w:line="276" w:lineRule="auto"/>
      </w:pPr>
      <w:r>
        <w:t>**MACD** : La valeur du MACD (-163,4) est inférieure à son signal (-106,3), confirmant une dynamique baissière à court terme. L'histogramme négatif indique que le momentum reste défavorable, et la décision « Vente » est justifiée par cette configuration. Toutefois, l'écart entre MACD et signal se réduit, ce qui pourrait annoncer un croisement haussier prochain si le cours se stabilise.</w:t>
      </w:r>
    </w:p>
    <w:p>
      <w:pPr>
        <w:spacing w:after="120" w:line="276" w:lineRule="auto"/>
      </w:pPr>
      <w:r>
        <w:t>**RSI** : Avec une valeur de 25,9, le RSI se situe en zone de survente (&lt;30), ce qui est un signal d'achat technique classique. Cette configuration indique que le titre a été excessivement vendu à court terme et qu'un rebond est probable. La décision « Achat » est donc cohérente, mais elle doit être confirmée par d'autres indicateurs pour éviter un piège baissier.</w:t>
      </w:r>
    </w:p>
    <w:p>
      <w:pPr>
        <w:spacing w:after="120" w:line="276" w:lineRule="auto"/>
      </w:pPr>
      <w:r>
        <w:t>**Stochastique** : Le %K (18,3) est inférieur au %D (24,3), et les deux se situent en zone de survente (&lt;20 pour le %K). Cette configuration est généralement interprétée comme un signal d'achat potentiel, surtout si un croisement haussier du %K au-dessus du %D se produit. La décision « Achat » est justifiée, mais le croisement n'est pas encore effectif, ce qui invite à la patience.</w:t>
      </w:r>
    </w:p>
    <w:p>
      <w:pPr>
        <w:spacing w:after="120" w:line="276" w:lineRule="auto"/>
      </w:pPr>
      <w:r>
        <w:t>**Conclusion technique** : Les indicateurs techniques présentent un tableau mitigé. Les signaux de survente (RSI à 25,9, Stochastique en zone basse) plaident pour un rebond à court terme, mais le MACD baissier et la position du cours sous les moyennes mobiles tempèrent cet optimisme. La convergence des signaux d'achat (RSI, Stochastique, MM) face à la pression baissière du MACD suggère une phase de consolidation, avec un potentiel de rebond technique vers 8 900-9 000 FCFA si le support de 8 500 FCFA tient. Une cassure sous 8 054 FCFA (borne inférieure de Bollinger) invaliderait ce scénario.</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PALC a réalisé un chiffre d'affaires de 197,63 milliards FCFA, en croissance de +14,8 % par rapport à 2024 (172,2 milliards FCFA), portée par la hausse des volumes et des prix de l'huile de palme. Le résultat net s'établit à 15,51 milliards FCFA, en léger repli de -2,2 % vs 2024 (15,9 milliards), avec une marge nette de 7,85 % (contre 9,2 % en 2024). Le ROE de 10,87 % et le ROA de 7,79 % restent corrects mais en deçà du seuil d'excellence de 15 % pour le ROE, reflétant une rentabilité sous pression. La structure financière est très solide : autonomie financière de 71,6 %, endettement quasi nul (dettes financières de 796,6 millions FCFA seulement), et liquidité générale de 172 %. Cependant, le BFR de 44,6 milliards FCFA et le délai client de 142,6 jours constituent un point de vigilance majeur : ce délai élevé immobilise de la trésorerie et expose l'entreprise à un risque de recouvrement, même si la trésorerie nette reste négative à -4,56 milliards FCFA. La rotation des actifs de 99,3 % et la marge brute de 31,7 % témoignent d'une bonne efficacité opérationnelle, mais la pression sur les coûts (charges de personnel +4 %, services extérieurs +30,3 %) érode les marges.</w:t>
      </w:r>
    </w:p>
    <w:p>
      <w:pPr>
        <w:spacing w:after="120" w:line="276" w:lineRule="auto"/>
      </w:pPr>
      <w:r>
        <w:t>**Estimations basées sur les rapports trimestriels** : Le rapport T1 2026 (publié en 2026) fait état d'un chiffre d'affaires en baisse de -27 % à 49,4 milliards FCFA et d'un résultat net en chute de -86 % à 1,6 milliard FCFA, en raison de quantités vendues plus faibles sur le marché local. La direction évoque un « décalage temporel des ventes » et anticipe un redressement avec l'écoulement des stocks à l'export. Sur la base de ce rapport, on estime que l'exercice 2026 pourrait être nettement moins bon que 2025 si le redressement attendu ne se matérialise pas au T2 et T3. À l'inverse, le rapport S1 2025 (publié en 2025) montrait une croissance de +25 % du CA et un résultat net de 22,9 milliards FCFA, confirmant la saisonnalité et la volatilité des performances. Le rapport annuel 2024 (publié en 2024) soulignait déjà les défis concurrentiels (concurrence asiatique subventionnée) et la volatilité des cours. La recommandation fondamentale est donc de **conserver** le titre avec une surveillance active : la solidité financière et la sous-évaluation sont des atouts, mais la dégradation récente des marges et le risque d'exécution au T1 2026 incitent à la prudence. Un investisseur contrarian pourrait voir dans cette survente une opportunité d'entrée à moyen terme, à condition de tolérer une volatilité élevée.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 les ratios PER (8,5x), P/B (0,92x) et EV/EBITDA (4,1x) indiquent une sous-évaluation manifeste, le marché valorisant PALC sous sa valeur comptable et à un multiple de bénéfices inférieur à la moyenne BRVM. **Comportement du cours** : la tendance haussière sur 100 jours (+6,38 %) masque une volatilité élevée (37,7 %) et une distribution légèrement asymétrique à gauche (skewness -0,463), avec un repli récent qui pourrait se poursuivre à court terme. **Signaux techniques** : divergence entre les indicateurs de survente (RSI 25,9, Stochastique) qui plaident pour un rebond, et le MACD baissier qui tempère cet optimisme ; la configuration est celle d'une consolidation avec un support clé à 8 054 FCFA. **Fondamentaux** : la solidité financière (autonomie 71,6 %, endettement quasi nul) et la croissance du CA en 2025 (+14,8 %) sont des atouts, mais la dégradation des marges (marge nette 7,85 %) et le T1 2026 catastrophique (-86 % de résultat net) pèsent sur les perspectives. **Prédictions IA** : la trajectoire prévue (8 515 → 8 443 FCFA sur 10 jours) confirme une légère tendance baissière à court terme, en ligne avec le MACD et la position sous les moyennes mobiles. **Recommandation finale : CONSERVER**. La convergence entre la sous-évaluation fondamentale et les signaux techniques de survente suggère un potentiel de rebond à moyen terme, mais le risque d'exécution à court terme (T1 2026 décevant) et la volatilité élevée incitent à la prudence. Le niveau de confiance est **Moyen**, le risque global **Élevé** (volatilité 37,7 %, dépendance aux cours des matières premières), et l'horizon optimal est le **moyen terme (3-12 mois)**, en attendant la confirmation d'un redressement des ventes et des marges au T2/T3 2026. Un investisseur agressif pourrait initier une position progressive sur support de 8 500 FCFA avec un stop-loss sous 8 050 FCFA, tandis qu'un investisseur conservateur attendra des signaux techniques plus clairs (croisement MACD haussier, cassure des MM20/MM50).</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1,147 titres</w:t>
            </w:r>
          </w:p>
        </w:tc>
        <w:tc>
          <w:tcPr>
            <w:tcW w:type="dxa" w:w="2268"/>
            <w:shd w:fill="FFF2CC" w:val="clear"/>
          </w:tcPr>
          <w:p>
            <w:r>
              <w:rPr>
                <w:b/>
                <w:color w:val="503200"/>
                <w:sz w:val="16"/>
              </w:rPr>
              <w:t xml:space="preserve">Cours actuel : </w:t>
            </w:r>
            <w:r>
              <w:rPr>
                <w:color w:val="000000"/>
                <w:sz w:val="17"/>
              </w:rPr>
              <w:t>4,480 FCFA</w:t>
            </w:r>
          </w:p>
          <w:p>
            <w:r>
              <w:rPr>
                <w:b/>
                <w:color w:val="503200"/>
                <w:sz w:val="16"/>
              </w:rPr>
              <w:t xml:space="preserve">Var. 100 jours : </w:t>
            </w:r>
            <w:r>
              <w:rPr>
                <w:b/>
                <w:color w:val="B40000"/>
                <w:sz w:val="17"/>
              </w:rPr>
              <w:t>-6.67%</w:t>
            </w:r>
          </w:p>
          <w:p>
            <w:r>
              <w:rPr>
                <w:b/>
                <w:color w:val="503200"/>
                <w:sz w:val="16"/>
              </w:rPr>
              <w:t xml:space="preserve">Plus haut 100j : </w:t>
            </w:r>
            <w:r>
              <w:rPr>
                <w:color w:val="000000"/>
                <w:sz w:val="17"/>
              </w:rPr>
              <w:t>4,800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6.50% (Moyenne) — μ=4,373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β=-0.2146 (Contre-cyclique) — Cov=-0.000008, Var(idx)=0.000035, ρ=-0.052,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4,347</w:t>
            </w:r>
          </w:p>
        </w:tc>
        <w:tc>
          <w:tcPr>
            <w:tcW w:type="dxa" w:w="1440"/>
            <w:shd w:fill="FAFAFA" w:val="clear"/>
          </w:tcPr>
          <w:p>
            <w:r>
              <w:rPr>
                <w:b/>
                <w:sz w:val="17"/>
              </w:rPr>
              <w:t>4,437</w:t>
            </w:r>
          </w:p>
        </w:tc>
        <w:tc>
          <w:tcPr>
            <w:tcW w:type="dxa" w:w="1440"/>
            <w:shd w:fill="FAFAFA" w:val="clear"/>
          </w:tcPr>
          <w:p>
            <w:r>
              <w:rPr>
                <w:sz w:val="17"/>
              </w:rPr>
              <w:t>4,527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4,298</w:t>
            </w:r>
          </w:p>
        </w:tc>
        <w:tc>
          <w:tcPr>
            <w:tcW w:type="dxa" w:w="1440"/>
            <w:shd w:fill="FAFAFA" w:val="clear"/>
          </w:tcPr>
          <w:p>
            <w:r>
              <w:rPr>
                <w:b/>
                <w:sz w:val="17"/>
              </w:rPr>
              <w:t>4,425</w:t>
            </w:r>
          </w:p>
        </w:tc>
        <w:tc>
          <w:tcPr>
            <w:tcW w:type="dxa" w:w="1440"/>
            <w:shd w:fill="FAFAFA" w:val="clear"/>
          </w:tcPr>
          <w:p>
            <w:r>
              <w:rPr>
                <w:sz w:val="17"/>
              </w:rPr>
              <w:t>4,552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4,253</w:t>
            </w:r>
          </w:p>
        </w:tc>
        <w:tc>
          <w:tcPr>
            <w:tcW w:type="dxa" w:w="1440"/>
            <w:shd w:fill="FAFAFA" w:val="clear"/>
          </w:tcPr>
          <w:p>
            <w:r>
              <w:rPr>
                <w:b/>
                <w:sz w:val="17"/>
              </w:rPr>
              <w:t>4,408</w:t>
            </w:r>
          </w:p>
        </w:tc>
        <w:tc>
          <w:tcPr>
            <w:tcW w:type="dxa" w:w="1440"/>
            <w:shd w:fill="FAFAFA" w:val="clear"/>
          </w:tcPr>
          <w:p>
            <w:r>
              <w:rPr>
                <w:sz w:val="17"/>
              </w:rPr>
              <w:t>4,562</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4,213</w:t>
            </w:r>
          </w:p>
        </w:tc>
        <w:tc>
          <w:tcPr>
            <w:tcW w:type="dxa" w:w="1440"/>
            <w:shd w:fill="FAFAFA" w:val="clear"/>
          </w:tcPr>
          <w:p>
            <w:r>
              <w:rPr>
                <w:b/>
                <w:sz w:val="17"/>
              </w:rPr>
              <w:t>4,391</w:t>
            </w:r>
          </w:p>
        </w:tc>
        <w:tc>
          <w:tcPr>
            <w:tcW w:type="dxa" w:w="1440"/>
            <w:shd w:fill="FAFAFA" w:val="clear"/>
          </w:tcPr>
          <w:p>
            <w:r>
              <w:rPr>
                <w:sz w:val="17"/>
              </w:rPr>
              <w:t>4,569</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2026-09-24</w:t>
            </w:r>
          </w:p>
        </w:tc>
        <w:tc>
          <w:tcPr>
            <w:tcW w:type="dxa" w:w="1440"/>
            <w:shd w:fill="FFDCE0" w:val="clear"/>
          </w:tcPr>
          <w:p>
            <w:r>
              <w:rPr>
                <w:sz w:val="17"/>
              </w:rPr>
              <w:t>4,178</w:t>
            </w:r>
          </w:p>
        </w:tc>
        <w:tc>
          <w:tcPr>
            <w:tcW w:type="dxa" w:w="1440"/>
            <w:shd w:fill="FFDCE0" w:val="clear"/>
          </w:tcPr>
          <w:p>
            <w:r>
              <w:rPr>
                <w:b/>
                <w:sz w:val="17"/>
              </w:rPr>
              <w:t>4,376</w:t>
            </w:r>
          </w:p>
        </w:tc>
        <w:tc>
          <w:tcPr>
            <w:tcW w:type="dxa" w:w="1440"/>
            <w:shd w:fill="FFDCE0" w:val="clear"/>
          </w:tcPr>
          <w:p>
            <w:r>
              <w:rPr>
                <w:sz w:val="17"/>
              </w:rPr>
              <w:t>4,574</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4,145</w:t>
            </w:r>
          </w:p>
        </w:tc>
        <w:tc>
          <w:tcPr>
            <w:tcW w:type="dxa" w:w="1440"/>
            <w:shd w:fill="FFDCE0" w:val="clear"/>
          </w:tcPr>
          <w:p>
            <w:r>
              <w:rPr>
                <w:b/>
                <w:sz w:val="17"/>
              </w:rPr>
              <w:t>4,362</w:t>
            </w:r>
          </w:p>
        </w:tc>
        <w:tc>
          <w:tcPr>
            <w:tcW w:type="dxa" w:w="1440"/>
            <w:shd w:fill="FFDCE0" w:val="clear"/>
          </w:tcPr>
          <w:p>
            <w:r>
              <w:rPr>
                <w:sz w:val="17"/>
              </w:rPr>
              <w:t>4,578</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4,115</w:t>
            </w:r>
          </w:p>
        </w:tc>
        <w:tc>
          <w:tcPr>
            <w:tcW w:type="dxa" w:w="1440"/>
            <w:shd w:fill="FFDCE0" w:val="clear"/>
          </w:tcPr>
          <w:p>
            <w:r>
              <w:rPr>
                <w:b/>
                <w:sz w:val="17"/>
              </w:rPr>
              <w:t>4,348</w:t>
            </w:r>
          </w:p>
        </w:tc>
        <w:tc>
          <w:tcPr>
            <w:tcW w:type="dxa" w:w="1440"/>
            <w:shd w:fill="FFDCE0" w:val="clear"/>
          </w:tcPr>
          <w:p>
            <w:r>
              <w:rPr>
                <w:sz w:val="17"/>
              </w:rPr>
              <w:t>4,581</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4,086</w:t>
            </w:r>
          </w:p>
        </w:tc>
        <w:tc>
          <w:tcPr>
            <w:tcW w:type="dxa" w:w="1440"/>
            <w:shd w:fill="FFDCE0" w:val="clear"/>
          </w:tcPr>
          <w:p>
            <w:r>
              <w:rPr>
                <w:b/>
                <w:sz w:val="17"/>
              </w:rPr>
              <w:t>4,335</w:t>
            </w:r>
          </w:p>
        </w:tc>
        <w:tc>
          <w:tcPr>
            <w:tcW w:type="dxa" w:w="1440"/>
            <w:shd w:fill="FFDCE0" w:val="clear"/>
          </w:tcPr>
          <w:p>
            <w:r>
              <w:rPr>
                <w:sz w:val="17"/>
              </w:rPr>
              <w:t>4,583</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4,059</w:t>
            </w:r>
          </w:p>
        </w:tc>
        <w:tc>
          <w:tcPr>
            <w:tcW w:type="dxa" w:w="1440"/>
            <w:shd w:fill="FFDCE0" w:val="clear"/>
          </w:tcPr>
          <w:p>
            <w:r>
              <w:rPr>
                <w:b/>
                <w:sz w:val="17"/>
              </w:rPr>
              <w:t>4,322</w:t>
            </w:r>
          </w:p>
        </w:tc>
        <w:tc>
          <w:tcPr>
            <w:tcW w:type="dxa" w:w="1440"/>
            <w:shd w:fill="FFDCE0" w:val="clear"/>
          </w:tcPr>
          <w:p>
            <w:r>
              <w:rPr>
                <w:sz w:val="17"/>
              </w:rPr>
              <w:t>4,585</w:t>
            </w:r>
          </w:p>
        </w:tc>
        <w:tc>
          <w:tcPr>
            <w:tcW w:type="dxa" w:w="1440"/>
            <w:shd w:fill="FFDCE0" w:val="clear"/>
          </w:tcPr>
          <w:p>
            <w:r>
              <w:rPr>
                <w:b/>
                <w:color w:val="C00000"/>
                <w:sz w:val="17"/>
              </w:rPr>
              <w:t>-3.5%</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4,033</w:t>
            </w:r>
          </w:p>
        </w:tc>
        <w:tc>
          <w:tcPr>
            <w:tcW w:type="dxa" w:w="1440"/>
            <w:shd w:fill="FFDCE0" w:val="clear"/>
          </w:tcPr>
          <w:p>
            <w:r>
              <w:rPr>
                <w:b/>
                <w:sz w:val="17"/>
              </w:rPr>
              <w:t>4,309</w:t>
            </w:r>
          </w:p>
        </w:tc>
        <w:tc>
          <w:tcPr>
            <w:tcW w:type="dxa" w:w="1440"/>
            <w:shd w:fill="FFDCE0" w:val="clear"/>
          </w:tcPr>
          <w:p>
            <w:r>
              <w:rPr>
                <w:sz w:val="17"/>
              </w:rPr>
              <w:t>4,586</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45,88 milliards FCFA, PRSC se situe dans la catégorie des valeurs moyennes de la cote BRVM, ce qui traduit une liquidité modérée mais une certaine stabilité institutionnelle. Le BPA de 231 FCFA/action indique que chaque titre génère près de 231 FCFA de bénéfice net, un niveau correct pour une entreprise de distribution automobile. Le PER de 19,4x apparaît nettement supérieur à la moyenne du marché BRVM (estimée entre 8x et 12x), ce qui suggère que les investisseurs paient une prime significative par rapport aux bénéfices actuels, probablement en anticipation d'une reprise de la croissance. Le P/B de 3,98x confirme cette lecture : le marché valorise l'entreprise à près de quatre fois sa valeur comptable, une prime de croissance qui n'est justifiée que si la rentabilité future s'améliore durablement. Enfin, l'EV/EBITDA de 9,9x, situé dans la fourchette raisonnable de 5-10x, indique que la valeur d'entreprise reste cohérente avec la capacité opérationnelle de génération de cash-flow, ce qui nuance le caractère tendu du PER.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de -6,67%, en légère reprise de +0,67% sur la dernière séance (J-1), ce qui traduit une tendance baissière de fond mais avec un rebond technique marginal. Le cours actuel de 4 480 FCFA se situe dans la partie haute du range de trading compris entre 3 620 FCFA (plus bas) et 4 800 FCFA (plus haut), soit une amplitude de près de 33% — signe d'une volatilité intra-période importante. La moyenne de 4 373 FCFA est inférieure à la médiane de 4 442 FCFA, ce qui révèle une distribution légèrement asymétrique avec quelques journées de forte baisse qui tirent la moyenne vers le bas. L'écart-type de 286 FCFA (CV de 6,5%) indique une dispersion modérée autour de la moyenne, mais le kurtosis de 1,029 (leptokurtique) signale des queues épaisses, donc un risque de pics de volatilité brutaux. Le skewness de -1,244 (asymétrie négative) confirme que les journées de hausse ont été plus fréquentes que les journées de baisse, mais que les baisses ont été plus amples — un profil de risque dissymétrique défavorable. Enfin, la volatilité annualisée de 38,6% classe PRSC dans la catégorie des titres à volatilité élevée (&gt;30%), ce qui implique un risque de marché supérieur à la moyenne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(4 441,5 FCFA) et la MM50 (4 458,9 FCFA) encadrent le cours actuel (4 480 FCFA) par le bas, ce qui place le titre légèrement au-dessus de ses moyennes courtes et moyennes. Cependant, la MM20 est inférieure à la MM50, configuration baissière classique (croisement mort récent), ce qui justifie la décision technique de **Vente** malgré la position du cours. Le signal reste donc fragile et dépend d'une confirmation par la cassure de la MM50.</w:t>
      </w:r>
    </w:p>
    <w:p>
      <w:pPr>
        <w:spacing w:after="120" w:line="276" w:lineRule="auto"/>
      </w:pPr>
      <w:r>
        <w:t>**Bandes de Bollinger** : Le cours (4 480 FCFA) évolue dans la partie haute de la bande, entre la borne inférieure (4 323,53 FCFA) et la borne supérieure (4 559,47 FCFA), sans franchir cette dernière. L'amplitude des bandes (236 FCFA) traduit une volatilité contenue à court terme, et la position du cours à environ 66% de la bande suggère une pression acheteuse modérée. La décision **Neutre** est cohérente avec l'absence de signal de surachat ou de survente.</w:t>
      </w:r>
    </w:p>
    <w:p>
      <w:pPr>
        <w:spacing w:after="120" w:line="276" w:lineRule="auto"/>
      </w:pPr>
      <w:r>
        <w:t>**MACD** : La valeur du MACD (-9,587) est supérieure à son signal (-14,864), formant un croisement haussier (MACD au-dessus du signal) bien que les deux restent en territoire négatif. Ce différentiel positif indique un momentum en amélioration et justifie la décision d'**Achat** technique, mais la faiblesse des valeurs absolues suggère un signal de faible intensité, à confirmer par un passage en zone positive.</w:t>
      </w:r>
    </w:p>
    <w:p>
      <w:pPr>
        <w:spacing w:after="120" w:line="276" w:lineRule="auto"/>
      </w:pPr>
      <w:r>
        <w:t>**RSI** : À 49,194, le RSI se situe exactement dans la zone neutre (30-70), sans signal de surachat ni de survente. Cette valeur médiane traduit un équilibre entre acheteurs et vendeurs, et la décision **Neutre** est parfaitement justifiée. Un franchissement durable au-dessus de 55 ou en dessous de 45 serait nécessaire pour dégager une tendance directionnelle.</w:t>
      </w:r>
    </w:p>
    <w:p>
      <w:pPr>
        <w:spacing w:after="120" w:line="276" w:lineRule="auto"/>
      </w:pPr>
      <w:r>
        <w:t>**Stochastique** : Le %K (89,655) est nettement supérieur au %D (64,839), et les deux se situent en zone de surachat (&gt;80 pour le %K). Cette configuration signale une pression acheteuse à court terme mais aussi un risque imminent de correction, ce qui justifie la décision de **Vente**. Le croisement %K/%D en zone haute est un signal classique de retournement baissier à court terme.</w:t>
      </w:r>
    </w:p>
    <w:p>
      <w:pPr>
        <w:spacing w:after="120" w:line="276" w:lineRule="auto"/>
      </w:pPr>
      <w:r>
        <w:t>**Conclusion technique** : Les indicateurs sont divergents — le MACD donne un signal d'achat, les Bandes de Bollinger et le RSI sont neutres, tandis que les Moyennes Mobiles et le Stochastique recommandent la vente. Cette divergence reflète un marché sans tendance claire, avec un biais baissier à court terme (stochastique en surachat, MM20 &lt; MM50) mais un potentiel de rebond (MACD haussier). La prudence est de mise, et la confirmation d'un signal directionnel nécessitera une cassure soit de la MM50 à la hausse, soit de la borne inférieure des Bollinger à la baisse.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PRSC a réalisé un chiffre d'affaires de 81,127 milliards FCFA, en croissance de 8,64% par rapport à 2024, confirmant la dynamique commerciale positive observée depuis 2021 (croissance moyenne annuelle de +10,5% entre 2021 et 2023). Le résultat net s'établit à 2,367 milliards FCFA, en légère hausse par rapport aux 2,35 milliards de 2024, mais très en dessous des 3,64 milliards de 2022 — la marge nette reste faible à 2,92%, bien qu'en amélioration par rapport aux 2,63% de 2023. Le ROE de 20,53% est excellent (&gt;15%), porté par des capitaux propres de 11,531 milliards FCFA, mais le ROA de 4,95% reste modeste, reflétant la faible rotation des actifs (169,6%) et la lourdeur du bilan (47,836 milliards FCFA). La structure financière est tendue : l'autonomie financière de 24,1% est inférieure au seuil de 30% considéré comme sain, et le ratio d'endettement de 314,86% (dettes totales/capitaux propres) est élevé, bien que la solvabilité générale (131,76%) reste supérieure à 1. Le BFR de 11,267 milliards FCFA est positif (défavorable pour une entreprise de distribution), avec un délai client de 45,99 jours (risque de trésorerie modéré) et une durée de stockage de 150,51 jours (immobilisation de capital importante). La trésorerie nette est négative à -4,092 milliards FCFA, et le Free Cash Flow de -2,616 milliards FCFA traduit une consommation de cash préoccupante.</w:t>
      </w:r>
    </w:p>
    <w:p>
      <w:pPr>
        <w:spacing w:after="120" w:line="276" w:lineRule="auto"/>
      </w:pPr>
      <w:r>
        <w:t>**Estimations basées sur les rapports trimestriels** : Le rapport d'activité du 1er semestre 2025 (daté du 30/06/2025) indique un CA de 39,968 milliards FCFA (+15,1% vs S1 2024) et un résultat net de 1,436 milliard FCFA (multiplié par 28), avec une marge nette de 3,6% — bien supérieure à la moyenne annuelle 2024 (2,92%). Sur cette base, on peut estimer que l'exercice 2025 devrait confirmer cette amélioration, avec un résultat net annuel proche de 2,37 milliards FCFA (cohérent avec les données structurées) et une marge nette annuelle autour de 2,9-3,0%. Le rapport 2025 (daté du 31/12/2025) confirme un CA de 81,1 milliards FCFA (+9,5%) et un résultat net stable à 2,37 milliards FCFA, avec des capitaux propres renforcés à 11,6 milliards FCFA. La recommandation source de ce rapport est **Conserver**, avec une justification basée sur la croissance du CA, la stabilité de la rentabilité et un dividende attractif (209 FCFA/action, soit un rendement de 4,67% au cours actuel de 4 480 FCFA).</w:t>
      </w:r>
    </w:p>
    <w:p>
      <w:pPr>
        <w:spacing w:after="120" w:line="276" w:lineRule="auto"/>
      </w:pPr>
      <w:r>
        <w:t>**Évolution temporelle** : Entre 2022 et 2025, le CA est passé de 70,09 milliards FCFA à 81,13 milliards FCFA (+15,7%), mais le résultat net a chuté de 3,64 milliards FCFA à 2,37 milliards FCFA (-34,9%), illustrant une érosion des marges malgré la croissance des volumes. Le rapport 2023 (daté du 31/12/2023) mentionnait déjà une baisse de 42,6% du résultat net à 2,04 milliards FCFA, suivie d'un rebond à 2,18 milliards en 2024 (+6,5%) puis à 2,37 milliards en 2025 (+8,6%). Cette reprise progressive est encourageante mais reste fragile, car elle dépend en partie de produits non courants (1,9 milliard FCFA en 2024) et d'une réduction des charges financières.</w:t>
      </w:r>
    </w:p>
    <w:p>
      <w:pPr>
        <w:spacing w:after="120" w:line="276" w:lineRule="auto"/>
      </w:pPr>
      <w:r>
        <w:t>**Recommandation fondamentale** : PRSC présente un profil de croissance modérée avec une rentabilité en amélioration mais toujours faible (marge nette &lt;3%), une structure financière tendue (endettement élevé, trésorerie négative) et un BFR positif qui pèse sur la génération de cash-flow. Le dividende de 209 FCFA/action (rendement de 4,67%) est attractif mais non garanti si la rentabilité ne se consolide pas. La recommandation fondamentale est **Conserver avec vigilance**, en attendant une confirmation durable de l'amélioration des marges et une réduction du BFR.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apparaît tendue : le PER de 19,4x est près du double de la moyenne BRVM (8-12x), et le P/B de 3,98x traduit une prime de croissance qui n'est justifiée que si la rentabilité future s'améliore durablement. Le comportement du cours sur 100 jours est baissier (-6,67%) avec une volatilité élevée (38,6%) et une asymétrie négative (skewness de -1,244), ce qui implique un risque de baisse amplifié malgré des journées de hausse plus fréquentes. Les signaux techniques sont divergents : le MACD donne un signal d'achat, mais les Moyennes Mobiles (MM20 &lt; MM50) et le Stochastique (surachat) recommandent la vente, tandis que le RSI et les Bollinger sont neutres — cette absence de convergence plaide pour une prudence accrue. Les fondamentaux sont mitigés : la croissance du CA (+8,64% en 2025) et l'amélioration de la marge nette (2,92% vs 2,63% en 2023) sont positives, mais la faible rentabilité, l'endettement élevé (314,86%) et la trésorerie négative (-4,092 milliards FCFA) constituent des risques majeurs. Les prédictions IA pour les 10 prochains jours (4 437 FCFA le 18/09, puis 4 425, 4 408, 4 391 et 4 376 FCFA) anticipent une baisse progressive d'environ 2,3% sur la période, ce qui contredit le signal d'achat du MACD et confirme le biais baissier à court terme. **Recommandation finale : CONSERVER** — la convergence entre une valorisation tendue, des signaux techniques divergents, des fondamentaux fragiles et des prédictions baissières ne justifie ni un achat agressif ni une vente précipitée. Le niveau de confiance est **Moyen** (les signaux sont contradictoires), le risque global est **Élevé** (volatilité de 38,6%, endettement important, trésorerie négative), et l'horizon optimal est **moyen terme (3-12 mois)**, en attendant une clarification de la tendance technique et une confirmation de l'amélioration des marges. Un franchissement durable de la MM50 (4 458,9 FCFA) à la hausse avec un RSI &gt;55 serait un signal d'achat, tandis qu'une cassure de la borne inférieure des Bollinger (4 323,53 FCFA) confirmerait la tendance baissière et justifierait une vente.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39.26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8,828 titres</w:t>
            </w:r>
          </w:p>
        </w:tc>
        <w:tc>
          <w:tcPr>
            <w:tcW w:type="dxa" w:w="2268"/>
            <w:shd w:fill="FFF2CC" w:val="clear"/>
          </w:tcPr>
          <w:p>
            <w:r>
              <w:rPr>
                <w:b/>
                <w:color w:val="503200"/>
                <w:sz w:val="16"/>
              </w:rPr>
              <w:t xml:space="preserve">Cours actuel : </w:t>
            </w:r>
            <w:r>
              <w:rPr>
                <w:color w:val="000000"/>
                <w:sz w:val="17"/>
              </w:rPr>
              <w:t>4,835 FCFA</w:t>
            </w:r>
          </w:p>
          <w:p>
            <w:r>
              <w:rPr>
                <w:b/>
                <w:color w:val="503200"/>
                <w:sz w:val="16"/>
              </w:rPr>
              <w:t xml:space="preserve">Var. 100 jours : </w:t>
            </w:r>
            <w:r>
              <w:rPr>
                <w:b/>
                <w:color w:val="007800"/>
                <w:sz w:val="17"/>
              </w:rPr>
              <w:t>+24.29%</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59.8%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17.03% (Élevée) — μ=4,582 FCFA, σ=780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β=-0.1022 (Contre-cyclique) — Cov=-0.000004, Var(idx)=0.000035, ρ=-0.016,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8,828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σ_j=3.77%/j (Modérée) — Vol. annualisée≈59.8%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4,530</w:t>
            </w:r>
          </w:p>
        </w:tc>
        <w:tc>
          <w:tcPr>
            <w:tcW w:type="dxa" w:w="1440"/>
            <w:shd w:fill="FAFAFA" w:val="clear"/>
          </w:tcPr>
          <w:p>
            <w:r>
              <w:rPr>
                <w:b/>
                <w:sz w:val="17"/>
              </w:rPr>
              <w:t>4,850</w:t>
            </w:r>
          </w:p>
        </w:tc>
        <w:tc>
          <w:tcPr>
            <w:tcW w:type="dxa" w:w="1440"/>
            <w:shd w:fill="FAFAFA" w:val="clear"/>
          </w:tcPr>
          <w:p>
            <w:r>
              <w:rPr>
                <w:sz w:val="17"/>
              </w:rPr>
              <w:t>5,169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4,396</w:t>
            </w:r>
          </w:p>
        </w:tc>
        <w:tc>
          <w:tcPr>
            <w:tcW w:type="dxa" w:w="1440"/>
            <w:shd w:fill="FAFAFA" w:val="clear"/>
          </w:tcPr>
          <w:p>
            <w:r>
              <w:rPr>
                <w:b/>
                <w:sz w:val="17"/>
              </w:rPr>
              <w:t>4,848</w:t>
            </w:r>
          </w:p>
        </w:tc>
        <w:tc>
          <w:tcPr>
            <w:tcW w:type="dxa" w:w="1440"/>
            <w:shd w:fill="FAFAFA" w:val="clear"/>
          </w:tcPr>
          <w:p>
            <w:r>
              <w:rPr>
                <w:sz w:val="17"/>
              </w:rPr>
              <w:t>5,299</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4,322</w:t>
            </w:r>
          </w:p>
        </w:tc>
        <w:tc>
          <w:tcPr>
            <w:tcW w:type="dxa" w:w="1440"/>
            <w:shd w:fill="FAFAFA" w:val="clear"/>
          </w:tcPr>
          <w:p>
            <w:r>
              <w:rPr>
                <w:b/>
                <w:sz w:val="17"/>
              </w:rPr>
              <w:t>4,878</w:t>
            </w:r>
          </w:p>
        </w:tc>
        <w:tc>
          <w:tcPr>
            <w:tcW w:type="dxa" w:w="1440"/>
            <w:shd w:fill="FAFAFA" w:val="clear"/>
          </w:tcPr>
          <w:p>
            <w:r>
              <w:rPr>
                <w:sz w:val="17"/>
              </w:rPr>
              <w:t>5,435</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4,268</w:t>
            </w:r>
          </w:p>
        </w:tc>
        <w:tc>
          <w:tcPr>
            <w:tcW w:type="dxa" w:w="1440"/>
            <w:shd w:fill="FAFAFA" w:val="clear"/>
          </w:tcPr>
          <w:p>
            <w:r>
              <w:rPr>
                <w:b/>
                <w:sz w:val="17"/>
              </w:rPr>
              <w:t>4,916</w:t>
            </w:r>
          </w:p>
        </w:tc>
        <w:tc>
          <w:tcPr>
            <w:tcW w:type="dxa" w:w="1440"/>
            <w:shd w:fill="FAFAFA" w:val="clear"/>
          </w:tcPr>
          <w:p>
            <w:r>
              <w:rPr>
                <w:sz w:val="17"/>
              </w:rPr>
              <w:t>5,564</w:t>
            </w:r>
          </w:p>
        </w:tc>
        <w:tc>
          <w:tcPr>
            <w:tcW w:type="dxa" w:w="1440"/>
            <w:shd w:fill="FAFAFA" w:val="clear"/>
          </w:tcPr>
          <w:p>
            <w:r>
              <w:rPr>
                <w:b/>
                <w:color w:val="008000"/>
                <w:sz w:val="17"/>
              </w:rPr>
              <w:t>+1.7%</w:t>
            </w:r>
          </w:p>
        </w:tc>
      </w:tr>
      <w:tr>
        <w:tc>
          <w:tcPr>
            <w:tcW w:type="dxa" w:w="1440"/>
            <w:shd w:fill="C6EFCE" w:val="clear"/>
          </w:tcPr>
          <w:p>
            <w:r>
              <w:rPr>
                <w:sz w:val="17"/>
              </w:rPr>
              <w:t>J+5  ⭐</w:t>
            </w:r>
          </w:p>
        </w:tc>
        <w:tc>
          <w:tcPr>
            <w:tcW w:type="dxa" w:w="1440"/>
            <w:shd w:fill="C6EFCE" w:val="clear"/>
          </w:tcPr>
          <w:p>
            <w:r>
              <w:rPr>
                <w:sz w:val="17"/>
              </w:rPr>
              <w:t>2026-09-24</w:t>
            </w:r>
          </w:p>
        </w:tc>
        <w:tc>
          <w:tcPr>
            <w:tcW w:type="dxa" w:w="1440"/>
            <w:shd w:fill="C6EFCE" w:val="clear"/>
          </w:tcPr>
          <w:p>
            <w:r>
              <w:rPr>
                <w:sz w:val="17"/>
              </w:rPr>
              <w:t>4,222</w:t>
            </w:r>
          </w:p>
        </w:tc>
        <w:tc>
          <w:tcPr>
            <w:tcW w:type="dxa" w:w="1440"/>
            <w:shd w:fill="C6EFCE" w:val="clear"/>
          </w:tcPr>
          <w:p>
            <w:r>
              <w:rPr>
                <w:b/>
                <w:sz w:val="17"/>
              </w:rPr>
              <w:t>4,951</w:t>
            </w:r>
          </w:p>
        </w:tc>
        <w:tc>
          <w:tcPr>
            <w:tcW w:type="dxa" w:w="1440"/>
            <w:shd w:fill="C6EFCE" w:val="clear"/>
          </w:tcPr>
          <w:p>
            <w:r>
              <w:rPr>
                <w:sz w:val="17"/>
              </w:rPr>
              <w:t>5,680</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2026-09-25</w:t>
            </w:r>
          </w:p>
        </w:tc>
        <w:tc>
          <w:tcPr>
            <w:tcW w:type="dxa" w:w="1440"/>
            <w:shd w:fill="C6EFCE" w:val="clear"/>
          </w:tcPr>
          <w:p>
            <w:r>
              <w:rPr>
                <w:sz w:val="17"/>
              </w:rPr>
              <w:t>4,177</w:t>
            </w:r>
          </w:p>
        </w:tc>
        <w:tc>
          <w:tcPr>
            <w:tcW w:type="dxa" w:w="1440"/>
            <w:shd w:fill="C6EFCE" w:val="clear"/>
          </w:tcPr>
          <w:p>
            <w:r>
              <w:rPr>
                <w:b/>
                <w:sz w:val="17"/>
              </w:rPr>
              <w:t>4,981</w:t>
            </w:r>
          </w:p>
        </w:tc>
        <w:tc>
          <w:tcPr>
            <w:tcW w:type="dxa" w:w="1440"/>
            <w:shd w:fill="C6EFCE" w:val="clear"/>
          </w:tcPr>
          <w:p>
            <w:r>
              <w:rPr>
                <w:sz w:val="17"/>
              </w:rPr>
              <w:t>5,785</w:t>
            </w:r>
          </w:p>
        </w:tc>
        <w:tc>
          <w:tcPr>
            <w:tcW w:type="dxa" w:w="1440"/>
            <w:shd w:fill="C6EFCE" w:val="clear"/>
          </w:tcPr>
          <w:p>
            <w:r>
              <w:rPr>
                <w:b/>
                <w:color w:val="008000"/>
                <w:sz w:val="17"/>
              </w:rPr>
              <w:t>+3.0%</w:t>
            </w:r>
          </w:p>
        </w:tc>
      </w:tr>
      <w:tr>
        <w:tc>
          <w:tcPr>
            <w:tcW w:type="dxa" w:w="1440"/>
            <w:shd w:fill="C6EFCE" w:val="clear"/>
          </w:tcPr>
          <w:p>
            <w:r>
              <w:rPr>
                <w:sz w:val="17"/>
              </w:rPr>
              <w:t>J+7  ⭐</w:t>
            </w:r>
          </w:p>
        </w:tc>
        <w:tc>
          <w:tcPr>
            <w:tcW w:type="dxa" w:w="1440"/>
            <w:shd w:fill="C6EFCE" w:val="clear"/>
          </w:tcPr>
          <w:p>
            <w:r>
              <w:rPr>
                <w:sz w:val="17"/>
              </w:rPr>
              <w:t>2026-09-28</w:t>
            </w:r>
          </w:p>
        </w:tc>
        <w:tc>
          <w:tcPr>
            <w:tcW w:type="dxa" w:w="1440"/>
            <w:shd w:fill="C6EFCE" w:val="clear"/>
          </w:tcPr>
          <w:p>
            <w:r>
              <w:rPr>
                <w:sz w:val="17"/>
              </w:rPr>
              <w:t>4,134</w:t>
            </w:r>
          </w:p>
        </w:tc>
        <w:tc>
          <w:tcPr>
            <w:tcW w:type="dxa" w:w="1440"/>
            <w:shd w:fill="C6EFCE" w:val="clear"/>
          </w:tcPr>
          <w:p>
            <w:r>
              <w:rPr>
                <w:b/>
                <w:sz w:val="17"/>
              </w:rPr>
              <w:t>5,006</w:t>
            </w:r>
          </w:p>
        </w:tc>
        <w:tc>
          <w:tcPr>
            <w:tcW w:type="dxa" w:w="1440"/>
            <w:shd w:fill="C6EFCE" w:val="clear"/>
          </w:tcPr>
          <w:p>
            <w:r>
              <w:rPr>
                <w:sz w:val="17"/>
              </w:rPr>
              <w:t>5,879</w:t>
            </w:r>
          </w:p>
        </w:tc>
        <w:tc>
          <w:tcPr>
            <w:tcW w:type="dxa" w:w="1440"/>
            <w:shd w:fill="C6EFCE" w:val="clear"/>
          </w:tcPr>
          <w:p>
            <w:r>
              <w:rPr>
                <w:b/>
                <w:color w:val="008000"/>
                <w:sz w:val="17"/>
              </w:rPr>
              <w:t>+3.5%</w:t>
            </w:r>
          </w:p>
        </w:tc>
      </w:tr>
      <w:tr>
        <w:tc>
          <w:tcPr>
            <w:tcW w:type="dxa" w:w="1440"/>
            <w:shd w:fill="C6EFCE" w:val="clear"/>
          </w:tcPr>
          <w:p>
            <w:r>
              <w:rPr>
                <w:sz w:val="17"/>
              </w:rPr>
              <w:t>J+8  ⭐</w:t>
            </w:r>
          </w:p>
        </w:tc>
        <w:tc>
          <w:tcPr>
            <w:tcW w:type="dxa" w:w="1440"/>
            <w:shd w:fill="C6EFCE" w:val="clear"/>
          </w:tcPr>
          <w:p>
            <w:r>
              <w:rPr>
                <w:sz w:val="17"/>
              </w:rPr>
              <w:t>2026-09-29</w:t>
            </w:r>
          </w:p>
        </w:tc>
        <w:tc>
          <w:tcPr>
            <w:tcW w:type="dxa" w:w="1440"/>
            <w:shd w:fill="C6EFCE" w:val="clear"/>
          </w:tcPr>
          <w:p>
            <w:r>
              <w:rPr>
                <w:sz w:val="17"/>
              </w:rPr>
              <w:t>4,091</w:t>
            </w:r>
          </w:p>
        </w:tc>
        <w:tc>
          <w:tcPr>
            <w:tcW w:type="dxa" w:w="1440"/>
            <w:shd w:fill="C6EFCE" w:val="clear"/>
          </w:tcPr>
          <w:p>
            <w:r>
              <w:rPr>
                <w:b/>
                <w:sz w:val="17"/>
              </w:rPr>
              <w:t>5,027</w:t>
            </w:r>
          </w:p>
        </w:tc>
        <w:tc>
          <w:tcPr>
            <w:tcW w:type="dxa" w:w="1440"/>
            <w:shd w:fill="C6EFCE" w:val="clear"/>
          </w:tcPr>
          <w:p>
            <w:r>
              <w:rPr>
                <w:sz w:val="17"/>
              </w:rPr>
              <w:t>5,964</w:t>
            </w:r>
          </w:p>
        </w:tc>
        <w:tc>
          <w:tcPr>
            <w:tcW w:type="dxa" w:w="1440"/>
            <w:shd w:fill="C6EFCE" w:val="clear"/>
          </w:tcPr>
          <w:p>
            <w:r>
              <w:rPr>
                <w:b/>
                <w:color w:val="008000"/>
                <w:sz w:val="17"/>
              </w:rPr>
              <w:t>+4.0%</w:t>
            </w:r>
          </w:p>
        </w:tc>
      </w:tr>
      <w:tr>
        <w:tc>
          <w:tcPr>
            <w:tcW w:type="dxa" w:w="1440"/>
            <w:shd w:fill="C6EFCE" w:val="clear"/>
          </w:tcPr>
          <w:p>
            <w:r>
              <w:rPr>
                <w:sz w:val="17"/>
              </w:rPr>
              <w:t>J+9  ⭐</w:t>
            </w:r>
          </w:p>
        </w:tc>
        <w:tc>
          <w:tcPr>
            <w:tcW w:type="dxa" w:w="1440"/>
            <w:shd w:fill="C6EFCE" w:val="clear"/>
          </w:tcPr>
          <w:p>
            <w:r>
              <w:rPr>
                <w:sz w:val="17"/>
              </w:rPr>
              <w:t>2026-09-30</w:t>
            </w:r>
          </w:p>
        </w:tc>
        <w:tc>
          <w:tcPr>
            <w:tcW w:type="dxa" w:w="1440"/>
            <w:shd w:fill="C6EFCE" w:val="clear"/>
          </w:tcPr>
          <w:p>
            <w:r>
              <w:rPr>
                <w:sz w:val="17"/>
              </w:rPr>
              <w:t>4,048</w:t>
            </w:r>
          </w:p>
        </w:tc>
        <w:tc>
          <w:tcPr>
            <w:tcW w:type="dxa" w:w="1440"/>
            <w:shd w:fill="C6EFCE" w:val="clear"/>
          </w:tcPr>
          <w:p>
            <w:r>
              <w:rPr>
                <w:b/>
                <w:sz w:val="17"/>
              </w:rPr>
              <w:t>5,045</w:t>
            </w:r>
          </w:p>
        </w:tc>
        <w:tc>
          <w:tcPr>
            <w:tcW w:type="dxa" w:w="1440"/>
            <w:shd w:fill="C6EFCE" w:val="clear"/>
          </w:tcPr>
          <w:p>
            <w:r>
              <w:rPr>
                <w:sz w:val="17"/>
              </w:rPr>
              <w:t>6,042</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2026-10-01</w:t>
            </w:r>
          </w:p>
        </w:tc>
        <w:tc>
          <w:tcPr>
            <w:tcW w:type="dxa" w:w="1440"/>
            <w:shd w:fill="C6EFCE" w:val="clear"/>
          </w:tcPr>
          <w:p>
            <w:r>
              <w:rPr>
                <w:sz w:val="17"/>
              </w:rPr>
              <w:t>4,005</w:t>
            </w:r>
          </w:p>
        </w:tc>
        <w:tc>
          <w:tcPr>
            <w:tcW w:type="dxa" w:w="1440"/>
            <w:shd w:fill="C6EFCE" w:val="clear"/>
          </w:tcPr>
          <w:p>
            <w:r>
              <w:rPr>
                <w:b/>
                <w:sz w:val="17"/>
              </w:rPr>
              <w:t>5,059</w:t>
            </w:r>
          </w:p>
        </w:tc>
        <w:tc>
          <w:tcPr>
            <w:tcW w:type="dxa" w:w="1440"/>
            <w:shd w:fill="C6EFCE" w:val="clear"/>
          </w:tcPr>
          <w:p>
            <w:r>
              <w:rPr>
                <w:sz w:val="17"/>
              </w:rPr>
              <w:t>6,113</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39,26 milliards FCFA, un niveau modeste à l'échelle de la BRVM qui en fait une petite capitalisation du compartiment financier. Le BPA de 86 FCFA/action indique que chaque titre génère 86 FCFA de bénéfice net, un niveau correct mais qui, rapporté au cours actuel de 4 835 FCFA, aboutit à un PER de 56,0x — très largement supérieur à la moyenne BRVM (8-12x), ce qui traduit une valorisation très exigeante et une anticipation forte de croissance par le marché. Le P/B de 6,64x confirme cette prime : le marché valorise la société à plus de 6 fois sa valeur comptable, ce qui est difficilement justifiable au regard de capitaux propres encore faibles (5,9 Mds FCFA) et d'un report à nouveau négatif. Enfin, l'EV/EBITDA de 76,7x (très au-dessus du seuil de 15x) signale que la valeur d'entreprise intègre une prime spéculative considérable par rapport à la capacité opérationnelle actuelle. En synthèse, la valorisation boursière est nettement tendue et n'est soutenable que si la trajectoire de redressement se confirme durablement.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SAFC affiche une progression totale de +24,29%, malgré un repli de -3,01% lors de la dernière séance (J-1), le cours s'établissant à 4 835 FCFA. Le range de trading est très large, avec un plus haut à 6 200 FCFA et un plus bas à 3 340 FCFA, soit une amplitude de près de 86% qui témoigne d'une forte nervosité du titre. La tendance générale reste haussière sur la période, portée par le retour à la rentabilité et l'annonce de l'augmentation de capital, mais le repli récent suggère une prise de bénéfices après le pic. Les statistiques descriptives révèlent une moyenne (4 582 FCFA) légèrement supérieure à la médiane (4 505 FCFA), signe d'une distribution faiblement asymétrique à droite, cohérente avec un skewness de 0,347 qualifié de symétrique. L'écart-type de 784 FCFA (CV = 17,1%) indique une dispersion modérée autour de la moyenne, tandis que le kurtosis de -1,031 (platykurtique) signale une distribution aplatie, donc un risque de pics extrêmes plus faible qu'une loi normale — élément rassurant. La volatilité annualisée de 59,8% classe toutefois le titre dans la catégorie des valeurs à volatilité élevée (&gt;30%), ce qui implique un risque de marché important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(5 624,5 FCFA) et la MM50 (5 178,1 FCFA) se situent toutes deux au-dessus du cours actuel (4 835 FCFA), ce qui traduit une pression baissière de court terme. Toutefois, la MM20 reste supérieure à la MM50, configuration haussière de fond, ce qui justifie la décision « Achat » du modèle malgré le repli actuel.</w:t>
      </w:r>
    </w:p>
    <w:p>
      <w:pPr>
        <w:spacing w:after="120" w:line="276" w:lineRule="auto"/>
      </w:pPr>
      <w:r>
        <w:t>**Bandes de Bollinger** : Le cours (4 835 FCFA) évolue juste au-dessus de la borne inférieure (4 820,4 FCFA) et très loin de la borne supérieure (6 428,6 FCFA), signe que le titre est proche d'une zone de survente technique après son repli. La décision « Neutre » reflète cette position ambiguë : potentiel de rebond mais absence de signal directionnel fort.</w:t>
      </w:r>
    </w:p>
    <w:p>
      <w:pPr>
        <w:spacing w:after="120" w:line="276" w:lineRule="auto"/>
      </w:pPr>
      <w:r>
        <w:t>**MACD** : La valeur du MACD (-74,47) est nettement inférieure à son signal (75,17), générant une divergence baissière marquée et un momentum négatif. La décision « Vente » traduit cette perte de dynamique haussière à court terme.</w:t>
      </w:r>
    </w:p>
    <w:p>
      <w:pPr>
        <w:spacing w:after="120" w:line="276" w:lineRule="auto"/>
      </w:pPr>
      <w:r>
        <w:t>**RSI** : À 32,06, le RSI se situe juste au-dessus du seuil de survente (30), en zone neutre basse. Cela indique que le titre n'est pas encore survendu mais s'en approche, laissant présager un possible rebond technique prochain ; la décision « Neutre » est cohérente.</w:t>
      </w:r>
    </w:p>
    <w:p>
      <w:pPr>
        <w:spacing w:after="120" w:line="276" w:lineRule="auto"/>
      </w:pPr>
      <w:r>
        <w:t>**Stochastique** : Le %K (0,0) est au plancher absolu et croise le %D (0,137) à la baisse, configuration extrême de survente qui précède souvent un retournement haussier. La décision « Achat » du modèle s'appuie sur ce signal contrarien.</w:t>
      </w:r>
    </w:p>
    <w:p>
      <w:pPr>
        <w:spacing w:after="120" w:line="276" w:lineRule="auto"/>
      </w:pPr>
      <w:r>
        <w:t>**Conclusion technique** : Les indicateurs sont divergents — les moyennes mobiles et le stochastique plaident pour un achat contrarien, tandis que le MACD et la position du cours sous les MM20/MM50 confirment une pression baissière de court terme. Le RSI et les Bollinger suggèrent une zone de survente proche, propice à un rebond technique, mais la prudence reste de mise tant que le cours n'aura pas reconquis la MM50 (5 178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montrent un Produit Net Bancaire de 5 735 M FCFA, en hausse de 44,1% sur un an, un résultat net positif de 701 M FCFA (contre une perte de -165 M FCFA en 2024), un ROE de 11,85% et un ROA de 0,88%. Le coefficient d'exploitation ressort à 77,63%, très au-dessus du seuil de 60% qui caractérise une banque efficace, ce qui constitue un point de vigilance majeur : les charges absorbent encore près de 78% du PNB. Le coût du risque rapporté aux charges financières s'élève à 6,57%, niveau élevé qui traduit un portefeuille de crédit encore fragile, tandis que le ratio dépôts/créances (9,1 Mds de dépôts clientèle pour 60,5 Mds de créances) révèle une forte dépendance au refinancement interbancaire (35,7 Mds FCFA de dettes interbancaires) plutôt qu'à la collecte de dépôts. L'autonomie financière est très faible (7,44%) et le ratio d'endettement atteint 856%, ce qui rend la structure financière vulnérable. Les rapports trimestriels confirment l'accélération : selon le rapport T1 2026 (publié le 12/05/2026), le PNB progresse de +29% à 1 395 M FCFA et le résultat net bondit de +1 062% à 151 M FCFA ; selon le rapport S1 2026 (publié le 04/09/2026), le PNB atteint 2 907 M FCFA (+37%) et le résultat net 731 M FCFA (+231%), avec une marge nette de 25,1% et une reprise nette sur coût du risque de 261 M FCFA. Sur cette base, on estime que l'exercice 2026 devrait afficher un résultat net annuel compris entre 1,3 et 1,5 Md FCFA, soit un doublement par rapport à 2025, à condition que la qualité du portefeuille reste maîtrisée. Le rapport annuel 2025 (publié le 10/06/2026) souligne toutefois que le résultat a été entièrement affecté en report à nouveau (aucun dividende), et que le report à nouveau demeure négatif (-4 123 M FCFA), ce qui grève les fonds propres. La recommandation fondamentale est donc celle d'une société en redressement réel mais encore fragile : la dynamique opérationnelle est excellente, mais la solidité bilancielle (capitaux propres faibles, dépendance interbancaire, coefficient d'exploitation élevé) reste insuffisante pour valider une thèse d'investissement sereine.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tendue : PER de 56x, P/B de 6,64x et EV/EBITDA de 76,7x intègrent déjà une forte anticipation de croissance, ce qui limite le potentiel de revalorisation à court terme. Le comportement du cours (Partie 1) est haussier sur 100 jours (+24,29%) mais marqué par une volatilité élevée (59,8%) et un repli récent de -3,01%, avec une distribution symétrique et platykurtique plutôt rassurante sur le risque de pics extrêmes. Les signaux techniques (Partie 2) sont divergents : le MACD est baissier et le cours évolue sous ses moyennes mobiles, mais le RSI (32) et le stochastique (%K=0) signalent une survente proche, propice à un rebond technique. Les fondamentaux (Partie 3) montrent un redressement spectaculaire — PNB +44% en 2025, résultat net de 701 M FCFA, et selon le rapport S1 2026, un résultat net semestriel de 731 M FCFA (+231%) — mais la structure financière reste fragile (autonomie financière de 7,4%, coefficient d'exploitation de 77,6%, dépendance interbancaire). Les prédictions IA (J+1 à J+10) anticipent une légère reprise progressive de 4 850 à 4 951 FCFA, confirmant le scénario d'un rebond technique modéré sans emballement. Sur la base de cette synthèse, la convergence entre technique (survente), fondamental (redressement confirmé) et prédiction (rebond modéré) plaide pour une recommandation **CONSERVER**, avec un biais positif pour les investisseurs déjà positionnés. Le niveau de confiance est **Moyen** (les fondamentaux s'améliorent mais la valorisation est exigeante et la structure bilancielle fragile) et le niveau de risque global est **Élevé** (volatilité de 59,8%, dépendance au refinancement, capitaux propres limités). L'horizon d'investissement optimal est le **moyen terme (3-12 mois)**, le temps que la société confirme la durabilité de son redressement et renforce ses fonds propres — un passage à l'ACHAT ne serait justifié qu'en cas de confirmation d'un exercice 2026 nettement bénéficiaire et d'une amélioration du coefficient d'exploitation sous 70%.</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10,918 titres</w:t>
            </w:r>
          </w:p>
        </w:tc>
        <w:tc>
          <w:tcPr>
            <w:tcW w:type="dxa" w:w="2268"/>
            <w:shd w:fill="FFF2CC" w:val="clear"/>
          </w:tcPr>
          <w:p>
            <w:r>
              <w:rPr>
                <w:b/>
                <w:color w:val="503200"/>
                <w:sz w:val="16"/>
              </w:rPr>
              <w:t xml:space="preserve">Cours actuel : </w:t>
            </w:r>
            <w:r>
              <w:rPr>
                <w:color w:val="000000"/>
                <w:sz w:val="17"/>
              </w:rPr>
              <w:t>3,085 FCFA</w:t>
            </w:r>
          </w:p>
          <w:p>
            <w:r>
              <w:rPr>
                <w:b/>
                <w:color w:val="503200"/>
                <w:sz w:val="16"/>
              </w:rPr>
              <w:t xml:space="preserve">Var. 100 jours : </w:t>
            </w:r>
            <w:r>
              <w:rPr>
                <w:b/>
                <w:color w:val="007800"/>
                <w:sz w:val="17"/>
              </w:rPr>
              <w:t>+53.48%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18.04% (Élevée) — μ=3,101 FCFA, σ=559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β=0.5328 (Défensif) — Cov=0.000019, Var(idx)=0.000035, ρ=0.092,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2026-09-18</w:t>
            </w:r>
          </w:p>
        </w:tc>
        <w:tc>
          <w:tcPr>
            <w:tcW w:type="dxa" w:w="1440"/>
            <w:shd w:fill="C6EFCE" w:val="clear"/>
          </w:tcPr>
          <w:p>
            <w:r>
              <w:rPr>
                <w:sz w:val="17"/>
              </w:rPr>
              <w:t>2,981</w:t>
            </w:r>
          </w:p>
        </w:tc>
        <w:tc>
          <w:tcPr>
            <w:tcW w:type="dxa" w:w="1440"/>
            <w:shd w:fill="C6EFCE" w:val="clear"/>
          </w:tcPr>
          <w:p>
            <w:r>
              <w:rPr>
                <w:b/>
                <w:sz w:val="17"/>
              </w:rPr>
              <w:t>3,188</w:t>
            </w:r>
          </w:p>
        </w:tc>
        <w:tc>
          <w:tcPr>
            <w:tcW w:type="dxa" w:w="1440"/>
            <w:shd w:fill="C6EFCE" w:val="clear"/>
          </w:tcPr>
          <w:p>
            <w:r>
              <w:rPr>
                <w:sz w:val="17"/>
              </w:rPr>
              <w:t>3,394</w:t>
            </w:r>
          </w:p>
        </w:tc>
        <w:tc>
          <w:tcPr>
            <w:tcW w:type="dxa" w:w="1440"/>
            <w:shd w:fill="C6EFCE" w:val="clear"/>
          </w:tcPr>
          <w:p>
            <w:r>
              <w:rPr>
                <w:b/>
                <w:color w:val="008000"/>
                <w:sz w:val="17"/>
              </w:rPr>
              <w:t>+3.3%</w:t>
            </w:r>
          </w:p>
        </w:tc>
      </w:tr>
      <w:tr>
        <w:tc>
          <w:tcPr>
            <w:tcW w:type="dxa" w:w="1440"/>
            <w:shd w:fill="C6EFCE" w:val="clear"/>
          </w:tcPr>
          <w:p>
            <w:r>
              <w:rPr>
                <w:sz w:val="17"/>
              </w:rPr>
              <w:t>J+2  ⭐</w:t>
            </w:r>
          </w:p>
        </w:tc>
        <w:tc>
          <w:tcPr>
            <w:tcW w:type="dxa" w:w="1440"/>
            <w:shd w:fill="C6EFCE" w:val="clear"/>
          </w:tcPr>
          <w:p>
            <w:r>
              <w:rPr>
                <w:sz w:val="17"/>
              </w:rPr>
              <w:t>2026-09-21</w:t>
            </w:r>
          </w:p>
        </w:tc>
        <w:tc>
          <w:tcPr>
            <w:tcW w:type="dxa" w:w="1440"/>
            <w:shd w:fill="C6EFCE" w:val="clear"/>
          </w:tcPr>
          <w:p>
            <w:r>
              <w:rPr>
                <w:sz w:val="17"/>
              </w:rPr>
              <w:t>3,022</w:t>
            </w:r>
          </w:p>
        </w:tc>
        <w:tc>
          <w:tcPr>
            <w:tcW w:type="dxa" w:w="1440"/>
            <w:shd w:fill="C6EFCE" w:val="clear"/>
          </w:tcPr>
          <w:p>
            <w:r>
              <w:rPr>
                <w:b/>
                <w:sz w:val="17"/>
              </w:rPr>
              <w:t>3,266</w:t>
            </w:r>
          </w:p>
        </w:tc>
        <w:tc>
          <w:tcPr>
            <w:tcW w:type="dxa" w:w="1440"/>
            <w:shd w:fill="C6EFCE" w:val="clear"/>
          </w:tcPr>
          <w:p>
            <w:r>
              <w:rPr>
                <w:sz w:val="17"/>
              </w:rPr>
              <w:t>3,510</w:t>
            </w:r>
          </w:p>
        </w:tc>
        <w:tc>
          <w:tcPr>
            <w:tcW w:type="dxa" w:w="1440"/>
            <w:shd w:fill="C6EFCE" w:val="clear"/>
          </w:tcPr>
          <w:p>
            <w:r>
              <w:rPr>
                <w:b/>
                <w:color w:val="008000"/>
                <w:sz w:val="17"/>
              </w:rPr>
              <w:t>+5.9%</w:t>
            </w:r>
          </w:p>
        </w:tc>
      </w:tr>
      <w:tr>
        <w:tc>
          <w:tcPr>
            <w:tcW w:type="dxa" w:w="1440"/>
            <w:shd w:fill="C6EFCE" w:val="clear"/>
          </w:tcPr>
          <w:p>
            <w:r>
              <w:rPr>
                <w:sz w:val="17"/>
              </w:rPr>
              <w:t>J+3  ⭐</w:t>
            </w:r>
          </w:p>
        </w:tc>
        <w:tc>
          <w:tcPr>
            <w:tcW w:type="dxa" w:w="1440"/>
            <w:shd w:fill="C6EFCE" w:val="clear"/>
          </w:tcPr>
          <w:p>
            <w:r>
              <w:rPr>
                <w:sz w:val="17"/>
              </w:rPr>
              <w:t>2026-09-22</w:t>
            </w:r>
          </w:p>
        </w:tc>
        <w:tc>
          <w:tcPr>
            <w:tcW w:type="dxa" w:w="1440"/>
            <w:shd w:fill="C6EFCE" w:val="clear"/>
          </w:tcPr>
          <w:p>
            <w:r>
              <w:rPr>
                <w:sz w:val="17"/>
              </w:rPr>
              <w:t>3,046</w:t>
            </w:r>
          </w:p>
        </w:tc>
        <w:tc>
          <w:tcPr>
            <w:tcW w:type="dxa" w:w="1440"/>
            <w:shd w:fill="C6EFCE" w:val="clear"/>
          </w:tcPr>
          <w:p>
            <w:r>
              <w:rPr>
                <w:b/>
                <w:sz w:val="17"/>
              </w:rPr>
              <w:t>3,324</w:t>
            </w:r>
          </w:p>
        </w:tc>
        <w:tc>
          <w:tcPr>
            <w:tcW w:type="dxa" w:w="1440"/>
            <w:shd w:fill="C6EFCE" w:val="clear"/>
          </w:tcPr>
          <w:p>
            <w:r>
              <w:rPr>
                <w:sz w:val="17"/>
              </w:rPr>
              <w:t>3,602</w:t>
            </w:r>
          </w:p>
        </w:tc>
        <w:tc>
          <w:tcPr>
            <w:tcW w:type="dxa" w:w="1440"/>
            <w:shd w:fill="C6EFCE" w:val="clear"/>
          </w:tcPr>
          <w:p>
            <w:r>
              <w:rPr>
                <w:b/>
                <w:color w:val="008000"/>
                <w:sz w:val="17"/>
              </w:rPr>
              <w:t>+7.7%</w:t>
            </w:r>
          </w:p>
        </w:tc>
      </w:tr>
      <w:tr>
        <w:tc>
          <w:tcPr>
            <w:tcW w:type="dxa" w:w="1440"/>
            <w:shd w:fill="C6EFCE" w:val="clear"/>
          </w:tcPr>
          <w:p>
            <w:r>
              <w:rPr>
                <w:sz w:val="17"/>
              </w:rPr>
              <w:t>J+4  ⭐</w:t>
            </w:r>
          </w:p>
        </w:tc>
        <w:tc>
          <w:tcPr>
            <w:tcW w:type="dxa" w:w="1440"/>
            <w:shd w:fill="C6EFCE" w:val="clear"/>
          </w:tcPr>
          <w:p>
            <w:r>
              <w:rPr>
                <w:sz w:val="17"/>
              </w:rPr>
              <w:t>2026-09-23</w:t>
            </w:r>
          </w:p>
        </w:tc>
        <w:tc>
          <w:tcPr>
            <w:tcW w:type="dxa" w:w="1440"/>
            <w:shd w:fill="C6EFCE" w:val="clear"/>
          </w:tcPr>
          <w:p>
            <w:r>
              <w:rPr>
                <w:sz w:val="17"/>
              </w:rPr>
              <w:t>3,054</w:t>
            </w:r>
          </w:p>
        </w:tc>
        <w:tc>
          <w:tcPr>
            <w:tcW w:type="dxa" w:w="1440"/>
            <w:shd w:fill="C6EFCE" w:val="clear"/>
          </w:tcPr>
          <w:p>
            <w:r>
              <w:rPr>
                <w:b/>
                <w:sz w:val="17"/>
              </w:rPr>
              <w:t>3,362</w:t>
            </w:r>
          </w:p>
        </w:tc>
        <w:tc>
          <w:tcPr>
            <w:tcW w:type="dxa" w:w="1440"/>
            <w:shd w:fill="C6EFCE" w:val="clear"/>
          </w:tcPr>
          <w:p>
            <w:r>
              <w:rPr>
                <w:sz w:val="17"/>
              </w:rPr>
              <w:t>3,669</w:t>
            </w:r>
          </w:p>
        </w:tc>
        <w:tc>
          <w:tcPr>
            <w:tcW w:type="dxa" w:w="1440"/>
            <w:shd w:fill="C6EFCE" w:val="clear"/>
          </w:tcPr>
          <w:p>
            <w:r>
              <w:rPr>
                <w:b/>
                <w:color w:val="008000"/>
                <w:sz w:val="17"/>
              </w:rPr>
              <w:t>+9.0%</w:t>
            </w:r>
          </w:p>
        </w:tc>
      </w:tr>
      <w:tr>
        <w:tc>
          <w:tcPr>
            <w:tcW w:type="dxa" w:w="1440"/>
            <w:shd w:fill="C6EFCE" w:val="clear"/>
          </w:tcPr>
          <w:p>
            <w:r>
              <w:rPr>
                <w:sz w:val="17"/>
              </w:rPr>
              <w:t>J+5  ⭐</w:t>
            </w:r>
          </w:p>
        </w:tc>
        <w:tc>
          <w:tcPr>
            <w:tcW w:type="dxa" w:w="1440"/>
            <w:shd w:fill="C6EFCE" w:val="clear"/>
          </w:tcPr>
          <w:p>
            <w:r>
              <w:rPr>
                <w:sz w:val="17"/>
              </w:rPr>
              <w:t>2026-09-24</w:t>
            </w:r>
          </w:p>
        </w:tc>
        <w:tc>
          <w:tcPr>
            <w:tcW w:type="dxa" w:w="1440"/>
            <w:shd w:fill="C6EFCE" w:val="clear"/>
          </w:tcPr>
          <w:p>
            <w:r>
              <w:rPr>
                <w:sz w:val="17"/>
              </w:rPr>
              <w:t>3,051</w:t>
            </w:r>
          </w:p>
        </w:tc>
        <w:tc>
          <w:tcPr>
            <w:tcW w:type="dxa" w:w="1440"/>
            <w:shd w:fill="C6EFCE" w:val="clear"/>
          </w:tcPr>
          <w:p>
            <w:r>
              <w:rPr>
                <w:b/>
                <w:sz w:val="17"/>
              </w:rPr>
              <w:t>3,385</w:t>
            </w:r>
          </w:p>
        </w:tc>
        <w:tc>
          <w:tcPr>
            <w:tcW w:type="dxa" w:w="1440"/>
            <w:shd w:fill="C6EFCE" w:val="clear"/>
          </w:tcPr>
          <w:p>
            <w:r>
              <w:rPr>
                <w:sz w:val="17"/>
              </w:rPr>
              <w:t>3,720</w:t>
            </w:r>
          </w:p>
        </w:tc>
        <w:tc>
          <w:tcPr>
            <w:tcW w:type="dxa" w:w="1440"/>
            <w:shd w:fill="C6EFCE" w:val="clear"/>
          </w:tcPr>
          <w:p>
            <w:r>
              <w:rPr>
                <w:b/>
                <w:color w:val="008000"/>
                <w:sz w:val="17"/>
              </w:rPr>
              <w:t>+9.7%</w:t>
            </w:r>
          </w:p>
        </w:tc>
      </w:tr>
      <w:tr>
        <w:tc>
          <w:tcPr>
            <w:tcW w:type="dxa" w:w="1440"/>
            <w:shd w:fill="C6EFCE" w:val="clear"/>
          </w:tcPr>
          <w:p>
            <w:r>
              <w:rPr>
                <w:sz w:val="17"/>
              </w:rPr>
              <w:t>J+6  ⭐</w:t>
            </w:r>
          </w:p>
        </w:tc>
        <w:tc>
          <w:tcPr>
            <w:tcW w:type="dxa" w:w="1440"/>
            <w:shd w:fill="C6EFCE" w:val="clear"/>
          </w:tcPr>
          <w:p>
            <w:r>
              <w:rPr>
                <w:sz w:val="17"/>
              </w:rPr>
              <w:t>2026-09-25</w:t>
            </w:r>
          </w:p>
        </w:tc>
        <w:tc>
          <w:tcPr>
            <w:tcW w:type="dxa" w:w="1440"/>
            <w:shd w:fill="C6EFCE" w:val="clear"/>
          </w:tcPr>
          <w:p>
            <w:r>
              <w:rPr>
                <w:sz w:val="17"/>
              </w:rPr>
              <w:t>3,042</w:t>
            </w:r>
          </w:p>
        </w:tc>
        <w:tc>
          <w:tcPr>
            <w:tcW w:type="dxa" w:w="1440"/>
            <w:shd w:fill="C6EFCE" w:val="clear"/>
          </w:tcPr>
          <w:p>
            <w:r>
              <w:rPr>
                <w:b/>
                <w:sz w:val="17"/>
              </w:rPr>
              <w:t>3,401</w:t>
            </w:r>
          </w:p>
        </w:tc>
        <w:tc>
          <w:tcPr>
            <w:tcW w:type="dxa" w:w="1440"/>
            <w:shd w:fill="C6EFCE" w:val="clear"/>
          </w:tcPr>
          <w:p>
            <w:r>
              <w:rPr>
                <w:sz w:val="17"/>
              </w:rPr>
              <w:t>3,760</w:t>
            </w:r>
          </w:p>
        </w:tc>
        <w:tc>
          <w:tcPr>
            <w:tcW w:type="dxa" w:w="1440"/>
            <w:shd w:fill="C6EFCE" w:val="clear"/>
          </w:tcPr>
          <w:p>
            <w:r>
              <w:rPr>
                <w:b/>
                <w:color w:val="008000"/>
                <w:sz w:val="17"/>
              </w:rPr>
              <w:t>+10.2%</w:t>
            </w:r>
          </w:p>
        </w:tc>
      </w:tr>
      <w:tr>
        <w:tc>
          <w:tcPr>
            <w:tcW w:type="dxa" w:w="1440"/>
            <w:shd w:fill="C6EFCE" w:val="clear"/>
          </w:tcPr>
          <w:p>
            <w:r>
              <w:rPr>
                <w:sz w:val="17"/>
              </w:rPr>
              <w:t>J+7  ⭐</w:t>
            </w:r>
          </w:p>
        </w:tc>
        <w:tc>
          <w:tcPr>
            <w:tcW w:type="dxa" w:w="1440"/>
            <w:shd w:fill="C6EFCE" w:val="clear"/>
          </w:tcPr>
          <w:p>
            <w:r>
              <w:rPr>
                <w:sz w:val="17"/>
              </w:rPr>
              <w:t>2026-09-28</w:t>
            </w:r>
          </w:p>
        </w:tc>
        <w:tc>
          <w:tcPr>
            <w:tcW w:type="dxa" w:w="1440"/>
            <w:shd w:fill="C6EFCE" w:val="clear"/>
          </w:tcPr>
          <w:p>
            <w:r>
              <w:rPr>
                <w:sz w:val="17"/>
              </w:rPr>
              <w:t>3,030</w:t>
            </w:r>
          </w:p>
        </w:tc>
        <w:tc>
          <w:tcPr>
            <w:tcW w:type="dxa" w:w="1440"/>
            <w:shd w:fill="C6EFCE" w:val="clear"/>
          </w:tcPr>
          <w:p>
            <w:r>
              <w:rPr>
                <w:b/>
                <w:sz w:val="17"/>
              </w:rPr>
              <w:t>3,412</w:t>
            </w:r>
          </w:p>
        </w:tc>
        <w:tc>
          <w:tcPr>
            <w:tcW w:type="dxa" w:w="1440"/>
            <w:shd w:fill="C6EFCE" w:val="clear"/>
          </w:tcPr>
          <w:p>
            <w:r>
              <w:rPr>
                <w:sz w:val="17"/>
              </w:rPr>
              <w:t>3,795</w:t>
            </w:r>
          </w:p>
        </w:tc>
        <w:tc>
          <w:tcPr>
            <w:tcW w:type="dxa" w:w="1440"/>
            <w:shd w:fill="C6EFCE" w:val="clear"/>
          </w:tcPr>
          <w:p>
            <w:r>
              <w:rPr>
                <w:b/>
                <w:color w:val="008000"/>
                <w:sz w:val="17"/>
              </w:rPr>
              <w:t>+10.6%</w:t>
            </w:r>
          </w:p>
        </w:tc>
      </w:tr>
      <w:tr>
        <w:tc>
          <w:tcPr>
            <w:tcW w:type="dxa" w:w="1440"/>
            <w:shd w:fill="C6EFCE" w:val="clear"/>
          </w:tcPr>
          <w:p>
            <w:r>
              <w:rPr>
                <w:sz w:val="17"/>
              </w:rPr>
              <w:t>J+8  ⭐</w:t>
            </w:r>
          </w:p>
        </w:tc>
        <w:tc>
          <w:tcPr>
            <w:tcW w:type="dxa" w:w="1440"/>
            <w:shd w:fill="C6EFCE" w:val="clear"/>
          </w:tcPr>
          <w:p>
            <w:r>
              <w:rPr>
                <w:sz w:val="17"/>
              </w:rPr>
              <w:t>2026-09-29</w:t>
            </w:r>
          </w:p>
        </w:tc>
        <w:tc>
          <w:tcPr>
            <w:tcW w:type="dxa" w:w="1440"/>
            <w:shd w:fill="C6EFCE" w:val="clear"/>
          </w:tcPr>
          <w:p>
            <w:r>
              <w:rPr>
                <w:sz w:val="17"/>
              </w:rPr>
              <w:t>3,017</w:t>
            </w:r>
          </w:p>
        </w:tc>
        <w:tc>
          <w:tcPr>
            <w:tcW w:type="dxa" w:w="1440"/>
            <w:shd w:fill="C6EFCE" w:val="clear"/>
          </w:tcPr>
          <w:p>
            <w:r>
              <w:rPr>
                <w:b/>
                <w:sz w:val="17"/>
              </w:rPr>
              <w:t>3,421</w:t>
            </w:r>
          </w:p>
        </w:tc>
        <w:tc>
          <w:tcPr>
            <w:tcW w:type="dxa" w:w="1440"/>
            <w:shd w:fill="C6EFCE" w:val="clear"/>
          </w:tcPr>
          <w:p>
            <w:r>
              <w:rPr>
                <w:sz w:val="17"/>
              </w:rPr>
              <w:t>3,826</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60,47 milliards FCFA, SCRC se positionne comme une valeur de taille moyenne sur la cote BRVM, représentant un poids modéré dans l'indice composite. Le BPA ressort à -406 FCFA/action, traduisant une société en perte sur l'exercice 2025, ce qui rend le PER négatif (-7,6x) et donc non significatif pour une comparaison classique avec le PER moyen BRVM (8-12x) — les investisseurs ne paient pas pour des bénéfices inexistants, mais anticipent un redressement. Le ratio P/B de 3,51x indique que le marché valorise l'action à plus de trois fois sa valeur comptable (capitaux propres de 17,24 Mds FCFA pour 60,47 Mds de capitalisation), soit une prime de croissance significative qui contraste avec la fragilité financière actuelle. Enfin, l'EV/EBITDA de 10,2x situe la valeur totale de l'entreprise (incluant une dette nette lourde) à environ dix fois sa capacité opérationnelle, un niveau élevé qui intègre déjà une bonne part du potentiel de redressement attendu.</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SCRC affiche une progression spectaculaire de +53,48%, mais la dernière séance (J-1) marque un net repli de -5,95%, signalant une prise de profit ou un essoufflement de la dynamique haussière. Le cours actuel de 3 085 FCFA se situe dans la partie basse du range de trading établi entre 1 990 FCFA (plus bas) et 3 920 FCFA (plus haut), ce qui traduit une correction de près de 21% depuis le sommet. La tendance générale reste haussière sur la période, mais le momentum s'affaiblit nettement en fin de période. Les statistiques descriptives révèlent une moyenne de 3 101 FCFA légèrement inférieure à la médiane de 3 298 FCFA, confirmant une asymétrie négative (skewness de -0,732) avec davantage de journées passées au-dessus de la moyenne — le cours a donc tendance à stagner puis chuter brutalement. L'écart-type de 562 FCFA (CV de 18,1%) indique une dispersion modérée autour de la moyenne, tandis que le kurtosis de -0,778 (mésokurtique) suggère une distribution proche de la normale, sans risque extrême de pics violents. La volatilité annualisée de 54,7% classe le titre dans la catégorie des valeurs très volatiles (&gt;30%), ce qui implique un risque élevé et nécessite une tolérance importante aux fluctuations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(3 431,5 FCFA) et la MM50 (3 539,1 FCFA) se situent toutes deux nettement au-dessus du cours actuel (3 085 FCFA), confirmant une configuration baissière de court et moyen terme. Le prix évolue sous ses moyennes, ce qui valide la décision technique de **Vente** — la pression vendeuse domine et les rebonds techniques peinent à se matérialiser.</w:t>
      </w:r>
    </w:p>
    <w:p>
      <w:pPr>
        <w:spacing w:after="120" w:line="276" w:lineRule="auto"/>
      </w:pPr>
      <w:r>
        <w:t>**Bandes de Bollinger** : Le cours (3 085 FCFA) se situe sous la borne inférieure des Bandes de Bollinger (3 157,77 FCFA), ce qui constitue un signal de **survente** et justifie la décision d'**Achat** technique. Cette position hors bande suggère un potentiel rebond à court terme, mais la largeur des bandes (3705 - 3157 = 548 FCFA) traduit une volatilité encore élevée.</w:t>
      </w:r>
    </w:p>
    <w:p>
      <w:pPr>
        <w:spacing w:after="120" w:line="276" w:lineRule="auto"/>
      </w:pPr>
      <w:r>
        <w:t>**MACD** : La valeur du MACD (-70,245) est inférieure à sa ligne de signal (-30,496), avec un histogramme négatif, confirmant un momentum baissier. La divergence entre les deux lignes s'accentue, ce qui valide la décision de **Vente** — la dynamique négative n'est pas encore inversée.</w:t>
      </w:r>
    </w:p>
    <w:p>
      <w:pPr>
        <w:spacing w:after="120" w:line="276" w:lineRule="auto"/>
      </w:pPr>
      <w:r>
        <w:t>**RSI** : À 32,317, le RSI se situe juste au-dessus du seuil de survente (30), en zone **neutre** mais proche de la survente. Cette configuration indique que la pression baissière s'atténue progressivement, sans encore donner de signal d'achat clair — la décision reste **Neutre**.</w:t>
      </w:r>
    </w:p>
    <w:p>
      <w:pPr>
        <w:spacing w:after="120" w:line="276" w:lineRule="auto"/>
      </w:pPr>
      <w:r>
        <w:t>**Stochastique** : Les valeurs %K et %D sont toutes deux à 0,0, ce qui place l'indicateur en zone de **survente extrême**. Cette configuration est un signal d'**Achat** technique fort, suggérant qu'un rebond est imminent ou en cours de formation, même si le contexte baissier global tempère ce signal.</w:t>
      </w:r>
    </w:p>
    <w:p>
      <w:pPr>
        <w:spacing w:after="120" w:line="276" w:lineRule="auto"/>
      </w:pPr>
      <w:r>
        <w:t>**Conclusion technique** : Les indicateurs sont divergents — les moyennes mobiles et le MACD confirment une tendance baissière, tandis que les Bandes de Bollinger et le Stochastique signalent une survente extrême propice à un rebond technique. Le RSI neutre ne tranche pas. Dans ce contexte, le titre se trouve à un point d'inflexion potentiel : soit un rebond technique se matérialise (favorisé par la survente), soit la tendance baissière reprend après une brève consolidation.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brossent un tableau contrasté. Le chiffre d'affaires s'établit à 80,569 Mds FCFA, en recul de -7,6% par rapport à 2024 (87,219 Mds FCFA), traduisant une contraction de l'activité. Le résultat net est une perte de -7,954 Mds FCFA, contre un bénéfice de 2,474 Mds FCFA en 2024 — une dégradation spectaculaire de -421%. Le ROE est catastrophique à -46,13% (contre un seuil d'excellence de +15%) et le ROA à -5,08%, confirmant la destruction de valeur. La marge nette est de -9,87% et la marge opérationnelle de -0,68%, tandis que la marge brute résiste à 45,82%, preuve d'un bon contrôle des coûts d'achat. La structure financière est très dégradée : l'autonomie financière n'est que de 11,02% (seuil sain &gt;30%), le ratio d'endettement atteint 88,98% et la dépendance financière 492,21%. La trésorerie nette est négative à -6,505 Mds FCFA et le fonds de roulement négatif à -10,665 Mds FCFA, signe de tensions de liquidité. Le BFR est positif à 6,529 Mds FCFA (défavorable), avec un délai clients de 12,28 jours (correct) mais un délai fournisseurs de 366,07 jours (très élevé, ce qui est favorable à la trésorerie) et une durée de stockage de 360,73 jours (très élevée, immobilisant du capital). La capacité de remboursement est de 11,21 années, ce qui est préoccupant. Les rapports narratifs (datés du 31/12/2025, analysés en mai 2026) confirment cette analyse : l'explosion du coût de l'endettement (+262% à 6,79 Mds FCFA) et la chute du résultat opérationnel courant (-210 M FCFA contre +5,8 Mds en 2024) sont les principaux facteurs de la perte. Le rapport du S1 2025 (daté du 30/06/2025) indiquait déjà une perte nette de -6,71 Mds FCFA et un résultat d'exploitation négatif de -3,18 Mds FCFA, confirmant la tendance. **Estimation** : sur la base de ces éléments, l'exercice 2026 devrait rester sous pression, avec un possible retour à l'équilibre opérationnel si les investissements (25,2 Mds FCFA en 2025) portent leurs fruits, mais la lourdeur de la dette (84,87 Mds FCFA) et les charges financières (6,79 Mds FCFA) continueront de peser. La recommandation fondamentale est de **CONSERVER** avec une vigilance extrême, en attendant les résultats du S1 2026 pour évaluer la soutenabilité du redressement.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les signaux. La valorisation (Partie 0) est préoccupante : PER négatif, P/B de 3,51x (prime injustifiée au vu des pertes) et EV/EBITDA de 10,2x (élevé) suggèrent une surévaluation relative, le marché ayant déjà intégré un redressement hypothétique. Le comportement du cours (Partie 1) est mitigé : hausse de +53,48% sur 100 jours mais correction de -5,95% en J-1, avec une volatilité très élevée (54,7%) et une asymétrie négative (skewness -0,732) qui indique une tendance aux chutes brutales — préoccupant. Les signaux techniques (Partie 2) sont contradictoires : les moyennes mobiles et le MACD sont baissiers, mais les Bandes de Bollinger et le Stochastique signalent une survente extrême propice à un rebond à court terme. Les fondamentaux (Partie 3) sont très dégradés : perte nette de -7,95 Mds FCFA en 2025, ROE de -46,13%, endettement critique (88,98%) et trésorerie nette négative, même si la marge brute (45,82%) et les investissements massifs laissent entrevoir un potentiel à moyen terme. Les prédictions IA (J+1 à J+10) anticipent une reprise progressive de 3 188 FCFA à 3 385 FCFA, ce qui confirme le scénario d'un rebond technique à court terme, mais sans garantir une inversion durable de la tendance. **Recommandation finale : CONSERVER** — la convergence entre la survente technique et les prédictions haussières à court terme justifie de ne pas vendre immédiatement, mais la fragilité fondamentale (perte massive, endettement critique) et la surévaluation relative interdisent tout achat. Le niveau de confiance est **Moyen** (les signaux techniques et prédictifs sont clairs, mais les fondamentaux restent très incertains) et le niveau de risque global est **Élevé** (volatilité de 54,7%, endettement critique, pertes). L'horizon d'investissement optimal est le **court terme (&lt;3 mois)** pour profiter d'un éventuel rebond technique, avec une sortie rapide en cas de confirmation de la tendance baissière, ou le **moyen terme (3-12 mois)** pour les investisseurs patients misant sur la réussite du plan de redressement et la publication de résultats semestriels 2026 améliorés.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121.45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1,353 titres</w:t>
            </w:r>
          </w:p>
        </w:tc>
        <w:tc>
          <w:tcPr>
            <w:tcW w:type="dxa" w:w="2268"/>
            <w:shd w:fill="FFF2CC" w:val="clear"/>
          </w:tcPr>
          <w:p>
            <w:r>
              <w:rPr>
                <w:b/>
                <w:color w:val="503200"/>
                <w:sz w:val="16"/>
              </w:rPr>
              <w:t xml:space="preserve">Cours actuel : </w:t>
            </w:r>
            <w:r>
              <w:rPr>
                <w:color w:val="000000"/>
                <w:sz w:val="17"/>
              </w:rPr>
              <w:t>13,495 FCFA</w:t>
            </w:r>
          </w:p>
          <w:p>
            <w:r>
              <w:rPr>
                <w:b/>
                <w:color w:val="503200"/>
                <w:sz w:val="16"/>
              </w:rPr>
              <w:t xml:space="preserve">Var. 100 jours : </w:t>
            </w:r>
            <w:r>
              <w:rPr>
                <w:b/>
                <w:color w:val="007800"/>
                <w:sz w:val="17"/>
              </w:rPr>
              <w:t>+84.86%</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38.3%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12.22% (Moyenne) — μ=11,521 FCFA, σ=1,408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β=-0.1219 (Contre-cyclique) — Cov=-0.000004, Var(idx)=0.000035, ρ=-0.030,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σ_j=2.41%/j (Stable) — Vol. annualisée≈38.3%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13,101</w:t>
            </w:r>
          </w:p>
        </w:tc>
        <w:tc>
          <w:tcPr>
            <w:tcW w:type="dxa" w:w="1440"/>
            <w:shd w:fill="FAFAFA" w:val="clear"/>
          </w:tcPr>
          <w:p>
            <w:r>
              <w:rPr>
                <w:b/>
                <w:sz w:val="17"/>
              </w:rPr>
              <w:t>13,640</w:t>
            </w:r>
          </w:p>
        </w:tc>
        <w:tc>
          <w:tcPr>
            <w:tcW w:type="dxa" w:w="1440"/>
            <w:shd w:fill="FAFAFA" w:val="clear"/>
          </w:tcPr>
          <w:p>
            <w:r>
              <w:rPr>
                <w:sz w:val="17"/>
              </w:rPr>
              <w:t>14,178</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12,934</w:t>
            </w:r>
          </w:p>
        </w:tc>
        <w:tc>
          <w:tcPr>
            <w:tcW w:type="dxa" w:w="1440"/>
            <w:shd w:fill="FAFAFA" w:val="clear"/>
          </w:tcPr>
          <w:p>
            <w:r>
              <w:rPr>
                <w:b/>
                <w:sz w:val="17"/>
              </w:rPr>
              <w:t>13,699</w:t>
            </w:r>
          </w:p>
        </w:tc>
        <w:tc>
          <w:tcPr>
            <w:tcW w:type="dxa" w:w="1440"/>
            <w:shd w:fill="FAFAFA" w:val="clear"/>
          </w:tcPr>
          <w:p>
            <w:r>
              <w:rPr>
                <w:sz w:val="17"/>
              </w:rPr>
              <w:t>14,463</w:t>
            </w:r>
          </w:p>
        </w:tc>
        <w:tc>
          <w:tcPr>
            <w:tcW w:type="dxa" w:w="1440"/>
            <w:shd w:fill="FAFAFA" w:val="clear"/>
          </w:tcPr>
          <w:p>
            <w:r>
              <w:rPr>
                <w:b/>
                <w:color w:val="008000"/>
                <w:sz w:val="17"/>
              </w:rPr>
              <w:t>+1.5%</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12,813</w:t>
            </w:r>
          </w:p>
        </w:tc>
        <w:tc>
          <w:tcPr>
            <w:tcW w:type="dxa" w:w="1440"/>
            <w:shd w:fill="FAFAFA" w:val="clear"/>
          </w:tcPr>
          <w:p>
            <w:r>
              <w:rPr>
                <w:b/>
                <w:sz w:val="17"/>
              </w:rPr>
              <w:t>13,753</w:t>
            </w:r>
          </w:p>
        </w:tc>
        <w:tc>
          <w:tcPr>
            <w:tcW w:type="dxa" w:w="1440"/>
            <w:shd w:fill="FAFAFA" w:val="clear"/>
          </w:tcPr>
          <w:p>
            <w:r>
              <w:rPr>
                <w:sz w:val="17"/>
              </w:rPr>
              <w:t>14,694</w:t>
            </w:r>
          </w:p>
        </w:tc>
        <w:tc>
          <w:tcPr>
            <w:tcW w:type="dxa" w:w="1440"/>
            <w:shd w:fill="FAFAFA" w:val="clear"/>
          </w:tcPr>
          <w:p>
            <w:r>
              <w:rPr>
                <w:b/>
                <w:color w:val="008000"/>
                <w:sz w:val="17"/>
              </w:rPr>
              <w:t>+1.9%</w:t>
            </w:r>
          </w:p>
        </w:tc>
      </w:tr>
      <w:tr>
        <w:tc>
          <w:tcPr>
            <w:tcW w:type="dxa" w:w="1440"/>
            <w:shd w:fill="C6EFCE" w:val="clear"/>
          </w:tcPr>
          <w:p>
            <w:r>
              <w:rPr>
                <w:sz w:val="17"/>
              </w:rPr>
              <w:t>J+4  ⭐</w:t>
            </w:r>
          </w:p>
        </w:tc>
        <w:tc>
          <w:tcPr>
            <w:tcW w:type="dxa" w:w="1440"/>
            <w:shd w:fill="C6EFCE" w:val="clear"/>
          </w:tcPr>
          <w:p>
            <w:r>
              <w:rPr>
                <w:sz w:val="17"/>
              </w:rPr>
              <w:t>2026-09-23</w:t>
            </w:r>
          </w:p>
        </w:tc>
        <w:tc>
          <w:tcPr>
            <w:tcW w:type="dxa" w:w="1440"/>
            <w:shd w:fill="C6EFCE" w:val="clear"/>
          </w:tcPr>
          <w:p>
            <w:r>
              <w:rPr>
                <w:sz w:val="17"/>
              </w:rPr>
              <w:t>12,715</w:t>
            </w:r>
          </w:p>
        </w:tc>
        <w:tc>
          <w:tcPr>
            <w:tcW w:type="dxa" w:w="1440"/>
            <w:shd w:fill="C6EFCE" w:val="clear"/>
          </w:tcPr>
          <w:p>
            <w:r>
              <w:rPr>
                <w:b/>
                <w:sz w:val="17"/>
              </w:rPr>
              <w:t>13,805</w:t>
            </w:r>
          </w:p>
        </w:tc>
        <w:tc>
          <w:tcPr>
            <w:tcW w:type="dxa" w:w="1440"/>
            <w:shd w:fill="C6EFCE" w:val="clear"/>
          </w:tcPr>
          <w:p>
            <w:r>
              <w:rPr>
                <w:sz w:val="17"/>
              </w:rPr>
              <w:t>14,895</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2026-09-24</w:t>
            </w:r>
          </w:p>
        </w:tc>
        <w:tc>
          <w:tcPr>
            <w:tcW w:type="dxa" w:w="1440"/>
            <w:shd w:fill="C6EFCE" w:val="clear"/>
          </w:tcPr>
          <w:p>
            <w:r>
              <w:rPr>
                <w:sz w:val="17"/>
              </w:rPr>
              <w:t>12,628</w:t>
            </w:r>
          </w:p>
        </w:tc>
        <w:tc>
          <w:tcPr>
            <w:tcW w:type="dxa" w:w="1440"/>
            <w:shd w:fill="C6EFCE" w:val="clear"/>
          </w:tcPr>
          <w:p>
            <w:r>
              <w:rPr>
                <w:b/>
                <w:sz w:val="17"/>
              </w:rPr>
              <w:t>13,850</w:t>
            </w:r>
          </w:p>
        </w:tc>
        <w:tc>
          <w:tcPr>
            <w:tcW w:type="dxa" w:w="1440"/>
            <w:shd w:fill="C6EFCE" w:val="clear"/>
          </w:tcPr>
          <w:p>
            <w:r>
              <w:rPr>
                <w:sz w:val="17"/>
              </w:rPr>
              <w:t>15,073</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2026-09-25</w:t>
            </w:r>
          </w:p>
        </w:tc>
        <w:tc>
          <w:tcPr>
            <w:tcW w:type="dxa" w:w="1440"/>
            <w:shd w:fill="C6EFCE" w:val="clear"/>
          </w:tcPr>
          <w:p>
            <w:r>
              <w:rPr>
                <w:sz w:val="17"/>
              </w:rPr>
              <w:t>12,547</w:t>
            </w:r>
          </w:p>
        </w:tc>
        <w:tc>
          <w:tcPr>
            <w:tcW w:type="dxa" w:w="1440"/>
            <w:shd w:fill="C6EFCE" w:val="clear"/>
          </w:tcPr>
          <w:p>
            <w:r>
              <w:rPr>
                <w:b/>
                <w:sz w:val="17"/>
              </w:rPr>
              <w:t>13,890</w:t>
            </w:r>
          </w:p>
        </w:tc>
        <w:tc>
          <w:tcPr>
            <w:tcW w:type="dxa" w:w="1440"/>
            <w:shd w:fill="C6EFCE" w:val="clear"/>
          </w:tcPr>
          <w:p>
            <w:r>
              <w:rPr>
                <w:sz w:val="17"/>
              </w:rPr>
              <w:t>15,234</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2026-09-28</w:t>
            </w:r>
          </w:p>
        </w:tc>
        <w:tc>
          <w:tcPr>
            <w:tcW w:type="dxa" w:w="1440"/>
            <w:shd w:fill="C6EFCE" w:val="clear"/>
          </w:tcPr>
          <w:p>
            <w:r>
              <w:rPr>
                <w:sz w:val="17"/>
              </w:rPr>
              <w:t>12,468</w:t>
            </w:r>
          </w:p>
        </w:tc>
        <w:tc>
          <w:tcPr>
            <w:tcW w:type="dxa" w:w="1440"/>
            <w:shd w:fill="C6EFCE" w:val="clear"/>
          </w:tcPr>
          <w:p>
            <w:r>
              <w:rPr>
                <w:b/>
                <w:sz w:val="17"/>
              </w:rPr>
              <w:t>13,922</w:t>
            </w:r>
          </w:p>
        </w:tc>
        <w:tc>
          <w:tcPr>
            <w:tcW w:type="dxa" w:w="1440"/>
            <w:shd w:fill="C6EFCE" w:val="clear"/>
          </w:tcPr>
          <w:p>
            <w:r>
              <w:rPr>
                <w:sz w:val="17"/>
              </w:rPr>
              <w:t>15,377</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2026-09-29</w:t>
            </w:r>
          </w:p>
        </w:tc>
        <w:tc>
          <w:tcPr>
            <w:tcW w:type="dxa" w:w="1440"/>
            <w:shd w:fill="C6EFCE" w:val="clear"/>
          </w:tcPr>
          <w:p>
            <w:r>
              <w:rPr>
                <w:sz w:val="17"/>
              </w:rPr>
              <w:t>12,392</w:t>
            </w:r>
          </w:p>
        </w:tc>
        <w:tc>
          <w:tcPr>
            <w:tcW w:type="dxa" w:w="1440"/>
            <w:shd w:fill="C6EFCE" w:val="clear"/>
          </w:tcPr>
          <w:p>
            <w:r>
              <w:rPr>
                <w:b/>
                <w:sz w:val="17"/>
              </w:rPr>
              <w:t>13,950</w:t>
            </w:r>
          </w:p>
        </w:tc>
        <w:tc>
          <w:tcPr>
            <w:tcW w:type="dxa" w:w="1440"/>
            <w:shd w:fill="C6EFCE" w:val="clear"/>
          </w:tcPr>
          <w:p>
            <w:r>
              <w:rPr>
                <w:sz w:val="17"/>
              </w:rPr>
              <w:t>15,508</w:t>
            </w:r>
          </w:p>
        </w:tc>
        <w:tc>
          <w:tcPr>
            <w:tcW w:type="dxa" w:w="1440"/>
            <w:shd w:fill="C6EFCE" w:val="clear"/>
          </w:tcPr>
          <w:p>
            <w:r>
              <w:rPr>
                <w:b/>
                <w:color w:val="008000"/>
                <w:sz w:val="17"/>
              </w:rPr>
              <w:t>+3.4%</w:t>
            </w:r>
          </w:p>
        </w:tc>
      </w:tr>
      <w:tr>
        <w:tc>
          <w:tcPr>
            <w:tcW w:type="dxa" w:w="1440"/>
            <w:shd w:fill="C6EFCE" w:val="clear"/>
          </w:tcPr>
          <w:p>
            <w:r>
              <w:rPr>
                <w:sz w:val="17"/>
              </w:rPr>
              <w:t>J+9  ⭐</w:t>
            </w:r>
          </w:p>
        </w:tc>
        <w:tc>
          <w:tcPr>
            <w:tcW w:type="dxa" w:w="1440"/>
            <w:shd w:fill="C6EFCE" w:val="clear"/>
          </w:tcPr>
          <w:p>
            <w:r>
              <w:rPr>
                <w:sz w:val="17"/>
              </w:rPr>
              <w:t>2026-09-30</w:t>
            </w:r>
          </w:p>
        </w:tc>
        <w:tc>
          <w:tcPr>
            <w:tcW w:type="dxa" w:w="1440"/>
            <w:shd w:fill="C6EFCE" w:val="clear"/>
          </w:tcPr>
          <w:p>
            <w:r>
              <w:rPr>
                <w:sz w:val="17"/>
              </w:rPr>
              <w:t>12,317</w:t>
            </w:r>
          </w:p>
        </w:tc>
        <w:tc>
          <w:tcPr>
            <w:tcW w:type="dxa" w:w="1440"/>
            <w:shd w:fill="C6EFCE" w:val="clear"/>
          </w:tcPr>
          <w:p>
            <w:r>
              <w:rPr>
                <w:b/>
                <w:sz w:val="17"/>
              </w:rPr>
              <w:t>13,972</w:t>
            </w:r>
          </w:p>
        </w:tc>
        <w:tc>
          <w:tcPr>
            <w:tcW w:type="dxa" w:w="1440"/>
            <w:shd w:fill="C6EFCE" w:val="clear"/>
          </w:tcPr>
          <w:p>
            <w:r>
              <w:rPr>
                <w:sz w:val="17"/>
              </w:rPr>
              <w:t>15,626</w:t>
            </w:r>
          </w:p>
        </w:tc>
        <w:tc>
          <w:tcPr>
            <w:tcW w:type="dxa" w:w="1440"/>
            <w:shd w:fill="C6EFCE" w:val="clear"/>
          </w:tcPr>
          <w:p>
            <w:r>
              <w:rPr>
                <w:b/>
                <w:color w:val="008000"/>
                <w:sz w:val="17"/>
              </w:rPr>
              <w:t>+3.5%</w:t>
            </w:r>
          </w:p>
        </w:tc>
      </w:tr>
      <w:tr>
        <w:tc>
          <w:tcPr>
            <w:tcW w:type="dxa" w:w="1440"/>
            <w:shd w:fill="C6EFCE" w:val="clear"/>
          </w:tcPr>
          <w:p>
            <w:r>
              <w:rPr>
                <w:sz w:val="17"/>
              </w:rPr>
              <w:t>J+10  ⭐</w:t>
            </w:r>
          </w:p>
        </w:tc>
        <w:tc>
          <w:tcPr>
            <w:tcW w:type="dxa" w:w="1440"/>
            <w:shd w:fill="C6EFCE" w:val="clear"/>
          </w:tcPr>
          <w:p>
            <w:r>
              <w:rPr>
                <w:sz w:val="17"/>
              </w:rPr>
              <w:t>2026-10-01</w:t>
            </w:r>
          </w:p>
        </w:tc>
        <w:tc>
          <w:tcPr>
            <w:tcW w:type="dxa" w:w="1440"/>
            <w:shd w:fill="C6EFCE" w:val="clear"/>
          </w:tcPr>
          <w:p>
            <w:r>
              <w:rPr>
                <w:sz w:val="17"/>
              </w:rPr>
              <w:t>12,241</w:t>
            </w:r>
          </w:p>
        </w:tc>
        <w:tc>
          <w:tcPr>
            <w:tcW w:type="dxa" w:w="1440"/>
            <w:shd w:fill="C6EFCE" w:val="clear"/>
          </w:tcPr>
          <w:p>
            <w:r>
              <w:rPr>
                <w:b/>
                <w:sz w:val="17"/>
              </w:rPr>
              <w:t>13,987</w:t>
            </w:r>
          </w:p>
        </w:tc>
        <w:tc>
          <w:tcPr>
            <w:tcW w:type="dxa" w:w="1440"/>
            <w:shd w:fill="C6EFCE" w:val="clear"/>
          </w:tcPr>
          <w:p>
            <w:r>
              <w:rPr>
                <w:sz w:val="17"/>
              </w:rPr>
              <w:t>15,734</w:t>
            </w:r>
          </w:p>
        </w:tc>
        <w:tc>
          <w:tcPr>
            <w:tcW w:type="dxa" w:w="1440"/>
            <w:shd w:fill="C6EFCE" w:val="clear"/>
          </w:tcPr>
          <w:p>
            <w:r>
              <w:rPr>
                <w:b/>
                <w:color w:val="008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121,45 milliards FCFA, SDCC se positionne parmi les valeurs de taille intermédiaire à supérieure de la cote BRVM, ce qui traduit une certaine maturité et une liquidité relative sur le marché régional. Le BPA de 518 FCFA/action indique que chaque titre génère un bénéfice net de 518 FCFA, un niveau appréciable qui, rapporté au cours actuel de 13 495 FCFA, donne un PER de 26,0x — soit un multiple nettement supérieur à la moyenne du marché BRVM (8-12x), signalant que les investisseurs anticipent une croissance future ou, à l'inverse, que le titre est surévalué. Le ratio P/B de 6,16x confirme cette prime exigeante : le marché valorise SDCC à plus de six fois sa valeur comptable, ce qui est élevé pour une entreprise de services publics à marges nettes modestes (2,46%). Enfin, l'EV/EBITDA de 15,1x, supérieur au seuil de 15x, traduit une valorisation tendue par rapport à la capacité opérationnelle de génération de cash, ce qui invite à la prudence malgré la qualité du dossier.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 enregistré une performance spectaculaire de +84,86%, avec une dernière séance en légère hausse de +0,71%, portant le cours à 13 495 FCFA. Le range de trading est particulièrement large, oscillant entre un plus bas de 7 200 FCFA et un plus haut de 13 885 FCFA, ce qui témoigne d'une tendance haussière puissante et d'une forte appréciation du titre sur la période. La moyenne du cours (11 521 FCFA) est inférieure à la médiane (11 900 FCFA), ce qui indique une distribution asymétrique avec une concentration des cours sur des niveaux élevés en fin de période, confirmée par un skewness négatif de -1,214 (plus de journées au-dessus de la moyenne). L'écart-type de 1 415 FCFA et le coefficient de variation de 12,3% révèlent une dispersion modérée du cours autour de sa moyenne, tandis que le kurtosis de 1,550 (leptokurtique) signale des queues épaisses, donc un risque de pics de volatilité brutaux. Avec une volatilité annualisée de 38,3%, SDCC se classe dans la catégorie des titres à volatilité élevée (&gt;30%), ce qui implique un risque significatif pour les investisseurs à court terme, mais aussi des opportunités de trading.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(13 069,25 FCFA) et la MM50 (12 283,3 FCFA) sont toutes deux inférieures au cours actuel (13 495 FCFA), et la MM20 est au-dessus de la MM50, configurant un croisement haussier classique. Cette configuration confirme une dynamique positive à court et moyen terme, justifiant la décision technique d'**Achat**.</w:t>
      </w:r>
    </w:p>
    <w:p>
      <w:pPr>
        <w:spacing w:after="120" w:line="276" w:lineRule="auto"/>
      </w:pPr>
      <w:r>
        <w:t>**Bandes de Bollinger** : Le cours actuel (13 495 FCFA) se situe entre la borne inférieure (11 941,08 FCFA) et la borne supérieure (14 197,42 FCFA), plus proche de la borne haute, ce qui indique une pression acheteuse sans surachat extrême. La largeur des bandes reflète une volatilité élevée, et la décision **Neutre** suggère une absence de signal directionnel fort à court terme.</w:t>
      </w:r>
    </w:p>
    <w:p>
      <w:pPr>
        <w:spacing w:after="120" w:line="276" w:lineRule="auto"/>
      </w:pPr>
      <w:r>
        <w:t>**MACD** : La valeur du MACD (379,897) est légèrement inférieure à son signal (383,272), générant un croisement baissier marginal. Ce signal de **Vente** indique un essoufflement du momentum haussier, bien que l'écart très faible entre les deux lignes suggère une tendance fragile plutôt qu'un retournement franc.</w:t>
      </w:r>
    </w:p>
    <w:p>
      <w:pPr>
        <w:spacing w:after="120" w:line="276" w:lineRule="auto"/>
      </w:pPr>
      <w:r>
        <w:t>**RSI** : À 56,809, le RSI se situe en zone neutre (30-70), sans surachat ni survente. Cette position médiane confirme la décision **Neutre** et indique que le titre dispose encore d'un potentiel de hausse sans être techniquement épuisé.</w:t>
      </w:r>
    </w:p>
    <w:p>
      <w:pPr>
        <w:spacing w:after="120" w:line="276" w:lineRule="auto"/>
      </w:pPr>
      <w:r>
        <w:t>**Stochastique** : Le %K (65,639) est inférieur au %D (74,302), ce qui constitue un croisement baissier potentiel, bien que les deux lignes restent en zone neutre-haute. La décision **Neutre** reflète cette absence de signal clair, avec une légère pression vendeuse à surveiller.</w:t>
      </w:r>
    </w:p>
    <w:p>
      <w:pPr>
        <w:spacing w:after="120" w:line="276" w:lineRule="auto"/>
      </w:pPr>
      <w:r>
        <w:t>**Conclusion technique** : Les indicateurs techniques présentent une configuration mitigée : les moyennes mobiles confirment la tendance haussière de fond, mais le MACD et le stochastique émettent des signaux baissiers marginaux, tandis que le RSI et les bandes de Bollinger restent neutres. Cette divergence suggère une phase de consolidation ou de prise de bénéfices après la forte hausse de 84,86%, avec un support dynamique à surveiller autour de la MM20 (13 069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SDCC a réalisé un chiffre d'affaires de 189,43 milliards FCFA, en croissance de 9,98% par rapport à 2024, porté par la dynamique des ventes d'eau et l'augmentation du nombre de clients (+6,14% à 2,27 millions). Le résultat net s'établit à 4,663 milliards FCFA, en hausse de 31%, avec une marge nette de 2,46% et un ROE de 23,65% — un niveau excellent (&gt;15%) qui témoigne d'une forte rentabilité des fonds propres malgré des marges opérationnelles modestes (4,81%). Le ROA de 0,99% reste faible, reflétant l'intensité capitalistique du secteur. La structure financière est préoccupante : l'autonomie financière n'est que de 4,17% (très en dessous du seuil sain de 30%), avec un ratio d'endettement de 95,83% et une trésorerie nette négative de -61,71 milliards FCFA. Le BFR de 104,75 milliards FCFA et le délai client de 749 jours (plus de deux ans !) constituent un risque majeur de trésorerie, bien que le taux de recouvrement de 95,85% atténue partiellement ce risque. Le flux opérationnel négatif de -36,66 milliards FCFA et le Free Cash Flow de -38,50 milliards FCFA confirment les tensions de liquidité, malgré une CAF solide de 17,84 milliards FCFA.</w:t>
      </w:r>
    </w:p>
    <w:p>
      <w:pPr>
        <w:spacing w:after="120" w:line="276" w:lineRule="auto"/>
      </w:pPr>
      <w:r>
        <w:t>**Estimations basées sur les rapports trimestriels** : Le rapport T1 2026 (publié en 2026) fait état d'un chiffre d'affaires de 40,916 milliards FCFA, en léger repli de -2%, mais d'un résultat net en bond spectaculaire de +118% à 1,318 milliard FCFA, avec un résultat d'exploitation multiplié par 2,5 à 2,73 milliards FCFA. Cette amélioration de la rentabilité opérationnelle, portée par une meilleure maîtrise des charges, suggère que l'exercice 2026 pourrait surpasser les performances de 2025 en termes de profitabilité, même si le CA reste sous pression. Le rapport S1 2025 (daté du 30/06/2025) indiquait un CA de 82,3 milliards FCFA (-0,4%) et un résultat net de 1,355 milliard FCFA (-24%), mais le T1 2026 marque une nette inversion de tendance. Le dividende proposé pour 2025 est de 525 FCFA/action, offrant un rendement d'environ 3,9% au cours actuel, ce qui est attractif mais nécessite une vigilance sur la soutenabilité compte tenu des tensions de trésorerie.</w:t>
      </w:r>
    </w:p>
    <w:p>
      <w:pPr>
        <w:spacing w:after="120" w:line="276" w:lineRule="auto"/>
      </w:pPr>
      <w:r>
        <w:t>**Recommandation fondamentale** : SDCC présente un profil contrasté : une rentabilité des fonds propres excellente (ROE 23,65%), une croissance du CA et du résultat net en 2025, et une amélioration spectaculaire de la rentabilité opérationnelle au T1 2026. Cependant, la structure financière est fragile (autonomie financière de 4,17%, endettement élevé, trésorerie nette négative) et le délai client de 749 jours constitue un risque systémique. La recommandation fondamentale est **CONSERVER**, avec une surveillance accrue des indicateurs de trésorerie et de recouvrement.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le PER de 26,0x, le P/B de 6,16x et l'EV/EBITDA de 15,1x traduisent une prime significative par rapport aux moyennes du marché BRVM, ce qui intègre déjà une bonne partie des anticipations de croissance et laisse peu de marge d'erreur. Le comportement du cours sur 100 jours est exceptionnellement haussier (+84,86%), mais la volatilité annualisée de 38,3% et le kurtosis leptokurtique (1,550) signalent un risque de correction brutale, tandis que le skewness négatif (-1,214) indique une asymétrie défavorable aux acheteurs tardifs. Les signaux techniques sont mitigés : les moyennes mobiles confirment la tendance haussière, mais le MACD et le stochastique émettent des signaux baissiers marginaux, et le RSI reste neutre — une divergence qui plaide pour une consolidation. Les fondamentaux sont solides sur la rentabilité (ROE 23,65%, résultat net +31% en 2025, T1 2026 en forte amélioration), mais fragiles sur la structure financière (autonomie de 4,17%, trésorerie nette de -61,71 milliards FCFA, délai client de 749 jours). Les prédictions IA (J+1 à J+10) tablent sur une poursuite de la hausse modérée, de 13 640 FCFA à 13 850 FCFA, ce qui confirme la tendance de fond mais sans emballement. **Recommandation finale : CONSERVER**, avec un niveau de confiance **Moyen** et un risque global **Élevé**. La convergence entre la tendance haussière, les fondamentaux en amélioration et les prédictions positives est tempérée par la valorisation tendue et les risques de trésorerie. L'horizon d'investissement optimal est le **moyen terme (3-12 mois)**, en surveillant de près les prochains rapports trimestriels (T2 2026) et l'évolution du BFR et de la trésorerie nette.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162.76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18,365 titres</w:t>
            </w:r>
          </w:p>
        </w:tc>
        <w:tc>
          <w:tcPr>
            <w:tcW w:type="dxa" w:w="2268"/>
            <w:shd w:fill="FFF2CC" w:val="clear"/>
          </w:tcPr>
          <w:p>
            <w:r>
              <w:rPr>
                <w:b/>
                <w:color w:val="503200"/>
                <w:sz w:val="16"/>
              </w:rPr>
              <w:t xml:space="preserve">Cours actuel : </w:t>
            </w:r>
            <w:r>
              <w:rPr>
                <w:color w:val="000000"/>
                <w:sz w:val="17"/>
              </w:rPr>
              <w:t>2,990 FCFA</w:t>
            </w:r>
          </w:p>
          <w:p>
            <w:r>
              <w:rPr>
                <w:b/>
                <w:color w:val="503200"/>
                <w:sz w:val="16"/>
              </w:rPr>
              <w:t xml:space="preserve">Var. 100 jours : </w:t>
            </w:r>
            <w:r>
              <w:rPr>
                <w:b/>
                <w:color w:val="007800"/>
                <w:sz w:val="17"/>
              </w:rPr>
              <w:t>+59.89%</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19.01% (Élevée) — μ=2,378 FCFA, σ=452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β=0.7157 (Défensif) — Cov=0.000025, Var(idx)=0.000035,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18,365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2,823</w:t>
            </w:r>
          </w:p>
        </w:tc>
        <w:tc>
          <w:tcPr>
            <w:tcW w:type="dxa" w:w="1440"/>
            <w:shd w:fill="FAFAFA" w:val="clear"/>
          </w:tcPr>
          <w:p>
            <w:r>
              <w:rPr>
                <w:b/>
                <w:sz w:val="17"/>
              </w:rPr>
              <w:t>2,989</w:t>
            </w:r>
          </w:p>
        </w:tc>
        <w:tc>
          <w:tcPr>
            <w:tcW w:type="dxa" w:w="1440"/>
            <w:shd w:fill="FAFAFA" w:val="clear"/>
          </w:tcPr>
          <w:p>
            <w:r>
              <w:rPr>
                <w:sz w:val="17"/>
              </w:rPr>
              <w:t>3,155</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2,762</w:t>
            </w:r>
          </w:p>
        </w:tc>
        <w:tc>
          <w:tcPr>
            <w:tcW w:type="dxa" w:w="1440"/>
            <w:shd w:fill="FAFAFA" w:val="clear"/>
          </w:tcPr>
          <w:p>
            <w:r>
              <w:rPr>
                <w:b/>
                <w:sz w:val="17"/>
              </w:rPr>
              <w:t>2,998</w:t>
            </w:r>
          </w:p>
        </w:tc>
        <w:tc>
          <w:tcPr>
            <w:tcW w:type="dxa" w:w="1440"/>
            <w:shd w:fill="FAFAFA" w:val="clear"/>
          </w:tcPr>
          <w:p>
            <w:r>
              <w:rPr>
                <w:sz w:val="17"/>
              </w:rPr>
              <w:t>3,233</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2,716</w:t>
            </w:r>
          </w:p>
        </w:tc>
        <w:tc>
          <w:tcPr>
            <w:tcW w:type="dxa" w:w="1440"/>
            <w:shd w:fill="FAFAFA" w:val="clear"/>
          </w:tcPr>
          <w:p>
            <w:r>
              <w:rPr>
                <w:b/>
                <w:sz w:val="17"/>
              </w:rPr>
              <w:t>3,005</w:t>
            </w:r>
          </w:p>
        </w:tc>
        <w:tc>
          <w:tcPr>
            <w:tcW w:type="dxa" w:w="1440"/>
            <w:shd w:fill="FAFAFA" w:val="clear"/>
          </w:tcPr>
          <w:p>
            <w:r>
              <w:rPr>
                <w:sz w:val="17"/>
              </w:rPr>
              <w:t>3,294</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2,675</w:t>
            </w:r>
          </w:p>
        </w:tc>
        <w:tc>
          <w:tcPr>
            <w:tcW w:type="dxa" w:w="1440"/>
            <w:shd w:fill="FAFAFA" w:val="clear"/>
          </w:tcPr>
          <w:p>
            <w:r>
              <w:rPr>
                <w:b/>
                <w:sz w:val="17"/>
              </w:rPr>
              <w:t>3,009</w:t>
            </w:r>
          </w:p>
        </w:tc>
        <w:tc>
          <w:tcPr>
            <w:tcW w:type="dxa" w:w="1440"/>
            <w:shd w:fill="FAFAFA" w:val="clear"/>
          </w:tcPr>
          <w:p>
            <w:r>
              <w:rPr>
                <w:sz w:val="17"/>
              </w:rPr>
              <w:t>3,343</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2,637</w:t>
            </w:r>
          </w:p>
        </w:tc>
        <w:tc>
          <w:tcPr>
            <w:tcW w:type="dxa" w:w="1440"/>
            <w:shd w:fill="FAFAFA" w:val="clear"/>
          </w:tcPr>
          <w:p>
            <w:r>
              <w:rPr>
                <w:b/>
                <w:sz w:val="17"/>
              </w:rPr>
              <w:t>3,011</w:t>
            </w:r>
          </w:p>
        </w:tc>
        <w:tc>
          <w:tcPr>
            <w:tcW w:type="dxa" w:w="1440"/>
            <w:shd w:fill="FAFAFA" w:val="clear"/>
          </w:tcPr>
          <w:p>
            <w:r>
              <w:rPr>
                <w:sz w:val="17"/>
              </w:rPr>
              <w:t>3,385</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2,602</w:t>
            </w:r>
          </w:p>
        </w:tc>
        <w:tc>
          <w:tcPr>
            <w:tcW w:type="dxa" w:w="1440"/>
            <w:shd w:fill="FAFAFA" w:val="clear"/>
          </w:tcPr>
          <w:p>
            <w:r>
              <w:rPr>
                <w:b/>
                <w:sz w:val="17"/>
              </w:rPr>
              <w:t>3,012</w:t>
            </w:r>
          </w:p>
        </w:tc>
        <w:tc>
          <w:tcPr>
            <w:tcW w:type="dxa" w:w="1440"/>
            <w:shd w:fill="FAFAFA" w:val="clear"/>
          </w:tcPr>
          <w:p>
            <w:r>
              <w:rPr>
                <w:sz w:val="17"/>
              </w:rPr>
              <w:t>3,422</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2,570</w:t>
            </w:r>
          </w:p>
        </w:tc>
        <w:tc>
          <w:tcPr>
            <w:tcW w:type="dxa" w:w="1440"/>
            <w:shd w:fill="FAFAFA" w:val="clear"/>
          </w:tcPr>
          <w:p>
            <w:r>
              <w:rPr>
                <w:b/>
                <w:sz w:val="17"/>
              </w:rPr>
              <w:t>3,013</w:t>
            </w:r>
          </w:p>
        </w:tc>
        <w:tc>
          <w:tcPr>
            <w:tcW w:type="dxa" w:w="1440"/>
            <w:shd w:fill="FAFAFA" w:val="clear"/>
          </w:tcPr>
          <w:p>
            <w:r>
              <w:rPr>
                <w:sz w:val="17"/>
              </w:rPr>
              <w:t>3,455</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2,540</w:t>
            </w:r>
          </w:p>
        </w:tc>
        <w:tc>
          <w:tcPr>
            <w:tcW w:type="dxa" w:w="1440"/>
            <w:shd w:fill="FAFAFA" w:val="clear"/>
          </w:tcPr>
          <w:p>
            <w:r>
              <w:rPr>
                <w:b/>
                <w:sz w:val="17"/>
              </w:rPr>
              <w:t>3,013</w:t>
            </w:r>
          </w:p>
        </w:tc>
        <w:tc>
          <w:tcPr>
            <w:tcW w:type="dxa" w:w="1440"/>
            <w:shd w:fill="FAFAFA" w:val="clear"/>
          </w:tcPr>
          <w:p>
            <w:r>
              <w:rPr>
                <w:sz w:val="17"/>
              </w:rPr>
              <w:t>3,487</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2,512</w:t>
            </w:r>
          </w:p>
        </w:tc>
        <w:tc>
          <w:tcPr>
            <w:tcW w:type="dxa" w:w="1440"/>
            <w:shd w:fill="FAFAFA" w:val="clear"/>
          </w:tcPr>
          <w:p>
            <w:r>
              <w:rPr>
                <w:b/>
                <w:sz w:val="17"/>
              </w:rPr>
              <w:t>3,014</w:t>
            </w:r>
          </w:p>
        </w:tc>
        <w:tc>
          <w:tcPr>
            <w:tcW w:type="dxa" w:w="1440"/>
            <w:shd w:fill="FAFAFA" w:val="clear"/>
          </w:tcPr>
          <w:p>
            <w:r>
              <w:rPr>
                <w:sz w:val="17"/>
              </w:rPr>
              <w:t>3,516</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2,485</w:t>
            </w:r>
          </w:p>
        </w:tc>
        <w:tc>
          <w:tcPr>
            <w:tcW w:type="dxa" w:w="1440"/>
            <w:shd w:fill="FAFAFA" w:val="clear"/>
          </w:tcPr>
          <w:p>
            <w:r>
              <w:rPr>
                <w:b/>
                <w:sz w:val="17"/>
              </w:rPr>
              <w:t>3,014</w:t>
            </w:r>
          </w:p>
        </w:tc>
        <w:tc>
          <w:tcPr>
            <w:tcW w:type="dxa" w:w="1440"/>
            <w:shd w:fill="FAFAFA" w:val="clear"/>
          </w:tcPr>
          <w:p>
            <w:r>
              <w:rPr>
                <w:sz w:val="17"/>
              </w:rPr>
              <w:t>3,544</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Secteur : Logistique &amp; Transport**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162,76 Mds FCFA, SDSC figure parmi les valeurs moyennes-capitalisations de la cote BRVM, ce qui lui confère une liquidité relative mais un poids non négligeable dans l'indice sectoriel. Le BPA de 387 FCFA/action indique ce que chaque titre rapporte en bénéfice, mais ce chiffre est calculé sur l'exercice 2024, année exceptionnellement profitable (résultat net de 21,07 Mds FCFA) qui ne reflète plus la réalité de 2025 (résultat net effondré à 0,78 Md FCFA). Le PER de 7,7x, inférieur à la moyenne BRVM (8-12x), suggère une sous-évaluation apparente, mais ce ratio est trompeur car il repose sur des bénéfices passés non récurrents — rapporté au résultat 2025, le PER réel dépasserait 200x. Le P/B de 2,09x traduit une prime de croissance accordée par le marché (valorisation à 2 fois les fonds propres), tandis que l'EV/EBITDA de 35,1x est très exigeant et signale que la valeur d'entreprise intègre des anticipations de redressement opérationnel non encore matérialisées.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spectaculaire de +59,89%, portée par un fort momentum haussier, même si la dernière séance (J-1) marque une correction de -3,08% à 2 990 FCFA. Le range de trading est très large, entre un plus bas de 1 650 FCFA et un plus haut de 3 205 FCFA, soit une amplitude de plus de 94%, témoignant d'une forte volatilité directionnelle. La tendance générale est clairement haussière, le cours actuel (2 990 FCFA) se situant dans le haut du range, non loin du sommet historique récent. Les statistiques descriptives révèlent une moyenne (2 378 FCFA) inférieure à la médiane (2 448 FCFA), signe d'une légère asymétrie négative confirmée par le skewness de -0,133 (distribution quasi-symétrique mais avec une queue gauche plus épaisse, indiquant quelques séances de forte baisse). L'écart-type de 454 FCFA et le coefficient de variation de 19,1% traduisent une dispersion modérée du cours autour de sa moyenne. Le kurtosis de -1,214 (distribution platykurtique) indique une faible concentration des rendements et un risque de pics extrêmes plus limité qu'une loi normale, ce qui est rassurant. La volatilité annualisée de 51,6% classe le titre dans la catégorie des valeurs à volatilité élevée (&gt;30%), ce qui implique un risque de marché important et justifie une gestion prudente de la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(2 933,5 FCFA) et la MM50 (2 740,2 FCFA) sont toutes deux inférieures au cours actuel (2 990 FCFA), et la MM20 se situe au-dessus de la MM50, configurant un croisement haussier classique. Cette configuration en « golden cross » confirme la dynamique positive de court et moyen terme, justifiant la décision d'achat.</w:t>
      </w:r>
    </w:p>
    <w:p>
      <w:pPr>
        <w:spacing w:after="120" w:line="276" w:lineRule="auto"/>
      </w:pPr>
      <w:r>
        <w:t>**Bandes de Bollinger** : Le cours (2 990 FCFA) évolue dans la partie haute de la bande, entre la borne inférieure (2 560,855 FCFA) et la borne supérieure (3 306,145 FCFA), sans la franchir. Cette position médiane-haute, combinée à un écartement modéré des bandes, traduit une volatilité contenue et une absence de signal de surachat extrême, d'où la décision neutre.</w:t>
      </w:r>
    </w:p>
    <w:p>
      <w:pPr>
        <w:spacing w:after="120" w:line="276" w:lineRule="auto"/>
      </w:pPr>
      <w:r>
        <w:t>**MACD** : La valeur du MACD (103,218) est inférieure à son signal (111,556), générant un croisement baissier qui indique un essoufflement du momentum haussier. Cette divergence négative, bien que modérée, justifie la décision de vente technique à court terme et appelle à la prudence sur les points d'entrée.</w:t>
      </w:r>
    </w:p>
    <w:p>
      <w:pPr>
        <w:spacing w:after="120" w:line="276" w:lineRule="auto"/>
      </w:pPr>
      <w:r>
        <w:t>**RSI** : À 61,765, le RSI se situe en zone neutre-haute, sans atteindre le seuil de surachat (70). Cette configuration indique que le titre conserve un potentiel de hausse mais approche de zones où la pression acheteuse pourrait s'épuiser, justifiant une décision neutre.</w:t>
      </w:r>
    </w:p>
    <w:p>
      <w:pPr>
        <w:spacing w:after="120" w:line="276" w:lineRule="auto"/>
      </w:pPr>
      <w:r>
        <w:t>**Stochastique** : Le %K (46,914) est inférieur au %D (61,525), signalant un croisement baissier en zone médiane. Cette configuration suggère une perte de momentum à court terme et un possible retournement local, bien que l'absence de zone de survente limite la portée du signal — décision neutre.</w:t>
      </w:r>
    </w:p>
    <w:p>
      <w:pPr>
        <w:spacing w:after="120" w:line="276" w:lineRule="auto"/>
      </w:pPr>
      <w:r>
        <w:t>**Conclusion technique** : Les indicateurs présentent un tableau mitigé. Les moyennes mobiles confirment la tendance haussière de fond, mais le MACD baissier, le stochastique en croisement négatif et la correction de J-1 (-3,08%) signalent un essoufflement à court terme. Le RSI et les Bollinger en zone neutre n'offrent pas de signal directionnel fort. La convergence partielle plaide pour une consolidation avant une éventuelle reprise, avec un support clé à surveiller autour de la MM20 (2 933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dressent le portrait d'une entreprise solide mais dont la rentabilité s'est depuis fortement dégradée. En 2024, le chiffre d'affaires s'établissait à 85,643 Mds FCFA, pour un résultat net de 21,069 Mds FCFA, soit une marge nette exceptionnelle de 24,60% et un ROE de 27,08% (largement supérieur au seuil de 15% considéré comme excellent), avec un ROA de 11,20%. La structure financière était saine : autonomie financière de 41,36%, solvabilité générale de 170,53% et liquidité générale de 132,84%. Toutefois, deux points d'alerte majeurs ressortaient déjà : un délai clients très élevé de 466,94 jours (risque de trésorerie important) et un BFR de 17,874 Mds FCFA, bien que le fonds de roulement (33,491 Mds FCFA) couvre largement ce besoin. Le rapport annuel 2025 (états financiers provisoires au 31/12/2025, analysé le 05/08/2026) révèle un retournement brutal : le CA progresse de +7,43% à 92,004 Mds FCFA, mais le résultat net s'effondre de 96% à seulement 0,785 Md FCFA, avec une marge nette de 0,85% et un résultat d'exploitation négatif de -2,271 Mds FCFA. Cette dégradation s'explique par la hausse des dotations aux amortissements (+41%) et des charges de personnel, le résultat net positif étant uniquement sauvé par le résultat financier (7,080 Mds FCFA, en baisse de 66%). Le rapport du T3 2025 (30/09/2025) confirme cette tendance avec un résultat net trimestriel de 4,341 Mds FCFA en chute de 77%, attribuée à la baisse des dividendes reçus des filiales — un revenu non récurrent et volatil. Le rapport du S1 2025 (30/06/2025) faisait déjà état d'un résultat net négatif de -427 M FCFA et d'un résultat d'exploitation déficitaire de -662 M FCFA. Sur la base de ces rapports trimestriels, on estime que l'exercice 2026 devrait rester sous pression : la croissance du CA (+6,2% au T1 2025, +4,2% au S1, +7,4% au T3) demeure soutenue par la campagne cacao et le cajou, mais la rentabilité opérationnelle ne se redressera que si les charges (personnel, amortissements) sont maîtrisées et si les dividendes des filiales reprennent. La solidité du bilan (trésorerie nette de 74,78 Mds FCFA en 2025, capitaux propres de 73,55 Mds FCFA) constitue un amortisseur, mais la réduction drastique du dividende (544 M FCFA proposés contre 5 008 M FCFA au titre de 2024, soit -89%) pénalise l'attrait du titre. En conclusion, la recommandation fondamentale est de **CONSERVER** : la société reste solvable et bénéficie d'une croissance de son activité, mais la dégradation de la rentabilité opérationnelle, la volatilité des revenus financiers et la faiblesse du dividende imposent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La valorisation (Partie 0) affiche un PER de 7,7x et un P/B de 2,09x qui pourraient suggérer une sous-évaluation, mais ces ratios sont biaisés par des bénéfices 2024 non récurrents ; l'EV/EBITDA de 35,1x trahit au contraire une valorisation exigeante au regard de la capacité opérationnelle actuelle. Le comportement du cours (Partie 1) est nettement haussier (+59,89% sur 100 jours) avec une volatilité élevée (51,6%) et une distribution platykurtique (kurtosis -1,214) qui limite le risque de pics extrêmes, mais la correction de J-1 (-3,08%) et la position haute dans le range invitent à la prudence. Les signaux techniques (Partie 2) sont mitigés : les moyennes mobiles confirment la tendance haussière, mais le MACD baissier et le stochastique en croisement négatif signalent un essoufflement à court terme, plaidant pour une consolidation. Les fondamentaux (Partie 3) sont préoccupants : malgré un CA en croissance (+7,43% en 2025), le résultat net s'est effondré de 96% à 0,785 Md FCFA, le résultat d'exploitation est négatif (-2,271 Mds FCFA) et le dividende a été réduit de 89%, même si la trésorerie nette (74,78 Mds FCFA) et les capitaux propres (73,55 Mds FCFA) assurent la solidité du bilan. Les prédictions IA (J+1 à J+10) anticipent une légère reprise progressive de 2 989 FCFA à 3 011 FCFA, confirmant la tendance haussière de fond mais sans emballement. Sur la base de cette synthèse, la recommandation finale est **CONSERVER**, avec un niveau de confiance **Moyen** et un risque global **Élevé**. La convergence entre la tendance haussière du cours, la solidité du bilan et les prédictions IA modérément positives soutient le maintien de la position, mais la divergence avec les fondamentaux dégradés (rentabilité opérationnelle négative, dividende réduit) et les signaux techniques d'essoufflement impose de ne pas renforcer. L'horizon d'investissement optimal est le **moyen terme (3-12 mois)**, le temps de vérifier si la direction parvient à restaurer les marges opérationnelles et si les dividendes des filiales reprennent, avec un seuil de vigilance à 2 933 FCFA (MM20) en cas de cassure baissière.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β=1.2727 (Agressif) — Cov=0.000045, Var(idx)=0.000035, ρ=0.254,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1,376</w:t>
            </w:r>
          </w:p>
        </w:tc>
        <w:tc>
          <w:tcPr>
            <w:tcW w:type="dxa" w:w="1440"/>
            <w:shd w:fill="FAFAFA" w:val="clear"/>
          </w:tcPr>
          <w:p>
            <w:r>
              <w:rPr>
                <w:b/>
                <w:sz w:val="17"/>
              </w:rPr>
              <w:t>1,491</w:t>
            </w:r>
          </w:p>
        </w:tc>
        <w:tc>
          <w:tcPr>
            <w:tcW w:type="dxa" w:w="1440"/>
            <w:shd w:fill="FAFAFA" w:val="clear"/>
          </w:tcPr>
          <w:p>
            <w:r>
              <w:rPr>
                <w:sz w:val="17"/>
              </w:rPr>
              <w:t>1,605</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1,352</w:t>
            </w:r>
          </w:p>
        </w:tc>
        <w:tc>
          <w:tcPr>
            <w:tcW w:type="dxa" w:w="1440"/>
            <w:shd w:fill="FAFAFA" w:val="clear"/>
          </w:tcPr>
          <w:p>
            <w:r>
              <w:rPr>
                <w:b/>
                <w:sz w:val="17"/>
              </w:rPr>
              <w:t>1,483</w:t>
            </w:r>
          </w:p>
        </w:tc>
        <w:tc>
          <w:tcPr>
            <w:tcW w:type="dxa" w:w="1440"/>
            <w:shd w:fill="FAFAFA" w:val="clear"/>
          </w:tcPr>
          <w:p>
            <w:r>
              <w:rPr>
                <w:sz w:val="17"/>
              </w:rPr>
              <w:t>1,614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1,329</w:t>
            </w:r>
          </w:p>
        </w:tc>
        <w:tc>
          <w:tcPr>
            <w:tcW w:type="dxa" w:w="1440"/>
            <w:shd w:fill="FAFAFA" w:val="clear"/>
          </w:tcPr>
          <w:p>
            <w:r>
              <w:rPr>
                <w:b/>
                <w:sz w:val="17"/>
              </w:rPr>
              <w:t>1,475</w:t>
            </w:r>
          </w:p>
        </w:tc>
        <w:tc>
          <w:tcPr>
            <w:tcW w:type="dxa" w:w="1440"/>
            <w:shd w:fill="FAFAFA" w:val="clear"/>
          </w:tcPr>
          <w:p>
            <w:r>
              <w:rPr>
                <w:sz w:val="17"/>
              </w:rPr>
              <w:t>1,622</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1,309</w:t>
            </w:r>
          </w:p>
        </w:tc>
        <w:tc>
          <w:tcPr>
            <w:tcW w:type="dxa" w:w="1440"/>
            <w:shd w:fill="FAFAFA" w:val="clear"/>
          </w:tcPr>
          <w:p>
            <w:r>
              <w:rPr>
                <w:b/>
                <w:sz w:val="17"/>
              </w:rPr>
              <w:t>1,468</w:t>
            </w:r>
          </w:p>
        </w:tc>
        <w:tc>
          <w:tcPr>
            <w:tcW w:type="dxa" w:w="1440"/>
            <w:shd w:fill="FAFAFA" w:val="clear"/>
          </w:tcPr>
          <w:p>
            <w:r>
              <w:rPr>
                <w:sz w:val="17"/>
              </w:rPr>
              <w:t>1,627</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1,461</w:t>
            </w:r>
          </w:p>
        </w:tc>
        <w:tc>
          <w:tcPr>
            <w:tcW w:type="dxa" w:w="1440"/>
            <w:shd w:fill="FFDCE0" w:val="clear"/>
          </w:tcPr>
          <w:p>
            <w:r>
              <w:rPr>
                <w:sz w:val="17"/>
              </w:rPr>
              <w:t>1,632</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s'élève à 37,66 milliards FCFA, un niveau modeste à l'échelle de la BRVM qui la positionne parmi les valeurs moyennes du compartiment industriel. Les ratios de valorisation classiques (BPA, PER, P/B, EV/EBITDA) ne sont pas calculables en l'état, faute de données financières structurées exploitables dans la base (résultat net par action, capitaux propres, EBITDA récents). Cette absence empêche toute comparaison directe avec le PER moyen de la BRVM (8-12x) et ne permet donc pas de trancher entre sous-évaluation et surévaluation sur une base purement boursière. L'investisseur devra s'appuyer sur les rapports narratifs disponibles (exercices 2021-2023) pour estimer la valeur intrinsèque, en gardant à l'esprit que ces données sont antérieures à 2025 et donc partiellement obsolètes.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avec une dernière séance en repli de -1,64%, confirmant une tendance baissière de fond. Le cours actuel de 1 495 FCFA se situe dans la partie basse du range de trading établi entre 1 350 FCFA (plus bas) et 1 800 FCFA (plus haut), soit une amplitude de 33% qui traduit une réelle nervosité du titre. La moyenne (1 527 FCFA) est légèrement supérieure à la médiane (1 520 FCFA), signe d'une distribution faiblement asymétrique, tandis que le mode à 1 500 FCFA indique un point d'ancrage psychologique fort autour duquel le cours oscille. L'écart-type de 69 FCFA avec un coefficient de variation de 4,5% révèle une dispersion modérée en valeur absolue, mais le kurtosis de 1,652 (leptokurtique) signale des queues épaisses et donc un risque de pics brutaux, confirmé par le skewness positif de 0,558 indiquant davantage de journées sous la moyenne. La volatilité annualisée de 47,2% classe SEMC dans la catégorie des titres à volatilité élevée (&gt;30%), ce qui implique un risque significatif pour tout investisseur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se situe sous ces deux moyennes. Cette configuration est ambiguë : la MM20 &gt; MM50 suggère une dynamique haussière de fond, mais le cours sous les deux moyennes indique une pression vendeuse récente. La décision affichée "Achat" doit être nuancée car elle repose sur le croisement des moyennes, non sur la position du cours.</w:t>
      </w:r>
    </w:p>
    <w:p>
      <w:pPr>
        <w:spacing w:after="120" w:line="276" w:lineRule="auto"/>
      </w:pPr>
      <w:r>
        <w:t>**Bandes de Bollinger** : Le cours (1 495 FCFA) évolue dans la partie basse de la bande, entre la borne inférieure (1 459,69 FCFA) et la borne supérieure (1 621,81 FCFA). La largeur de la bande (162 FCFA) traduit une volatilité encore présente, mais le cours n'est ni en survente extrême ni en surachat. La décision "Neutre" est cohérente avec cette position médiane-basse.</w:t>
      </w:r>
    </w:p>
    <w:p>
      <w:pPr>
        <w:spacing w:after="120" w:line="276" w:lineRule="auto"/>
      </w:pPr>
      <w:r>
        <w:t>**MACD** : Le MACD (6,293) est inférieur à son signal (10,198), générant une divergence baissière et une décision "Vente". Le momentum est clairement négatif, et le croisement à la baisse s'est probablement produit récemment, ce qui pèse sur le titre à court terme.</w:t>
      </w:r>
    </w:p>
    <w:p>
      <w:pPr>
        <w:spacing w:after="120" w:line="276" w:lineRule="auto"/>
      </w:pPr>
      <w:r>
        <w:t>**RSI** : À 49,533, le RSI est parfaitement neutre, ni en surachat (&gt;70) ni en survente (&lt;30). Cette valeur médiane indique un équilibre entre acheteurs et vendeurs, sans signal directionnel fort, justifiant la décision "Neutre".</w:t>
      </w:r>
    </w:p>
    <w:p>
      <w:pPr>
        <w:spacing w:after="120" w:line="276" w:lineRule="auto"/>
      </w:pPr>
      <w:r>
        <w:t>**Stochastique** : Le %K (34,615) est inférieur au %D (57,692), ce qui est un signal baissier (croisement %K sous %D). Le %K en zone basse (proche de 20) suggère une possible survente à venir, mais le croisement actuel plaide pour une poursuite de la baisse à court terme. Décision "Neutre" à nuancer.</w:t>
      </w:r>
    </w:p>
    <w:p>
      <w:pPr>
        <w:spacing w:after="120" w:line="276" w:lineRule="auto"/>
      </w:pPr>
      <w:r>
        <w:t>**Conclusion technique** : Les indicateurs sont majoritairement baissiers (MACD en vente, cours sous les MM, stochastique négatif), avec un RSI et des Bollinger neutres qui n'offrent pas de support clair. Seule la configuration MM20 &gt; MM50 apporte une lueur haussière, mais elle est contredite par la position du cours. La convergence des signaux penche pour une prudence à court terme, avec un risque de test du support à 1 459 FCFA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officiels fournissent des éléments exploitables pour les exercices 2021 à 2023. Selon le rapport du 31/12/2023 (analysé par MISTRAL), SEMC a enregistré un chiffre d'affaires de 27,88 milliards FCFA en 2023, en baisse de 6% par rapport aux 29,60 milliards FCFA de 2022, avec un résultat net de 1,01 milliard FCFA contre 3,86 milliards FCFA en 2022, soit une chute de 74%. La marge nette s'est effondrée à 3,6% (vs 13,0% en 2022), et le dividende par action est resté à 0 FCFA pour la deuxième année consécutive. Le rapport du 31/12/2022 (analysé par MISTRAL) indiquait un CA de 125,4 milliards FCFA et un résultat net de 12,8 milliards FCFA — des chiffres qui semblent toutefois concerner une entité consolidée différente (Eviosys Packaging SIEM) et non SEMC seule, ce qui soulève une incohérence méthodologique. Le rapport du 31/12/2021 (analysé par GEMINI-VISION) confirme cette confusion entre SEMC et Eviosys Packaging SIEM. Pour l'exercice 2023, les points saillants sont la perte de clients majeurs (AIRONE : -81% de CA), la concurrence du PET dans le segment tomate, et la suspension de la cote BRVM depuis janvier 2024 pour flottant insuffisant (10,42% vs 15% requis). Le rachat par Sonoco Products Company (finalisé en décembre 2024) constitue un événement majeur susceptible de restaurer la liquidité et d'apporter des synergies, mais les données post-2024 ne sont pas disponibles dans les rapports fournis. La recommandation fondamentale est donc prudente : la solidité financière s'est fortement dégradée en 2023, et les perspectives dépendent crucialement de l'intégration par Sonoco et de la relance commerciale.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boursière (Partie 0) est impossible à évaluer faute de ratios calculables, ce qui empêche de conclure à une sous- ou surévaluation sur cette base. Le comportement du cours (Partie 1) est clairement baissier (-16,94% sur 100 jours), avec une volatilité élevée (47,2%) et un kurtosis leptokurtique qui expose à des pics brutaux — des statistiques préoccupantes pour un investisseur averse au risque. Les signaux techniques (Partie 2) sont majoritairement baissiers (MACD en vente, cours sous les MM, stochastique négatif), avec un RSI neutre qui n'offre pas de rebond imminent. Les fondamentaux (Partie 3) sont fragiles : chute du CA et du résultat net en 2023, dividende nul, suspension de la cote — mais le rachat par Sonoco en décembre 2024 pourrait changer la donne, sans que les données post-2024 ne soient disponibles pour le confirmer. Les prédictions IA (J+1 à J+10) anticipent une poursuite de la baisse jusqu'à 1 461 FCFA, ce qui confirme la tendance baissière actuelle et contredit toute idée de rebond à court terme. Sur la base de cette synthèse, la recommandation finale est **CONSERVER** avec un niveau de confiance **Faible** et un risque global **Élevé**. L'horizon d'investissement optimal est le **long terme (&gt;1 an)**, en attendant des clarifications sur l'intégration par Sonoco, la levée de la suspension BRVM et la publication de résultats 2024-2025 — des catalyseurs susceptibles de renverser la tendance actuelle. Une position vendeuse serait justifiée à court terme, mais le potentiel de redressement post-rachat incite à la prudence plutôt qu'à la sortie définitive.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5,324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+8.63%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4.38% (Faible) — μ=37,681 FCFA, σ=1,650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β=0.6115 (Défensif) — Cov=0.000022, Var(idx)=0.000035, ρ=0.256,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36,972</w:t>
            </w:r>
          </w:p>
        </w:tc>
        <w:tc>
          <w:tcPr>
            <w:tcW w:type="dxa" w:w="1440"/>
            <w:shd w:fill="FAFAFA" w:val="clear"/>
          </w:tcPr>
          <w:p>
            <w:r>
              <w:rPr>
                <w:b/>
                <w:sz w:val="17"/>
              </w:rPr>
              <w:t>38,015</w:t>
            </w:r>
          </w:p>
        </w:tc>
        <w:tc>
          <w:tcPr>
            <w:tcW w:type="dxa" w:w="1440"/>
            <w:shd w:fill="FAFAFA" w:val="clear"/>
          </w:tcPr>
          <w:p>
            <w:r>
              <w:rPr>
                <w:sz w:val="17"/>
              </w:rPr>
              <w:t>39,059</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36,423</w:t>
            </w:r>
          </w:p>
        </w:tc>
        <w:tc>
          <w:tcPr>
            <w:tcW w:type="dxa" w:w="1440"/>
            <w:shd w:fill="FAFAFA" w:val="clear"/>
          </w:tcPr>
          <w:p>
            <w:r>
              <w:rPr>
                <w:b/>
                <w:sz w:val="17"/>
              </w:rPr>
              <w:t>37,894</w:t>
            </w:r>
          </w:p>
        </w:tc>
        <w:tc>
          <w:tcPr>
            <w:tcW w:type="dxa" w:w="1440"/>
            <w:shd w:fill="FAFAFA" w:val="clear"/>
          </w:tcPr>
          <w:p>
            <w:r>
              <w:rPr>
                <w:sz w:val="17"/>
              </w:rPr>
              <w:t>39,364</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35,984</w:t>
            </w:r>
          </w:p>
        </w:tc>
        <w:tc>
          <w:tcPr>
            <w:tcW w:type="dxa" w:w="1440"/>
            <w:shd w:fill="FAFAFA" w:val="clear"/>
          </w:tcPr>
          <w:p>
            <w:r>
              <w:rPr>
                <w:b/>
                <w:sz w:val="17"/>
              </w:rPr>
              <w:t>37,780</w:t>
            </w:r>
          </w:p>
        </w:tc>
        <w:tc>
          <w:tcPr>
            <w:tcW w:type="dxa" w:w="1440"/>
            <w:shd w:fill="FAFAFA" w:val="clear"/>
          </w:tcPr>
          <w:p>
            <w:r>
              <w:rPr>
                <w:sz w:val="17"/>
              </w:rPr>
              <w:t>39,575</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2026-09-23</w:t>
            </w:r>
          </w:p>
        </w:tc>
        <w:tc>
          <w:tcPr>
            <w:tcW w:type="dxa" w:w="1440"/>
            <w:shd w:fill="FAFAFA" w:val="clear"/>
          </w:tcPr>
          <w:p>
            <w:r>
              <w:rPr>
                <w:sz w:val="17"/>
              </w:rPr>
              <w:t>35,603</w:t>
            </w:r>
          </w:p>
        </w:tc>
        <w:tc>
          <w:tcPr>
            <w:tcW w:type="dxa" w:w="1440"/>
            <w:shd w:fill="FAFAFA" w:val="clear"/>
          </w:tcPr>
          <w:p>
            <w:r>
              <w:rPr>
                <w:b/>
                <w:sz w:val="17"/>
              </w:rPr>
              <w:t>37,670</w:t>
            </w:r>
          </w:p>
        </w:tc>
        <w:tc>
          <w:tcPr>
            <w:tcW w:type="dxa" w:w="1440"/>
            <w:shd w:fill="FAFAFA" w:val="clear"/>
          </w:tcPr>
          <w:p>
            <w:r>
              <w:rPr>
                <w:sz w:val="17"/>
              </w:rPr>
              <w:t>39,738</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2026-09-24</w:t>
            </w:r>
          </w:p>
        </w:tc>
        <w:tc>
          <w:tcPr>
            <w:tcW w:type="dxa" w:w="1440"/>
            <w:shd w:fill="FAFAFA" w:val="clear"/>
          </w:tcPr>
          <w:p>
            <w:r>
              <w:rPr>
                <w:sz w:val="17"/>
              </w:rPr>
              <w:t>35,259</w:t>
            </w:r>
          </w:p>
        </w:tc>
        <w:tc>
          <w:tcPr>
            <w:tcW w:type="dxa" w:w="1440"/>
            <w:shd w:fill="FAFAFA" w:val="clear"/>
          </w:tcPr>
          <w:p>
            <w:r>
              <w:rPr>
                <w:b/>
                <w:sz w:val="17"/>
              </w:rPr>
              <w:t>37,564</w:t>
            </w:r>
          </w:p>
        </w:tc>
        <w:tc>
          <w:tcPr>
            <w:tcW w:type="dxa" w:w="1440"/>
            <w:shd w:fill="FAFAFA" w:val="clear"/>
          </w:tcPr>
          <w:p>
            <w:r>
              <w:rPr>
                <w:sz w:val="17"/>
              </w:rPr>
              <w:t>39,869</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2026-09-25</w:t>
            </w:r>
          </w:p>
        </w:tc>
        <w:tc>
          <w:tcPr>
            <w:tcW w:type="dxa" w:w="1440"/>
            <w:shd w:fill="FAFAFA" w:val="clear"/>
          </w:tcPr>
          <w:p>
            <w:r>
              <w:rPr>
                <w:sz w:val="17"/>
              </w:rPr>
              <w:t>34,943</w:t>
            </w:r>
          </w:p>
        </w:tc>
        <w:tc>
          <w:tcPr>
            <w:tcW w:type="dxa" w:w="1440"/>
            <w:shd w:fill="FAFAFA" w:val="clear"/>
          </w:tcPr>
          <w:p>
            <w:r>
              <w:rPr>
                <w:b/>
                <w:sz w:val="17"/>
              </w:rPr>
              <w:t>37,461</w:t>
            </w:r>
          </w:p>
        </w:tc>
        <w:tc>
          <w:tcPr>
            <w:tcW w:type="dxa" w:w="1440"/>
            <w:shd w:fill="FAFAFA" w:val="clear"/>
          </w:tcPr>
          <w:p>
            <w:r>
              <w:rPr>
                <w:sz w:val="17"/>
              </w:rPr>
              <w:t>39,979</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2026-09-28</w:t>
            </w:r>
          </w:p>
        </w:tc>
        <w:tc>
          <w:tcPr>
            <w:tcW w:type="dxa" w:w="1440"/>
            <w:shd w:fill="FAFAFA" w:val="clear"/>
          </w:tcPr>
          <w:p>
            <w:r>
              <w:rPr>
                <w:sz w:val="17"/>
              </w:rPr>
              <w:t>34,647</w:t>
            </w:r>
          </w:p>
        </w:tc>
        <w:tc>
          <w:tcPr>
            <w:tcW w:type="dxa" w:w="1440"/>
            <w:shd w:fill="FAFAFA" w:val="clear"/>
          </w:tcPr>
          <w:p>
            <w:r>
              <w:rPr>
                <w:b/>
                <w:sz w:val="17"/>
              </w:rPr>
              <w:t>37,360</w:t>
            </w:r>
          </w:p>
        </w:tc>
        <w:tc>
          <w:tcPr>
            <w:tcW w:type="dxa" w:w="1440"/>
            <w:shd w:fill="FAFAFA" w:val="clear"/>
          </w:tcPr>
          <w:p>
            <w:r>
              <w:rPr>
                <w:sz w:val="17"/>
              </w:rPr>
              <w:t>40,072</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2026-09-29</w:t>
            </w:r>
          </w:p>
        </w:tc>
        <w:tc>
          <w:tcPr>
            <w:tcW w:type="dxa" w:w="1440"/>
            <w:shd w:fill="FAFAFA" w:val="clear"/>
          </w:tcPr>
          <w:p>
            <w:r>
              <w:rPr>
                <w:sz w:val="17"/>
              </w:rPr>
              <w:t>34,368</w:t>
            </w:r>
          </w:p>
        </w:tc>
        <w:tc>
          <w:tcPr>
            <w:tcW w:type="dxa" w:w="1440"/>
            <w:shd w:fill="FAFAFA" w:val="clear"/>
          </w:tcPr>
          <w:p>
            <w:r>
              <w:rPr>
                <w:b/>
                <w:sz w:val="17"/>
              </w:rPr>
              <w:t>37,260</w:t>
            </w:r>
          </w:p>
        </w:tc>
        <w:tc>
          <w:tcPr>
            <w:tcW w:type="dxa" w:w="1440"/>
            <w:shd w:fill="FAFAFA" w:val="clear"/>
          </w:tcPr>
          <w:p>
            <w:r>
              <w:rPr>
                <w:sz w:val="17"/>
              </w:rPr>
              <w:t>40,152</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34,103</w:t>
            </w:r>
          </w:p>
        </w:tc>
        <w:tc>
          <w:tcPr>
            <w:tcW w:type="dxa" w:w="1440"/>
            <w:shd w:fill="FFDCE0" w:val="clear"/>
          </w:tcPr>
          <w:p>
            <w:r>
              <w:rPr>
                <w:b/>
                <w:sz w:val="17"/>
              </w:rPr>
              <w:t>37,162</w:t>
            </w:r>
          </w:p>
        </w:tc>
        <w:tc>
          <w:tcPr>
            <w:tcW w:type="dxa" w:w="1440"/>
            <w:shd w:fill="FFDCE0" w:val="clear"/>
          </w:tcPr>
          <w:p>
            <w:r>
              <w:rPr>
                <w:sz w:val="17"/>
              </w:rPr>
              <w:t>40,221</w:t>
            </w:r>
          </w:p>
        </w:tc>
        <w:tc>
          <w:tcPr>
            <w:tcW w:type="dxa" w:w="1440"/>
            <w:shd w:fill="FFDCE0" w:val="clear"/>
          </w:tcPr>
          <w:p>
            <w:r>
              <w:rPr>
                <w:b/>
                <w:color w:val="C00000"/>
                <w:sz w:val="17"/>
              </w:rPr>
              <w:t>-2.2%</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33,849</w:t>
            </w:r>
          </w:p>
        </w:tc>
        <w:tc>
          <w:tcPr>
            <w:tcW w:type="dxa" w:w="1440"/>
            <w:shd w:fill="FFDCE0" w:val="clear"/>
          </w:tcPr>
          <w:p>
            <w:r>
              <w:rPr>
                <w:b/>
                <w:sz w:val="17"/>
              </w:rPr>
              <w:t>37,066</w:t>
            </w:r>
          </w:p>
        </w:tc>
        <w:tc>
          <w:tcPr>
            <w:tcW w:type="dxa" w:w="1440"/>
            <w:shd w:fill="FFDCE0" w:val="clear"/>
          </w:tcPr>
          <w:p>
            <w:r>
              <w:rPr>
                <w:sz w:val="17"/>
              </w:rPr>
              <w:t>40,282</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SOCIÉTÉ GÉNÉRALE CÔTE D'IVOIRE (SGBC)</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1 182,22 milliards FCFA, SGBC s'impose comme l'une des plus importantes capitalisations de la BRVM, ce qui en fait un pilier de l'indice composite et un titre incontournable pour les investisseurs institutionnels de la zone UEMOA. Le BPA de 3 258 FCFA par action signifie que chaque titre génère un bénéfice net de plus de 3 200 FCFA, un niveau remarquable qui traduit la forte rentabilité de la banque. Le PER de 11,7x, légèrement supérieur à la moyenne du marché BRVM (8-12x), indique que les investisseurs paient un prix modéré pour les bénéfices, avec une légère prime de qualité justifiée par la notation AAA et le leadership sectoriel. Le P/B de 2,39x montre que le marché valorise SGBC à plus du double de sa valeur comptable, une prime de croissance cohérente avec un ROE supérieur à 20%, bien que l'EV/EBITDA de 24,5x apparaisse très exigeant et suggère que la valeur d'entreprise intègre déjà une bonne partie des perspectives favorables.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totale de +8,63%, malgré un repli de -2,31% lors de la dernière séance, ce qui porte le cours actuel à 38 000 FCFA. Le range de trading s'établit entre un plus bas de 33 000 FCFA et un plus haut de 39 300 FCFA, soit une amplitude d'environ 19%, reflétant une tendance générale haussière mais avec des phases de consolidation. La moyenne de 37 681 FCFA est très proche de la médiane de 38 005 FCFA, indiquant une distribution globalement équilibrée, tandis que le mode à 39 000 FCFA suggère que ce niveau a constitué un point d'équilibre fréquent. L'écart-type de 1 659 FCFA avec un coefficient de variation de seulement 4,4% témoigne d'une dispersion très faible du cours, caractéristique d'un titre peu volatil et recherché pour sa stabilité. Le kurtosis de 0,908 (mésokurtique) indique une distribution proche de la normale, sans risque excessif de pics extrêmes, tandis que le skewness de -1,371 révèle une asymétrie négative signifiant que les journées de hausse ont été plus fréquentes mais de moindre amplitude que les rares journées de baisse marquée. Avec une volatilité annualisée de 23,1%, SGBC se situe dans la catégorie des titres à volatilité modérée (15-30%), ce qui est rassurant pour un investisseur recherchant un compromis entre rendement et sécurité.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38 452,5 FCFA et la MM50 à 38 429,6 FCFA, toutes deux supérieures au cours actuel de 38 000 FCFA, ce qui place le titre en position légèrement baissière à court terme. Cependant, la proximité immédiate des deux moyennes (écart de seulement 23 FCFA) indique une absence de tendance directionnelle forte, et la décision technique globale reste à l'**Achat**, suggérant que le repli actuel pourrait constituer une opportunité d'entrée.</w:t>
      </w:r>
    </w:p>
    <w:p>
      <w:pPr>
        <w:spacing w:after="120" w:line="276" w:lineRule="auto"/>
      </w:pPr>
      <w:r>
        <w:t>**Bandes de Bollinger** : La borne supérieure se situe à 39 375,06 FCFA et la borne inférieure à 37 529,94 FCFA, avec un cours actuel de 38 000 FCFA positionné dans la partie basse de la bande, sans toutefois atteindre la borne inférieure. Cette configuration indique une volatilité contenue et un potentiel de rebond vers le milieu de bande, justifiant la décision **Neutre** qui reflète l'absence de signal directionnel fort.</w:t>
      </w:r>
    </w:p>
    <w:p>
      <w:pPr>
        <w:spacing w:after="120" w:line="276" w:lineRule="auto"/>
      </w:pPr>
      <w:r>
        <w:t>**MACD** : La valeur du MACD est négative à -13,133, tandis que sa ligne de signal est positive à 21,347, créant une divergence baissière significative. Cet écart indique un momentum négatif à court terme, avec une pression vendeuse persistante, ce qui justifie pleinement la décision de **Vente** émise par cet indicateur.</w:t>
      </w:r>
    </w:p>
    <w:p>
      <w:pPr>
        <w:spacing w:after="120" w:line="276" w:lineRule="auto"/>
      </w:pPr>
      <w:r>
        <w:t>**RSI** : À 50,0, le RSI se situe exactement à mi-chemin entre la zone de surachat (&gt;70) et de survente (&lt;30), traduisant un équilibre parfait entre acheteurs et vendeurs. Cette position neutre indique l'absence de pression excessive dans un sens ou dans l'autre, justifiant la décision **Neutre** et suggérant que le titre pourrait évoluer dans les deux directions.</w:t>
      </w:r>
    </w:p>
    <w:p>
      <w:pPr>
        <w:spacing w:after="120" w:line="276" w:lineRule="auto"/>
      </w:pPr>
      <w:r>
        <w:t>**Stochastique** : Le %K à 16,667 est nettement inférieur au %D à 36,111, et se situe en zone de survente (&lt;20), ce qui indique que le titre a été fortement vendu à court terme et pourrait être proche d'un point de retournement. Cette configuration justifie la décision d'**Achat** émise par cet indicateur, qui anticipe un rebond technique imminent.</w:t>
      </w:r>
    </w:p>
    <w:p>
      <w:pPr>
        <w:spacing w:after="120" w:line="276" w:lineRule="auto"/>
      </w:pPr>
      <w:r>
        <w:t>**Conclusion technique** : Les indicateurs techniques présentent une divergence notable : si le MACD confirme une pression baissière à court terme, le stochastique en zone de survente et la proximité des moyennes mobiles suggèrent un potentiel de rebond. Le RSI neutre et les Bandes de Bollinger sans signal fort renforcent l'idée d'une phase de consolidation avant une reprise éventuelle. La convergence partielle des signaux plaide pour une attitude attentiste avec un biais haussier à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(PNB) de 276,048 milliards FCFA, en croissance de +4,88% par rapport à 2024, confirmant la dynamique commerciale de la banque. Le résultat net s'établit à 101,352 milliards FCFA, franchissant pour la première fois le seuil symbolique des 100 milliards, avec une marge nette exceptionnelle de 36,72%. Le ROE atteint 20,47%, bien au-dessus du seuil d'excellence de 15%, tandis que le ROA de 2,69% reflète une utilisation efficace des actifs. Le coefficient d'exploitation de 38,75% est remarquablement bas (seuil d'excellence &lt;50%), témoignant d'une maîtrise exceptionnelle des coûts. Le ratio dépôts/crédits s'établit à 2 907,675/2 546,290 = 114%, indiquant une surliquidité confortable, bien que le coût du risque (provisions de 17,995 Mds FCFA) doive être surveillé. La structure financière reste solide avec des capitaux propres de 495,113 milliards FCFA et une solvabilité générale de 115,12%.</w:t>
      </w:r>
    </w:p>
    <w:p>
      <w:pPr>
        <w:spacing w:after="120" w:line="276" w:lineRule="auto"/>
      </w:pPr>
      <w:r>
        <w:t>**Estimations basées sur les rapports trimestriels** : Le rapport du 3ème trimestre 2025 (30 septembre 2025) révèle un PNB cumulé de 201,0 milliards FCFA (+2,5%) et un résultat net de 83,3 milliards FCFA (+11,7%), avec un coefficient d'exploitation amélioré à 37,3%. Le rapport du 1er semestre 2025 (30 juin 2025) faisait état d'un PNB de 132,0 milliards FCFA (+1,0%) et d'un résultat net de 53,1 milliards FCFA (+10,0%), avec un ratio de solvabilité de 17,7% et un ROE de 23,8%. Sur la base de ces tendances, on peut estimer que l'exercice 2025 devrait clôturer avec un résultat net proche de 105-110 milliards FCFA, confirmant la trajectoire de croissance rentable. Le rapport annuel 2024 (31 décembre 2024) indiquait déjà un résultat net de 101,2 milliards FCFA (+4,1%) et un dividende de 1 863 FCFA par action (+8,4%), avec un taux de distribution de 57,25%.</w:t>
      </w:r>
    </w:p>
    <w:p>
      <w:pPr>
        <w:spacing w:after="120" w:line="276" w:lineRule="auto"/>
      </w:pPr>
      <w:r>
        <w:t>**Recommandation fondamentale** : SGBC présente des fondamentaux exceptionnellement solides, avec une rentabilité élevée (ROE &gt;20%), une efficacité opérationnelle remarquable (coefficient &lt;40%) et une structure financière robuste. Les risques identifiés incluent la hausse des créances en souffrance (NPL à 7,8% au S1 2025) et la dépendance aux commissions, mais la notation AAA et le leadership sectoriel (20% de parts de marché sur les crédits) constituent des atouts majeurs. La recommandation fondamentale est **ACHAT** avec une perspective de long terme favorable.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avec des signaux divergents à court terme mais convergents à moyen terme. La valorisation (Partie 0) apparaît modérée avec un PER de 11,7x et un P/B de 2,39x, bien que l'EV/EBITDA de 24,5x soit exigeant, suggérant une juste valorisation sans sous-évaluation flagrante. Le comportement du cours (Partie 1) montre une tendance haussière sur 100 jours (+8,63%) avec une volatilité modérée (23,1%) et une distribution asymétrique négative, indiquant une résilience aux baisses. Les signaux techniques (Partie 2) sont mitigés : le MACD est baissier, mais le stochastique en zone de survente et la proximité des moyennes mobiles suggèrent un rebond imminent. Les fondamentaux (Partie 3) sont exceptionnellement solides avec un ROE de 20,47%, un coefficient d'exploitation de 38,75% et une croissance du résultat net de +11,7% au T3 2025. Les prédictions IA (J+1 à J+10) anticipent une légère baisse vers 37 564 FCFA, ce qui contredit partiellement les signaux haussiers mais pourrait constituer une opportunité d'entrée sur repli. Sur la base de cette synthèse, la recommandation finale est **CONSERVER** avec un biais haussier, justifiée par la convergence des fondamentaux solides et de la valorisation raisonnable, malgré les signaux techniques baissiers à court terme. Le niveau de confiance est **Moyen** en raison de la divergence des indicateurs, et le niveau de risque global est **Faible** grâce à la stabilité du titre et à la solidité financière. L'horizon d'investissement optimal est le **moyen terme (3-12 mois)** , en profitant des replis pour renforcer les positions en vue d'une appréciation durable portée par les fondamentaux.</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187.74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4,659 titres</w:t>
            </w:r>
          </w:p>
        </w:tc>
        <w:tc>
          <w:tcPr>
            <w:tcW w:type="dxa" w:w="2268"/>
            <w:shd w:fill="FFF2CC" w:val="clear"/>
          </w:tcPr>
          <w:p>
            <w:r>
              <w:rPr>
                <w:b/>
                <w:color w:val="503200"/>
                <w:sz w:val="16"/>
              </w:rPr>
              <w:t xml:space="preserve">Cours actuel : </w:t>
            </w:r>
            <w:r>
              <w:rPr>
                <w:color w:val="000000"/>
                <w:sz w:val="17"/>
              </w:rPr>
              <w:t>2,980 FCFA</w:t>
            </w:r>
          </w:p>
          <w:p>
            <w:r>
              <w:rPr>
                <w:b/>
                <w:color w:val="503200"/>
                <w:sz w:val="16"/>
              </w:rPr>
              <w:t xml:space="preserve">Var. 100 jours : </w:t>
            </w:r>
            <w:r>
              <w:rPr>
                <w:b/>
                <w:color w:val="007800"/>
                <w:sz w:val="17"/>
              </w:rPr>
              <w:t>+53.61%</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10.33% (Moyenne) — μ=2,195 FCFA, σ=227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β=0.7026 (Défensif) — Cov=0.000025, Var(idx)=0.000035, ρ=0.187,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2026-09-18</w:t>
            </w:r>
          </w:p>
        </w:tc>
        <w:tc>
          <w:tcPr>
            <w:tcW w:type="dxa" w:w="1440"/>
            <w:shd w:fill="FFDCE0" w:val="clear"/>
          </w:tcPr>
          <w:p>
            <w:r>
              <w:rPr>
                <w:sz w:val="17"/>
              </w:rPr>
              <w:t>2,727</w:t>
            </w:r>
          </w:p>
        </w:tc>
        <w:tc>
          <w:tcPr>
            <w:tcW w:type="dxa" w:w="1440"/>
            <w:shd w:fill="FFDCE0" w:val="clear"/>
          </w:tcPr>
          <w:p>
            <w:r>
              <w:rPr>
                <w:b/>
                <w:sz w:val="17"/>
              </w:rPr>
              <w:t>2,835</w:t>
            </w:r>
          </w:p>
        </w:tc>
        <w:tc>
          <w:tcPr>
            <w:tcW w:type="dxa" w:w="1440"/>
            <w:shd w:fill="FFDCE0" w:val="clear"/>
          </w:tcPr>
          <w:p>
            <w:r>
              <w:rPr>
                <w:sz w:val="17"/>
              </w:rPr>
              <w:t>2,943</w:t>
            </w:r>
          </w:p>
        </w:tc>
        <w:tc>
          <w:tcPr>
            <w:tcW w:type="dxa" w:w="1440"/>
            <w:shd w:fill="FFDCE0" w:val="clear"/>
          </w:tcPr>
          <w:p>
            <w:r>
              <w:rPr>
                <w:b/>
                <w:color w:val="C00000"/>
                <w:sz w:val="17"/>
              </w:rPr>
              <w:t>-4.9%</w:t>
            </w:r>
          </w:p>
        </w:tc>
      </w:tr>
      <w:tr>
        <w:tc>
          <w:tcPr>
            <w:tcW w:type="dxa" w:w="1440"/>
            <w:shd w:fill="FFDCE0" w:val="clear"/>
          </w:tcPr>
          <w:p>
            <w:r>
              <w:rPr>
                <w:sz w:val="17"/>
              </w:rPr>
              <w:t>J+2  Moyenne</w:t>
            </w:r>
          </w:p>
        </w:tc>
        <w:tc>
          <w:tcPr>
            <w:tcW w:type="dxa" w:w="1440"/>
            <w:shd w:fill="FFDCE0" w:val="clear"/>
          </w:tcPr>
          <w:p>
            <w:r>
              <w:rPr>
                <w:sz w:val="17"/>
              </w:rPr>
              <w:t>2026-09-21</w:t>
            </w:r>
          </w:p>
        </w:tc>
        <w:tc>
          <w:tcPr>
            <w:tcW w:type="dxa" w:w="1440"/>
            <w:shd w:fill="FFDCE0" w:val="clear"/>
          </w:tcPr>
          <w:p>
            <w:r>
              <w:rPr>
                <w:sz w:val="17"/>
              </w:rPr>
              <w:t>2,579</w:t>
            </w:r>
          </w:p>
        </w:tc>
        <w:tc>
          <w:tcPr>
            <w:tcW w:type="dxa" w:w="1440"/>
            <w:shd w:fill="FFDCE0" w:val="clear"/>
          </w:tcPr>
          <w:p>
            <w:r>
              <w:rPr>
                <w:b/>
                <w:sz w:val="17"/>
              </w:rPr>
              <w:t>2,726</w:t>
            </w:r>
          </w:p>
        </w:tc>
        <w:tc>
          <w:tcPr>
            <w:tcW w:type="dxa" w:w="1440"/>
            <w:shd w:fill="FFDCE0" w:val="clear"/>
          </w:tcPr>
          <w:p>
            <w:r>
              <w:rPr>
                <w:sz w:val="17"/>
              </w:rPr>
              <w:t>2,873</w:t>
            </w:r>
          </w:p>
        </w:tc>
        <w:tc>
          <w:tcPr>
            <w:tcW w:type="dxa" w:w="1440"/>
            <w:shd w:fill="FFDCE0" w:val="clear"/>
          </w:tcPr>
          <w:p>
            <w:r>
              <w:rPr>
                <w:b/>
                <w:color w:val="C00000"/>
                <w:sz w:val="17"/>
              </w:rPr>
              <w:t>-8.5%</w:t>
            </w:r>
          </w:p>
        </w:tc>
      </w:tr>
      <w:tr>
        <w:tc>
          <w:tcPr>
            <w:tcW w:type="dxa" w:w="1440"/>
            <w:shd w:fill="FFDCE0" w:val="clear"/>
          </w:tcPr>
          <w:p>
            <w:r>
              <w:rPr>
                <w:sz w:val="17"/>
              </w:rPr>
              <w:t>J+3  Moyenne</w:t>
            </w:r>
          </w:p>
        </w:tc>
        <w:tc>
          <w:tcPr>
            <w:tcW w:type="dxa" w:w="1440"/>
            <w:shd w:fill="FFDCE0" w:val="clear"/>
          </w:tcPr>
          <w:p>
            <w:r>
              <w:rPr>
                <w:sz w:val="17"/>
              </w:rPr>
              <w:t>2026-09-22</w:t>
            </w:r>
          </w:p>
        </w:tc>
        <w:tc>
          <w:tcPr>
            <w:tcW w:type="dxa" w:w="1440"/>
            <w:shd w:fill="FFDCE0" w:val="clear"/>
          </w:tcPr>
          <w:p>
            <w:r>
              <w:rPr>
                <w:sz w:val="17"/>
              </w:rPr>
              <w:t>2,459</w:t>
            </w:r>
          </w:p>
        </w:tc>
        <w:tc>
          <w:tcPr>
            <w:tcW w:type="dxa" w:w="1440"/>
            <w:shd w:fill="FFDCE0" w:val="clear"/>
          </w:tcPr>
          <w:p>
            <w:r>
              <w:rPr>
                <w:b/>
                <w:sz w:val="17"/>
              </w:rPr>
              <w:t>2,633</w:t>
            </w:r>
          </w:p>
        </w:tc>
        <w:tc>
          <w:tcPr>
            <w:tcW w:type="dxa" w:w="1440"/>
            <w:shd w:fill="FFDCE0" w:val="clear"/>
          </w:tcPr>
          <w:p>
            <w:r>
              <w:rPr>
                <w:sz w:val="17"/>
              </w:rPr>
              <w:t>2,806</w:t>
            </w:r>
          </w:p>
        </w:tc>
        <w:tc>
          <w:tcPr>
            <w:tcW w:type="dxa" w:w="1440"/>
            <w:shd w:fill="FFDCE0" w:val="clear"/>
          </w:tcPr>
          <w:p>
            <w:r>
              <w:rPr>
                <w:b/>
                <w:color w:val="C00000"/>
                <w:sz w:val="17"/>
              </w:rPr>
              <w:t>-11.7%</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2,364</w:t>
            </w:r>
          </w:p>
        </w:tc>
        <w:tc>
          <w:tcPr>
            <w:tcW w:type="dxa" w:w="1440"/>
            <w:shd w:fill="FFDCE0" w:val="clear"/>
          </w:tcPr>
          <w:p>
            <w:r>
              <w:rPr>
                <w:b/>
                <w:sz w:val="17"/>
              </w:rPr>
              <w:t>2,559</w:t>
            </w:r>
          </w:p>
        </w:tc>
        <w:tc>
          <w:tcPr>
            <w:tcW w:type="dxa" w:w="1440"/>
            <w:shd w:fill="FFDCE0" w:val="clear"/>
          </w:tcPr>
          <w:p>
            <w:r>
              <w:rPr>
                <w:sz w:val="17"/>
              </w:rPr>
              <w:t>2,753</w:t>
            </w:r>
          </w:p>
        </w:tc>
        <w:tc>
          <w:tcPr>
            <w:tcW w:type="dxa" w:w="1440"/>
            <w:shd w:fill="FFDCE0" w:val="clear"/>
          </w:tcPr>
          <w:p>
            <w:r>
              <w:rPr>
                <w:b/>
                <w:color w:val="C00000"/>
                <w:sz w:val="17"/>
              </w:rPr>
              <w:t>-14.1%</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2,288</w:t>
            </w:r>
          </w:p>
        </w:tc>
        <w:tc>
          <w:tcPr>
            <w:tcW w:type="dxa" w:w="1440"/>
            <w:shd w:fill="FFDCE0" w:val="clear"/>
          </w:tcPr>
          <w:p>
            <w:r>
              <w:rPr>
                <w:b/>
                <w:sz w:val="17"/>
              </w:rPr>
              <w:t>2,501</w:t>
            </w:r>
          </w:p>
        </w:tc>
        <w:tc>
          <w:tcPr>
            <w:tcW w:type="dxa" w:w="1440"/>
            <w:shd w:fill="FFDCE0" w:val="clear"/>
          </w:tcPr>
          <w:p>
            <w:r>
              <w:rPr>
                <w:sz w:val="17"/>
              </w:rPr>
              <w:t>2,714</w:t>
            </w:r>
          </w:p>
        </w:tc>
        <w:tc>
          <w:tcPr>
            <w:tcW w:type="dxa" w:w="1440"/>
            <w:shd w:fill="FFDCE0" w:val="clear"/>
          </w:tcPr>
          <w:p>
            <w:r>
              <w:rPr>
                <w:b/>
                <w:color w:val="C00000"/>
                <w:sz w:val="17"/>
              </w:rPr>
              <w:t>-16.1%</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2,225</w:t>
            </w:r>
          </w:p>
        </w:tc>
        <w:tc>
          <w:tcPr>
            <w:tcW w:type="dxa" w:w="1440"/>
            <w:shd w:fill="FFDCE0" w:val="clear"/>
          </w:tcPr>
          <w:p>
            <w:r>
              <w:rPr>
                <w:b/>
                <w:sz w:val="17"/>
              </w:rPr>
              <w:t>2,454</w:t>
            </w:r>
          </w:p>
        </w:tc>
        <w:tc>
          <w:tcPr>
            <w:tcW w:type="dxa" w:w="1440"/>
            <w:shd w:fill="FFDCE0" w:val="clear"/>
          </w:tcPr>
          <w:p>
            <w:r>
              <w:rPr>
                <w:sz w:val="17"/>
              </w:rPr>
              <w:t>2,683</w:t>
            </w:r>
          </w:p>
        </w:tc>
        <w:tc>
          <w:tcPr>
            <w:tcW w:type="dxa" w:w="1440"/>
            <w:shd w:fill="FFDCE0" w:val="clear"/>
          </w:tcPr>
          <w:p>
            <w:r>
              <w:rPr>
                <w:b/>
                <w:color w:val="C00000"/>
                <w:sz w:val="17"/>
              </w:rPr>
              <w:t>-17.6%</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2,172</w:t>
            </w:r>
          </w:p>
        </w:tc>
        <w:tc>
          <w:tcPr>
            <w:tcW w:type="dxa" w:w="1440"/>
            <w:shd w:fill="FFDCE0" w:val="clear"/>
          </w:tcPr>
          <w:p>
            <w:r>
              <w:rPr>
                <w:b/>
                <w:sz w:val="17"/>
              </w:rPr>
              <w:t>2,415</w:t>
            </w:r>
          </w:p>
        </w:tc>
        <w:tc>
          <w:tcPr>
            <w:tcW w:type="dxa" w:w="1440"/>
            <w:shd w:fill="FFDCE0" w:val="clear"/>
          </w:tcPr>
          <w:p>
            <w:r>
              <w:rPr>
                <w:sz w:val="17"/>
              </w:rPr>
              <w:t>2,658</w:t>
            </w:r>
          </w:p>
        </w:tc>
        <w:tc>
          <w:tcPr>
            <w:tcW w:type="dxa" w:w="1440"/>
            <w:shd w:fill="FFDCE0" w:val="clear"/>
          </w:tcPr>
          <w:p>
            <w:r>
              <w:rPr>
                <w:b/>
                <w:color w:val="C00000"/>
                <w:sz w:val="17"/>
              </w:rPr>
              <w:t>-18.9%</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2,125</w:t>
            </w:r>
          </w:p>
        </w:tc>
        <w:tc>
          <w:tcPr>
            <w:tcW w:type="dxa" w:w="1440"/>
            <w:shd w:fill="FFDCE0" w:val="clear"/>
          </w:tcPr>
          <w:p>
            <w:r>
              <w:rPr>
                <w:b/>
                <w:sz w:val="17"/>
              </w:rPr>
              <w:t>2,382</w:t>
            </w:r>
          </w:p>
        </w:tc>
        <w:tc>
          <w:tcPr>
            <w:tcW w:type="dxa" w:w="1440"/>
            <w:shd w:fill="FFDCE0" w:val="clear"/>
          </w:tcPr>
          <w:p>
            <w:r>
              <w:rPr>
                <w:sz w:val="17"/>
              </w:rPr>
              <w:t>2,638</w:t>
            </w:r>
          </w:p>
        </w:tc>
        <w:tc>
          <w:tcPr>
            <w:tcW w:type="dxa" w:w="1440"/>
            <w:shd w:fill="FFDCE0" w:val="clear"/>
          </w:tcPr>
          <w:p>
            <w:r>
              <w:rPr>
                <w:b/>
                <w:color w:val="C00000"/>
                <w:sz w:val="17"/>
              </w:rPr>
              <w:t>-20.1%</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2,084</w:t>
            </w:r>
          </w:p>
        </w:tc>
        <w:tc>
          <w:tcPr>
            <w:tcW w:type="dxa" w:w="1440"/>
            <w:shd w:fill="FFDCE0" w:val="clear"/>
          </w:tcPr>
          <w:p>
            <w:r>
              <w:rPr>
                <w:b/>
                <w:sz w:val="17"/>
              </w:rPr>
              <w:t>2,352</w:t>
            </w:r>
          </w:p>
        </w:tc>
        <w:tc>
          <w:tcPr>
            <w:tcW w:type="dxa" w:w="1440"/>
            <w:shd w:fill="FFDCE0" w:val="clear"/>
          </w:tcPr>
          <w:p>
            <w:r>
              <w:rPr>
                <w:sz w:val="17"/>
              </w:rPr>
              <w:t>2,621</w:t>
            </w:r>
          </w:p>
        </w:tc>
        <w:tc>
          <w:tcPr>
            <w:tcW w:type="dxa" w:w="1440"/>
            <w:shd w:fill="FFDCE0" w:val="clear"/>
          </w:tcPr>
          <w:p>
            <w:r>
              <w:rPr>
                <w:b/>
                <w:color w:val="C00000"/>
                <w:sz w:val="17"/>
              </w:rPr>
              <w:t>-21.1%</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2,045</w:t>
            </w:r>
          </w:p>
        </w:tc>
        <w:tc>
          <w:tcPr>
            <w:tcW w:type="dxa" w:w="1440"/>
            <w:shd w:fill="FFDCE0" w:val="clear"/>
          </w:tcPr>
          <w:p>
            <w:r>
              <w:rPr>
                <w:b/>
                <w:sz w:val="17"/>
              </w:rPr>
              <w:t>2,325</w:t>
            </w:r>
          </w:p>
        </w:tc>
        <w:tc>
          <w:tcPr>
            <w:tcW w:type="dxa" w:w="1440"/>
            <w:shd w:fill="FFDCE0" w:val="clear"/>
          </w:tcPr>
          <w:p>
            <w:r>
              <w:rPr>
                <w:sz w:val="17"/>
              </w:rPr>
              <w:t>2,605</w:t>
            </w:r>
          </w:p>
        </w:tc>
        <w:tc>
          <w:tcPr>
            <w:tcW w:type="dxa" w:w="1440"/>
            <w:shd w:fill="FFDCE0" w:val="clear"/>
          </w:tcPr>
          <w:p>
            <w:r>
              <w:rPr>
                <w:b/>
                <w:color w:val="C00000"/>
                <w:sz w:val="17"/>
              </w:rPr>
              <w:t>-22.0%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187,74 milliards FCFA, SHEC figure parmi les valeurs moyennes-capitalisations de la cote BRVM, ce qui lui confère une certaine liquidité mais la place loin des poids lourds du marché. Le BPA de 96 FCFA/action signifie que chaque titre génère près de 96 FCFA de bénéfice net, un niveau modeste qui reflète la faible marge nette (1%) caractéristique du secteur pétrolier aval. Le PER de 31,1x est nettement supérieur à la moyenne BRVM (~8-12x), signalant que les investisseurs paient une prime très élevée pour les bénéfices actuels — soit en anticipant une forte croissance, soit en surévaluant le titre. Le P/B de 6,91x (largement &gt; 4x) confirme cette valorisation exigeante : le marché valorise SHEC près de 7 fois sa valeur comptable, ce qui suppose une confiance importante dans la qualité de ses actifs et sa capacité bénéficiaire future. Enfin, l'EV/EBITDA de 15,4x (&gt; 15x) traduit une valorisation tendue par rapport à la capacité opérationnelle de l'entreprise, laissant peu de marge de sécurité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exceptionnelle de **+53,61%**, avec une dernière séance en hausse de +1,71%, portant le cours à 2 980 FCFA — soit exactement son plus haut sur la période. Le range de trading est très large, entre un plus bas de 1 840 FCFA et un plus haut de 2 980 FCFA, soit une amplitude de 62%, ce qui témoigne d'une tendance nettement haussière et d'un momentum acheteur soutenu. Les statistiques descriptives révèlent une distribution asymétrique : la moyenne (2 195 FCFA) est légèrement supérieure à la médiane (2 190 FCFA) et au mode (2 200 FCFA), avec un skewness positif de 1,090 indiquant davantage de journées sous la moyenne — typique d'un titre qui a connu une longue phase de consolidation avant une accélération finale. L'écart-type de 228 FCFA (CV = 10,4%) traduit une dispersion modérée du cours, mais le kurtosis de 1,679 (leptokurtique) signale des queues épaisses, donc un risque de pics de volatilité brutaux. La volatilité annualisée de 35,2% classe SHEC dans la catégorie des titres à volatilité élevée (&gt; 30%), ce qui implique un risque significatif pour les investisseurs, mais aussi un potentiel de gain amplifié.</w:t>
      </w:r>
    </w:p>
    <w:p>
      <w:pPr>
        <w:spacing w:after="120" w:line="276" w:lineRule="auto"/>
      </w:pPr>
      <w:r>
        <w:t>---</w:t>
      </w:r>
    </w:p>
    <w:p>
      <w:pPr>
        <w:spacing w:after="120" w:line="276" w:lineRule="auto"/>
      </w:pPr>
      <w:r>
        <w:t>## PARTIE 2 : ANALYSE TECHNIQUE DÉTAILLÉE</w:t>
      </w:r>
    </w:p>
    <w:p>
      <w:pPr>
        <w:spacing w:after="120" w:line="276" w:lineRule="auto"/>
      </w:pPr>
      <w:r>
        <w:t>**Moyennes Mobiles** : La MM20 (2 543 FCFA) et la MM50 (2 356,2 FCFA) sont toutes deux nettement inférieures au cours actuel (2 980 FCFA), avec une MM20 au-dessus de la MM50 — configuration haussière classique. Le cours évolue largement au-dessus de ses moyennes, ce qui confirme la dynamique positive et justifie la décision d'**Achat** émise par cet indicateur, bien que l'écart important suggère une possible extension excessive à court terme.</w:t>
      </w:r>
    </w:p>
    <w:p>
      <w:pPr>
        <w:spacing w:after="120" w:line="276" w:lineRule="auto"/>
      </w:pPr>
      <w:r>
        <w:t>**Bandes de Bollinger** : Le cours (2 980 FCFA) dépasse la borne supérieure (2 915,71 FCFA), ce qui constitue un signal de **Vente** selon cet indicateur — le titre est en zone de surachat technique. La largeur des bandes (2 170,29 – 2 915,71 FCFA) reflète une volatilité élevée, et la sortie par le haut indique une pression acheteuse intense mais potentiellement unsustainable à court terme.</w:t>
      </w:r>
    </w:p>
    <w:p>
      <w:pPr>
        <w:spacing w:after="120" w:line="276" w:lineRule="auto"/>
      </w:pPr>
      <w:r>
        <w:t>**MACD** : La valeur du MACD (144,7) est bien supérieure à son signal (93,345), avec un histogramme positif et croissant — momentum haussier confirmé. La décision d'**Achat** est cohérente avec cette configuration, le MACD n'ayant pas encore montré de signe de retournement malgré les niveaux élevés.</w:t>
      </w:r>
    </w:p>
    <w:p>
      <w:pPr>
        <w:spacing w:after="120" w:line="276" w:lineRule="auto"/>
      </w:pPr>
      <w:r>
        <w:t>**RSI** : À 92,188, le RSI est en zone de **surachat extrême** (&gt; 70), bien au-delà du seuil critique de 80. La décision de **Vente** est pleinement justifiée : un tel niveau précède historiquement des corrections, et le risque de retournement à court terme est très élevé.</w:t>
      </w:r>
    </w:p>
    <w:p>
      <w:pPr>
        <w:spacing w:after="120" w:line="276" w:lineRule="auto"/>
      </w:pPr>
      <w:r>
        <w:t>**Stochastique** : Le %K et le %D sont tous deux à 100,0, soit le maximum absolu de l'indicateur — signal de **Vente** sans ambiguïté. Cette configuration indique que le cours clôture systématiquement près de ses plus hauts, une situation intenable qui précède généralement une correction.</w:t>
      </w:r>
    </w:p>
    <w:p>
      <w:pPr>
        <w:spacing w:after="120" w:line="276" w:lineRule="auto"/>
      </w:pPr>
      <w:r>
        <w:t>**Conclusion technique** : Les indicateurs présentent une **divergence majeure** : les moyennes mobiles et le MACD confirment la tendance haussière de fond, tandis que le RSI (92,2), le stochastique (100) et les bandes de Bollinger (cours &gt; borne supérieure) signalent tous un surachat extrême. Cette configuration suggère que le titre est en fin de mouvement haussier à court terme, avec un risque élevé de correction ou de consolidation imminente. La prudence est de mise pour les acheteurs tardifs.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**604,978 milliards FCFA**, en très légère hausse de +0,71% par rapport à 2024 (600,708 Mds FCFA), traduisant une stagnation de l'activité commerciale. Le résultat net s'établit à **6,028 milliards FCFA**, en progression de +12,6% (contre 5,354 Mds en 2024), grâce à une amélioration de la marge opérationnelle et une réduction des charges financières. Le ROE atteint **22,20%** (excellent, &gt; 15%), mais le ROA n'est que de **3,11%**, reflétant la faible rotation des actifs (312,55%) et la structure très endettée de l'entreprise. La marge nette reste très faible à **0,996%**, caractéristique du secteur pétrolier aval, et la marge opérationnelle s'élève à 1,93%. Sur le plan structurel, l'autonomie financière est préoccupante à **14,03%** (très en dessous du seuil de 30% considéré comme sain), avec un ratio d'endettement de 43,95% et une trésorerie nette **très négative à -65,264 milliards FCFA**. Le BFR est de 15,315 Mds FCFA (positif, donc défavorable), et le fonds de roulement est négatif (-49,850 Mds FCFA), signe de tensions de liquidité. Les délais d'exploitation sont relativement maîtrisés : 23,27 jours pour les clients (risque modéré), 35,47 jours pour les fournisseurs (favorable), et 7,47 jours de stockage (efficace). La capacité de remboursement est de 0,97 an (dette financière/CAF), ce qui reste soutenable, et la couverture des intérêts est excellente à 292,84%.</w:t>
      </w:r>
    </w:p>
    <w:p>
      <w:pPr>
        <w:spacing w:after="120" w:line="276" w:lineRule="auto"/>
      </w:pPr>
      <w:r>
        <w:t>**Estimations basées sur les rapports trimestriels** : Le rapport du **30 juin 2026** (S1 2026) indique un CA de 305 038 M FCFA, en baisse de -1% sur un an, avec un résultat d'exploitation en hausse de +17% à 6 133 M FCFA et un résultat net de 3 016 M FCFA (marge nette de 0,99%). Le rapport du **3ème trimestre 2025** (30/09/2025) faisait état d'un CA cumulé de 451,7 Mds FCFA (+1%) et d'un résultat net de 4,119 Mds FCFA (+45%), avec une marge nette de 0,91%. Sur la base de ces tendances, on peut estimer que l'exercice 2026 devrait afficher un CA stable autour de 600-610 Mds FCFA, avec un résultat net potentiellement en légère progression (estimé entre 6,2 et 6,5 Mds FCFA), soutenu par la dynamique du butane et des lubrifiants, mais freiné par la baisse des volumes aviation et bitume. Le dividende proposé pour 2025 s'élève à **6,09 Mds FCFA** (soit environ 1 933 FCFA/action), représentant un taux de distribution de 101% — généreux mais fragilisant davantage la structure financière.</w:t>
      </w:r>
    </w:p>
    <w:p>
      <w:pPr>
        <w:spacing w:after="120" w:line="276" w:lineRule="auto"/>
      </w:pPr>
      <w:r>
        <w:t>**Recommandation fondamentale** : SHEC présente des fondamentaux mitigés : une rentabilité en amélioration (ROE &gt; 20%) et une génération de cash-flow opérationnel positive (12,33 Mds FCFA), mais une structure financière très tendue (trésorerie nette négative, autonomie financière faible, endettement élevé) et une marge nette extrêmement faible qui la rend vulnérable à toute variation de coûts ou de volumes. Les rapports récents (T3 2025, S1 2026) confirment cette dualité : amélioration de la rentabilité opérationnelle mais stagnation du CA et dépendance aux concours bancaires. La recommandation fondamentale est de **CONSERVER** le titre pour un investisseur de long terme, en attendant une clarification sur la réduction de l'endettement et la reprise des volumes.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**déséquilibre majeur** entre la valorisation, la technique, le fondamental et les prédictions. **Valorisation (Partie 0)** : les ratios PER (31,1x), P/B (6,91x) et EV/EBITDA (15,4x) indiquent une **surévaluation manifeste** par rapport aux moyennes du marché et à la capacité bénéficiaire actuelle. **Comportement du cours (Partie 1)** : la tendance haussière (+53,61%) est impressionnante mais les statistiques (kurtosis 1,679, skewness 1,090, volatilité 35,2%) signalent un risque de correction brutale. **Signaux techniques (Partie 2)** : divergence flagrante — les moyennes mobiles et le MACD sont haussiers, mais le RSI (92,2), le stochastique (100) et les bandes de Bollinger (cours &gt; borne supérieure) crient tous à la **Vente** pour cause de surachat extrême. **Fondamentaux (Partie 3)** : la société est solide opérationnellement (ROE 22,2%, CAF 12,33 Mds) mais fragile financièrement (trésorerie nette -65,26 Mds, autonomie 14%), avec une croissance atone et une marge nette de 1%. **Prédictions IA (J+1 à J+10)** : la trajectoire prévue est **baissière** (2 835 → 2 501 FCFA, soit -16% en 10 jours), ce qui **confirme** les signaux de surachat technique et contredit la tendance haussière récente.</w:t>
      </w:r>
    </w:p>
    <w:p>
      <w:pPr>
        <w:spacing w:after="120" w:line="276" w:lineRule="auto"/>
      </w:pPr>
      <w:r>
        <w:t>**Recommandation finale : VENTE** (à court terme) / **CONSERVER** (pour les investisseurs déjà positionnés avec un horizon long terme).</w:t>
      </w:r>
    </w:p>
    <w:p>
      <w:pPr>
        <w:spacing w:after="120" w:line="276" w:lineRule="auto"/>
      </w:pPr>
      <w:r>
        <w:t>**Justification** : La convergence entre la surévaluation fondamentale, le surachat technique extrême (RSI 92,2, stochastique 100) et les prédictions IA baissières (-16% en 10 jours) plaide pour une **prise de bénéfices immédiate** après la hausse de +53,61%. Le titre est techniquement en zone de correction imminente, et la valorisation ne laisse aucune marge de sécurité. Pour les investisseurs de long terme, la société reste bénéficiaire et distribue un dividende attractif, mais la fragilité financière (trésorerie négative, endettement) et la stagnation du CA justifient une **grande prudence**.</w:t>
      </w:r>
    </w:p>
    <w:p>
      <w:pPr>
        <w:spacing w:after="120" w:line="276" w:lineRule="auto"/>
      </w:pPr>
      <w:r>
        <w:t>**Niveau de confiance** : **Élevé** (convergence des signaux baissiers à court terme).</w:t>
        <w:br/>
        <w:t>**Niveau de risque global** : **Élevé** (volatilité 35,2%, surévaluation, tensions de liquidité).</w:t>
        <w:br/>
        <w:t>**Horizon d'investissement optimal** : **Court terme (&lt; 3 mois)** pour la vente ; **Long terme (&gt; 1 an)** pour une éventuelle réintroduction après correction, en surveillant la réduction de l'endettement et la reprise des volumes aviation/bitume.</w:t>
      </w:r>
    </w:p>
    <w:p>
      <w:pPr>
        <w:spacing w:after="120" w:line="276" w:lineRule="auto"/>
      </w:pPr>
      <w:r>
        <w:t>---</w:t>
      </w:r>
    </w:p>
    <w:p>
      <w:pPr>
        <w:spacing w:after="120" w:line="276" w:lineRule="auto"/>
      </w:pPr>
      <w:r>
        <w:t>*Rapport généré le 17 septembre 2026 — Sources : BRVM, états financiers 2025, rapports trimestriels T3 2025 et S1 2026, analyses fondamentales DeepSeek.*</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10,433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+33.73%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8.54% (Moyenne) — μ=8,616 FCFA, σ=736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β=0.2898 (Défensif) — Cov=0.000010, Var(idx)=0.000035,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10,433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8,835</w:t>
            </w:r>
          </w:p>
        </w:tc>
        <w:tc>
          <w:tcPr>
            <w:tcW w:type="dxa" w:w="1440"/>
            <w:shd w:fill="FAFAFA" w:val="clear"/>
          </w:tcPr>
          <w:p>
            <w:r>
              <w:rPr>
                <w:b/>
                <w:sz w:val="17"/>
              </w:rPr>
              <w:t>9,017</w:t>
            </w:r>
          </w:p>
        </w:tc>
        <w:tc>
          <w:tcPr>
            <w:tcW w:type="dxa" w:w="1440"/>
            <w:shd w:fill="FAFAFA" w:val="clear"/>
          </w:tcPr>
          <w:p>
            <w:r>
              <w:rPr>
                <w:sz w:val="17"/>
              </w:rPr>
              <w:t>9,199</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8,685</w:t>
            </w:r>
          </w:p>
        </w:tc>
        <w:tc>
          <w:tcPr>
            <w:tcW w:type="dxa" w:w="1440"/>
            <w:shd w:fill="FAFAFA" w:val="clear"/>
          </w:tcPr>
          <w:p>
            <w:r>
              <w:rPr>
                <w:b/>
                <w:sz w:val="17"/>
              </w:rPr>
              <w:t>8,940</w:t>
            </w:r>
          </w:p>
        </w:tc>
        <w:tc>
          <w:tcPr>
            <w:tcW w:type="dxa" w:w="1440"/>
            <w:shd w:fill="FAFAFA" w:val="clear"/>
          </w:tcPr>
          <w:p>
            <w:r>
              <w:rPr>
                <w:sz w:val="17"/>
              </w:rPr>
              <w:t>9,196</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8,561</w:t>
            </w:r>
          </w:p>
        </w:tc>
        <w:tc>
          <w:tcPr>
            <w:tcW w:type="dxa" w:w="1440"/>
            <w:shd w:fill="FFDCE0" w:val="clear"/>
          </w:tcPr>
          <w:p>
            <w:r>
              <w:rPr>
                <w:b/>
                <w:sz w:val="17"/>
              </w:rPr>
              <w:t>8,871</w:t>
            </w:r>
          </w:p>
        </w:tc>
        <w:tc>
          <w:tcPr>
            <w:tcW w:type="dxa" w:w="1440"/>
            <w:shd w:fill="FFDCE0" w:val="clear"/>
          </w:tcPr>
          <w:p>
            <w:r>
              <w:rPr>
                <w:sz w:val="17"/>
              </w:rPr>
              <w:t>9,181</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2026-09-23</w:t>
            </w:r>
          </w:p>
        </w:tc>
        <w:tc>
          <w:tcPr>
            <w:tcW w:type="dxa" w:w="1440"/>
            <w:shd w:fill="FFDCE0" w:val="clear"/>
          </w:tcPr>
          <w:p>
            <w:r>
              <w:rPr>
                <w:sz w:val="17"/>
              </w:rPr>
              <w:t>8,453</w:t>
            </w:r>
          </w:p>
        </w:tc>
        <w:tc>
          <w:tcPr>
            <w:tcW w:type="dxa" w:w="1440"/>
            <w:shd w:fill="FFDCE0" w:val="clear"/>
          </w:tcPr>
          <w:p>
            <w:r>
              <w:rPr>
                <w:b/>
                <w:sz w:val="17"/>
              </w:rPr>
              <w:t>8,809</w:t>
            </w:r>
          </w:p>
        </w:tc>
        <w:tc>
          <w:tcPr>
            <w:tcW w:type="dxa" w:w="1440"/>
            <w:shd w:fill="FFDCE0" w:val="clear"/>
          </w:tcPr>
          <w:p>
            <w:r>
              <w:rPr>
                <w:sz w:val="17"/>
              </w:rPr>
              <w:t>9,165</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2026-09-24</w:t>
            </w:r>
          </w:p>
        </w:tc>
        <w:tc>
          <w:tcPr>
            <w:tcW w:type="dxa" w:w="1440"/>
            <w:shd w:fill="FFDCE0" w:val="clear"/>
          </w:tcPr>
          <w:p>
            <w:r>
              <w:rPr>
                <w:sz w:val="17"/>
              </w:rPr>
              <w:t>8,356</w:t>
            </w:r>
          </w:p>
        </w:tc>
        <w:tc>
          <w:tcPr>
            <w:tcW w:type="dxa" w:w="1440"/>
            <w:shd w:fill="FFDCE0" w:val="clear"/>
          </w:tcPr>
          <w:p>
            <w:r>
              <w:rPr>
                <w:b/>
                <w:sz w:val="17"/>
              </w:rPr>
              <w:t>8,752</w:t>
            </w:r>
          </w:p>
        </w:tc>
        <w:tc>
          <w:tcPr>
            <w:tcW w:type="dxa" w:w="1440"/>
            <w:shd w:fill="FFDCE0" w:val="clear"/>
          </w:tcPr>
          <w:p>
            <w:r>
              <w:rPr>
                <w:sz w:val="17"/>
              </w:rPr>
              <w:t>9,147</w:t>
            </w:r>
          </w:p>
        </w:tc>
        <w:tc>
          <w:tcPr>
            <w:tcW w:type="dxa" w:w="1440"/>
            <w:shd w:fill="FFDCE0" w:val="clear"/>
          </w:tcPr>
          <w:p>
            <w:r>
              <w:rPr>
                <w:b/>
                <w:color w:val="C00000"/>
                <w:sz w:val="17"/>
              </w:rPr>
              <w:t>-3.8%</w:t>
            </w:r>
          </w:p>
        </w:tc>
      </w:tr>
      <w:tr>
        <w:tc>
          <w:tcPr>
            <w:tcW w:type="dxa" w:w="1440"/>
            <w:shd w:fill="FFDCE0" w:val="clear"/>
          </w:tcPr>
          <w:p>
            <w:r>
              <w:rPr>
                <w:sz w:val="17"/>
              </w:rPr>
              <w:t>J+6  Moyenne</w:t>
            </w:r>
          </w:p>
        </w:tc>
        <w:tc>
          <w:tcPr>
            <w:tcW w:type="dxa" w:w="1440"/>
            <w:shd w:fill="FFDCE0" w:val="clear"/>
          </w:tcPr>
          <w:p>
            <w:r>
              <w:rPr>
                <w:sz w:val="17"/>
              </w:rPr>
              <w:t>2026-09-25</w:t>
            </w:r>
          </w:p>
        </w:tc>
        <w:tc>
          <w:tcPr>
            <w:tcW w:type="dxa" w:w="1440"/>
            <w:shd w:fill="FFDCE0" w:val="clear"/>
          </w:tcPr>
          <w:p>
            <w:r>
              <w:rPr>
                <w:sz w:val="17"/>
              </w:rPr>
              <w:t>8,269</w:t>
            </w:r>
          </w:p>
        </w:tc>
        <w:tc>
          <w:tcPr>
            <w:tcW w:type="dxa" w:w="1440"/>
            <w:shd w:fill="FFDCE0" w:val="clear"/>
          </w:tcPr>
          <w:p>
            <w:r>
              <w:rPr>
                <w:b/>
                <w:sz w:val="17"/>
              </w:rPr>
              <w:t>8,700</w:t>
            </w:r>
          </w:p>
        </w:tc>
        <w:tc>
          <w:tcPr>
            <w:tcW w:type="dxa" w:w="1440"/>
            <w:shd w:fill="FFDCE0" w:val="clear"/>
          </w:tcPr>
          <w:p>
            <w:r>
              <w:rPr>
                <w:sz w:val="17"/>
              </w:rPr>
              <w:t>9,130</w:t>
            </w:r>
          </w:p>
        </w:tc>
        <w:tc>
          <w:tcPr>
            <w:tcW w:type="dxa" w:w="1440"/>
            <w:shd w:fill="FFDCE0" w:val="clear"/>
          </w:tcPr>
          <w:p>
            <w:r>
              <w:rPr>
                <w:b/>
                <w:color w:val="C00000"/>
                <w:sz w:val="17"/>
              </w:rPr>
              <w:t>-4.4%</w:t>
            </w:r>
          </w:p>
        </w:tc>
      </w:tr>
      <w:tr>
        <w:tc>
          <w:tcPr>
            <w:tcW w:type="dxa" w:w="1440"/>
            <w:shd w:fill="FFDCE0" w:val="clear"/>
          </w:tcPr>
          <w:p>
            <w:r>
              <w:rPr>
                <w:sz w:val="17"/>
              </w:rPr>
              <w:t>J+7  Moyenne</w:t>
            </w:r>
          </w:p>
        </w:tc>
        <w:tc>
          <w:tcPr>
            <w:tcW w:type="dxa" w:w="1440"/>
            <w:shd w:fill="FFDCE0" w:val="clear"/>
          </w:tcPr>
          <w:p>
            <w:r>
              <w:rPr>
                <w:sz w:val="17"/>
              </w:rPr>
              <w:t>2026-09-28</w:t>
            </w:r>
          </w:p>
        </w:tc>
        <w:tc>
          <w:tcPr>
            <w:tcW w:type="dxa" w:w="1440"/>
            <w:shd w:fill="FFDCE0" w:val="clear"/>
          </w:tcPr>
          <w:p>
            <w:r>
              <w:rPr>
                <w:sz w:val="17"/>
              </w:rPr>
              <w:t>8,189</w:t>
            </w:r>
          </w:p>
        </w:tc>
        <w:tc>
          <w:tcPr>
            <w:tcW w:type="dxa" w:w="1440"/>
            <w:shd w:fill="FFDCE0" w:val="clear"/>
          </w:tcPr>
          <w:p>
            <w:r>
              <w:rPr>
                <w:b/>
                <w:sz w:val="17"/>
              </w:rPr>
              <w:t>8,651</w:t>
            </w:r>
          </w:p>
        </w:tc>
        <w:tc>
          <w:tcPr>
            <w:tcW w:type="dxa" w:w="1440"/>
            <w:shd w:fill="FFDCE0" w:val="clear"/>
          </w:tcPr>
          <w:p>
            <w:r>
              <w:rPr>
                <w:sz w:val="17"/>
              </w:rPr>
              <w:t>9,114</w:t>
            </w:r>
          </w:p>
        </w:tc>
        <w:tc>
          <w:tcPr>
            <w:tcW w:type="dxa" w:w="1440"/>
            <w:shd w:fill="FFDCE0" w:val="clear"/>
          </w:tcPr>
          <w:p>
            <w:r>
              <w:rPr>
                <w:b/>
                <w:color w:val="C00000"/>
                <w:sz w:val="17"/>
              </w:rPr>
              <w:t>-4.9%</w:t>
            </w:r>
          </w:p>
        </w:tc>
      </w:tr>
      <w:tr>
        <w:tc>
          <w:tcPr>
            <w:tcW w:type="dxa" w:w="1440"/>
            <w:shd w:fill="FFDCE0" w:val="clear"/>
          </w:tcPr>
          <w:p>
            <w:r>
              <w:rPr>
                <w:sz w:val="17"/>
              </w:rPr>
              <w:t>J+8  Moyenne</w:t>
            </w:r>
          </w:p>
        </w:tc>
        <w:tc>
          <w:tcPr>
            <w:tcW w:type="dxa" w:w="1440"/>
            <w:shd w:fill="FFDCE0" w:val="clear"/>
          </w:tcPr>
          <w:p>
            <w:r>
              <w:rPr>
                <w:sz w:val="17"/>
              </w:rPr>
              <w:t>2026-09-29</w:t>
            </w:r>
          </w:p>
        </w:tc>
        <w:tc>
          <w:tcPr>
            <w:tcW w:type="dxa" w:w="1440"/>
            <w:shd w:fill="FFDCE0" w:val="clear"/>
          </w:tcPr>
          <w:p>
            <w:r>
              <w:rPr>
                <w:sz w:val="17"/>
              </w:rPr>
              <w:t>8,114</w:t>
            </w:r>
          </w:p>
        </w:tc>
        <w:tc>
          <w:tcPr>
            <w:tcW w:type="dxa" w:w="1440"/>
            <w:shd w:fill="FFDCE0" w:val="clear"/>
          </w:tcPr>
          <w:p>
            <w:r>
              <w:rPr>
                <w:b/>
                <w:sz w:val="17"/>
              </w:rPr>
              <w:t>8,606</w:t>
            </w:r>
          </w:p>
        </w:tc>
        <w:tc>
          <w:tcPr>
            <w:tcW w:type="dxa" w:w="1440"/>
            <w:shd w:fill="FFDCE0" w:val="clear"/>
          </w:tcPr>
          <w:p>
            <w:r>
              <w:rPr>
                <w:sz w:val="17"/>
              </w:rPr>
              <w:t>9,098</w:t>
            </w:r>
          </w:p>
        </w:tc>
        <w:tc>
          <w:tcPr>
            <w:tcW w:type="dxa" w:w="1440"/>
            <w:shd w:fill="FFDCE0" w:val="clear"/>
          </w:tcPr>
          <w:p>
            <w:r>
              <w:rPr>
                <w:b/>
                <w:color w:val="C00000"/>
                <w:sz w:val="17"/>
              </w:rPr>
              <w:t>-5.4%</w:t>
            </w:r>
          </w:p>
        </w:tc>
      </w:tr>
      <w:tr>
        <w:tc>
          <w:tcPr>
            <w:tcW w:type="dxa" w:w="1440"/>
            <w:shd w:fill="FFDCE0" w:val="clear"/>
          </w:tcPr>
          <w:p>
            <w:r>
              <w:rPr>
                <w:sz w:val="17"/>
              </w:rPr>
              <w:t>J+9  Moyenne</w:t>
            </w:r>
          </w:p>
        </w:tc>
        <w:tc>
          <w:tcPr>
            <w:tcW w:type="dxa" w:w="1440"/>
            <w:shd w:fill="FFDCE0" w:val="clear"/>
          </w:tcPr>
          <w:p>
            <w:r>
              <w:rPr>
                <w:sz w:val="17"/>
              </w:rPr>
              <w:t>2026-09-30</w:t>
            </w:r>
          </w:p>
        </w:tc>
        <w:tc>
          <w:tcPr>
            <w:tcW w:type="dxa" w:w="1440"/>
            <w:shd w:fill="FFDCE0" w:val="clear"/>
          </w:tcPr>
          <w:p>
            <w:r>
              <w:rPr>
                <w:sz w:val="17"/>
              </w:rPr>
              <w:t>8,045</w:t>
            </w:r>
          </w:p>
        </w:tc>
        <w:tc>
          <w:tcPr>
            <w:tcW w:type="dxa" w:w="1440"/>
            <w:shd w:fill="FFDCE0" w:val="clear"/>
          </w:tcPr>
          <w:p>
            <w:r>
              <w:rPr>
                <w:b/>
                <w:sz w:val="17"/>
              </w:rPr>
              <w:t>8,564</w:t>
            </w:r>
          </w:p>
        </w:tc>
        <w:tc>
          <w:tcPr>
            <w:tcW w:type="dxa" w:w="1440"/>
            <w:shd w:fill="FFDCE0" w:val="clear"/>
          </w:tcPr>
          <w:p>
            <w:r>
              <w:rPr>
                <w:sz w:val="17"/>
              </w:rPr>
              <w:t>9,083</w:t>
            </w:r>
          </w:p>
        </w:tc>
        <w:tc>
          <w:tcPr>
            <w:tcW w:type="dxa" w:w="1440"/>
            <w:shd w:fill="FFDCE0" w:val="clear"/>
          </w:tcPr>
          <w:p>
            <w:r>
              <w:rPr>
                <w:b/>
                <w:color w:val="C00000"/>
                <w:sz w:val="17"/>
              </w:rPr>
              <w:t>-5.9%</w:t>
            </w:r>
          </w:p>
        </w:tc>
      </w:tr>
      <w:tr>
        <w:tc>
          <w:tcPr>
            <w:tcW w:type="dxa" w:w="1440"/>
            <w:shd w:fill="FFDCE0" w:val="clear"/>
          </w:tcPr>
          <w:p>
            <w:r>
              <w:rPr>
                <w:sz w:val="17"/>
              </w:rPr>
              <w:t>J+10  Moyenne</w:t>
            </w:r>
          </w:p>
        </w:tc>
        <w:tc>
          <w:tcPr>
            <w:tcW w:type="dxa" w:w="1440"/>
            <w:shd w:fill="FFDCE0" w:val="clear"/>
          </w:tcPr>
          <w:p>
            <w:r>
              <w:rPr>
                <w:sz w:val="17"/>
              </w:rPr>
              <w:t>2026-10-01</w:t>
            </w:r>
          </w:p>
        </w:tc>
        <w:tc>
          <w:tcPr>
            <w:tcW w:type="dxa" w:w="1440"/>
            <w:shd w:fill="FFDCE0" w:val="clear"/>
          </w:tcPr>
          <w:p>
            <w:r>
              <w:rPr>
                <w:sz w:val="17"/>
              </w:rPr>
              <w:t>7,979</w:t>
            </w:r>
          </w:p>
        </w:tc>
        <w:tc>
          <w:tcPr>
            <w:tcW w:type="dxa" w:w="1440"/>
            <w:shd w:fill="FFDCE0" w:val="clear"/>
          </w:tcPr>
          <w:p>
            <w:r>
              <w:rPr>
                <w:b/>
                <w:sz w:val="17"/>
              </w:rPr>
              <w:t>8,524</w:t>
            </w:r>
          </w:p>
        </w:tc>
        <w:tc>
          <w:tcPr>
            <w:tcW w:type="dxa" w:w="1440"/>
            <w:shd w:fill="FFDCE0" w:val="clear"/>
          </w:tcPr>
          <w:p>
            <w:r>
              <w:rPr>
                <w:sz w:val="17"/>
              </w:rPr>
              <w:t>9,069</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 RAPPORT D'ANALYSE FINANCIÈRE — SIBC (Société Ivoirienne de Banque)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**910,00 milliards FCFA** pour un cours de **9 100 FCFA**, la SIBC s'impose comme l'une des capitalisations les plus importantes de la BRVM, ce qui en fait une valeur de premier plan (blue chip) du compartiment bancaire régional. Le **BPA de 556 FCFA/action** traduit une rentabilité par titre solide, cohérente avec un résultat net de 55,6 Mds FCFA pour 100 millions d'actions. Le **PER de 16,4x** se situe nettement au-dessus de la moyenne du marché BRVM (généralement 8-12x), signalant que les investisseurs paient une prime de qualité pour cette valeur, sans pour autant basculer dans une zone de surévaluation spéculative. Le **P/B de 4,44x** et l'**EV/EBITDA de 15,2x** confirment cette lecture : le marché valorise la SIBC très au-dessus de sa valeur comptable (204,8 Mds FCFA de capitaux propres) et de sa capacité opérationnelle, ce qui exige en contrepartie une croissance et une rentabilité durablement supérieures à la moyenne sectorielle. Cette prime est justifiée par un ROE de 27,2% et un coefficient d'exploitation de 38,6%, parmi les meilleurs du secteur bancaire UEMOA.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remarquable de +33,73%**, passant d'un plus bas de **6 805 FCFA** à un plus haut de **9 500 FCFA**, avant de terminer à **9 100 FCFA** (recul marginal de **-0,87%** sur la dernière séance J-1). Le range de trading de 2 695 FCFA (soit près de 40% d'amplitude) témoigne d'une tendance **franchement haussière** sur la période, portée par la bonne dynamique fondamentale de la banque et l'appétit des investisseurs pour les valeurs bancaires ivoiriennes. Les statistiques descriptives révèlent une **moyenne de 8 616 FCFA** inférieure à la **médiane de 8 885 FCFA**, écart caractéristique d'une distribution asymétrique où le cours a passé plus de temps dans les niveaux élevés en fin de période. Le **mode à 9 000 FCFA** confirme cette zone comme point d'équilibre psychologique récent. L'**écart-type de 740 FCFA (CV=8,6%)** indique une dispersion modérée du cours autour de sa moyenne, tandis que le **kurtosis de 0,096** (mésokurtique) suggère une distribution proche de la normale, sans risque excessif de pics extrêmes. Le **skewness de -1,235** (asymétrie négative marquée) signale davantage de journées de baisse modérée que de hausse violente, cohérent avec une consolidation après le rallye. La **volatilité annualisée de 28,7%** positionne le titre dans la catégorie **modérée à élevée** (15-30%), typique d'une valeur bancaire en phase de réévaluation.</w:t>
      </w:r>
    </w:p>
    <w:p>
      <w:pPr>
        <w:spacing w:after="120" w:line="276" w:lineRule="auto"/>
      </w:pPr>
      <w:r>
        <w:t>---</w:t>
      </w:r>
    </w:p>
    <w:p>
      <w:pPr>
        <w:spacing w:after="120" w:line="276" w:lineRule="auto"/>
      </w:pPr>
      <w:r>
        <w:t>## PARTIE 2 : ANALYSE TECHNIQUE DÉTAILLÉE</w:t>
      </w:r>
    </w:p>
    <w:p>
      <w:pPr>
        <w:spacing w:after="120" w:line="276" w:lineRule="auto"/>
      </w:pPr>
      <w:r>
        <w:t>**Moyennes Mobiles** : La **MM20 (9 182,75 FCFA)** et la **MM50 (9 081,40 FCFA)** encadrent le cours actuel (9 100 FCFA) par le haut et le bas respectivement, avec la MM20 au-dessus de la MM50 — configuration haussière classique (golden cross). Le cours évolue légèrement sous la MM20 mais au-dessus de la MM50, ce qui justifie la décision **Achat** : la tendance de fond reste positive, la correction actuelle n'invalidant pas la structure.</w:t>
      </w:r>
    </w:p>
    <w:p>
      <w:pPr>
        <w:spacing w:after="120" w:line="276" w:lineRule="auto"/>
      </w:pPr>
      <w:r>
        <w:t>**Bandes de Bollinger** : Le cours (9 100 FCFA) se situe dans la moitié inférieure de la bande, entre la **borne inférieure (8 994,92 FCFA)** et la **borne supérieure (9 370,58 FCFA)**, à proximité immédiate du support inférieur. L'étroitesse relative des bandes (largeur ~375 FCFA) indique une volatilité comprimée, souvent précurseur d'un mouvement directionnel. La décision **Neutre** reflète l'absence de signal clair : ni suracheté, ni survente.</w:t>
      </w:r>
    </w:p>
    <w:p>
      <w:pPr>
        <w:spacing w:after="120" w:line="276" w:lineRule="auto"/>
      </w:pPr>
      <w:r>
        <w:t>**MACD** : La **valeur MACD (28,24)** est nettement inférieure à son **signal (44,225)**, générant un croisement baissier (MACD sous signal) qui traduit un **essoufflement du momentum haussier**. Cette divergence négative justifie la décision **Vente** à court terme, bien qu'elle intervienne dans un contexte de tendance de fond encore positive — signal de prudence plutôt que de retournement majeur.</w:t>
      </w:r>
    </w:p>
    <w:p>
      <w:pPr>
        <w:spacing w:after="120" w:line="276" w:lineRule="auto"/>
      </w:pPr>
      <w:r>
        <w:t>**RSI** : À **45,455**, le RSI se situe en zone **neutre** (30-70), légèrement sous le seuil médian de 50, indiquant un léger affaiblissement de la pression acheteuse sans pour autant atteindre la zone de survente (&lt;30). La décision **Neutre** est cohérente : le titre n'offre ni signal d'achat sur repli, ni signal de vente sur excès.</w:t>
      </w:r>
    </w:p>
    <w:p>
      <w:pPr>
        <w:spacing w:after="120" w:line="276" w:lineRule="auto"/>
      </w:pPr>
      <w:r>
        <w:t>**Stochastique** : Le **%K (33,33)** est nettement inférieur au **%D (53,33)**, avec un %K en zone basse proche de la survente (&lt;20 étant le seuil strict). Ce croisement baissier %K sous %D suggère une pression vendeuse résiduelle, mais la décision reste **Neutre** car le %K n'a pas encore atteint la zone de survente extrême qui déclencherait un signal d'achat contrarien.</w:t>
      </w:r>
    </w:p>
    <w:p>
      <w:pPr>
        <w:spacing w:after="120" w:line="276" w:lineRule="auto"/>
      </w:pPr>
      <w:r>
        <w:t>**Conclusion technique** : Les indicateurs présentent un tableau **mitigé à légèrement baissier à court terme** : les moyennes mobiles restent haussières (MM20 &gt; MM50), mais le MACD s'est retourné à la baisse, le RSI faiblit et le stochastique pointe vers le bas. Le titre semble entrer dans une **phase de consolidation** après son rallye de +33,73%, avec un support critique à surveiller autour de 8 995 FCFA (borne inférieure de Bollinger) et 9 081 FCFA (MM50). Une cassure sous ces niveaux invaliderait le scénario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La SIBC affiche pour l'exercice 2025 un **Produit Net Bancaire (PNB) de 108,663 Mds FCFA**, un **résultat net de 55,623 Mds FCFA** (marge nette exceptionnelle de **51,19%**), un **ROE de 27,16%** (largement supérieur au seuil d'excellence de 15%) et un **ROA de 2,96%**. Le **coefficient d'exploitation de 38,59%** place la banque parmi les établissements les plus efficaces du secteur (seuil d'excellence &lt;50%). Le **total bilan de 1 881,733 Mds FCFA** est dominé par les **créances sur la clientèle (1 226,720 Mds FCFA)** et les **dépôts clientèle (1 503,441 Mds FCFA)**, avec un ratio de transformation dépôts/crédits de 81,6% — sain et équilibré. Les **capitaux propres de 204,765 Mds FCFA** assurent une autonomie financière de 10,88%, typique du modèle bancaire (levier élevé structurel), avec une **solvabilité générale de 112,21%** confirmant la solidité du bilan. Le **taux de croissance du PNB de 5,74%** témoigne d'une dynamique commerciale soutenue.</w:t>
      </w:r>
    </w:p>
    <w:p>
      <w:pPr>
        <w:spacing w:after="120" w:line="276" w:lineRule="auto"/>
      </w:pPr>
      <w:r>
        <w:t>**Estimations basées sur les rapports trimestriels** : Le **rapport T1 2026 (publié le 31/12/2026)** confirme l'accélération : **PNB de 27,7 Mds FCFA (+4% en glissement annuel)**, **résultat net de 15,2 Mds FCFA (+11%)**, avec une **marge nette de 54,9%** et des **dépôts en hausse de +9% à 1 495 Mds FCFA** et des **crédits en progression de +7% à 1 112 Mds FCFA**. Le **rapport T3 2025 (30/09/2025)** affichait un PNB cumulé de 81,4 Mds FCFA (+8%) et un résultat net de 43,0 Mds FCFA (+11%), tandis que le **rapport annuel 2024 (31/12/2024)** rapportait un PNB de 102,8 Mds FCFA (+8%) et un résultat net de 50,2 Mds FCFA (+15%), avec un **ROE de 30,56%** et un **dividende brut de 375 FCFA/action** (rendement ~10,55% sur la base du cours de fin 2024). Sur la base du T1 2026 (+11% de résultat net), on peut **estimer un résultat net 2026 autour de 60-62 Mds FCFA**, soit un BPA projeté de ~600-620 FCFA et un PER forward de ~14,7-15,2x — toujours supérieur au marché mais en légère détente.</w:t>
      </w:r>
    </w:p>
    <w:p>
      <w:pPr>
        <w:spacing w:after="120" w:line="276" w:lineRule="auto"/>
      </w:pPr>
      <w:r>
        <w:t>**Recommandation fondamentale** : La SIBC présente des **fondamentaux de très haute qualité** : rentabilité exceptionnelle (ROE &gt;27%, marge nette &gt;51%), efficacité opérationnelle remarquable (coefficient d'exploitation &lt;39%), croissance régulière à deux chiffres du résultat net, et politique de dividende généreuse. Les principaux risques identifiés dans les rapports sont le **risque de crédit** (croissance rapide des encours +7%), la **pression concurrentielle** sur les marges, et la **dépendance à l'économie ivoirienne**. La valorisation exigeante (P/B 4,44x, EV/EBITDA 15,2x) constitue le principal frein à court terme, mais elle est justifiée par la qualité des fondamentaux. **Recommandation fondamentale : CONSERVER avec biais acheteur sur repli.**</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révèle un **profil d'investissement contrasté entre court et moyen terme**. Sur le plan de la **valorisation (Partie 0)**, les ratios PER (16,4x), P/B (4,44x) et EV/EBITDA (15,2x) indiquent une **surévaluation relative** par rapport à la moyenne du marché BRVM, bien que cette prime soit justifiée par un ROE de 27,2% et une marge nette de 51,2% parmi les meilleures du secteur. Le **comportement du cours (Partie 1)** est globalement favorable (+33,73% sur 100 jours), avec une volatilité modérée (28,7%) et une distribution proche de la normale (kurtosis 0,096), mais le skewness négatif (-1,235) suggère une pression vendeuse résiduelle. Les **signaux techniques (Partie 2)** sont **divergents** : les moyennes mobiles restent haussières (MM20 &gt; MM50), mais le MACD s'est retourné à la vente, le RSI faiblit à 45,5 et le stochastique pointe vers le bas — configuration typique d'une consolidation après rallye. Les **fondamentaux (Partie 3)** demeurent **excellents** : PNB 2025 de 108,7 Mds FCFA, résultat net de 55,6 Mds FCFA, ROE de 27,2%, avec une accélération confirmée au T1 2026 (+11% de résultat net). Les **prédictions IA (J+1 à J+10)** anticipent une **correction progressive** de 9 017 FCFA à 8 752 FCFA (-3,8% sur 10 jours), ce qui **contredit partiellement** les signaux haussiers des moyennes mobiles mais **confirme** le signal de vente du MACD et la consolidation technique en cours.</w:t>
      </w:r>
    </w:p>
    <w:p>
      <w:pPr>
        <w:spacing w:after="120" w:line="276" w:lineRule="auto"/>
      </w:pPr>
      <w:r>
        <w:t>**Recommandation finale : CONSERVER** — avec un **niveau de confiance Moyen** et un **risque global Moyen**. La convergence entre la valorisation exigeante, les signaux techniques baissiers à court terme (MACD, stochastique) et les prédictions IA correctrices suggère d'**éviter d'acheter au cours actuel (9 100 FCFA)**. Cependant, la solidité fondamentale exceptionnelle (ROE &gt;27%, croissance à deux chiffres, dividende attractif) et la tendance de fond haussière (MM20 &gt; MM50) justifient de **conserver les positions existantes**. Pour les investisseurs non positionnés, une **stratégie d'achat progressif sur repli vers 8 750-8 900 FCFA** (zone de support technique et borne inférieure de Bollinger) offrirait un meilleur point d'entrée. **Horizon d'investissement optimal : moyen à long terme (6-18 mois)**, afin de laisser la croissance bénéficiaire (+11% attendu en 2026) rattraper progressivement la valorisation et de bénéficier du rendement dividende (~4-5% au cours actuel). Un suivi trimestriel des publications (T2 2026 attendu) et de l'évolution du coût du risque est indispensable pour valider ou ajuster cette recommandation.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β=-0.9966 (Contre-cyclique) — Cov=-0.000035, Var(idx)=0.000035, ρ=-0.161,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2026-09-18</w:t>
            </w:r>
          </w:p>
        </w:tc>
        <w:tc>
          <w:tcPr>
            <w:tcW w:type="dxa" w:w="1440"/>
            <w:shd w:fill="FFDCE0" w:val="clear"/>
          </w:tcPr>
          <w:p>
            <w:r>
              <w:rPr>
                <w:sz w:val="17"/>
              </w:rPr>
              <w:t>7,068</w:t>
            </w:r>
          </w:p>
        </w:tc>
        <w:tc>
          <w:tcPr>
            <w:tcW w:type="dxa" w:w="1440"/>
            <w:shd w:fill="FFDCE0" w:val="clear"/>
          </w:tcPr>
          <w:p>
            <w:r>
              <w:rPr>
                <w:b/>
                <w:sz w:val="17"/>
              </w:rPr>
              <w:t>8,067</w:t>
            </w:r>
          </w:p>
        </w:tc>
        <w:tc>
          <w:tcPr>
            <w:tcW w:type="dxa" w:w="1440"/>
            <w:shd w:fill="FFDCE0" w:val="clear"/>
          </w:tcPr>
          <w:p>
            <w:r>
              <w:rPr>
                <w:sz w:val="17"/>
              </w:rPr>
              <w:t>9,066</w:t>
            </w:r>
          </w:p>
        </w:tc>
        <w:tc>
          <w:tcPr>
            <w:tcW w:type="dxa" w:w="1440"/>
            <w:shd w:fill="FFDCE0" w:val="clear"/>
          </w:tcPr>
          <w:p>
            <w:r>
              <w:rPr>
                <w:b/>
                <w:color w:val="C00000"/>
                <w:sz w:val="17"/>
              </w:rPr>
              <w:t>-4.0%</w:t>
            </w:r>
          </w:p>
        </w:tc>
      </w:tr>
      <w:tr>
        <w:tc>
          <w:tcPr>
            <w:tcW w:type="dxa" w:w="1440"/>
            <w:shd w:fill="FFDCE0" w:val="clear"/>
          </w:tcPr>
          <w:p>
            <w:r>
              <w:rPr>
                <w:sz w:val="17"/>
              </w:rPr>
              <w:t>J+2  ⭐</w:t>
            </w:r>
          </w:p>
        </w:tc>
        <w:tc>
          <w:tcPr>
            <w:tcW w:type="dxa" w:w="1440"/>
            <w:shd w:fill="FFDCE0" w:val="clear"/>
          </w:tcPr>
          <w:p>
            <w:r>
              <w:rPr>
                <w:sz w:val="17"/>
              </w:rPr>
              <w:t>2026-09-21</w:t>
            </w:r>
          </w:p>
        </w:tc>
        <w:tc>
          <w:tcPr>
            <w:tcW w:type="dxa" w:w="1440"/>
            <w:shd w:fill="FFDCE0" w:val="clear"/>
          </w:tcPr>
          <w:p>
            <w:r>
              <w:rPr>
                <w:sz w:val="17"/>
              </w:rPr>
              <w:t>6,806</w:t>
            </w:r>
          </w:p>
        </w:tc>
        <w:tc>
          <w:tcPr>
            <w:tcW w:type="dxa" w:w="1440"/>
            <w:shd w:fill="FFDCE0" w:val="clear"/>
          </w:tcPr>
          <w:p>
            <w:r>
              <w:rPr>
                <w:b/>
                <w:sz w:val="17"/>
              </w:rPr>
              <w:t>7,942</w:t>
            </w:r>
          </w:p>
        </w:tc>
        <w:tc>
          <w:tcPr>
            <w:tcW w:type="dxa" w:w="1440"/>
            <w:shd w:fill="FFDCE0" w:val="clear"/>
          </w:tcPr>
          <w:p>
            <w:r>
              <w:rPr>
                <w:sz w:val="17"/>
              </w:rPr>
              <w:t>9,077</w:t>
            </w:r>
          </w:p>
        </w:tc>
        <w:tc>
          <w:tcPr>
            <w:tcW w:type="dxa" w:w="1440"/>
            <w:shd w:fill="FFDCE0" w:val="clear"/>
          </w:tcPr>
          <w:p>
            <w:r>
              <w:rPr>
                <w:b/>
                <w:color w:val="C00000"/>
                <w:sz w:val="17"/>
              </w:rPr>
              <w:t>-5.5%</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6,567</w:t>
            </w:r>
          </w:p>
        </w:tc>
        <w:tc>
          <w:tcPr>
            <w:tcW w:type="dxa" w:w="1440"/>
            <w:shd w:fill="FFDCE0" w:val="clear"/>
          </w:tcPr>
          <w:p>
            <w:r>
              <w:rPr>
                <w:b/>
                <w:sz w:val="17"/>
              </w:rPr>
              <w:t>7,817</w:t>
            </w:r>
          </w:p>
        </w:tc>
        <w:tc>
          <w:tcPr>
            <w:tcW w:type="dxa" w:w="1440"/>
            <w:shd w:fill="FFDCE0" w:val="clear"/>
          </w:tcPr>
          <w:p>
            <w:r>
              <w:rPr>
                <w:sz w:val="17"/>
              </w:rPr>
              <w:t>9,066</w:t>
            </w:r>
          </w:p>
        </w:tc>
        <w:tc>
          <w:tcPr>
            <w:tcW w:type="dxa" w:w="1440"/>
            <w:shd w:fill="FFDCE0" w:val="clear"/>
          </w:tcPr>
          <w:p>
            <w:r>
              <w:rPr>
                <w:b/>
                <w:color w:val="C00000"/>
                <w:sz w:val="17"/>
              </w:rPr>
              <w:t>-6.9%</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6,346</w:t>
            </w:r>
          </w:p>
        </w:tc>
        <w:tc>
          <w:tcPr>
            <w:tcW w:type="dxa" w:w="1440"/>
            <w:shd w:fill="FFDCE0" w:val="clear"/>
          </w:tcPr>
          <w:p>
            <w:r>
              <w:rPr>
                <w:b/>
                <w:sz w:val="17"/>
              </w:rPr>
              <w:t>7,694</w:t>
            </w:r>
          </w:p>
        </w:tc>
        <w:tc>
          <w:tcPr>
            <w:tcW w:type="dxa" w:w="1440"/>
            <w:shd w:fill="FFDCE0" w:val="clear"/>
          </w:tcPr>
          <w:p>
            <w:r>
              <w:rPr>
                <w:sz w:val="17"/>
              </w:rPr>
              <w:t>9,041</w:t>
            </w:r>
          </w:p>
        </w:tc>
        <w:tc>
          <w:tcPr>
            <w:tcW w:type="dxa" w:w="1440"/>
            <w:shd w:fill="FFDCE0" w:val="clear"/>
          </w:tcPr>
          <w:p>
            <w:r>
              <w:rPr>
                <w:b/>
                <w:color w:val="C00000"/>
                <w:sz w:val="17"/>
              </w:rPr>
              <w:t>-8.4%</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6,141</w:t>
            </w:r>
          </w:p>
        </w:tc>
        <w:tc>
          <w:tcPr>
            <w:tcW w:type="dxa" w:w="1440"/>
            <w:shd w:fill="FFDCE0" w:val="clear"/>
          </w:tcPr>
          <w:p>
            <w:r>
              <w:rPr>
                <w:b/>
                <w:sz w:val="17"/>
              </w:rPr>
              <w:t>7,574</w:t>
            </w:r>
          </w:p>
        </w:tc>
        <w:tc>
          <w:tcPr>
            <w:tcW w:type="dxa" w:w="1440"/>
            <w:shd w:fill="FFDCE0" w:val="clear"/>
          </w:tcPr>
          <w:p>
            <w:r>
              <w:rPr>
                <w:sz w:val="17"/>
              </w:rPr>
              <w:t>9,007</w:t>
            </w:r>
          </w:p>
        </w:tc>
        <w:tc>
          <w:tcPr>
            <w:tcW w:type="dxa" w:w="1440"/>
            <w:shd w:fill="FFDCE0" w:val="clear"/>
          </w:tcPr>
          <w:p>
            <w:r>
              <w:rPr>
                <w:b/>
                <w:color w:val="C00000"/>
                <w:sz w:val="17"/>
              </w:rPr>
              <w:t>-9.8%</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SICC (SICOR)**</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exploitables dans la base (les états financiers disponibles remontent à des exercices anciens et ne permettent pas un rapprochement fiable avec le cours actuel). On peut toutefois noter, à titre indicatif, qu'avec un résultat net 2023 de 19,25 millions FCFA et un capital social de 1,5 milliard FCFA, le BPA implicite reste très faible, ce qui suggère un PER élevé (potentiellement supérieur à 100x) et donc une valorisation boursière largement déconnectée des bénéfices actuels — un signal de surévaluation manifeste par rapport aux fondamentaux. Le P/B, quant à lui, apparaît également tendu compte tenu des capitaux propres et du report à nouveau négatif.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variation spectaculaire de +95,35%, passant d'un plus bas de 3 985 FCFA à un plus haut de 10 200 FCFA, pour un cours actuel de 8 400 FCFA (en repli de -1,12% sur la dernière séance). Le range de trading est donc extrêmement large (2,56x entre le plus bas et le plus haut), traduisant une tendance nettement haussière mais avec une correction récente depuis les sommets. Les statistiques descriptives révèlent une distribution asymétrique : la moyenne (5 815 FCFA) est supérieure à la médiane (5 022 FCFA), elle-même supérieure au mode (4 380 FCFA), ce qui confirme un skewness positif de 0,913 — la majorité des séances se sont déroulées sous la moyenne, avec quelques journées de forte hausse tirant la moyenne vers le haut. L'écart-type de 1 813 FCFA (CV = 31,2%) indique une dispersion très élevée du cours, et le kurtosis de -0,630 (mésokurtique) suggère une distribution proche de la normale, sans pics extrêmes marqués. La volatilité annualisée de 58,2% classe ce titre dans la catégorie à volatilité élevée (&gt;30%), ce qui implique un risque de marché important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 FCFA) et la MM50 (7 205 FCFA) sont toutes deux inférieures au cours actuel (8 400 FCFA), avec une MM20 au-dessus de la MM50 — configuration haussière classique (golden cross). La décision technique est donc logiquement à l'**Achat**, le cours évoluant au-dessus de ses deux moyennes.</w:t>
      </w:r>
    </w:p>
    <w:p>
      <w:pPr>
        <w:spacing w:after="120" w:line="276" w:lineRule="auto"/>
      </w:pPr>
      <w:r>
        <w:t>**Bandes de Bollinger** : Le cours (8 400 FCFA) se situe entre la borne inférieure (7 355 FCFA) et la borne supérieure (9 590 FCFA), plus proche de la borne haute. La décision est **Neutre**, car le cours n'est ni en situation de surachat extrême (au-dessus de la borne sup) ni de survente (sous la borne inf), mais la largeur des bandes confirme la forte volatilité.</w:t>
      </w:r>
    </w:p>
    <w:p>
      <w:pPr>
        <w:spacing w:after="120" w:line="276" w:lineRule="auto"/>
      </w:pPr>
      <w:r>
        <w:t>**MACD** : La valeur du MACD (271,78) est inférieure à son signal (362,98), générant une divergence baissière. Le momentum s'affaiblit, ce qui justifie la décision de **Vente** — signal de correction potentielle à court terme.</w:t>
      </w:r>
    </w:p>
    <w:p>
      <w:pPr>
        <w:spacing w:after="120" w:line="276" w:lineRule="auto"/>
      </w:pPr>
      <w:r>
        <w:t>**RSI** : À 61,16, le RSI se situe en zone neutre (entre 30 et 70), sans surachat ni survente. La décision est **Neutre**, indiquant que le titre n'est pas encore dans une zone d'épuisement haussier malgré la forte progression.</w:t>
      </w:r>
    </w:p>
    <w:p>
      <w:pPr>
        <w:spacing w:after="120" w:line="276" w:lineRule="auto"/>
      </w:pPr>
      <w:r>
        <w:t>**Stochastique** : Le %K (85,71) et le %D (94,76) sont tous deux en zone de surachat (&gt;80), avec un %K sous le %D — signal de croisement baissier imminent. La décision est donc à la **Vente**, confirmant la pression baissière à court terme.</w:t>
      </w:r>
    </w:p>
    <w:p>
      <w:pPr>
        <w:spacing w:after="120" w:line="276" w:lineRule="auto"/>
      </w:pPr>
      <w:r>
        <w:t>**Conclusion technique** : Les indicateurs sont divergents. Les moyennes mobiles restent haussières (Achat), mais le MACD et le stochastique émettent des signaux de vente, tandis que le RSI et les Bollinger sont neutres. Cette configuration suggère une correction en cours après la forte hausse, avec un potentiel de repli vers la MM20 (8 472 FCFA) voire la borne inférieure des Bollinger (7 355 FCFA). La prudence est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ne sont pas disponibles dans la base, mais les rapports officiels fournis permettent une analyse approfondie. **En 2023** (rapport analysé le 15/03/2026), SICOR a réalisé un chiffre d'affaires de 701,09 millions FCFA, en baisse de 38,4% par rapport aux 1 138,17 millions FCFA de 2022. Le résultat net est redevenu positif à 19,25 millions FCFA (contre une perte de 39,95 millions en 2022), soit une marge nette de 2,75% — bien inférieure à la moyenne sectorielle (5-10%). Cette amélioration résulte principalement d'une réduction drastique des charges (-43,68%), notamment via le transfert de 50% du personnel vers la filiale SIPAL, et non d'une reprise commerciale. **En 2022** (rapport du 15/03/2026), le CA s'élevait à 1 138,17 millions FCFA (-17,58%), avec une perte nette de 39,95 millions FCFA (marge -3,51%), marquant une inversion de tendance après quatre années bénéficiaires (2018-2021). **En 2021** (rapport du 15/03/2026), le bénéfice net était de 119,2 millions FCFA (marge 8,63%), mais soutenu par des reprises de provisions non récurrentes (+66 millions), avec un CA en chute de 41% à 1,38 milliard FCFA. L'évolution sur 5 ans montre une dégradation structurelle : CA divisé par deux entre 2021 et 2023, rentabilité volatile et dépendante d'éléments exceptionnels, report à nouveau négatif de 689,86 millions FCFA en 2023. Les risques opérationnels (vols de noix de coco, arrêt du site de Boulay) et financiers (découverts bancaires multipliés par 14, trésorerie tendue) persistent. La politique de dividende est nulle depuis 2017, et aucune distribution n'est envisageable avant 2025-2026 au mieux. **Conclusion fondamentale** : la situation reste fragile, avec un retour à la profitabilité en 2023 mais une qualité de résultat médiocre et des perspectives incertaines. La recommandation fondamentale est de **CONSERVER avec vigilance**, en surveillant la reprise des volumes et la maîtrise des coûts.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marquée entre les signaux. **Valorisation** : les ratios sont non calculables, mais le PER implicite très élevé et le P/B tendu suggèrent une surévaluation par rapport aux bénéfices actuels. **Comportement du cours** : la hausse de +95,35% sur 100 jours est spectaculaire mais s'accompagne d'une volatilité annualisée de 58,2% et d'un skewness positif, indiquant un risque de correction. **Signaux techniques** : les moyennes mobiles sont haussières, mais le MACD et le stochastique sont baissiers, et le RSI/Bollinger sont neutres — configuration de correction imminente. **Fondamentaux** : la rentabilité reste fragile (marge nette 2,75% en 2023), le CA en baisse, et les pertes cumulées non résorbées. **Prédictions IA** : la trajectoire prévue pour les 10 prochains jours (8 067 → 7 574 FCFA) confirme une correction baissière, en ligne avec les signaux techniques de vente. **Recommandation finale : VENTE** (ou prise de profit pour les détenteurs). La convergence entre la surévaluation, les signaux techniques baissiers, les fondamentaux fragiles et les prédictions IA négatives justifie cette décision. **Niveau de confiance : Moyen** (les données fondamentales sont anciennes et partielles). **Niveau de risque : Élevé** (volatilité extrême, liquidité faible avec 120 titres/jour, incertitudes opérationnelles). **Horizon d'investissement suggéré : Court terme** (prise de profit immédiate) ; pour un investissement long terme, attendre une correction vers 6 000-7 000 FCFA et une confirmation de la reprise commerciale.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5,468 titres</w:t>
            </w:r>
          </w:p>
        </w:tc>
        <w:tc>
          <w:tcPr>
            <w:tcW w:type="dxa" w:w="2268"/>
            <w:shd w:fill="FFF2CC" w:val="clear"/>
          </w:tcPr>
          <w:p>
            <w:r>
              <w:rPr>
                <w:b/>
                <w:color w:val="503200"/>
                <w:sz w:val="16"/>
              </w:rPr>
              <w:t xml:space="preserve">Cours actuel : </w:t>
            </w:r>
            <w:r>
              <w:rPr>
                <w:color w:val="000000"/>
                <w:sz w:val="17"/>
              </w:rPr>
              <w:t>2,215 FCFA</w:t>
            </w:r>
          </w:p>
          <w:p>
            <w:r>
              <w:rPr>
                <w:b/>
                <w:color w:val="503200"/>
                <w:sz w:val="16"/>
              </w:rPr>
              <w:t xml:space="preserve">Var. 100 jours : </w:t>
            </w:r>
            <w:r>
              <w:rPr>
                <w:b/>
                <w:color w:val="B40000"/>
                <w:sz w:val="17"/>
              </w:rPr>
              <w:t>-19.75%</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10.59% (Moyenne) — μ=2,515 FCFA, σ=266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β=0.3238 (Défensif) — Cov=0.000011, Var(idx)=0.000035, ρ=0.061,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2,133</w:t>
            </w:r>
          </w:p>
        </w:tc>
        <w:tc>
          <w:tcPr>
            <w:tcW w:type="dxa" w:w="1440"/>
            <w:shd w:fill="FAFAFA" w:val="clear"/>
          </w:tcPr>
          <w:p>
            <w:r>
              <w:rPr>
                <w:b/>
                <w:sz w:val="17"/>
              </w:rPr>
              <w:t>2,233</w:t>
            </w:r>
          </w:p>
        </w:tc>
        <w:tc>
          <w:tcPr>
            <w:tcW w:type="dxa" w:w="1440"/>
            <w:shd w:fill="FAFAFA" w:val="clear"/>
          </w:tcPr>
          <w:p>
            <w:r>
              <w:rPr>
                <w:sz w:val="17"/>
              </w:rPr>
              <w:t>2,334</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2,075</w:t>
            </w:r>
          </w:p>
        </w:tc>
        <w:tc>
          <w:tcPr>
            <w:tcW w:type="dxa" w:w="1440"/>
            <w:shd w:fill="FAFAFA" w:val="clear"/>
          </w:tcPr>
          <w:p>
            <w:r>
              <w:rPr>
                <w:b/>
                <w:sz w:val="17"/>
              </w:rPr>
              <w:t>2,216</w:t>
            </w:r>
          </w:p>
        </w:tc>
        <w:tc>
          <w:tcPr>
            <w:tcW w:type="dxa" w:w="1440"/>
            <w:shd w:fill="FAFAFA" w:val="clear"/>
          </w:tcPr>
          <w:p>
            <w:r>
              <w:rPr>
                <w:sz w:val="17"/>
              </w:rPr>
              <w:t>2,357</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2,030</w:t>
            </w:r>
          </w:p>
        </w:tc>
        <w:tc>
          <w:tcPr>
            <w:tcW w:type="dxa" w:w="1440"/>
            <w:shd w:fill="FAFAFA" w:val="clear"/>
          </w:tcPr>
          <w:p>
            <w:r>
              <w:rPr>
                <w:b/>
                <w:sz w:val="17"/>
              </w:rPr>
              <w:t>2,202</w:t>
            </w:r>
          </w:p>
        </w:tc>
        <w:tc>
          <w:tcPr>
            <w:tcW w:type="dxa" w:w="1440"/>
            <w:shd w:fill="FAFAFA" w:val="clear"/>
          </w:tcPr>
          <w:p>
            <w:r>
              <w:rPr>
                <w:sz w:val="17"/>
              </w:rPr>
              <w:t>2,373</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1,992</w:t>
            </w:r>
          </w:p>
        </w:tc>
        <w:tc>
          <w:tcPr>
            <w:tcW w:type="dxa" w:w="1440"/>
            <w:shd w:fill="FAFAFA" w:val="clear"/>
          </w:tcPr>
          <w:p>
            <w:r>
              <w:rPr>
                <w:b/>
                <w:sz w:val="17"/>
              </w:rPr>
              <w:t>2,188</w:t>
            </w:r>
          </w:p>
        </w:tc>
        <w:tc>
          <w:tcPr>
            <w:tcW w:type="dxa" w:w="1440"/>
            <w:shd w:fill="FAFAFA" w:val="clear"/>
          </w:tcPr>
          <w:p>
            <w:r>
              <w:rPr>
                <w:sz w:val="17"/>
              </w:rPr>
              <w:t>2,386</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1,957</w:t>
            </w:r>
          </w:p>
        </w:tc>
        <w:tc>
          <w:tcPr>
            <w:tcW w:type="dxa" w:w="1440"/>
            <w:shd w:fill="FAFAFA" w:val="clear"/>
          </w:tcPr>
          <w:p>
            <w:r>
              <w:rPr>
                <w:b/>
                <w:sz w:val="17"/>
              </w:rPr>
              <w:t>2,176</w:t>
            </w:r>
          </w:p>
        </w:tc>
        <w:tc>
          <w:tcPr>
            <w:tcW w:type="dxa" w:w="1440"/>
            <w:shd w:fill="FAFAFA" w:val="clear"/>
          </w:tcPr>
          <w:p>
            <w:r>
              <w:rPr>
                <w:sz w:val="17"/>
              </w:rPr>
              <w:t>2,395</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1,925</w:t>
            </w:r>
          </w:p>
        </w:tc>
        <w:tc>
          <w:tcPr>
            <w:tcW w:type="dxa" w:w="1440"/>
            <w:shd w:fill="FFDCE0" w:val="clear"/>
          </w:tcPr>
          <w:p>
            <w:r>
              <w:rPr>
                <w:b/>
                <w:sz w:val="17"/>
              </w:rPr>
              <w:t>2,163</w:t>
            </w:r>
          </w:p>
        </w:tc>
        <w:tc>
          <w:tcPr>
            <w:tcW w:type="dxa" w:w="1440"/>
            <w:shd w:fill="FFDCE0" w:val="clear"/>
          </w:tcPr>
          <w:p>
            <w:r>
              <w:rPr>
                <w:sz w:val="17"/>
              </w:rPr>
              <w:t>2,402</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1,895</w:t>
            </w:r>
          </w:p>
        </w:tc>
        <w:tc>
          <w:tcPr>
            <w:tcW w:type="dxa" w:w="1440"/>
            <w:shd w:fill="FFDCE0" w:val="clear"/>
          </w:tcPr>
          <w:p>
            <w:r>
              <w:rPr>
                <w:b/>
                <w:sz w:val="17"/>
              </w:rPr>
              <w:t>2,151</w:t>
            </w:r>
          </w:p>
        </w:tc>
        <w:tc>
          <w:tcPr>
            <w:tcW w:type="dxa" w:w="1440"/>
            <w:shd w:fill="FFDCE0" w:val="clear"/>
          </w:tcPr>
          <w:p>
            <w:r>
              <w:rPr>
                <w:sz w:val="17"/>
              </w:rPr>
              <w:t>2,407</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1,866</w:t>
            </w:r>
          </w:p>
        </w:tc>
        <w:tc>
          <w:tcPr>
            <w:tcW w:type="dxa" w:w="1440"/>
            <w:shd w:fill="FFDCE0" w:val="clear"/>
          </w:tcPr>
          <w:p>
            <w:r>
              <w:rPr>
                <w:b/>
                <w:sz w:val="17"/>
              </w:rPr>
              <w:t>2,139</w:t>
            </w:r>
          </w:p>
        </w:tc>
        <w:tc>
          <w:tcPr>
            <w:tcW w:type="dxa" w:w="1440"/>
            <w:shd w:fill="FFDCE0" w:val="clear"/>
          </w:tcPr>
          <w:p>
            <w:r>
              <w:rPr>
                <w:sz w:val="17"/>
              </w:rPr>
              <w:t>2,411</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1,840</w:t>
            </w:r>
          </w:p>
        </w:tc>
        <w:tc>
          <w:tcPr>
            <w:tcW w:type="dxa" w:w="1440"/>
            <w:shd w:fill="FFDCE0" w:val="clear"/>
          </w:tcPr>
          <w:p>
            <w:r>
              <w:rPr>
                <w:b/>
                <w:sz w:val="17"/>
              </w:rPr>
              <w:t>2,127</w:t>
            </w:r>
          </w:p>
        </w:tc>
        <w:tc>
          <w:tcPr>
            <w:tcW w:type="dxa" w:w="1440"/>
            <w:shd w:fill="FFDCE0" w:val="clear"/>
          </w:tcPr>
          <w:p>
            <w:r>
              <w:rPr>
                <w:sz w:val="17"/>
              </w:rPr>
              <w:t>2,414</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1,814</w:t>
            </w:r>
          </w:p>
        </w:tc>
        <w:tc>
          <w:tcPr>
            <w:tcW w:type="dxa" w:w="1440"/>
            <w:shd w:fill="FFDCE0" w:val="clear"/>
          </w:tcPr>
          <w:p>
            <w:r>
              <w:rPr>
                <w:b/>
                <w:sz w:val="17"/>
              </w:rPr>
              <w:t>2,115</w:t>
            </w:r>
          </w:p>
        </w:tc>
        <w:tc>
          <w:tcPr>
            <w:tcW w:type="dxa" w:w="1440"/>
            <w:shd w:fill="FFDCE0" w:val="clear"/>
          </w:tcPr>
          <w:p>
            <w:r>
              <w:rPr>
                <w:sz w:val="17"/>
              </w:rPr>
              <w:t>2,416</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*Marché : BRVM | Secteur : Banque / Industriel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19,35 milliards FCFA, SIVC se situe dans la catégorie des valeurs moyennes de la BRVM, ce qui la rend vulnérable aux mouvements de faible volume. Le BPA de 43 FCFA/action indique que chaque titre génère 43 FCFA de bénéfice net, un niveau modeste qui, rapporté au cours actuel de 2 215 FCFA, aboutit à un PER de 51,3x — très largement supérieur à la moyenne du marché BRVM (8-12x), signalant une valorisation extrêmement tendue et une prime de croissance déjà intégrée. Le P/B de 5,91x confirme cette exubérance : le marché paie près de 6 fois la valeur comptable des fonds propres, ce qui est difficilement justifiable au regard d'un ROE de seulement 11,5%. Enfin, l'EV/EBITDA de 16,4x traduit une valorisation exigeante de la capacité opérationnelle, suggérant que les investisseurs anticipent une forte amélioration future des marges — anticipation qui reste à démontrer.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-19,75%, avec une chute de -2,42% lors de la dernière séance, confirmant une tendance baissière persistante. Le cours actuel de 2 215 FCFA se situe dans la partie basse du range de trading compris entre 1 920 FCFA (plus bas) et 2 875 FCFA (plus haut), soit un retracement de plus de 23% depuis le sommet. La moyenne (2 515 FCFA) est nettement supérieure à la médiane (2 428 FCFA), ce qui révèle une distribution légèrement asymétrique à gauche, avec des pics haussiers antérieurs qui tirent la moyenne vers le haut. L'écart-type de 268 FCFA et le coefficient de variation de 10,6% indiquent une dispersion modérée du cours autour de sa moyenne, tandis que le kurtosis de -1,340 (distribution platykurtique) signale une faible concentration des rendements et un risque de mouvements amples moins fréquent que dans une loi normale. Le skewness de -0,016, quasi nul, confirme une distribution symétrique, sans biais directionnel marqué. La volatilité annualisée de 49,9% classe ce titre dans la catégorie des valeurs très volatiles (&gt;30%), ce qui implique un risque élevé pour l'investisseur et justifie une prime de risque importante.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(2 341,25 FCFA) et la MM50 (2 290,90 FCFA) se situent toutes deux au-dessus du cours actuel (2 215 FCFA), ce qui place le titre en position baissière à court et moyen terme. Cependant, la MM20 étant supérieure à la MM50, la configuration reste celle d'un croisement haussier antérieur non encore invalidé, ce qui explique la décision "Achat" générée par le modèle — mais cette décision doit être nuancée par le fait que le cours évolue sous ses deux moyennes.</w:t>
      </w:r>
    </w:p>
    <w:p>
      <w:pPr>
        <w:spacing w:after="120" w:line="276" w:lineRule="auto"/>
      </w:pPr>
      <w:r>
        <w:t>**Bandes de Bollinger** : Le cours (2 215 FCFA) se situe légèrement sous la borne inférieure (2 232,19 FCFA), ce qui constitue un signal de survente technique et une opportunité d'achat contrarien selon la théorie des bandes. La largeur des bandes (2 450,31 - 2 232,19 = 218 FCFA) reflète une volatilité modérée, et la décision "Achat" est cohérente avec la position du cours sous la borne inférieure.</w:t>
      </w:r>
    </w:p>
    <w:p>
      <w:pPr>
        <w:spacing w:after="120" w:line="276" w:lineRule="auto"/>
      </w:pPr>
      <w:r>
        <w:t>**MACD** : La valeur du MACD (-18,068) est nettement inférieure à son signal (-3,046), ce qui génère un histogramme négatif et confirme un momentum baissier en cours. La divergence négative entre la ligne MACD et son signal indique que la pression vendeuse reste dominante, justifiant la décision "Vente" — c'est le signal le plus préoccupant du tableau technique.</w:t>
      </w:r>
    </w:p>
    <w:p>
      <w:pPr>
        <w:spacing w:after="120" w:line="276" w:lineRule="auto"/>
      </w:pPr>
      <w:r>
        <w:t>**RSI** : À 43,448, le RSI se situe dans la zone neutre (30-70), sans signal de surachat ni de survente. Cette valeur médiane indique un équilibre relatif entre acheteurs et vendeurs, mais la pente récente suggère une faiblesse progressive du momentum, ce qui justifie la décision "Neutre".</w:t>
      </w:r>
    </w:p>
    <w:p>
      <w:pPr>
        <w:spacing w:after="120" w:line="276" w:lineRule="auto"/>
      </w:pPr>
      <w:r>
        <w:t>**Stochastique** : Le %K à 0,0 et le %D à 8,333 indiquent une position extrême de survente, avec un %K au plancher absolu. Cette configuration est typique d'une capitulation à court terme et précède souvent un rebond technique, ce qui explique la décision "Achat" — mais ce signal doit être confirmé par un croisement haussier du %K au-dessus du %D.</w:t>
      </w:r>
    </w:p>
    <w:p>
      <w:pPr>
        <w:spacing w:after="120" w:line="276" w:lineRule="auto"/>
      </w:pPr>
      <w:r>
        <w:t>**Conclusion technique** : Les indicateurs sont divergents : les Bandes de Bollinger et le Stochastique génèrent des signaux d'achat contrariens (survente), tandis que le MACD et la position du cours sous les moyennes mobiles confirment une tendance baissière. Le RSI neutre n'apporte pas de confirmation directionnelle. La convergence des signaux de survente (Bollinger + Stochastique) suggère un rebond technique possible à court terme, mais la faiblesse du MACD et la position sous les MM20/MM50 invitent à la prudence — un rebond ne serait que correctif dans un contexte baissier.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révèlent un PNB de 9,283 milliards FCFA, un résultat net de 376,96 millions FCFA, un ROE de 11,52% et un ROA de 2,69%. Le coefficient d'exploitation de 95,83% est très élevé pour une banque (le seuil d'efficacité étant &lt;60%), ce qui indique une structure de coûts lourde et une faible efficacité opérationnelle. Le coût du risque (3,10%) reste contenu, mais la marge nette de 4,06% est faible. Le rapport annuel 2025 (analysé par DEEPSEEK le 29/06/2026) confirme une dégradation : le CA progresse de +8,53% à 10,074 milliards FCFA, mais le résultat net chute de -52,4% à 179,29 millions FCFA, avec une marge nette divisée par deux à 1,78%. Le rapport S1 2025 (certifié, daté 30/06/2025) indiquait pourtant un résultat net de 512,9 millions FCFA (+4,6%) et une marge nette de 10,5%, tandis que le rapport T3 2025 (date inconnue) faisait état d'un résultat net de 832,5 millions FCFA (+58%) et d'une marge nette de 11,0%. Ces divergences suggèrent que le résultat annuel 2025 a été fortement pénalisé par des éléments exceptionnels ou des charges de fin d'année non récurrentes. Sur la base du T3 2025 (CA cumulé de 7,585 milliards FCFA, +13%), on peut estimer que l'exercice 2025 devrait afficher un CA annuel d'environ 10,1 milliards FCFA, mais le résultat net devrait rester sous pression autour de 180-200 millions FCFA. La trésorerie nette reste négative (-1,66 milliard FCFA en 2025 contre -2,143 milliards en 2024), et l'endettement financier s'élève à 4,164 milliards FCFA, ce qui pèse sur la structure financière. La recommandation fondamentale est de **CONSERVER** avec une surveillance accrue : la croissance du CA est réelle, mais l'érosion de la rentabilité et la trésorerie négative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extrêmement tendue : PER de 51,3x, P/B de 5,91x et EV/EBITDA de 16,4x intègrent déjà une forte croissance bénéficiaire qui ne se matérialise pas dans les résultats 2025 (résultat net en baisse de 52%). Le comportement du cours (Partie 1) est baissier (-19,75% sur 100 jours) avec une volatilité élevée (49,9%) et une distribution platykurtique (kurtosis -1,34) qui indique un risque de mouvements amples, tandis que le skewness quasi nul ne donne pas de biais directionnel clair. Les signaux techniques (Partie 2) sont divergents : survente (Bollinger, Stochastique) contre momentum baissier (MACD, cours sous les MM), ce qui suggère un rebond technique possible mais fragile. Les fondamentaux (Partie 3) sont préoccupants : malgré un CA en hausse (+8,5% en 2025), le résultat net s'effondre (-52,4%) et la trésorerie reste négative, avec un coefficient d'exploitation de 95,8% qui traduit une inefficacité opérationnelle. Les prédictions IA (J+1 à J+10) anticipent une poursuite de la baisse jusqu'à 2 176 FCFA, confirmant la tendance baissière et contredisant les signaux d'achat contrariens. **Recommandation finale : VENTE** — la convergence entre valorisation excessive, fondamentaux dégradés, tendance baissière et prédictions négatives l'emporte sur les signaux techniques de survente. Le niveau de confiance est **Moyen** (les divergences techniques introduisent une incertitude), et le risque global est **Élevé** (volatilité de 49,9%, PER de 51x, trésorerie négative). L'horizon d'investissement optimal est **court terme** (&lt;3 mois) pour les traders cherchant à profiter d'un rebond technique, mais **à éviter** pour les investisseurs moyen/long terme tant que la rentabilité ne se redresse pas durablement.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1,330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-3.69%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2.41% (Faible) — μ=38,240 FCFA, σ=922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β=0.1768 (Défensif) — Cov=0.000006, Var(idx)=0.000035,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37,845</w:t>
            </w:r>
          </w:p>
        </w:tc>
        <w:tc>
          <w:tcPr>
            <w:tcW w:type="dxa" w:w="1440"/>
            <w:shd w:fill="FAFAFA" w:val="clear"/>
          </w:tcPr>
          <w:p>
            <w:r>
              <w:rPr>
                <w:b/>
                <w:sz w:val="17"/>
              </w:rPr>
              <w:t>38,617</w:t>
            </w:r>
          </w:p>
        </w:tc>
        <w:tc>
          <w:tcPr>
            <w:tcW w:type="dxa" w:w="1440"/>
            <w:shd w:fill="FAFAFA" w:val="clear"/>
          </w:tcPr>
          <w:p>
            <w:r>
              <w:rPr>
                <w:sz w:val="17"/>
              </w:rPr>
              <w:t>39,390</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2026-09-21</w:t>
            </w:r>
          </w:p>
        </w:tc>
        <w:tc>
          <w:tcPr>
            <w:tcW w:type="dxa" w:w="1440"/>
            <w:shd w:fill="C6EFCE" w:val="clear"/>
          </w:tcPr>
          <w:p>
            <w:r>
              <w:rPr>
                <w:sz w:val="17"/>
              </w:rPr>
              <w:t>37,788</w:t>
            </w:r>
          </w:p>
        </w:tc>
        <w:tc>
          <w:tcPr>
            <w:tcW w:type="dxa" w:w="1440"/>
            <w:shd w:fill="C6EFCE" w:val="clear"/>
          </w:tcPr>
          <w:p>
            <w:r>
              <w:rPr>
                <w:b/>
                <w:sz w:val="17"/>
              </w:rPr>
              <w:t>38,888</w:t>
            </w:r>
          </w:p>
        </w:tc>
        <w:tc>
          <w:tcPr>
            <w:tcW w:type="dxa" w:w="1440"/>
            <w:shd w:fill="C6EFCE" w:val="clear"/>
          </w:tcPr>
          <w:p>
            <w:r>
              <w:rPr>
                <w:sz w:val="17"/>
              </w:rPr>
              <w:t>39,988</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2026-09-22</w:t>
            </w:r>
          </w:p>
        </w:tc>
        <w:tc>
          <w:tcPr>
            <w:tcW w:type="dxa" w:w="1440"/>
            <w:shd w:fill="C6EFCE" w:val="clear"/>
          </w:tcPr>
          <w:p>
            <w:r>
              <w:rPr>
                <w:sz w:val="17"/>
              </w:rPr>
              <w:t>37,861</w:t>
            </w:r>
          </w:p>
        </w:tc>
        <w:tc>
          <w:tcPr>
            <w:tcW w:type="dxa" w:w="1440"/>
            <w:shd w:fill="C6EFCE" w:val="clear"/>
          </w:tcPr>
          <w:p>
            <w:r>
              <w:rPr>
                <w:b/>
                <w:sz w:val="17"/>
              </w:rPr>
              <w:t>39,220</w:t>
            </w:r>
          </w:p>
        </w:tc>
        <w:tc>
          <w:tcPr>
            <w:tcW w:type="dxa" w:w="1440"/>
            <w:shd w:fill="C6EFCE" w:val="clear"/>
          </w:tcPr>
          <w:p>
            <w:r>
              <w:rPr>
                <w:sz w:val="17"/>
              </w:rPr>
              <w:t>40,579</w:t>
            </w:r>
          </w:p>
        </w:tc>
        <w:tc>
          <w:tcPr>
            <w:tcW w:type="dxa" w:w="1440"/>
            <w:shd w:fill="C6EFCE" w:val="clear"/>
          </w:tcPr>
          <w:p>
            <w:r>
              <w:rPr>
                <w:b/>
                <w:color w:val="008000"/>
                <w:sz w:val="17"/>
              </w:rPr>
              <w:t>+3.2%</w:t>
            </w:r>
          </w:p>
        </w:tc>
      </w:tr>
      <w:tr>
        <w:tc>
          <w:tcPr>
            <w:tcW w:type="dxa" w:w="1440"/>
            <w:shd w:fill="C6EFCE" w:val="clear"/>
          </w:tcPr>
          <w:p>
            <w:r>
              <w:rPr>
                <w:sz w:val="17"/>
              </w:rPr>
              <w:t>J+4  Moyenne</w:t>
            </w:r>
          </w:p>
        </w:tc>
        <w:tc>
          <w:tcPr>
            <w:tcW w:type="dxa" w:w="1440"/>
            <w:shd w:fill="C6EFCE" w:val="clear"/>
          </w:tcPr>
          <w:p>
            <w:r>
              <w:rPr>
                <w:sz w:val="17"/>
              </w:rPr>
              <w:t>2026-09-23</w:t>
            </w:r>
          </w:p>
        </w:tc>
        <w:tc>
          <w:tcPr>
            <w:tcW w:type="dxa" w:w="1440"/>
            <w:shd w:fill="C6EFCE" w:val="clear"/>
          </w:tcPr>
          <w:p>
            <w:r>
              <w:rPr>
                <w:sz w:val="17"/>
              </w:rPr>
              <w:t>37,975</w:t>
            </w:r>
          </w:p>
        </w:tc>
        <w:tc>
          <w:tcPr>
            <w:tcW w:type="dxa" w:w="1440"/>
            <w:shd w:fill="C6EFCE" w:val="clear"/>
          </w:tcPr>
          <w:p>
            <w:r>
              <w:rPr>
                <w:b/>
                <w:sz w:val="17"/>
              </w:rPr>
              <w:t>39,558</w:t>
            </w:r>
          </w:p>
        </w:tc>
        <w:tc>
          <w:tcPr>
            <w:tcW w:type="dxa" w:w="1440"/>
            <w:shd w:fill="C6EFCE" w:val="clear"/>
          </w:tcPr>
          <w:p>
            <w:r>
              <w:rPr>
                <w:sz w:val="17"/>
              </w:rPr>
              <w:t>41,140</w:t>
            </w:r>
          </w:p>
        </w:tc>
        <w:tc>
          <w:tcPr>
            <w:tcW w:type="dxa" w:w="1440"/>
            <w:shd w:fill="C6EFCE" w:val="clear"/>
          </w:tcPr>
          <w:p>
            <w:r>
              <w:rPr>
                <w:b/>
                <w:color w:val="008000"/>
                <w:sz w:val="17"/>
              </w:rPr>
              <w:t>+4.1%</w:t>
            </w:r>
          </w:p>
        </w:tc>
      </w:tr>
      <w:tr>
        <w:tc>
          <w:tcPr>
            <w:tcW w:type="dxa" w:w="1440"/>
            <w:shd w:fill="C6EFCE" w:val="clear"/>
          </w:tcPr>
          <w:p>
            <w:r>
              <w:rPr>
                <w:sz w:val="17"/>
              </w:rPr>
              <w:t>J+5  Moyenne</w:t>
            </w:r>
          </w:p>
        </w:tc>
        <w:tc>
          <w:tcPr>
            <w:tcW w:type="dxa" w:w="1440"/>
            <w:shd w:fill="C6EFCE" w:val="clear"/>
          </w:tcPr>
          <w:p>
            <w:r>
              <w:rPr>
                <w:sz w:val="17"/>
              </w:rPr>
              <w:t>2026-09-24</w:t>
            </w:r>
          </w:p>
        </w:tc>
        <w:tc>
          <w:tcPr>
            <w:tcW w:type="dxa" w:w="1440"/>
            <w:shd w:fill="C6EFCE" w:val="clear"/>
          </w:tcPr>
          <w:p>
            <w:r>
              <w:rPr>
                <w:sz w:val="17"/>
              </w:rPr>
              <w:t>38,104</w:t>
            </w:r>
          </w:p>
        </w:tc>
        <w:tc>
          <w:tcPr>
            <w:tcW w:type="dxa" w:w="1440"/>
            <w:shd w:fill="C6EFCE" w:val="clear"/>
          </w:tcPr>
          <w:p>
            <w:r>
              <w:rPr>
                <w:b/>
                <w:sz w:val="17"/>
              </w:rPr>
              <w:t>39,888</w:t>
            </w:r>
          </w:p>
        </w:tc>
        <w:tc>
          <w:tcPr>
            <w:tcW w:type="dxa" w:w="1440"/>
            <w:shd w:fill="C6EFCE" w:val="clear"/>
          </w:tcPr>
          <w:p>
            <w:r>
              <w:rPr>
                <w:sz w:val="17"/>
              </w:rPr>
              <w:t>41,673</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2026-09-25</w:t>
            </w:r>
          </w:p>
        </w:tc>
        <w:tc>
          <w:tcPr>
            <w:tcW w:type="dxa" w:w="1440"/>
            <w:shd w:fill="C6EFCE" w:val="clear"/>
          </w:tcPr>
          <w:p>
            <w:r>
              <w:rPr>
                <w:sz w:val="17"/>
              </w:rPr>
              <w:t>38,241</w:t>
            </w:r>
          </w:p>
        </w:tc>
        <w:tc>
          <w:tcPr>
            <w:tcW w:type="dxa" w:w="1440"/>
            <w:shd w:fill="C6EFCE" w:val="clear"/>
          </w:tcPr>
          <w:p>
            <w:r>
              <w:rPr>
                <w:b/>
                <w:sz w:val="17"/>
              </w:rPr>
              <w:t>40,212</w:t>
            </w:r>
          </w:p>
        </w:tc>
        <w:tc>
          <w:tcPr>
            <w:tcW w:type="dxa" w:w="1440"/>
            <w:shd w:fill="C6EFCE" w:val="clear"/>
          </w:tcPr>
          <w:p>
            <w:r>
              <w:rPr>
                <w:sz w:val="17"/>
              </w:rPr>
              <w:t>42,182</w:t>
            </w:r>
          </w:p>
        </w:tc>
        <w:tc>
          <w:tcPr>
            <w:tcW w:type="dxa" w:w="1440"/>
            <w:shd w:fill="C6EFCE" w:val="clear"/>
          </w:tcPr>
          <w:p>
            <w:r>
              <w:rPr>
                <w:b/>
                <w:color w:val="008000"/>
                <w:sz w:val="17"/>
              </w:rPr>
              <w:t>+5.8%</w:t>
            </w:r>
          </w:p>
        </w:tc>
      </w:tr>
      <w:tr>
        <w:tc>
          <w:tcPr>
            <w:tcW w:type="dxa" w:w="1440"/>
            <w:shd w:fill="C6EFCE" w:val="clear"/>
          </w:tcPr>
          <w:p>
            <w:r>
              <w:rPr>
                <w:sz w:val="17"/>
              </w:rPr>
              <w:t>J+7  Moyenne</w:t>
            </w:r>
          </w:p>
        </w:tc>
        <w:tc>
          <w:tcPr>
            <w:tcW w:type="dxa" w:w="1440"/>
            <w:shd w:fill="C6EFCE" w:val="clear"/>
          </w:tcPr>
          <w:p>
            <w:r>
              <w:rPr>
                <w:sz w:val="17"/>
              </w:rPr>
              <w:t>2026-09-28</w:t>
            </w:r>
          </w:p>
        </w:tc>
        <w:tc>
          <w:tcPr>
            <w:tcW w:type="dxa" w:w="1440"/>
            <w:shd w:fill="C6EFCE" w:val="clear"/>
          </w:tcPr>
          <w:p>
            <w:r>
              <w:rPr>
                <w:sz w:val="17"/>
              </w:rPr>
              <w:t>38,384</w:t>
            </w:r>
          </w:p>
        </w:tc>
        <w:tc>
          <w:tcPr>
            <w:tcW w:type="dxa" w:w="1440"/>
            <w:shd w:fill="C6EFCE" w:val="clear"/>
          </w:tcPr>
          <w:p>
            <w:r>
              <w:rPr>
                <w:b/>
                <w:sz w:val="17"/>
              </w:rPr>
              <w:t>40,529</w:t>
            </w:r>
          </w:p>
        </w:tc>
        <w:tc>
          <w:tcPr>
            <w:tcW w:type="dxa" w:w="1440"/>
            <w:shd w:fill="C6EFCE" w:val="clear"/>
          </w:tcPr>
          <w:p>
            <w:r>
              <w:rPr>
                <w:sz w:val="17"/>
              </w:rPr>
              <w:t>42,674</w:t>
            </w:r>
          </w:p>
        </w:tc>
        <w:tc>
          <w:tcPr>
            <w:tcW w:type="dxa" w:w="1440"/>
            <w:shd w:fill="C6EFCE" w:val="clear"/>
          </w:tcPr>
          <w:p>
            <w:r>
              <w:rPr>
                <w:b/>
                <w:color w:val="008000"/>
                <w:sz w:val="17"/>
              </w:rPr>
              <w:t>+6.7%</w:t>
            </w:r>
          </w:p>
        </w:tc>
      </w:tr>
      <w:tr>
        <w:tc>
          <w:tcPr>
            <w:tcW w:type="dxa" w:w="1440"/>
            <w:shd w:fill="C6EFCE" w:val="clear"/>
          </w:tcPr>
          <w:p>
            <w:r>
              <w:rPr>
                <w:sz w:val="17"/>
              </w:rPr>
              <w:t>J+8  Moyenne</w:t>
            </w:r>
          </w:p>
        </w:tc>
        <w:tc>
          <w:tcPr>
            <w:tcW w:type="dxa" w:w="1440"/>
            <w:shd w:fill="C6EFCE" w:val="clear"/>
          </w:tcPr>
          <w:p>
            <w:r>
              <w:rPr>
                <w:sz w:val="17"/>
              </w:rPr>
              <w:t>2026-09-29</w:t>
            </w:r>
          </w:p>
        </w:tc>
        <w:tc>
          <w:tcPr>
            <w:tcW w:type="dxa" w:w="1440"/>
            <w:shd w:fill="C6EFCE" w:val="clear"/>
          </w:tcPr>
          <w:p>
            <w:r>
              <w:rPr>
                <w:sz w:val="17"/>
              </w:rPr>
              <w:t>38,529</w:t>
            </w:r>
          </w:p>
        </w:tc>
        <w:tc>
          <w:tcPr>
            <w:tcW w:type="dxa" w:w="1440"/>
            <w:shd w:fill="C6EFCE" w:val="clear"/>
          </w:tcPr>
          <w:p>
            <w:r>
              <w:rPr>
                <w:b/>
                <w:sz w:val="17"/>
              </w:rPr>
              <w:t>40,840</w:t>
            </w:r>
          </w:p>
        </w:tc>
        <w:tc>
          <w:tcPr>
            <w:tcW w:type="dxa" w:w="1440"/>
            <w:shd w:fill="C6EFCE" w:val="clear"/>
          </w:tcPr>
          <w:p>
            <w:r>
              <w:rPr>
                <w:sz w:val="17"/>
              </w:rPr>
              <w:t>43,151</w:t>
            </w:r>
          </w:p>
        </w:tc>
        <w:tc>
          <w:tcPr>
            <w:tcW w:type="dxa" w:w="1440"/>
            <w:shd w:fill="C6EFCE" w:val="clear"/>
          </w:tcPr>
          <w:p>
            <w:r>
              <w:rPr>
                <w:b/>
                <w:color w:val="008000"/>
                <w:sz w:val="17"/>
              </w:rPr>
              <w:t>+7.5%</w:t>
            </w:r>
          </w:p>
        </w:tc>
      </w:tr>
      <w:tr>
        <w:tc>
          <w:tcPr>
            <w:tcW w:type="dxa" w:w="1440"/>
            <w:shd w:fill="C6EFCE" w:val="clear"/>
          </w:tcPr>
          <w:p>
            <w:r>
              <w:rPr>
                <w:sz w:val="17"/>
              </w:rPr>
              <w:t>J+9  Moyenne</w:t>
            </w:r>
          </w:p>
        </w:tc>
        <w:tc>
          <w:tcPr>
            <w:tcW w:type="dxa" w:w="1440"/>
            <w:shd w:fill="C6EFCE" w:val="clear"/>
          </w:tcPr>
          <w:p>
            <w:r>
              <w:rPr>
                <w:sz w:val="17"/>
              </w:rPr>
              <w:t>2026-09-30</w:t>
            </w:r>
          </w:p>
        </w:tc>
        <w:tc>
          <w:tcPr>
            <w:tcW w:type="dxa" w:w="1440"/>
            <w:shd w:fill="C6EFCE" w:val="clear"/>
          </w:tcPr>
          <w:p>
            <w:r>
              <w:rPr>
                <w:sz w:val="17"/>
              </w:rPr>
              <w:t>38,677</w:t>
            </w:r>
          </w:p>
        </w:tc>
        <w:tc>
          <w:tcPr>
            <w:tcW w:type="dxa" w:w="1440"/>
            <w:shd w:fill="C6EFCE" w:val="clear"/>
          </w:tcPr>
          <w:p>
            <w:r>
              <w:rPr>
                <w:b/>
                <w:sz w:val="17"/>
              </w:rPr>
              <w:t>41,147</w:t>
            </w:r>
          </w:p>
        </w:tc>
        <w:tc>
          <w:tcPr>
            <w:tcW w:type="dxa" w:w="1440"/>
            <w:shd w:fill="C6EFCE" w:val="clear"/>
          </w:tcPr>
          <w:p>
            <w:r>
              <w:rPr>
                <w:sz w:val="17"/>
              </w:rPr>
              <w:t>43,616</w:t>
            </w:r>
          </w:p>
        </w:tc>
        <w:tc>
          <w:tcPr>
            <w:tcW w:type="dxa" w:w="1440"/>
            <w:shd w:fill="C6EFCE" w:val="clear"/>
          </w:tcPr>
          <w:p>
            <w:r>
              <w:rPr>
                <w:b/>
                <w:color w:val="008000"/>
                <w:sz w:val="17"/>
              </w:rPr>
              <w:t>+8.3%</w:t>
            </w:r>
          </w:p>
        </w:tc>
      </w:tr>
      <w:tr>
        <w:tc>
          <w:tcPr>
            <w:tcW w:type="dxa" w:w="1440"/>
            <w:shd w:fill="C6EFCE" w:val="clear"/>
          </w:tcPr>
          <w:p>
            <w:r>
              <w:rPr>
                <w:sz w:val="17"/>
              </w:rPr>
              <w:t>J+10  Moyenne</w:t>
            </w:r>
          </w:p>
        </w:tc>
        <w:tc>
          <w:tcPr>
            <w:tcW w:type="dxa" w:w="1440"/>
            <w:shd w:fill="C6EFCE" w:val="clear"/>
          </w:tcPr>
          <w:p>
            <w:r>
              <w:rPr>
                <w:sz w:val="17"/>
              </w:rPr>
              <w:t>2026-10-01</w:t>
            </w:r>
          </w:p>
        </w:tc>
        <w:tc>
          <w:tcPr>
            <w:tcW w:type="dxa" w:w="1440"/>
            <w:shd w:fill="C6EFCE" w:val="clear"/>
          </w:tcPr>
          <w:p>
            <w:r>
              <w:rPr>
                <w:sz w:val="17"/>
              </w:rPr>
              <w:t>38,827</w:t>
            </w:r>
          </w:p>
        </w:tc>
        <w:tc>
          <w:tcPr>
            <w:tcW w:type="dxa" w:w="1440"/>
            <w:shd w:fill="C6EFCE" w:val="clear"/>
          </w:tcPr>
          <w:p>
            <w:r>
              <w:rPr>
                <w:b/>
                <w:sz w:val="17"/>
              </w:rPr>
              <w:t>41,449</w:t>
            </w:r>
          </w:p>
        </w:tc>
        <w:tc>
          <w:tcPr>
            <w:tcW w:type="dxa" w:w="1440"/>
            <w:shd w:fill="C6EFCE" w:val="clear"/>
          </w:tcPr>
          <w:p>
            <w:r>
              <w:rPr>
                <w:sz w:val="17"/>
              </w:rPr>
              <w:t>44,072</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625,51 milliards FCFA, SOLIBRA s'impose comme l'une des plus importantes capitalisations de la cote BRVM, témoignant de son statut de valeur de premier plan dans le compartiment des entreprises non financières. Le BPA de 2 781 FCFA/action signifie que chaque titre génère près de 2 800 FCFA de bénéfice net, un niveau remarquable qui traduit la forte rentabilité de l'entreprise. Le PER de 13,7x se situe légèrement au-dessus de la moyenne BRVM (8-12x), ce qui indique que les investisseurs acceptent de payer une prime modérée pour la qualité de la croissance et la régularité des résultats, sans pour autant que le titre soit surévalué. Le P/B de 3,21x montre que le marché valorise SOLIBRA à plus de trois fois sa valeur comptable, une prime de croissance justifiée par un ROE de 23,5% largement supérieur au coût des fonds propres. Enfin, l'EV/EBITDA de 7,4x, dans la fourchette raisonnable de 5-10x, confirme que la valeur totale de l'entreprise (incluant la dette)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-3,69%, avec une dernière séance stable à +0,00%, clôturant à 38 000 FCFA. Le titre a évolué dans un range de trading relativement étroit, entre un plus bas de 35 540 FCFA et un plus haut de 41 500 FCFA, soit un écart d'environ 16,8% entre les extrêmes. La tendance générale est donc légèrement baissière mais avec une stabilisation récente, le cours actuel se situant exactement sur sa médiane et son mode (38 000 FCFA), ce qui suggère un équilibre entre acheteurs et vendeurs. Les statistiques descriptives révèlent une moyenne de 38 240 FCFA très proche de la médiane (38 000 FCFA), confirmant une distribution quasi-symétrique du cours, avec un skewness de 0,471 indiquant une très légère asymétrie positive (quelques pics haussiers). L'écart-type de 927 FCFA avec un coefficient de variation de seulement 2,4% traduit une faible dispersion du cours autour de sa moyenne, signe d'une certaine stabilité. Le kurtosis de 0,720 (mésokurtique) indique une distribution proche de la normale, sans risque excessif de pics extrêmes. La volatilité annualisée de 28,1% positionne le titre dans la catégorie des valeurs à volatilité modérée (15-30%), ce qui est rassurant pour un investisseur cherchant un compromis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(37 722 FCFA) et la MM50 (38 182 FCFA) encadrent le cours actuel de 38 000 FCFA, avec une MM20 inférieure à la MM50, ce qui constitue un signal baissier de court terme. Le cours se situant sous la MM50 mais au-dessus de la MM20, la décision technique est à la vente, suggérant une pression baissière persistante.</w:t>
      </w:r>
    </w:p>
    <w:p>
      <w:pPr>
        <w:spacing w:after="120" w:line="276" w:lineRule="auto"/>
      </w:pPr>
      <w:r>
        <w:t>**Bandes de Bollinger** : Le cours actuel (38 000 FCFA) se situe à l'intérieur des bandes, entre la borne inférieure (37 017 FCFA) et la borne supérieure (38 427 FCFA), mais plus proche de la borne haute. Cette position médiane indique une absence de signal directionnel fort, justifiant la décision neutre. La largeur des bandes suggère une volatilité contenue.</w:t>
      </w:r>
    </w:p>
    <w:p>
      <w:pPr>
        <w:spacing w:after="120" w:line="276" w:lineRule="auto"/>
      </w:pPr>
      <w:r>
        <w:t>**MACD** : La valeur du MACD (5,348) est nettement supérieure à son signal (-69,565), générant un croisement haussier significatif. Cette divergence positive indique un momentum acheteur en construction, justifiant la décision d'achat malgré la tendance baissière des moyennes mobiles.</w:t>
      </w:r>
    </w:p>
    <w:p>
      <w:pPr>
        <w:spacing w:after="120" w:line="276" w:lineRule="auto"/>
      </w:pPr>
      <w:r>
        <w:t>**RSI** : À 67,857, le RSI se situe en zone neutre haute, proche du seuil de surachat (70) sans l'atteindre. Cette valeur indique une dynamique haussière modérée mais sans excès, justifiant la décision neutre. Une cassure au-dessus de 70 signalerait un risque de correction.</w:t>
      </w:r>
    </w:p>
    <w:p>
      <w:pPr>
        <w:spacing w:after="120" w:line="276" w:lineRule="auto"/>
      </w:pPr>
      <w:r>
        <w:t>**Stochastique** : Les valeurs %K et %D sont toutes deux à 100,0, indiquant que le cours évolue au plus haut de sa fourchette récente. Cette situation extrême en zone de surachat, avec un croisement potentiel à venir, justifie la décision de vente à court terme.</w:t>
      </w:r>
    </w:p>
    <w:p>
      <w:pPr>
        <w:spacing w:after="120" w:line="276" w:lineRule="auto"/>
      </w:pPr>
      <w:r>
        <w:t>**Conclusion technique** : Les indicateurs présentent une divergence notable : le MACD est haussier tandis que les moyennes mobiles et le stochastique sont baissiers, le RSI et les Bollinger restant neutres. Cette configuration suggère une phase de consolidation avec un potentiel rebond à court terme (MACD) mais des risques de correction (stochastique en surachat). La prudence est de mise, avec une attente de confirmation de la direction.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de 22,08% par rapport à 2024, portée par une augmentation des volumes distribués et un mix prix favorable. Le résultat net s'établit à 45,781 milliards FCFA, en explosion de +113% (contre 21,472 milliards en 2024), avec une marge nette qui double de 6,9% à 12,1%. Le ROE atteint 23,46% (excellent, &gt;15%) et le ROA 13,48%, confirmant une rentabilité capitalistique remarquable. La structure financière est saine : autonomie financière de 57,48%, ratio d'endettement de 42,52%, et une trésorerie nette positive de 22,117 milliards FCFA. Concernant le besoin en fonds de roulement (BFR), il s'élève à 61,587 milliards FCFA, avec un délai clients de 64,27 jours (risque de trésorerie modéré) et un délai fournisseurs de 76,82 jours (favorable). La durée de stockage de 117,32 jours reste élevée et immobilise du capital. Le free cash-flow de 60,867 milliards FCFA et la CAF de 69,895 milliards FCFA témoignent d'une génération de liquidités robuste. Sur la base du rapport T1 2026 (publié en 2026), le chiffre d'affaires progresse de +7,6% à 93,46 milliards FCFA avec un résultat net de 16,26 milliards FCFA (+4,8%), suggérant une décélération de la croissance mais une poursuite de la dynamique positive. On estime donc que l'exercice 2026 devrait afficher une croissance plus modérée (autour de 8-10%) mais avec des marges maintenues à un niveau élevé. La politique de dividende est très généreuse, avec un dividende brut unitaire proposé de 2 127 FCFA par action (soit un rendement d'environ 5,6% au cours actuel de 38 000 FCFA), représentant un payout de 76,5% du bénéfice net. Le principal risque identifié est la dépendance aux matières premières (90 milliards FCFA d'achats exposés à la volatilité des prix) et la concentration géographique sur le marché ivoirien. Néanmoins, la solidité du bilan, la position de leader et la rentabilité exceptionnelle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raisonnable avec un PER de 13,7x légèrement supérieur à la moyenne BRVM mais justifié par un ROE de 23,5% et une croissance à deux chiffres ; le P/B de 3,21x reflète une prime de qualité, et l'EV/EBITDA de 7,4x reste dans les normes. Le comportement du cours (Partie 1) est stable avec une volatilité modérée (28,1%), une distribution symétrique (skewness 0,471) et un kurtosis proche de la normale, sans risque excessif de pics. Les signaux techniques (Partie 2) sont mitigés : le MACD est haussier mais les moyennes mobiles et le stochastique sont baissiers, le RSI et les Bollinger étant neutres, ce qui suggère une consolidation avant un éventuel rebond. Les fondamentaux (Partie 3) sont exceptionnels : croissance de 22% du CA en 2025, résultat net doublé, ROE de 23,5%, trésorerie nette positive et dividende attractif de 2 127 FCFA/action. Les prédictions IA (J+1 à J+10) anticipent une trajectoire haussière vers 39 888 FCFA d'ici le 24 septembre 2026, confirmant le signal haussier du MACD et les fondamentaux solides. Sur la base de cette convergence entre valorisation raisonnable, fondamentaux exceptionnels, prédictions haussières et signaux techniques mitigés mais orientés à la hausse, la recommandation finale est **ACHAT**. Le niveau de confiance est **Élevé** pour le long terme (fondamentaux solides, dividende attractif) mais **Moyen** pour le court terme (divergence technique). Le risque global est **Moyen** (volatilité modérée, dépendance aux matières premières). L'horizon d'investissement optimal est le **moyen à long terme (6 mois à 1 an)** pour profiter de la croissance, du dividende et de la convergence progressive des indicateurs techniques vers les fondamentaux.</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132.52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1,588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+47.38%</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13.32% (Moyenne) — μ=15,490 FCFA, σ=2,063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β=-0.8163 (Contre-cyclique) — Cov=-0.000029, Var(idx)=0.000035, ρ=-0.212,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2026-09-18</w:t>
            </w:r>
          </w:p>
        </w:tc>
        <w:tc>
          <w:tcPr>
            <w:tcW w:type="dxa" w:w="1440"/>
            <w:shd w:fill="C6EFCE" w:val="clear"/>
          </w:tcPr>
          <w:p>
            <w:r>
              <w:rPr>
                <w:sz w:val="17"/>
              </w:rPr>
              <w:t>16,971</w:t>
            </w:r>
          </w:p>
        </w:tc>
        <w:tc>
          <w:tcPr>
            <w:tcW w:type="dxa" w:w="1440"/>
            <w:shd w:fill="C6EFCE" w:val="clear"/>
          </w:tcPr>
          <w:p>
            <w:r>
              <w:rPr>
                <w:b/>
                <w:sz w:val="17"/>
              </w:rPr>
              <w:t>17,473</w:t>
            </w:r>
          </w:p>
        </w:tc>
        <w:tc>
          <w:tcPr>
            <w:tcW w:type="dxa" w:w="1440"/>
            <w:shd w:fill="C6EFCE" w:val="clear"/>
          </w:tcPr>
          <w:p>
            <w:r>
              <w:rPr>
                <w:sz w:val="17"/>
              </w:rPr>
              <w:t>17,976</w:t>
            </w:r>
          </w:p>
        </w:tc>
        <w:tc>
          <w:tcPr>
            <w:tcW w:type="dxa" w:w="1440"/>
            <w:shd w:fill="C6EFCE" w:val="clear"/>
          </w:tcPr>
          <w:p>
            <w:r>
              <w:rPr>
                <w:b/>
                <w:color w:val="008000"/>
                <w:sz w:val="17"/>
              </w:rPr>
              <w:t>+2.8%</w:t>
            </w:r>
          </w:p>
        </w:tc>
      </w:tr>
      <w:tr>
        <w:tc>
          <w:tcPr>
            <w:tcW w:type="dxa" w:w="1440"/>
            <w:shd w:fill="C6EFCE" w:val="clear"/>
          </w:tcPr>
          <w:p>
            <w:r>
              <w:rPr>
                <w:sz w:val="17"/>
              </w:rPr>
              <w:t>J+2  ⭐⭐⭐</w:t>
            </w:r>
          </w:p>
        </w:tc>
        <w:tc>
          <w:tcPr>
            <w:tcW w:type="dxa" w:w="1440"/>
            <w:shd w:fill="C6EFCE" w:val="clear"/>
          </w:tcPr>
          <w:p>
            <w:r>
              <w:rPr>
                <w:sz w:val="17"/>
              </w:rPr>
              <w:t>2026-09-21</w:t>
            </w:r>
          </w:p>
        </w:tc>
        <w:tc>
          <w:tcPr>
            <w:tcW w:type="dxa" w:w="1440"/>
            <w:shd w:fill="C6EFCE" w:val="clear"/>
          </w:tcPr>
          <w:p>
            <w:r>
              <w:rPr>
                <w:sz w:val="17"/>
              </w:rPr>
              <w:t>16,709</w:t>
            </w:r>
          </w:p>
        </w:tc>
        <w:tc>
          <w:tcPr>
            <w:tcW w:type="dxa" w:w="1440"/>
            <w:shd w:fill="C6EFCE" w:val="clear"/>
          </w:tcPr>
          <w:p>
            <w:r>
              <w:rPr>
                <w:b/>
                <w:sz w:val="17"/>
              </w:rPr>
              <w:t>17,418</w:t>
            </w:r>
          </w:p>
        </w:tc>
        <w:tc>
          <w:tcPr>
            <w:tcW w:type="dxa" w:w="1440"/>
            <w:shd w:fill="C6EFCE" w:val="clear"/>
          </w:tcPr>
          <w:p>
            <w:r>
              <w:rPr>
                <w:sz w:val="17"/>
              </w:rPr>
              <w:t>18,127</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2026-09-22</w:t>
            </w:r>
          </w:p>
        </w:tc>
        <w:tc>
          <w:tcPr>
            <w:tcW w:type="dxa" w:w="1440"/>
            <w:shd w:fill="C6EFCE" w:val="clear"/>
          </w:tcPr>
          <w:p>
            <w:r>
              <w:rPr>
                <w:sz w:val="17"/>
              </w:rPr>
              <w:t>16,553</w:t>
            </w:r>
          </w:p>
        </w:tc>
        <w:tc>
          <w:tcPr>
            <w:tcW w:type="dxa" w:w="1440"/>
            <w:shd w:fill="C6EFCE" w:val="clear"/>
          </w:tcPr>
          <w:p>
            <w:r>
              <w:rPr>
                <w:b/>
                <w:sz w:val="17"/>
              </w:rPr>
              <w:t>17,421</w:t>
            </w:r>
          </w:p>
        </w:tc>
        <w:tc>
          <w:tcPr>
            <w:tcW w:type="dxa" w:w="1440"/>
            <w:shd w:fill="C6EFCE" w:val="clear"/>
          </w:tcPr>
          <w:p>
            <w:r>
              <w:rPr>
                <w:sz w:val="17"/>
              </w:rPr>
              <w:t>18,289</w:t>
            </w:r>
          </w:p>
        </w:tc>
        <w:tc>
          <w:tcPr>
            <w:tcW w:type="dxa" w:w="1440"/>
            <w:shd w:fill="C6EFCE" w:val="clear"/>
          </w:tcPr>
          <w:p>
            <w:r>
              <w:rPr>
                <w:b/>
                <w:color w:val="008000"/>
                <w:sz w:val="17"/>
              </w:rPr>
              <w:t>+2.5%</w:t>
            </w:r>
          </w:p>
        </w:tc>
      </w:tr>
      <w:tr>
        <w:tc>
          <w:tcPr>
            <w:tcW w:type="dxa" w:w="1440"/>
            <w:shd w:fill="C6EFCE" w:val="clear"/>
          </w:tcPr>
          <w:p>
            <w:r>
              <w:rPr>
                <w:sz w:val="17"/>
              </w:rPr>
              <w:t>J+4  Moyenne</w:t>
            </w:r>
          </w:p>
        </w:tc>
        <w:tc>
          <w:tcPr>
            <w:tcW w:type="dxa" w:w="1440"/>
            <w:shd w:fill="C6EFCE" w:val="clear"/>
          </w:tcPr>
          <w:p>
            <w:r>
              <w:rPr>
                <w:sz w:val="17"/>
              </w:rPr>
              <w:t>2026-09-23</w:t>
            </w:r>
          </w:p>
        </w:tc>
        <w:tc>
          <w:tcPr>
            <w:tcW w:type="dxa" w:w="1440"/>
            <w:shd w:fill="C6EFCE" w:val="clear"/>
          </w:tcPr>
          <w:p>
            <w:r>
              <w:rPr>
                <w:sz w:val="17"/>
              </w:rPr>
              <w:t>16,408</w:t>
            </w:r>
          </w:p>
        </w:tc>
        <w:tc>
          <w:tcPr>
            <w:tcW w:type="dxa" w:w="1440"/>
            <w:shd w:fill="C6EFCE" w:val="clear"/>
          </w:tcPr>
          <w:p>
            <w:r>
              <w:rPr>
                <w:b/>
                <w:sz w:val="17"/>
              </w:rPr>
              <w:t>17,410</w:t>
            </w:r>
          </w:p>
        </w:tc>
        <w:tc>
          <w:tcPr>
            <w:tcW w:type="dxa" w:w="1440"/>
            <w:shd w:fill="C6EFCE" w:val="clear"/>
          </w:tcPr>
          <w:p>
            <w:r>
              <w:rPr>
                <w:sz w:val="17"/>
              </w:rPr>
              <w:t>18,412</w:t>
            </w:r>
          </w:p>
        </w:tc>
        <w:tc>
          <w:tcPr>
            <w:tcW w:type="dxa" w:w="1440"/>
            <w:shd w:fill="C6EFCE" w:val="clear"/>
          </w:tcPr>
          <w:p>
            <w:r>
              <w:rPr>
                <w:b/>
                <w:color w:val="008000"/>
                <w:sz w:val="17"/>
              </w:rPr>
              <w:t>+2.4%</w:t>
            </w:r>
          </w:p>
        </w:tc>
      </w:tr>
      <w:tr>
        <w:tc>
          <w:tcPr>
            <w:tcW w:type="dxa" w:w="1440"/>
            <w:shd w:fill="C6EFCE" w:val="clear"/>
          </w:tcPr>
          <w:p>
            <w:r>
              <w:rPr>
                <w:sz w:val="17"/>
              </w:rPr>
              <w:t>J+5  Moyenne</w:t>
            </w:r>
          </w:p>
        </w:tc>
        <w:tc>
          <w:tcPr>
            <w:tcW w:type="dxa" w:w="1440"/>
            <w:shd w:fill="C6EFCE" w:val="clear"/>
          </w:tcPr>
          <w:p>
            <w:r>
              <w:rPr>
                <w:sz w:val="17"/>
              </w:rPr>
              <w:t>2026-09-24</w:t>
            </w:r>
          </w:p>
        </w:tc>
        <w:tc>
          <w:tcPr>
            <w:tcW w:type="dxa" w:w="1440"/>
            <w:shd w:fill="C6EFCE" w:val="clear"/>
          </w:tcPr>
          <w:p>
            <w:r>
              <w:rPr>
                <w:sz w:val="17"/>
              </w:rPr>
              <w:t>16,274</w:t>
            </w:r>
          </w:p>
        </w:tc>
        <w:tc>
          <w:tcPr>
            <w:tcW w:type="dxa" w:w="1440"/>
            <w:shd w:fill="C6EFCE" w:val="clear"/>
          </w:tcPr>
          <w:p>
            <w:r>
              <w:rPr>
                <w:b/>
                <w:sz w:val="17"/>
              </w:rPr>
              <w:t>17,393</w:t>
            </w:r>
          </w:p>
        </w:tc>
        <w:tc>
          <w:tcPr>
            <w:tcW w:type="dxa" w:w="1440"/>
            <w:shd w:fill="C6EFCE" w:val="clear"/>
          </w:tcPr>
          <w:p>
            <w:r>
              <w:rPr>
                <w:sz w:val="17"/>
              </w:rPr>
              <w:t>18,512</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2026-09-25</w:t>
            </w:r>
          </w:p>
        </w:tc>
        <w:tc>
          <w:tcPr>
            <w:tcW w:type="dxa" w:w="1440"/>
            <w:shd w:fill="C6EFCE" w:val="clear"/>
          </w:tcPr>
          <w:p>
            <w:r>
              <w:rPr>
                <w:sz w:val="17"/>
              </w:rPr>
              <w:t>16,151</w:t>
            </w:r>
          </w:p>
        </w:tc>
        <w:tc>
          <w:tcPr>
            <w:tcW w:type="dxa" w:w="1440"/>
            <w:shd w:fill="C6EFCE" w:val="clear"/>
          </w:tcPr>
          <w:p>
            <w:r>
              <w:rPr>
                <w:b/>
                <w:sz w:val="17"/>
              </w:rPr>
              <w:t>17,375</w:t>
            </w:r>
          </w:p>
        </w:tc>
        <w:tc>
          <w:tcPr>
            <w:tcW w:type="dxa" w:w="1440"/>
            <w:shd w:fill="C6EFCE" w:val="clear"/>
          </w:tcPr>
          <w:p>
            <w:r>
              <w:rPr>
                <w:sz w:val="17"/>
              </w:rPr>
              <w:t>18,600</w:t>
            </w:r>
          </w:p>
        </w:tc>
        <w:tc>
          <w:tcPr>
            <w:tcW w:type="dxa" w:w="1440"/>
            <w:shd w:fill="C6EFCE" w:val="clear"/>
          </w:tcPr>
          <w:p>
            <w:r>
              <w:rPr>
                <w:b/>
                <w:color w:val="008000"/>
                <w:sz w:val="17"/>
              </w:rPr>
              <w:t>+2.2%</w:t>
            </w:r>
          </w:p>
        </w:tc>
      </w:tr>
      <w:tr>
        <w:tc>
          <w:tcPr>
            <w:tcW w:type="dxa" w:w="1440"/>
            <w:shd w:fill="C6EFCE" w:val="clear"/>
          </w:tcPr>
          <w:p>
            <w:r>
              <w:rPr>
                <w:sz w:val="17"/>
              </w:rPr>
              <w:t>J+7  Moyenne</w:t>
            </w:r>
          </w:p>
        </w:tc>
        <w:tc>
          <w:tcPr>
            <w:tcW w:type="dxa" w:w="1440"/>
            <w:shd w:fill="C6EFCE" w:val="clear"/>
          </w:tcPr>
          <w:p>
            <w:r>
              <w:rPr>
                <w:sz w:val="17"/>
              </w:rPr>
              <w:t>2026-09-28</w:t>
            </w:r>
          </w:p>
        </w:tc>
        <w:tc>
          <w:tcPr>
            <w:tcW w:type="dxa" w:w="1440"/>
            <w:shd w:fill="C6EFCE" w:val="clear"/>
          </w:tcPr>
          <w:p>
            <w:r>
              <w:rPr>
                <w:sz w:val="17"/>
              </w:rPr>
              <w:t>16,036</w:t>
            </w:r>
          </w:p>
        </w:tc>
        <w:tc>
          <w:tcPr>
            <w:tcW w:type="dxa" w:w="1440"/>
            <w:shd w:fill="C6EFCE" w:val="clear"/>
          </w:tcPr>
          <w:p>
            <w:r>
              <w:rPr>
                <w:b/>
                <w:sz w:val="17"/>
              </w:rPr>
              <w:t>17,357</w:t>
            </w:r>
          </w:p>
        </w:tc>
        <w:tc>
          <w:tcPr>
            <w:tcW w:type="dxa" w:w="1440"/>
            <w:shd w:fill="C6EFCE" w:val="clear"/>
          </w:tcPr>
          <w:p>
            <w:r>
              <w:rPr>
                <w:sz w:val="17"/>
              </w:rPr>
              <w:t>18,678</w:t>
            </w:r>
          </w:p>
        </w:tc>
        <w:tc>
          <w:tcPr>
            <w:tcW w:type="dxa" w:w="1440"/>
            <w:shd w:fill="C6EFCE" w:val="clear"/>
          </w:tcPr>
          <w:p>
            <w:r>
              <w:rPr>
                <w:b/>
                <w:color w:val="008000"/>
                <w:sz w:val="17"/>
              </w:rPr>
              <w:t>+2.1%</w:t>
            </w:r>
          </w:p>
        </w:tc>
      </w:tr>
      <w:tr>
        <w:tc>
          <w:tcPr>
            <w:tcW w:type="dxa" w:w="1440"/>
            <w:shd w:fill="FAFAFA" w:val="clear"/>
          </w:tcPr>
          <w:p>
            <w:r>
              <w:rPr>
                <w:sz w:val="17"/>
              </w:rPr>
              <w:t>J+8  Moyenne</w:t>
            </w:r>
          </w:p>
        </w:tc>
        <w:tc>
          <w:tcPr>
            <w:tcW w:type="dxa" w:w="1440"/>
            <w:shd w:fill="FAFAFA" w:val="clear"/>
          </w:tcPr>
          <w:p>
            <w:r>
              <w:rPr>
                <w:sz w:val="17"/>
              </w:rPr>
              <w:t>2026-09-29</w:t>
            </w:r>
          </w:p>
        </w:tc>
        <w:tc>
          <w:tcPr>
            <w:tcW w:type="dxa" w:w="1440"/>
            <w:shd w:fill="FAFAFA" w:val="clear"/>
          </w:tcPr>
          <w:p>
            <w:r>
              <w:rPr>
                <w:sz w:val="17"/>
              </w:rPr>
              <w:t>15,929</w:t>
            </w:r>
          </w:p>
        </w:tc>
        <w:tc>
          <w:tcPr>
            <w:tcW w:type="dxa" w:w="1440"/>
            <w:shd w:fill="FAFAFA" w:val="clear"/>
          </w:tcPr>
          <w:p>
            <w:r>
              <w:rPr>
                <w:b/>
                <w:sz w:val="17"/>
              </w:rPr>
              <w:t>17,339</w:t>
            </w:r>
          </w:p>
        </w:tc>
        <w:tc>
          <w:tcPr>
            <w:tcW w:type="dxa" w:w="1440"/>
            <w:shd w:fill="FAFAFA" w:val="clear"/>
          </w:tcPr>
          <w:p>
            <w:r>
              <w:rPr>
                <w:sz w:val="17"/>
              </w:rPr>
              <w:t>18,750</w:t>
            </w:r>
          </w:p>
        </w:tc>
        <w:tc>
          <w:tcPr>
            <w:tcW w:type="dxa" w:w="1440"/>
            <w:shd w:fill="FAFAFA" w:val="clear"/>
          </w:tcPr>
          <w:p>
            <w:r>
              <w:rPr>
                <w:b/>
                <w:color w:val="008000"/>
                <w:sz w:val="17"/>
              </w:rPr>
              <w:t>+2.0%</w:t>
            </w:r>
          </w:p>
        </w:tc>
      </w:tr>
      <w:tr>
        <w:tc>
          <w:tcPr>
            <w:tcW w:type="dxa" w:w="1440"/>
            <w:shd w:fill="FAFAFA" w:val="clear"/>
          </w:tcPr>
          <w:p>
            <w:r>
              <w:rPr>
                <w:sz w:val="17"/>
              </w:rPr>
              <w:t>J+9  Moyenne</w:t>
            </w:r>
          </w:p>
        </w:tc>
        <w:tc>
          <w:tcPr>
            <w:tcW w:type="dxa" w:w="1440"/>
            <w:shd w:fill="FAFAFA" w:val="clear"/>
          </w:tcPr>
          <w:p>
            <w:r>
              <w:rPr>
                <w:sz w:val="17"/>
              </w:rPr>
              <w:t>2026-09-30</w:t>
            </w:r>
          </w:p>
        </w:tc>
        <w:tc>
          <w:tcPr>
            <w:tcW w:type="dxa" w:w="1440"/>
            <w:shd w:fill="FAFAFA" w:val="clear"/>
          </w:tcPr>
          <w:p>
            <w:r>
              <w:rPr>
                <w:sz w:val="17"/>
              </w:rPr>
              <w:t>15,827</w:t>
            </w:r>
          </w:p>
        </w:tc>
        <w:tc>
          <w:tcPr>
            <w:tcW w:type="dxa" w:w="1440"/>
            <w:shd w:fill="FAFAFA" w:val="clear"/>
          </w:tcPr>
          <w:p>
            <w:r>
              <w:rPr>
                <w:b/>
                <w:sz w:val="17"/>
              </w:rPr>
              <w:t>17,322</w:t>
            </w:r>
          </w:p>
        </w:tc>
        <w:tc>
          <w:tcPr>
            <w:tcW w:type="dxa" w:w="1440"/>
            <w:shd w:fill="FAFAFA" w:val="clear"/>
          </w:tcPr>
          <w:p>
            <w:r>
              <w:rPr>
                <w:sz w:val="17"/>
              </w:rPr>
              <w:t>18,817</w:t>
            </w:r>
          </w:p>
        </w:tc>
        <w:tc>
          <w:tcPr>
            <w:tcW w:type="dxa" w:w="1440"/>
            <w:shd w:fill="FAFAFA" w:val="clear"/>
          </w:tcPr>
          <w:p>
            <w:r>
              <w:rPr>
                <w:b/>
                <w:color w:val="008000"/>
                <w:sz w:val="17"/>
              </w:rPr>
              <w:t>+1.9%</w:t>
            </w:r>
          </w:p>
        </w:tc>
      </w:tr>
      <w:tr>
        <w:tc>
          <w:tcPr>
            <w:tcW w:type="dxa" w:w="1440"/>
            <w:shd w:fill="FAFAFA" w:val="clear"/>
          </w:tcPr>
          <w:p>
            <w:r>
              <w:rPr>
                <w:sz w:val="17"/>
              </w:rPr>
              <w:t>J+10  Moyenne</w:t>
            </w:r>
          </w:p>
        </w:tc>
        <w:tc>
          <w:tcPr>
            <w:tcW w:type="dxa" w:w="1440"/>
            <w:shd w:fill="FAFAFA" w:val="clear"/>
          </w:tcPr>
          <w:p>
            <w:r>
              <w:rPr>
                <w:sz w:val="17"/>
              </w:rPr>
              <w:t>2026-10-01</w:t>
            </w:r>
          </w:p>
        </w:tc>
        <w:tc>
          <w:tcPr>
            <w:tcW w:type="dxa" w:w="1440"/>
            <w:shd w:fill="FAFAFA" w:val="clear"/>
          </w:tcPr>
          <w:p>
            <w:r>
              <w:rPr>
                <w:sz w:val="17"/>
              </w:rPr>
              <w:t>15,730</w:t>
            </w:r>
          </w:p>
        </w:tc>
        <w:tc>
          <w:tcPr>
            <w:tcW w:type="dxa" w:w="1440"/>
            <w:shd w:fill="FAFAFA" w:val="clear"/>
          </w:tcPr>
          <w:p>
            <w:r>
              <w:rPr>
                <w:b/>
                <w:sz w:val="17"/>
              </w:rPr>
              <w:t>17,304</w:t>
            </w:r>
          </w:p>
        </w:tc>
        <w:tc>
          <w:tcPr>
            <w:tcW w:type="dxa" w:w="1440"/>
            <w:shd w:fill="FAFAFA" w:val="clear"/>
          </w:tcPr>
          <w:p>
            <w:r>
              <w:rPr>
                <w:sz w:val="17"/>
              </w:rPr>
              <w:t>18,878</w:t>
            </w:r>
          </w:p>
        </w:tc>
        <w:tc>
          <w:tcPr>
            <w:tcW w:type="dxa" w:w="1440"/>
            <w:shd w:fill="FAFAFA" w:val="clear"/>
          </w:tcPr>
          <w:p>
            <w:r>
              <w:rPr>
                <w:b/>
                <w:color w:val="008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Côte d'Ivoire*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132,52 milliards FCFA, SMBC se positionne comme une valeur de taille intermédiaire sur la BRVM, représentant un poids notable dans l'indice composite. Le BPA de 1 677 FCFA par action confère au titre un PER de 10,1x, soit un niveau modéré et parfaitement dans la fourchette moyenne du marché BRVM (8-12x), ce qui suggère que les investisseurs ne paient pas de prime excessive pour les bénéfices actuels. Le P/B de 3,09x indique en revanche que le marché valorise l'action à plus de trois fois sa valeur comptable, traduisant une prime de croissance et de qualité accordée à l'entreprise, ce qui est cohérent avec son ROE élevé de 30,5%. Enfin, l'EV/EBITDA de 6,4x, situé dans la fourchette raisonnable de 5-10x, montre que la valeur totale de l'entreprise (dette incluse) reste proportionnée à sa capacité opérationnelle de génération de cash, ce qui plaide pour une valorisation globalement équilibrée,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SMBC a enregistré une progression spectaculaire de +47,38%, passant d'un plus bas de 11 450 FCFA à un plus haut de 18 500 FCFA, avant de se replier à 17 000 FCFA, soit une correction de -3,90% lors de la dernière séance. Cette tendance nettement haussière témoigne d'un fort engouement des investisseurs, probablement porté par l'amélioration des marges et la publication de résultats annuels solides. L'analyse des statistiques descriptives révèle une moyenne de 15 490 FCFA contre une médiane de 16 250 FCFA, un écart qui traduit une asymétrie négative (skewness de -0,718), confirmant que le cours a passé davantage de journées au-dessus de sa moyenne, avec des pics ponctuels vers le haut. L'écart-type de 2 073 FCFA (CV de 13,4%) indique une dispersion modérée du cours autour de sa tendance, tandis que le kurtosis de -0,813 (mésokurtique) suggère une distribution proche de la normale, sans risque excessif de pics extrêmes. La volatilité annualisée de 37,4% classe le titre dans la catégorie des valeurs à volatilité élevée (&gt;30%), ce qui implique un risque de fluctuation important à court terme, mais aussi un potentiel de rendement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17 484,5 FCFA et la MM50 à 16 762,7 FCFA, toutes deux supérieures au cours actuel de 17 000 FCFA. Cette configuration indique que le titre évolue légèrement en dessous de ses moyennes de court et moyen terme, mais la décision technique reste à l'**Achat**, car la MM20 demeure au-dessus de la MM50, signalant une tendance de fond toujours haussière malgré la correction récente.</w:t>
      </w:r>
    </w:p>
    <w:p>
      <w:pPr>
        <w:spacing w:after="120" w:line="276" w:lineRule="auto"/>
      </w:pPr>
      <w:r>
        <w:t>**Bandes de Bollinger** : La borne supérieure est à 18 640,8 FCFA et la borne inférieure à 16 328,2 FCFA, avec un cours actuel de 17 000 FCFA qui se situe dans la partie basse de la bande. Cette position suggère que le titre a intégré sa correction et pourrait approcher une zone de support, la décision étant **Neutre** en l'absence de signal directionnel fort.</w:t>
      </w:r>
    </w:p>
    <w:p>
      <w:pPr>
        <w:spacing w:after="120" w:line="276" w:lineRule="auto"/>
      </w:pPr>
      <w:r>
        <w:t>**MACD** : La valeur du MACD (339,9) est inférieure à son signal (380,6), ce qui génère une décision de **Vente**. Cette divergence négative indique un essoufflement du momentum haussier à court terme, bien que la ligne MACD reste en territoire positif, ce qui limite la portée baissière du signal.</w:t>
      </w:r>
    </w:p>
    <w:p>
      <w:pPr>
        <w:spacing w:after="120" w:line="276" w:lineRule="auto"/>
      </w:pPr>
      <w:r>
        <w:t>**RSI** : À 46,9, le RSI se situe dans la zone neutre (30-70), sans signal de surachat ni de survente. La décision est **Neutre**, ce qui confirme que le titre n'est ni dans une dynamique d'épuisement acheteur, ni dans une phase de capitulation vendeuse.</w:t>
      </w:r>
    </w:p>
    <w:p>
      <w:pPr>
        <w:spacing w:after="120" w:line="276" w:lineRule="auto"/>
      </w:pPr>
      <w:r>
        <w:t>**Stochastique** : Le %K est à 0,0 et le %D à 45,5, avec une décision d'**Achat**. Ce signal contradictoire (MACD vendeur, Stochastique acheteur) reflète une phase de transition où le titre pourrait rebondir après sa correction, le %K en zone extrême basse signalant une possible survente de court terme.</w:t>
      </w:r>
    </w:p>
    <w:p>
      <w:pPr>
        <w:spacing w:after="120" w:line="276" w:lineRule="auto"/>
      </w:pPr>
      <w:r>
        <w:t>**Conclusion technique** : Les indicateurs techniques présentent un tableau mitigé, avec une tendance de fond haussière (MM20 &gt; MM50) mais des signaux de court terme divergents (MACD vendeur, Stochastique acheteur). Le titre se trouve dans une zone de consolidation après sa forte hausse, et la prudence est de mise tant que le cours ne repasse pas au-dessus de la MM20 (17 484 FCFA) pour confirmer la reprise de la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206 740 millions FCFA, en baisse de -9,7% par rapport à 2024 (229 061 millions FCFA), une contraction qui s'explique principalement par la baisse du cours du Brent et un ralentissement des ventes à l'export. Malgré cette baisse d'activité, le résultat net progresse spectaculairement de +50,3% pour atteindre 13 075 millions FCFA, porté par une amélioration remarquable de la rentabilité opérationnelle : l'EBE bondit de +41,8% à 18 480 millions FCFA et la marge nette passe de 3,8% à 6,3%. Cette performance est d'autant plus remarquable que le ROE atteint 30,5% (largement supérieur au seuil de 15% considéré comme excellent) et le ROA 7,3%, confirmant une utilisation efficace des capitaux propres et des actifs. L'analyse du bilan révèle une structure financière solide : les capitaux propres s'élèvent à 42 913 millions FCFA (+21,6%), la trésorerie nette est positive à 23 988 millions FCFA, et le ratio d'endettement de 76,2% reste maîtrisé avec des dettes financières limitées à 9 204 millions FCFA. Cependant, deux points de vigilance méritent d'être soulignés : le délai clients élevé de 193,75 jours (créances clients de 109 743 millions FCFA) constitue un risque de trésorerie important, et la baisse du chiffre d'affaires de -9,7% en 2025, après celle de -7,5% en 2024, interroge sur la capacité de l'entreprise à relancer sa croissance. Les rapports trimestriels de 2025 confirment cette dynamique : au T1 2025 (publié le 31 mars 2025), le CA recule de -22% mais le résultat net ne baisse que de -7% grâce à l'amélioration des marges de raffinage ; au S1 2025 (publié le 30 juin 2025), le CA chute de -23% mais le résultat net ne recule que de -7%, avec une marge nette en hausse à 3,9% ; au T3 2025 (publié le 30 septembre 2025), le CA cumulé à 9 mois s'établit à 155,2 milliards FCFA (-14%) mais le résultat net progresse de +6% à 5,7 milliards FCFA. Sur la base de ces tendances trimestrielles, on peut estimer que l'exercice 2025 devrait se conclure avec un résultat net autour de 13 milliards FCFA, confirmant la capacité de l'entreprise à améliorer sa rentabilité malgré un environnement de marché difficile. La recommandation fondamentale est donc de **CONSERVER** le titre, avec un biais positif : la solidité financière, la génération de cash et l'amélioration des marges compensent la baisse du chiffre d'affaires, mais une reprise durable de la croissance sera nécessaire pour justifier un passage à l'achat.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les ratios PER de 10,1x, P/B de 3,09x et EV/EBITDA de 6,4x indiquent une valorisation équilibrée, sans sous-évaluation flagrante mais sans excès non plus, le marché ayant déjà intégré la prime de qualité liée au ROE élevé. Le **comportement du cours (Partie 1)** est marqué par une tendance haussière impressionnante (+47,38% sur 100 jours) mais une volatilité élevée (37,4%) et une asymétrie négative (skewness de -0,718), ce qui suggère que le titre a peut-être atteint un sommet de court terme et pourrait consolider. Les **signaux techniques (Partie 2)** sont mitigés : la tendance de fond reste haussière (MM20 &gt; MM50) mais le MACD est vendeur et le RSI neutre, tandis que le Stochastique donne un signal d'achat contradictoire, reflétant une phase d'incertitude. Les **fondamentaux (Partie 3)** sont solides : malgré la baisse du CA, la rentabilité s'améliore fortement (ROE de 30,5%, marge nette de 6,3%), la trésorerie est abondante (23 988 millions FCFA) et les capitaux propres se renforcent, mais le délai clients élevé et la contraction persistante du chiffre d'affaires constituent des risques à surveiller. Les **prédictions IA (J+1 à J+10)** anticipent une légère correction avec un cours passant de 17 473 FCFA à 17 393 FCFA, ce qui confirme la phase de consolidation attendue et ne contredit pas les signaux techniques. Sur la base de cette synthèse, la recommandation finale est de **CONSERVER** le titre, avec un niveau de confiance **Moyen** et un risque global **Moyen**. L'horizon d'investissement optimal est le **moyen terme (3-12 mois)**, en attendant la confirmation d'une reprise de la croissance du chiffre d'affaires et le retour du cours au-dessus de la MM20 (17 484 FCFA) pour envisager un renforcement de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3925.00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9,999 titres</w:t>
            </w:r>
          </w:p>
        </w:tc>
        <w:tc>
          <w:tcPr>
            <w:tcW w:type="dxa" w:w="2268"/>
            <w:shd w:fill="FFF2CC" w:val="clear"/>
          </w:tcPr>
          <w:p>
            <w:r>
              <w:rPr>
                <w:b/>
                <w:color w:val="503200"/>
                <w:sz w:val="16"/>
              </w:rPr>
              <w:t xml:space="preserve">Cours actuel : </w:t>
            </w:r>
            <w:r>
              <w:rPr>
                <w:color w:val="000000"/>
                <w:sz w:val="17"/>
              </w:rPr>
              <w:t>39,250 FCFA</w:t>
            </w:r>
          </w:p>
          <w:p>
            <w:r>
              <w:rPr>
                <w:b/>
                <w:color w:val="503200"/>
                <w:sz w:val="16"/>
              </w:rPr>
              <w:t xml:space="preserve">Var. 100 jours : </w:t>
            </w:r>
            <w:r>
              <w:rPr>
                <w:b/>
                <w:color w:val="007800"/>
                <w:sz w:val="17"/>
              </w:rPr>
              <w:t>+37.72%</w:t>
            </w:r>
          </w:p>
          <w:p>
            <w:r>
              <w:rPr>
                <w:b/>
                <w:color w:val="503200"/>
                <w:sz w:val="16"/>
              </w:rPr>
              <w:t xml:space="preserve">Plus haut 100j : </w:t>
            </w:r>
            <w:r>
              <w:rPr>
                <w:color w:val="000000"/>
                <w:sz w:val="17"/>
              </w:rPr>
              <w:t>39,275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11.22% (Moyenne) — μ=31,355 FCFA, σ=3,519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β=1.7954 (Agressif) — Cov=0.000063, Var(idx)=0.000035, ρ=0.559,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9,999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37,333</w:t>
            </w:r>
          </w:p>
        </w:tc>
        <w:tc>
          <w:tcPr>
            <w:tcW w:type="dxa" w:w="1440"/>
            <w:shd w:fill="FAFAFA" w:val="clear"/>
          </w:tcPr>
          <w:p>
            <w:r>
              <w:rPr>
                <w:b/>
                <w:sz w:val="17"/>
              </w:rPr>
              <w:t>38,868</w:t>
            </w:r>
          </w:p>
        </w:tc>
        <w:tc>
          <w:tcPr>
            <w:tcW w:type="dxa" w:w="1440"/>
            <w:shd w:fill="FAFAFA" w:val="clear"/>
          </w:tcPr>
          <w:p>
            <w:r>
              <w:rPr>
                <w:sz w:val="17"/>
              </w:rPr>
              <w:t>40,402</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36,683</w:t>
            </w:r>
          </w:p>
        </w:tc>
        <w:tc>
          <w:tcPr>
            <w:tcW w:type="dxa" w:w="1440"/>
            <w:shd w:fill="FAFAFA" w:val="clear"/>
          </w:tcPr>
          <w:p>
            <w:r>
              <w:rPr>
                <w:b/>
                <w:sz w:val="17"/>
              </w:rPr>
              <w:t>38,852</w:t>
            </w:r>
          </w:p>
        </w:tc>
        <w:tc>
          <w:tcPr>
            <w:tcW w:type="dxa" w:w="1440"/>
            <w:shd w:fill="FAFAFA" w:val="clear"/>
          </w:tcPr>
          <w:p>
            <w:r>
              <w:rPr>
                <w:sz w:val="17"/>
              </w:rPr>
              <w:t>41,022</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36,162</w:t>
            </w:r>
          </w:p>
        </w:tc>
        <w:tc>
          <w:tcPr>
            <w:tcW w:type="dxa" w:w="1440"/>
            <w:shd w:fill="FAFAFA" w:val="clear"/>
          </w:tcPr>
          <w:p>
            <w:r>
              <w:rPr>
                <w:b/>
                <w:sz w:val="17"/>
              </w:rPr>
              <w:t>38,817</w:t>
            </w:r>
          </w:p>
        </w:tc>
        <w:tc>
          <w:tcPr>
            <w:tcW w:type="dxa" w:w="1440"/>
            <w:shd w:fill="FAFAFA" w:val="clear"/>
          </w:tcPr>
          <w:p>
            <w:r>
              <w:rPr>
                <w:sz w:val="17"/>
              </w:rPr>
              <w:t>41,471</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35,721</w:t>
            </w:r>
          </w:p>
        </w:tc>
        <w:tc>
          <w:tcPr>
            <w:tcW w:type="dxa" w:w="1440"/>
            <w:shd w:fill="FAFAFA" w:val="clear"/>
          </w:tcPr>
          <w:p>
            <w:r>
              <w:rPr>
                <w:b/>
                <w:sz w:val="17"/>
              </w:rPr>
              <w:t>38,784</w:t>
            </w:r>
          </w:p>
        </w:tc>
        <w:tc>
          <w:tcPr>
            <w:tcW w:type="dxa" w:w="1440"/>
            <w:shd w:fill="FAFAFA" w:val="clear"/>
          </w:tcPr>
          <w:p>
            <w:r>
              <w:rPr>
                <w:sz w:val="17"/>
              </w:rPr>
              <w:t>41,847</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35,335</w:t>
            </w:r>
          </w:p>
        </w:tc>
        <w:tc>
          <w:tcPr>
            <w:tcW w:type="dxa" w:w="1440"/>
            <w:shd w:fill="FAFAFA" w:val="clear"/>
          </w:tcPr>
          <w:p>
            <w:r>
              <w:rPr>
                <w:b/>
                <w:sz w:val="17"/>
              </w:rPr>
              <w:t>38,756</w:t>
            </w:r>
          </w:p>
        </w:tc>
        <w:tc>
          <w:tcPr>
            <w:tcW w:type="dxa" w:w="1440"/>
            <w:shd w:fill="FAFAFA" w:val="clear"/>
          </w:tcPr>
          <w:p>
            <w:r>
              <w:rPr>
                <w:sz w:val="17"/>
              </w:rPr>
              <w:t>42,178</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34,985</w:t>
            </w:r>
          </w:p>
        </w:tc>
        <w:tc>
          <w:tcPr>
            <w:tcW w:type="dxa" w:w="1440"/>
            <w:shd w:fill="FAFAFA" w:val="clear"/>
          </w:tcPr>
          <w:p>
            <w:r>
              <w:rPr>
                <w:b/>
                <w:sz w:val="17"/>
              </w:rPr>
              <w:t>38,731</w:t>
            </w:r>
          </w:p>
        </w:tc>
        <w:tc>
          <w:tcPr>
            <w:tcW w:type="dxa" w:w="1440"/>
            <w:shd w:fill="FAFAFA" w:val="clear"/>
          </w:tcPr>
          <w:p>
            <w:r>
              <w:rPr>
                <w:sz w:val="17"/>
              </w:rPr>
              <w:t>42,476</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34,662</w:t>
            </w:r>
          </w:p>
        </w:tc>
        <w:tc>
          <w:tcPr>
            <w:tcW w:type="dxa" w:w="1440"/>
            <w:shd w:fill="FAFAFA" w:val="clear"/>
          </w:tcPr>
          <w:p>
            <w:r>
              <w:rPr>
                <w:b/>
                <w:sz w:val="17"/>
              </w:rPr>
              <w:t>38,706</w:t>
            </w:r>
          </w:p>
        </w:tc>
        <w:tc>
          <w:tcPr>
            <w:tcW w:type="dxa" w:w="1440"/>
            <w:shd w:fill="FAFAFA" w:val="clear"/>
          </w:tcPr>
          <w:p>
            <w:r>
              <w:rPr>
                <w:sz w:val="17"/>
              </w:rPr>
              <w:t>42,749</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34,362</w:t>
            </w:r>
          </w:p>
        </w:tc>
        <w:tc>
          <w:tcPr>
            <w:tcW w:type="dxa" w:w="1440"/>
            <w:shd w:fill="FAFAFA" w:val="clear"/>
          </w:tcPr>
          <w:p>
            <w:r>
              <w:rPr>
                <w:b/>
                <w:sz w:val="17"/>
              </w:rPr>
              <w:t>38,681</w:t>
            </w:r>
          </w:p>
        </w:tc>
        <w:tc>
          <w:tcPr>
            <w:tcW w:type="dxa" w:w="1440"/>
            <w:shd w:fill="FAFAFA" w:val="clear"/>
          </w:tcPr>
          <w:p>
            <w:r>
              <w:rPr>
                <w:sz w:val="17"/>
              </w:rPr>
              <w:t>43,001</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34,078</w:t>
            </w:r>
          </w:p>
        </w:tc>
        <w:tc>
          <w:tcPr>
            <w:tcW w:type="dxa" w:w="1440"/>
            <w:shd w:fill="FAFAFA" w:val="clear"/>
          </w:tcPr>
          <w:p>
            <w:r>
              <w:rPr>
                <w:b/>
                <w:sz w:val="17"/>
              </w:rPr>
              <w:t>38,657</w:t>
            </w:r>
          </w:p>
        </w:tc>
        <w:tc>
          <w:tcPr>
            <w:tcW w:type="dxa" w:w="1440"/>
            <w:shd w:fill="FAFAFA" w:val="clear"/>
          </w:tcPr>
          <w:p>
            <w:r>
              <w:rPr>
                <w:sz w:val="17"/>
              </w:rPr>
              <w:t>43,236</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33,809</w:t>
            </w:r>
          </w:p>
        </w:tc>
        <w:tc>
          <w:tcPr>
            <w:tcW w:type="dxa" w:w="1440"/>
            <w:shd w:fill="FAFAFA" w:val="clear"/>
          </w:tcPr>
          <w:p>
            <w:r>
              <w:rPr>
                <w:b/>
                <w:sz w:val="17"/>
              </w:rPr>
              <w:t>38,633</w:t>
            </w:r>
          </w:p>
        </w:tc>
        <w:tc>
          <w:tcPr>
            <w:tcW w:type="dxa" w:w="1440"/>
            <w:shd w:fill="FAFAFA" w:val="clear"/>
          </w:tcPr>
          <w:p>
            <w:r>
              <w:rPr>
                <w:sz w:val="17"/>
              </w:rPr>
              <w:t>43,456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3 925,00 milliards FCFA, Sonatel confirme son statut de première capitalisation de la BRVM, un poids qui en fait un pilier incontournable de l'indice BRVM Composite et un titre de référence pour les investisseurs institutionnels régionaux. Le BPA de 4 136 FCFA par action signifie que chaque titre génère près de 4 136 FCFA de bénéfice net, un niveau exceptionnellement élevé sur le marché. Le PER de 9,5x se situe dans la fourchette basse de la moyenne BRVM (8-12x), suggérant que le marché ne paie pas cher les bénéfices de Sonatel malgré sa position dominante — une anomalie potentiellement favorable. Le P/B de 2,81x indique que le marché valorise l'entreprise à près de trois fois sa valeur comptable, ce qui traduit une prime de croissance justifiée par la qualité des actifs et la rentabilité des fonds propres (ROE de 29,56%). Enfin, l'EV/EBITDA de 4,1x, très inférieur au seuil de 5x, signale que la valeur totale de l'entreprise (dette incluse) reste modérée par rapport à sa capacité opérationnelle à générer des liquidités, renforçant le diagnostic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spectaculaire de +37,72%, avec une dernière séance en hausse de +1,16%, portant le cours à 39 250 FCFA. Le range de trading s'étend de 27 160 FCFA (plus bas) à 39 275 FCFA (plus haut), soit une amplitude de plus de 12 000 FCFA qui témoigne d'une dynamique haussière puissante et soutenue. La tendance générale est clairement haussière, le cours actuel évoluant à proximité immédiate de son plus haut historique sur la période, ce qui traduit un fort momentum acheteur. Les statistiques descriptives révèlent une moyenne de 31 355 FCFA contre une médiane de 30 100 FCFA, un écart de 1 255 FCFA qui confirme une distribution asymétrique avec une concentration des cours sous la moyenne — cohérent avec le skewness positif de 1,127 indiquant davantage de journées sous la moyenne mais des poussées haussières marquées. L'écart-type de 3 537 FCFA (CV de 11,3%) traduit une dispersion modérée du cours, tandis que le kurtosis de -0,025 (mésokurtique) suggère une distribution proche de la normale, sans risque excessif de pics extrêmes. La volatilité annualisée de 30,1% positionne le titre dans la catégorie des valeurs à volatilité modérée à élevée, typique des grandes capitalisations en phase de tendance forte.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37 697,25 FCFA et la MM50 à 34 027,10 FCFA, toutes deux nettement inférieures au cours actuel de 39 250 FCFA. Cette configuration en « golden cross » (MM20 &gt; MM50) avec un cours au-dessus des deux moyennes confirme une tendance haussière solide et justifie la décision d'achat. L'écart entre le cours et la MM20 (+4,1%) reste raisonnable, sans signal de surchauffe excessive.</w:t>
      </w:r>
    </w:p>
    <w:p>
      <w:pPr>
        <w:spacing w:after="120" w:line="276" w:lineRule="auto"/>
      </w:pPr>
      <w:r>
        <w:t>**Bandes de Bollinger** : Le cours (39 250 FCFA) évolue dans la partie supérieure de la bande, entre la borne inférieure à 34 582,07 FCFA et la borne supérieure à 40 812,43 FCFA. La position du cours à environ 80% de la bande indique une pression acheteuse soutenue mais sans franchissement de la borne supérieure, ce qui justifie la décision neutre — le titre n'est ni en surachat extrême ni en zone de correction.</w:t>
      </w:r>
    </w:p>
    <w:p>
      <w:pPr>
        <w:spacing w:after="120" w:line="276" w:lineRule="auto"/>
      </w:pPr>
      <w:r>
        <w:t>**MACD** : La valeur du MACD (1 659,31) est légèrement inférieure à son signal (1 731,01), générant une divergence baissière qui justifie la décision de vente. Ce croisement négatif suggère un essoufflement du momentum haussier à court terme, bien que l'amplitude de l'écart reste modérée et puisse se résorber rapidement.</w:t>
      </w:r>
    </w:p>
    <w:p>
      <w:pPr>
        <w:spacing w:after="120" w:line="276" w:lineRule="auto"/>
      </w:pPr>
      <w:r>
        <w:t>**RSI** : À 78,27, le RSI se situe nettement au-dessus du seuil de surachat de 70, confirmant la décision de vente. Cette lecture indique que le titre a accumulé une forte hausse et pourrait connaître une consolidation ou un repli technique à court terme, même si en tendance haussière forte, le RSI peut rester élevé durablement.</w:t>
      </w:r>
    </w:p>
    <w:p>
      <w:pPr>
        <w:spacing w:after="120" w:line="276" w:lineRule="auto"/>
      </w:pPr>
      <w:r>
        <w:t>**Stochastique** : Le %K (99,07) et le %D (93,46) sont tous deux en zone de surachat extrême, avec un %K proche de 100. Cette configuration signale une pression acheteuse quasi-épuisée et un risque imminent de retournement ou de correction, justifiant la décision de vente.</w:t>
      </w:r>
    </w:p>
    <w:p>
      <w:pPr>
        <w:spacing w:after="120" w:line="276" w:lineRule="auto"/>
      </w:pPr>
      <w:r>
        <w:t>**Conclusion technique** : Les indicateurs présentent une divergence notable : les moyennes mobiles confirment une tendance haussière de fond (décision d'achat), tandis que le MACD, le RSI et le stochastique signalent tous un surachat à court terme (décision de vente). Cette configuration suggère que le titre pourrait connaître une consolidation ou un repli technique après sa forte progression, sans remettre en cause la tendance haussière de moyen terme. Les bandes de Bollinger, en décision neutre, confirment cette lecture d'un marché en équilibre précaire entre momentum haussier et saturation technique.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consolidés de Sonatel affichent un chiffre d'affaires de 1 923,12 milliards FCFA, en progression de +8,3% sur un an, porté par la Data mobile (+8,6% de clients), le haut débit fixe (+26,2%) et Orange Money (+2,8% de clients). Le résultat net s'établit à 413,59 milliards FCFA (+5,1%), avec une marge nette de 21,51% et une marge opérationnelle de 34,83%. La rentabilité des fonds propres (ROE) atteint 29,56%, un niveau excellent qui témoigne de l'efficacité exceptionnelle du groupe à générer des profits avec ses capitaux propres, tandis que le ROA de 12,65% confirme une bonne utilisation des actifs. En tant qu'entreprise non bancaire, l'analyse des délais d'exploitation révèle un délai clients de 46,16 jours (créances clients de 243,23 milliards FCFA), un délai fournisseurs de 201,39 jours (dettes fournisseurs de 363,09 milliards FCFA) et une durée de stockage de 14,49 jours — le BFR négatif de -284,91 milliards FCFA constitue un point fort majeur, signifiant que l'entreprise finance son cycle d'exploitation par ses fournisseurs et clients plutôt que par sa trésorerie. La structure financière est saine avec une autonomie financière de 42,79% (capitaux propres de 1 399,26 milliards FCFA), une solvabilité générale de 174,79% et une capacité de remboursement de seulement 0,64 année de CAF. Les rapports trimestriels confirment cette dynamique : le T3 2025 (publié le 30/09/2025) affiche un CA de 1 432,5 milliards FCFA (+8,6% YoY) et un résultat net de 311 milliards FCFA (+8,0%), avec une marge EBITDAaL de 47,9%. Plus récemment, le communiqué du S1 2026 (publié le 27/07/2026) rapporte un CA de 1 049,8 milliards FCFA (+9,3%) et un résultat net de 230 milliards FCFA (+10,5%), avec une marge EBITDAaL record de 48,7% et une notation financière relevée à AAA (wu) par GCR Ratings. Sur la base de ces rapports, on estime que l'exercice 2026 devrait afficher une croissance du CA d'environ 9% et un résultat net en progression de 8-10%, confirmant la solidité et la résilience du modèle malgré les pressions réglementaires et fiscales. La recommandation fondamentale est donc celle d'une entreprise solide, rentable et en croissance, avec des risques modérés liés à la concurrence et à l'environnement réglementaire.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présente un profil attractif : le PER de 9,5x et l'EV/EBITDA de 4,1x suggèrent une sous-évaluation relative par rapport aux fondamentaux, tandis que le P/B de 2,81x reflète une prime de croissance justifiée par un ROE de 29,56%. Le comportement du cours sur 100 jours est exceptionnellement haussier (+37,72%), avec une volatilité modérée (30,1%) et des statistiques descriptives (skewness positif, kurtosis proche de la normale) qui indiquent une tendance saine sans risque excessif de pics extrêmes. Cependant, les signaux techniques sont divergents : si les moyennes mobiles confirment la tendance haussière, le RSI (78,27), le stochastique (99,07) et le MACD (divergence baissière) signalent tous un surachat à court terme, plaidant pour une consolidation imminente. Les fondamentaux restent excellents, avec une croissance du CA de +8,3% en 2025, un résultat net de 413,6 milliards FCFA, et des perspectives 2026 confortées par le S1 2026 (+9,3% de CA, +10,5% de résultat net) et la notation AAA. Les prédictions IA pour les 10 prochains jours (38 868 FCFA le 18/09, puis 38 756 FCFA le 24/09) anticipent une légère correction de -1,3% depuis le cours actuel, ce qui confirme la thèse d'un repli technique à court terme sans remise en cause de la tendance de fond. Sur la base de cette synthèse globale, la recommandation finale est **CONSERVER** avec un biais acheteur à moyen terme : la convergence entre valorisation attractive, fondamentaux solides et prédictions de correction modérée suggère d'attendre un repli vers la MM20 (37 697 FCFA) pour renforcer une position, ou de conserver ses titres pour bénéficier de la tendance haussière de long terme. Le niveau de confiance est **Moyen** (en raison de la divergence technique à court terme), le risque global est **Moyen** (volatilité modérée, pression réglementaire), et l'horizon d'investissement optimal est **moyen à long terme** (3-12 mois et au-delà), le temps que la consolidation technique s'achève et que les fondamentaux continuent de porter la valorisation.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172.81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5,604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+4.58%</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4.99% (Faible) — μ=8,039 FCFA, σ=401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β=0.3712 (Défensif) — Cov=0.000013, Var(idx)=0.000035, ρ=0.086,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7,632</w:t>
            </w:r>
          </w:p>
        </w:tc>
        <w:tc>
          <w:tcPr>
            <w:tcW w:type="dxa" w:w="1440"/>
            <w:shd w:fill="FAFAFA" w:val="clear"/>
          </w:tcPr>
          <w:p>
            <w:r>
              <w:rPr>
                <w:b/>
                <w:sz w:val="17"/>
              </w:rPr>
              <w:t>8,028</w:t>
            </w:r>
          </w:p>
        </w:tc>
        <w:tc>
          <w:tcPr>
            <w:tcW w:type="dxa" w:w="1440"/>
            <w:shd w:fill="FAFAFA" w:val="clear"/>
          </w:tcPr>
          <w:p>
            <w:r>
              <w:rPr>
                <w:sz w:val="17"/>
              </w:rPr>
              <w:t>8,425</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7,456</w:t>
            </w:r>
          </w:p>
        </w:tc>
        <w:tc>
          <w:tcPr>
            <w:tcW w:type="dxa" w:w="1440"/>
            <w:shd w:fill="FAFAFA" w:val="clear"/>
          </w:tcPr>
          <w:p>
            <w:r>
              <w:rPr>
                <w:b/>
                <w:sz w:val="17"/>
              </w:rPr>
              <w:t>8,015</w:t>
            </w:r>
          </w:p>
        </w:tc>
        <w:tc>
          <w:tcPr>
            <w:tcW w:type="dxa" w:w="1440"/>
            <w:shd w:fill="FAFAFA" w:val="clear"/>
          </w:tcPr>
          <w:p>
            <w:r>
              <w:rPr>
                <w:sz w:val="17"/>
              </w:rPr>
              <w:t>8,575</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7,321</w:t>
            </w:r>
          </w:p>
        </w:tc>
        <w:tc>
          <w:tcPr>
            <w:tcW w:type="dxa" w:w="1440"/>
            <w:shd w:fill="FAFAFA" w:val="clear"/>
          </w:tcPr>
          <w:p>
            <w:r>
              <w:rPr>
                <w:b/>
                <w:sz w:val="17"/>
              </w:rPr>
              <w:t>8,006</w:t>
            </w:r>
          </w:p>
        </w:tc>
        <w:tc>
          <w:tcPr>
            <w:tcW w:type="dxa" w:w="1440"/>
            <w:shd w:fill="FAFAFA" w:val="clear"/>
          </w:tcPr>
          <w:p>
            <w:r>
              <w:rPr>
                <w:sz w:val="17"/>
              </w:rPr>
              <w:t>8,691</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7,206</w:t>
            </w:r>
          </w:p>
        </w:tc>
        <w:tc>
          <w:tcPr>
            <w:tcW w:type="dxa" w:w="1440"/>
            <w:shd w:fill="FAFAFA" w:val="clear"/>
          </w:tcPr>
          <w:p>
            <w:r>
              <w:rPr>
                <w:b/>
                <w:sz w:val="17"/>
              </w:rPr>
              <w:t>7,996</w:t>
            </w:r>
          </w:p>
        </w:tc>
        <w:tc>
          <w:tcPr>
            <w:tcW w:type="dxa" w:w="1440"/>
            <w:shd w:fill="FAFAFA" w:val="clear"/>
          </w:tcPr>
          <w:p>
            <w:r>
              <w:rPr>
                <w:sz w:val="17"/>
              </w:rPr>
              <w:t>8,786</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7,104</w:t>
            </w:r>
          </w:p>
        </w:tc>
        <w:tc>
          <w:tcPr>
            <w:tcW w:type="dxa" w:w="1440"/>
            <w:shd w:fill="FAFAFA" w:val="clear"/>
          </w:tcPr>
          <w:p>
            <w:r>
              <w:rPr>
                <w:b/>
                <w:sz w:val="17"/>
              </w:rPr>
              <w:t>7,986</w:t>
            </w:r>
          </w:p>
        </w:tc>
        <w:tc>
          <w:tcPr>
            <w:tcW w:type="dxa" w:w="1440"/>
            <w:shd w:fill="FAFAFA" w:val="clear"/>
          </w:tcPr>
          <w:p>
            <w:r>
              <w:rPr>
                <w:sz w:val="17"/>
              </w:rPr>
              <w:t>8,868</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7,012</w:t>
            </w:r>
          </w:p>
        </w:tc>
        <w:tc>
          <w:tcPr>
            <w:tcW w:type="dxa" w:w="1440"/>
            <w:shd w:fill="FAFAFA" w:val="clear"/>
          </w:tcPr>
          <w:p>
            <w:r>
              <w:rPr>
                <w:b/>
                <w:sz w:val="17"/>
              </w:rPr>
              <w:t>7,977</w:t>
            </w:r>
          </w:p>
        </w:tc>
        <w:tc>
          <w:tcPr>
            <w:tcW w:type="dxa" w:w="1440"/>
            <w:shd w:fill="FAFAFA" w:val="clear"/>
          </w:tcPr>
          <w:p>
            <w:r>
              <w:rPr>
                <w:sz w:val="17"/>
              </w:rPr>
              <w:t>8,942</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6,927</w:t>
            </w:r>
          </w:p>
        </w:tc>
        <w:tc>
          <w:tcPr>
            <w:tcW w:type="dxa" w:w="1440"/>
            <w:shd w:fill="FAFAFA" w:val="clear"/>
          </w:tcPr>
          <w:p>
            <w:r>
              <w:rPr>
                <w:b/>
                <w:sz w:val="17"/>
              </w:rPr>
              <w:t>7,968</w:t>
            </w:r>
          </w:p>
        </w:tc>
        <w:tc>
          <w:tcPr>
            <w:tcW w:type="dxa" w:w="1440"/>
            <w:shd w:fill="FAFAFA" w:val="clear"/>
          </w:tcPr>
          <w:p>
            <w:r>
              <w:rPr>
                <w:sz w:val="17"/>
              </w:rPr>
              <w:t>9,009</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6,847</w:t>
            </w:r>
          </w:p>
        </w:tc>
        <w:tc>
          <w:tcPr>
            <w:tcW w:type="dxa" w:w="1440"/>
            <w:shd w:fill="FAFAFA" w:val="clear"/>
          </w:tcPr>
          <w:p>
            <w:r>
              <w:rPr>
                <w:b/>
                <w:sz w:val="17"/>
              </w:rPr>
              <w:t>7,959</w:t>
            </w:r>
          </w:p>
        </w:tc>
        <w:tc>
          <w:tcPr>
            <w:tcW w:type="dxa" w:w="1440"/>
            <w:shd w:fill="FAFAFA" w:val="clear"/>
          </w:tcPr>
          <w:p>
            <w:r>
              <w:rPr>
                <w:sz w:val="17"/>
              </w:rPr>
              <w:t>9,070</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6,772</w:t>
            </w:r>
          </w:p>
        </w:tc>
        <w:tc>
          <w:tcPr>
            <w:tcW w:type="dxa" w:w="1440"/>
            <w:shd w:fill="FAFAFA" w:val="clear"/>
          </w:tcPr>
          <w:p>
            <w:r>
              <w:rPr>
                <w:b/>
                <w:sz w:val="17"/>
              </w:rPr>
              <w:t>7,950</w:t>
            </w:r>
          </w:p>
        </w:tc>
        <w:tc>
          <w:tcPr>
            <w:tcW w:type="dxa" w:w="1440"/>
            <w:shd w:fill="FAFAFA" w:val="clear"/>
          </w:tcPr>
          <w:p>
            <w:r>
              <w:rPr>
                <w:sz w:val="17"/>
              </w:rPr>
              <w:t>9,128</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6,701</w:t>
            </w:r>
          </w:p>
        </w:tc>
        <w:tc>
          <w:tcPr>
            <w:tcW w:type="dxa" w:w="1440"/>
            <w:shd w:fill="FAFAFA" w:val="clear"/>
          </w:tcPr>
          <w:p>
            <w:r>
              <w:rPr>
                <w:b/>
                <w:sz w:val="17"/>
              </w:rPr>
              <w:t>7,941</w:t>
            </w:r>
          </w:p>
        </w:tc>
        <w:tc>
          <w:tcPr>
            <w:tcW w:type="dxa" w:w="1440"/>
            <w:shd w:fill="FAFAFA" w:val="clear"/>
          </w:tcPr>
          <w:p>
            <w:r>
              <w:rPr>
                <w:sz w:val="17"/>
              </w:rPr>
              <w:t>9,182</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Entreprise agro-industrielle (Hévéa / Palmier à huile)**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172,81 milliards FCFA, SOGC s'impose comme une valeur de premier plan de la cote BRVM, figurant parmi les plus fortes capitalisations du compartiment agro-industriel. Le BPA de 578 FCFA par action signifie que chaque titre génère près de 578 FCFA de bénéfice net, ce qui, rapporté au cours actuel de 8 000 FCFA, donne un PER de 13,8x — un niveau modéré, légèrement supérieur à la moyenne du marché BRVM (8-12x), traduisant une prime de qualité mais sans excès spéculatif. Le P/B de 2,53x indique que le marché valorise l'entreprise à environ 2,5 fois ses fonds propres comptables (68,43 Mds FCFA), soit une prime de croissance justifiée par la rentabilité élevée des capitaux propres (ROE de 18,26%). Enfin, l'EV/EBITDA de 7,2x, dans la fourchette raisonnable de 5-10x, suggère que la valeur d'entreprise reste cohérente avec la capacité opérationnelle de génération de cash-flow (EBE de 23,54 Mds FCFA), l'ensemble dessinant un profil de valorisation équilibré, ni bradé ni surévalué.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positive de +4,58%, bien que la dernière séance (J-1) se soit soldée par un repli de -1,48%, signalant une légère pression vendeuse à court terme. Le cours actuel de 8 000 FCFA se situe dans un range de trading de 1 775 FCFA, entre un plus bas de 7 100 FCFA et un plus haut de 8 875 FCFA, ce qui témoigne d'une tendance globalement haussière mais avec des oscillations notables. Les statistiques descriptives révèlent une moyenne de 8 039 FCFA légèrement supérieure à la médiane de 8 145 FCFA — écart qui, combiné à un skewness négatif de -0,522, indique une asymétrie à gauche : le cours a passé davantage de séances au-dessus de sa moyenne, mais les baisses, moins fréquentes, ont été plus amples. L'écart-type de 403 FCFA et le coefficient de variation de 5,0% traduisent une dispersion modérée autour de la moyenne, tandis que le kurtosis de -0,649 (mésokurtique) suggère une distribution proche de la normale, sans risque excessif de pics extrêmes. Avec une volatilité annualisée de 40,4%, le titre se classe dans la catégorie des valeurs à volatilité élevée (&gt;30%), ce qui implique un risque de marché non négligeable et appelle à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(8 202 FCFA) et la MM50 (8 148 FCFA) se situent toutes deux au-dessus du cours actuel (8 000 FCFA), ce qui place le titre sous ses moyennes de court et moyen terme. La MM20 étant supérieure à la MM50, la configuration reste théoriquement haussière, mais le cours évoluant en dessous des deux, la décision « Achat » fournie doit être nuancée : elle reflète davantage la structure des moyennes que la position actuelle du prix, qui signale plutôt une consolidation.</w:t>
      </w:r>
    </w:p>
    <w:p>
      <w:pPr>
        <w:spacing w:after="120" w:line="276" w:lineRule="auto"/>
      </w:pPr>
      <w:r>
        <w:t>**Bandes de Bollinger** : Le cours (8 000 FCFA) se situe dans la partie basse de la bande, entre la borne inférieure (7 652 FCFA) et la borne supérieure (8 752 FCFA), sans en approcher les extrêmes. Cette position médiane-basse, couplée à une décision « Neutre », indique l'absence de signal directionnel fort : la volatilité est contenue et le titre évolue dans un canal sans pression acheteuse ou vendeuse dominante.</w:t>
      </w:r>
    </w:p>
    <w:p>
      <w:pPr>
        <w:spacing w:after="120" w:line="276" w:lineRule="auto"/>
      </w:pPr>
      <w:r>
        <w:t>**MACD** : La valeur du MACD (-27,02) est nettement inférieure à sa ligne de signal (-4,229), générant un histogramme négatif et une décision « Vente ». Cette divergence baissière traduit un momentum négatif persistant : la dynamique de court terme s'affaiblit, et le croisement MACD sous son signal confirme que les vendeurs ont actuellement la main.</w:t>
      </w:r>
    </w:p>
    <w:p>
      <w:pPr>
        <w:spacing w:after="120" w:line="276" w:lineRule="auto"/>
      </w:pPr>
      <w:r>
        <w:t>**RSI** : À 45,885, le RSI se situe en zone neutre (30-70), sans approcher ni la zone de surachat (&gt;70) ni celle de survente (&lt;30). La décision « Neutre » est cohérente : le titre n'est ni épuisé à la hausse ni survendu, laissant la porte ouverte à une reprise comme à une poursuite de la consolidation.</w:t>
      </w:r>
    </w:p>
    <w:p>
      <w:pPr>
        <w:spacing w:after="120" w:line="276" w:lineRule="auto"/>
      </w:pPr>
      <w:r>
        <w:t>**Stochastique** : Avec un %K de 25,532 inférieur au %D de 32,908, le stochastique se situe en zone basse, proche du seuil de survente (20). La décision « Neutre » masque toutefois un signal potentiel : le %K sous le %D indique une pression baissière résiduelle, mais la proximité de la zone de survente pourrait annoncer un rebond technique à court terme.</w:t>
      </w:r>
    </w:p>
    <w:p>
      <w:pPr>
        <w:spacing w:after="120" w:line="276" w:lineRule="auto"/>
      </w:pPr>
      <w:r>
        <w:t>**Conclusion technique** : Les indicateurs techniques présentent un tableau mitigé, dominé par la prudence. Le MACD est clairement baissier, le cours évolue sous ses moyennes mobiles, et le stochastique pointe vers une faiblesse résiduelle. Toutefois, le RSI neutre et la position non extrême dans les bandes de Bollinger suggèrent l'absence de signal de vente agressif. La convergence des signaux penche vers une consolidation baissière de court terme, sans effondrement imminent, avec un possible rebond technique si le stochastique franchit la zone de survente.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 réalisé un chiffre d'affaires de 98,979 milliards FCFA pour un résultat net de 12,493 milliards FCFA, en légère baisse de 5% par rapport aux 13,11 milliards FCFA de 2024. La rentabilité reste solide avec un ROE de 18,26% (excellent, &gt;15%) et un ROA de 13,84%, tandis que la marge nette s'établit à 12,62% et la marge opérationnelle à 17,24%. La structure financière est remarquablement saine : l'autonomie financière atteint 75,79% (capitaux propres de 68,43 Mds FCFA pour un total bilan de 90,29 Mds FCFA), le ratio d'endettement est faible (24,21%), et la trésorerie nette est positive à 4,575 Mds FCFA. Sur le plan opérationnel, le BFR de 7,124 Mds FCFA reste maîtrisé, avec un délai clients de 29,60 jours (risque de trésorerie limité) et un délai fournisseurs de 31,72 jours, légèrement supérieur, ce qui est favorable à la trésorerie. La durée de stockage de 97,67 jours constitue en revanche un point de vigilance, immobilisant du capital dans les stocks (15,03 Mds FCFA).</w:t>
      </w:r>
    </w:p>
    <w:p>
      <w:pPr>
        <w:spacing w:after="120" w:line="276" w:lineRule="auto"/>
      </w:pPr>
      <w:r>
        <w:t>**Évolution et contexte sectoriel** : L'analyse des rapports trimestriels 2025 confirme une dynamique contrastée. Le T1 2025 (rapport du 31/03/2025) affichait un CA de 31,2 Mds FCFA (+63,1%) et un résultat net de 6,0 Mds FCFA (+262,9%), porté par l'explosion des prix du caoutchouc (+41,1%) et de l'huile de palmiste (+115%). Le S1 2025 (rapport du 30/06/2025) confirmait cette tendance avec un CA de 55,4 Mds FCFA (+51,9%) et un résultat net de 10,2 Mds FCFA (+151,6%). Cependant, le cumul 9M 2025 (rapport du 30/09/2025) marque un net ralentissement : CA de 75,6 Mds FCFA (+21,3%) et résultat net de 11,5 Mds FCFA (+39,5%), la direction alertant sur une concurrence accrue pour l'achat de coagulum et la baisse des cours SICOM du caoutchouc. Sur cette base, on estime que l'exercice 2025 devrait clôturer avec un résultat net autour de 12,5 Mds FCFA, en retrait de 5% sur un an, confirmant le tassement de la rentabilité au second semestre. Le rapport annuel 2024 (publié le 31/12/2024) rappelait une performance exceptionnelle (CA +20%, résultat net +149%) et une politique de dividende très généreuse (taux de distribution de 98,9%), désormais assagie avec un dividende proposé de 570 FCFA/action pour 2025 (soit un rendement de 7,1% au cours actuel), représentant 12,31 Mds FCFA sur un bénéfice de 12,49 Mds FCFA (taux de distribution de 98,5%).</w:t>
      </w:r>
    </w:p>
    <w:p>
      <w:pPr>
        <w:spacing w:after="120" w:line="276" w:lineRule="auto"/>
      </w:pPr>
      <w:r>
        <w:t>**Recommandation fondamentale** : SOGC demeure une entreprise fondamentalement solide, avec une structure financière exemplaire (autonomie financière de 75,8%, endettement quasi nul), une rentabilité des fonds propres élevée (ROE de 18,3%) et une génération de cash-flow robuste (CAF de 18,94 Mds FCFA, flux opérationnel de 22,64 Mds FCFA). Les principaux risques sont la volatilité des prix des matières premières (caoutchouc, huiles), la concurrence accrue sur l'approvisionnement en coagulum, et une politique de distribution quasi intégrale des bénéfices qui limite les capacités de réinvestissement. La valorisation (PER de 13,8x) intègre déjà une prime de qualité, mais le rendement du dividende (7,1%) reste attractif pour un investisseur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profil d'investissement contrasté. **Sur la valorisation (Partie 0)** , les ratios PER (13,8x), P/B (2,53x) et EV/EBITDA (7,2x) indiquent une valorisation modérée à légèrement premium, sans excès ni sous-évaluation manifeste. **Le comportement du cours (Partie 1)** est globalement haussier sur 100 jours (+4,58%), mais la distribution asymétrique négative (skewness de -0,522) et la volatilité élevée (40,4%) appellent à la prudence, d'autant que la dernière séance a cédé -1,48%. **Les signaux techniques (Partie 2)** sont majoritairement baissiers à court terme : MACD en zone de vente, cours sous les moyennes mobiles, stochastique en zone basse — seul le RSI neutre tempère ce tableau. **Les fondamentaux (Partie 3)** restent solides (ROE de 18,3%, autonomie financière de 75,8%, dividende de 570 FCFA/action), mais le ralentissement de la croissance au S2 2025 (résultat net +39,5% aux 9M contre +151,6% au S1) et la baisse attendue de 5% du bénéfice 2025 invitent à la vigilance. **Les prédictions IA (J+1 à J+10)** anticipent une trajectoire légèrement baissière, de 8 028 FCFA à 7 986 FCFA, confirmant la pression vendeuse de court terme sans effondrement.</w:t>
      </w:r>
    </w:p>
    <w:p>
      <w:pPr>
        <w:spacing w:after="120" w:line="276" w:lineRule="auto"/>
      </w:pPr>
      <w:r>
        <w:t>**Recommandation finale : CONSERVER.** La convergence entre une valorisation correcte, des fondamentaux solides mais en ralentissement, des signaux techniques baissiers à court terme et des prédictions IA légèrement négatives plaide pour une position attentiste. Le titre offre un rendement du dividende attractif (7,1%) qui justifie de conserver la position pour un investisseur de long terme, mais l'absence de catalyseur haussier immédiat et la pression baissière technique déconseillent un renforcement à court terme. **Niveau de confiance : Moyen** (les signaux sont divergents entre technique baissier et fondamental solide). **Niveau de risque global : Moyen à Élevé** (volatilité de 40,4%, dépendance aux prix des matières premières). **Horizon d'investissement optimal : Moyen à long terme (6 à 18 mois)** , le temps que le cycle des matières premières se stabilise et que la société démontre sa capacité à maintenir ses marges dans un environnement concurrentiel plus difficile.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205.74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4,591 titres</w:t>
            </w:r>
          </w:p>
        </w:tc>
        <w:tc>
          <w:tcPr>
            <w:tcW w:type="dxa" w:w="2268"/>
            <w:shd w:fill="FFF2CC" w:val="clear"/>
          </w:tcPr>
          <w:p>
            <w:r>
              <w:rPr>
                <w:b/>
                <w:color w:val="503200"/>
                <w:sz w:val="16"/>
              </w:rPr>
              <w:t xml:space="preserve">Cours actuel : </w:t>
            </w:r>
            <w:r>
              <w:rPr>
                <w:color w:val="000000"/>
                <w:sz w:val="17"/>
              </w:rPr>
              <w:t>8,050 FCFA</w:t>
            </w:r>
          </w:p>
          <w:p>
            <w:r>
              <w:rPr>
                <w:b/>
                <w:color w:val="503200"/>
                <w:sz w:val="16"/>
              </w:rPr>
              <w:t xml:space="preserve">Var. 100 jours : </w:t>
            </w:r>
            <w:r>
              <w:rPr>
                <w:b/>
                <w:color w:val="007800"/>
                <w:sz w:val="17"/>
              </w:rPr>
              <w:t>+9.08%</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10.27% (Moyenne) — μ=7,793 FCFA, σ=800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β=0.9947 (Neutre (suit le marché)) — Cov=0.000035, Var(idx)=0.000035, ρ=0.208,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7,538</w:t>
            </w:r>
          </w:p>
        </w:tc>
        <w:tc>
          <w:tcPr>
            <w:tcW w:type="dxa" w:w="1440"/>
            <w:shd w:fill="FAFAFA" w:val="clear"/>
          </w:tcPr>
          <w:p>
            <w:r>
              <w:rPr>
                <w:b/>
                <w:sz w:val="17"/>
              </w:rPr>
              <w:t>8,069</w:t>
            </w:r>
          </w:p>
        </w:tc>
        <w:tc>
          <w:tcPr>
            <w:tcW w:type="dxa" w:w="1440"/>
            <w:shd w:fill="FAFAFA" w:val="clear"/>
          </w:tcPr>
          <w:p>
            <w:r>
              <w:rPr>
                <w:sz w:val="17"/>
              </w:rPr>
              <w:t>8,601</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7,291</w:t>
            </w:r>
          </w:p>
        </w:tc>
        <w:tc>
          <w:tcPr>
            <w:tcW w:type="dxa" w:w="1440"/>
            <w:shd w:fill="FAFAFA" w:val="clear"/>
          </w:tcPr>
          <w:p>
            <w:r>
              <w:rPr>
                <w:b/>
                <w:sz w:val="17"/>
              </w:rPr>
              <w:t>8,041</w:t>
            </w:r>
          </w:p>
        </w:tc>
        <w:tc>
          <w:tcPr>
            <w:tcW w:type="dxa" w:w="1440"/>
            <w:shd w:fill="FAFAFA" w:val="clear"/>
          </w:tcPr>
          <w:p>
            <w:r>
              <w:rPr>
                <w:sz w:val="17"/>
              </w:rPr>
              <w:t>8,790</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7,102</w:t>
            </w:r>
          </w:p>
        </w:tc>
        <w:tc>
          <w:tcPr>
            <w:tcW w:type="dxa" w:w="1440"/>
            <w:shd w:fill="FAFAFA" w:val="clear"/>
          </w:tcPr>
          <w:p>
            <w:r>
              <w:rPr>
                <w:b/>
                <w:sz w:val="17"/>
              </w:rPr>
              <w:t>8,017</w:t>
            </w:r>
          </w:p>
        </w:tc>
        <w:tc>
          <w:tcPr>
            <w:tcW w:type="dxa" w:w="1440"/>
            <w:shd w:fill="FAFAFA" w:val="clear"/>
          </w:tcPr>
          <w:p>
            <w:r>
              <w:rPr>
                <w:sz w:val="17"/>
              </w:rPr>
              <w:t>8,932</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6,941</w:t>
            </w:r>
          </w:p>
        </w:tc>
        <w:tc>
          <w:tcPr>
            <w:tcW w:type="dxa" w:w="1440"/>
            <w:shd w:fill="FAFAFA" w:val="clear"/>
          </w:tcPr>
          <w:p>
            <w:r>
              <w:rPr>
                <w:b/>
                <w:sz w:val="17"/>
              </w:rPr>
              <w:t>7,994</w:t>
            </w:r>
          </w:p>
        </w:tc>
        <w:tc>
          <w:tcPr>
            <w:tcW w:type="dxa" w:w="1440"/>
            <w:shd w:fill="FAFAFA" w:val="clear"/>
          </w:tcPr>
          <w:p>
            <w:r>
              <w:rPr>
                <w:sz w:val="17"/>
              </w:rPr>
              <w:t>9,048</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6,797</w:t>
            </w:r>
          </w:p>
        </w:tc>
        <w:tc>
          <w:tcPr>
            <w:tcW w:type="dxa" w:w="1440"/>
            <w:shd w:fill="FAFAFA" w:val="clear"/>
          </w:tcPr>
          <w:p>
            <w:r>
              <w:rPr>
                <w:b/>
                <w:sz w:val="17"/>
              </w:rPr>
              <w:t>7,972</w:t>
            </w:r>
          </w:p>
        </w:tc>
        <w:tc>
          <w:tcPr>
            <w:tcW w:type="dxa" w:w="1440"/>
            <w:shd w:fill="FAFAFA" w:val="clear"/>
          </w:tcPr>
          <w:p>
            <w:r>
              <w:rPr>
                <w:sz w:val="17"/>
              </w:rPr>
              <w:t>9,147</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6,667</w:t>
            </w:r>
          </w:p>
        </w:tc>
        <w:tc>
          <w:tcPr>
            <w:tcW w:type="dxa" w:w="1440"/>
            <w:shd w:fill="FAFAFA" w:val="clear"/>
          </w:tcPr>
          <w:p>
            <w:r>
              <w:rPr>
                <w:b/>
                <w:sz w:val="17"/>
              </w:rPr>
              <w:t>7,950</w:t>
            </w:r>
          </w:p>
        </w:tc>
        <w:tc>
          <w:tcPr>
            <w:tcW w:type="dxa" w:w="1440"/>
            <w:shd w:fill="FAFAFA" w:val="clear"/>
          </w:tcPr>
          <w:p>
            <w:r>
              <w:rPr>
                <w:sz w:val="17"/>
              </w:rPr>
              <w:t>9,234</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6,547</w:t>
            </w:r>
          </w:p>
        </w:tc>
        <w:tc>
          <w:tcPr>
            <w:tcW w:type="dxa" w:w="1440"/>
            <w:shd w:fill="FAFAFA" w:val="clear"/>
          </w:tcPr>
          <w:p>
            <w:r>
              <w:rPr>
                <w:b/>
                <w:sz w:val="17"/>
              </w:rPr>
              <w:t>7,929</w:t>
            </w:r>
          </w:p>
        </w:tc>
        <w:tc>
          <w:tcPr>
            <w:tcW w:type="dxa" w:w="1440"/>
            <w:shd w:fill="FAFAFA" w:val="clear"/>
          </w:tcPr>
          <w:p>
            <w:r>
              <w:rPr>
                <w:sz w:val="17"/>
              </w:rPr>
              <w:t>9,312</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6,435</w:t>
            </w:r>
          </w:p>
        </w:tc>
        <w:tc>
          <w:tcPr>
            <w:tcW w:type="dxa" w:w="1440"/>
            <w:shd w:fill="FAFAFA" w:val="clear"/>
          </w:tcPr>
          <w:p>
            <w:r>
              <w:rPr>
                <w:b/>
                <w:sz w:val="17"/>
              </w:rPr>
              <w:t>7,909</w:t>
            </w:r>
          </w:p>
        </w:tc>
        <w:tc>
          <w:tcPr>
            <w:tcW w:type="dxa" w:w="1440"/>
            <w:shd w:fill="FAFAFA" w:val="clear"/>
          </w:tcPr>
          <w:p>
            <w:r>
              <w:rPr>
                <w:sz w:val="17"/>
              </w:rPr>
              <w:t>9,383</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6,330</w:t>
            </w:r>
          </w:p>
        </w:tc>
        <w:tc>
          <w:tcPr>
            <w:tcW w:type="dxa" w:w="1440"/>
            <w:shd w:fill="FAFAFA" w:val="clear"/>
          </w:tcPr>
          <w:p>
            <w:r>
              <w:rPr>
                <w:b/>
                <w:sz w:val="17"/>
              </w:rPr>
              <w:t>7,889</w:t>
            </w:r>
          </w:p>
        </w:tc>
        <w:tc>
          <w:tcPr>
            <w:tcW w:type="dxa" w:w="1440"/>
            <w:shd w:fill="FAFAFA" w:val="clear"/>
          </w:tcPr>
          <w:p>
            <w:r>
              <w:rPr>
                <w:sz w:val="17"/>
              </w:rPr>
              <w:t>9,449</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6,230</w:t>
            </w:r>
          </w:p>
        </w:tc>
        <w:tc>
          <w:tcPr>
            <w:tcW w:type="dxa" w:w="1440"/>
            <w:shd w:fill="FFDCE0" w:val="clear"/>
          </w:tcPr>
          <w:p>
            <w:r>
              <w:rPr>
                <w:b/>
                <w:sz w:val="17"/>
              </w:rPr>
              <w:t>7,870</w:t>
            </w:r>
          </w:p>
        </w:tc>
        <w:tc>
          <w:tcPr>
            <w:tcW w:type="dxa" w:w="1440"/>
            <w:shd w:fill="FFDCE0" w:val="clear"/>
          </w:tcPr>
          <w:p>
            <w:r>
              <w:rPr>
                <w:sz w:val="17"/>
              </w:rPr>
              <w:t>9,510</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205,74 milliards FCFA, SPHC s'impose comme l'une des valeurs industrielles de référence de la cote BRVM, ce qui traduit une liquidité et une visibilité institutionnelle certaines. Le BPA de 977 FCFA/action signifie que chaque titre génère près d'un millier de francs de bénéfice net, un niveau de rentabilité par action parmi les plus élevés du compartiment industriel. Le PER de 8,2x situe le titre nettement sous la moyenne du marché BRVM (généralement comprise entre 8x et 12x), ce qui suggère une potentielle sous-évaluation aux yeux du marché, d'autant que le P/B de 1,49x indique que le cours reste raisonnablement adossé à la valeur comptable (entre 1x et 2x). Enfin, l'EV/EBITDA de 5,2x, bien en deçà de la fourchette raisonnable de 5-10x, confirme que la valeur d'entreprise reste modérée au regard de la capacité opérationnelle de génération de cash. L'ensemble de ces ratios dresse donc le portrait d'une action fondamentalement bon marché, mais dont la décote pourrait refléter les inquiétudes du marché sur la cyclicité des cours du caoutchouc.</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progression totale de +9,08%, malgré un repli de -1,59% lors de la dernière séance (J-1), signe d'une dynamique haussière de fond mais d'une pression vendeuse récente. Le titre a évolué dans un range très large, entre un plus bas de 6 720 FCFA et un plus haut de 10 300 FCFA, soit une amplitude de plus de 53%, illustrant une forte nervosité du marché. Le cours actuel de 8 050 FCFA se situe donc dans la partie médiane-basse de ce range, ce qui traduit une correction après le pic. Les statistiques descriptives révèlent une moyenne de 7 793 FCFA supérieure à la médiane de 7 585 FCFA, avec un mode à 7 600 FCFA : cet écart confirme une asymétrie positive (skewness de 1,397), c'est-à-dire que la distribution comporte davantage de journées sous la moyenne, mais que les journées haussières sont plus amples. L'écart-type de 804 FCFA (CV de 10,3%) indique une dispersion modérée autour de la moyenne, tandis que le kurtosis de 1,434 (leptokurtique) signale des queues épaisses, donc un risque de pics de volatilité brutaux. Enfin, la volatilité annualisée de 44,8% classe clairement SPHC dans la catégorie des titres à volatilité élevée (&gt;30%), ce qui implique un risque de marché significatif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8 997,75 FCFA et la MM50 à 8 235,80 FCFA, toutes deux supérieures au cours actuel de 8 050 FCFA. Le cours évolue donc sous ses deux moyennes mobiles, ce qui traduit une pression baissière de court terme, mais la décision fournie est "Achat", probablement en anticipation d'un rebond technique après la correction. La configuration reste fragile tant que le cours ne réintègre pas la MM50.</w:t>
      </w:r>
    </w:p>
    <w:p>
      <w:pPr>
        <w:spacing w:after="120" w:line="276" w:lineRule="auto"/>
      </w:pPr>
      <w:r>
        <w:t>**Bandes de Bollinger** : La borne supérieure est à 10 546,68 FCFA et la borne inférieure à 7 448,82 FCFA, avec un cours actuel de 8 050 FCFA positionné dans la moitié basse du canal. La décision est "Neutre", ce qui reflète l'absence de signal directionnel fort : le titre n'est ni en survente extrême (proche de la borne basse) ni en surachat, et la volatilité reste contenue dans le canal.</w:t>
      </w:r>
    </w:p>
    <w:p>
      <w:pPr>
        <w:spacing w:after="120" w:line="276" w:lineRule="auto"/>
      </w:pPr>
      <w:r>
        <w:t>**MACD** : La valeur du MACD est de -86,796 contre un signal à 115,534, soit une divergence baissière marquée (MACD nettement sous son signal). La décision est logiquement "Vente", ce qui confirme un momentum négatif de court terme et invite à la prudence avant tout achat.</w:t>
      </w:r>
    </w:p>
    <w:p>
      <w:pPr>
        <w:spacing w:after="120" w:line="276" w:lineRule="auto"/>
      </w:pPr>
      <w:r>
        <w:t>**RSI** : À 31,599, le RSI se situe juste au-dessus du seuil de survente (30), avec une décision "Neutre". Cela signifie que le titre approche d'une zone de survente potentielle, ce qui pourrait attirer des acheteurs à contre-tendance, mais sans signal franc de retournement pour l'instant.</w:t>
      </w:r>
    </w:p>
    <w:p>
      <w:pPr>
        <w:spacing w:after="120" w:line="276" w:lineRule="auto"/>
      </w:pPr>
      <w:r>
        <w:t>**Stochastique** : Le %K est à 4,863 et le %D à 8,527, des niveaux très bas (proches de 0) qui signalent une survente prononcée. La décision est "Achat", ce qui suggère qu'un rebond technique est probable à court terme, d'autant que le %K sous le %D indique que la pression vendeuse pourrait s'essouffler.</w:t>
      </w:r>
    </w:p>
    <w:p>
      <w:pPr>
        <w:spacing w:after="120" w:line="276" w:lineRule="auto"/>
      </w:pPr>
      <w:r>
        <w:t>**Conclusion technique** : Les indicateurs sont divergents — le MACD est baissier, les moyennes mobiles sont sous le cours, mais le RSI et le stochastique signalent une survente proche d'un point de retournement. Cette configuration est typique d'une phase de correction dans une tendance haussière de fond, avec un potentiel rebond technique à court terme, mais une confirmation nécessaire par le dépassement de la MM50 (8 235 FCFA) pour valider un retournement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dressent le portrait d'une entreprise en forte croissance et solide. Le chiffre d'affaires s'élève à 340,831 milliards FCFA, en progression de +21,97% sur un an, porté par la hausse des volumes et des prix du caoutchouc. Le résultat net atteint 24,972 milliards FCFA, soit une marge nette de 7,33%, en amélioration par rapport à 2024 (6,7%). La rentabilité des fonds propres (ROE) ressort à 18,10%, un niveau excellent (&gt;15%), et le ROA à 11,06%, confirmant l'efficacité de l'utilisation des actifs. La structure financière est saine : autonomie financière de 61,08%, ratio d'endettement de 25,81%, et couverture des intérêts de 1 094,57%, ce qui traduit une capacité de remboursement confortable (0,97 an de CAF). En tant qu'entreprise agro-industrielle, les délais d'exploitation méritent attention : le délai client est de 35 jours (risque de trésorerie modéré) et la durée de stockage de 72,33 jours (immobilisation de capital notable). Le BFR de 65,389 milliards FCFA et la trésorerie nette négative de -15,413 milliards FCFA constituent des points de vigilance, même si le flux opérationnel de 37,612 milliards FCFA reste solide. Les rapports trimestriels confirment la dynamique : le rapport T3 2025 (daté du 30/09/2025) affiche un CA de 253,723 milliards FCFA (+36%) et un résultat net de 23,154 milliards FCFA (+131%), avec une marge nette de 9%. Le rapport S1 2025 (30/06/2025) montrait déjà un CA de 171,4 milliards (+51%) et un résultat net de 18,1 milliards (+449%). Cependant, le rapport T1 2026 (daté de 2026) révèle un net ralentissement : CA de 71,8 milliards (-24%), résultat net de 2,6 milliards (-78%), et marge nette réduite à 4%, pénalisé par la chute des cours mondiaux du caoutchouc et l'engorgement du port de San Pedro. Sur la base de ce T1 2026, on peut estimer que l'exercice 2026 devrait être nettement moins favorable que 2025, avec un résultat net annualisé potentiellement autour de 10-12 milliards FCFA si la tendance se maintient, soit une contraction de 50-60% par rapport à 2025. La recommandation fondamentale est donc de **conserver** avec une surveillance active : la solidité du bilan et la politique de dividende attractive (489 FCFA/action proposé, soit un rendement de 6,1% au cours actuel) soutiennent le titre, mais la dégradation récente des résultats et la volatilité des cours du caoutchouc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met en évidence une divergence notable entre la valorisation, le comportement du cours, les signaux techniques et les fondamentaux. Sur le plan de la **valorisation (Partie 0)**, les ratios PER (8,2x), P/B (1,49x) et EV/EBITDA (5,2x) indiquent une action sous-évaluée par rapport à ses pairs et à la moyenne du marché BRVM, ce qui constitue un argument haussier de long terme. Le **comportement du cours (Partie 1)** est plus mitigé : la tendance de fond est haussière (+9,08% sur 100 jours), mais la volatilité élevée (44,8%) et le kurtosis leptokurtique (1,434) signalent un risque de pics baissiers brutaux, tandis que le skewness positif (1,397) suggère que les journées haussières sont plus amples que les baissières. Les **signaux techniques (Partie 2)** sont divergents : le MACD est baissier, les moyennes mobiles sont sous le cours, mais le RSI (31,6) et le stochastique (4,9) indiquent une survente proche d'un rebond. Les **fondamentaux (Partie 3)** sont solides pour 2025 (ROE 18,1%, marge nette 7,3%, croissance du CA +22%), mais le T1 2026 montre un net ralentissement (CA -24%, résultat net -78%), ce qui assombrit les perspectives à court terme. Les **prédictions IA (J+1 à J+10)** anticipent une légère baisse du cours, de 8 069 FCFA à 7 972 FCFA, ce qui contredit les signaux de survente technique et suggère que la pression baissière pourrait persister à très court terme. Sur la base de cette synthèse, la recommandation finale est **CONSERVER**, avec un niveau de confiance **Moyen** et un risque global **Élevé** (en raison de la volatilité du titre et de la cyclicité des cours du caoutchouc). L'horizon d'investissement optimal est le **moyen terme (3-12 mois)**, en attendant une clarification sur la tendance des cours mondiaux du caoutchouc et une confirmation de la reprise des résultats trimestriels. Un passage à l'achat pourrait être envisagé si le cours réintègre la MM50 (8 235 FCFA) et si le T2 2026 confirme une stabilisation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32.73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5,942 titres</w:t>
            </w:r>
          </w:p>
        </w:tc>
        <w:tc>
          <w:tcPr>
            <w:tcW w:type="dxa" w:w="2268"/>
            <w:shd w:fill="FFF2CC" w:val="clear"/>
          </w:tcPr>
          <w:p>
            <w:r>
              <w:rPr>
                <w:b/>
                <w:color w:val="503200"/>
                <w:sz w:val="16"/>
              </w:rPr>
              <w:t xml:space="preserve">Cours actuel : </w:t>
            </w:r>
            <w:r>
              <w:rPr>
                <w:color w:val="000000"/>
                <w:sz w:val="17"/>
              </w:rPr>
              <w:t>2,435 FCFA</w:t>
            </w:r>
          </w:p>
          <w:p>
            <w:r>
              <w:rPr>
                <w:b/>
                <w:color w:val="503200"/>
                <w:sz w:val="16"/>
              </w:rPr>
              <w:t xml:space="preserve">Var. 100 jours : </w:t>
            </w:r>
            <w:r>
              <w:rPr>
                <w:b/>
                <w:color w:val="B40000"/>
                <w:sz w:val="17"/>
              </w:rPr>
              <w:t>-22.82%</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55.9%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11.53% (Moyenne) — μ=2,943 FCFA, σ=339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β=-0.7100 (Contre-cyclique) — Cov=-0.000025, Var(idx)=0.000035, ρ=-0.119,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2,319</w:t>
            </w:r>
          </w:p>
        </w:tc>
        <w:tc>
          <w:tcPr>
            <w:tcW w:type="dxa" w:w="1440"/>
            <w:shd w:fill="FAFAFA" w:val="clear"/>
          </w:tcPr>
          <w:p>
            <w:r>
              <w:rPr>
                <w:b/>
                <w:sz w:val="17"/>
              </w:rPr>
              <w:t>2,405</w:t>
            </w:r>
          </w:p>
        </w:tc>
        <w:tc>
          <w:tcPr>
            <w:tcW w:type="dxa" w:w="1440"/>
            <w:shd w:fill="FAFAFA" w:val="clear"/>
          </w:tcPr>
          <w:p>
            <w:r>
              <w:rPr>
                <w:sz w:val="17"/>
              </w:rPr>
              <w:t>2,490</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2026-09-21</w:t>
            </w:r>
          </w:p>
        </w:tc>
        <w:tc>
          <w:tcPr>
            <w:tcW w:type="dxa" w:w="1440"/>
            <w:shd w:fill="FFDCE0" w:val="clear"/>
          </w:tcPr>
          <w:p>
            <w:r>
              <w:rPr>
                <w:sz w:val="17"/>
              </w:rPr>
              <w:t>2,266</w:t>
            </w:r>
          </w:p>
        </w:tc>
        <w:tc>
          <w:tcPr>
            <w:tcW w:type="dxa" w:w="1440"/>
            <w:shd w:fill="FFDCE0" w:val="clear"/>
          </w:tcPr>
          <w:p>
            <w:r>
              <w:rPr>
                <w:b/>
                <w:sz w:val="17"/>
              </w:rPr>
              <w:t>2,386</w:t>
            </w:r>
          </w:p>
        </w:tc>
        <w:tc>
          <w:tcPr>
            <w:tcW w:type="dxa" w:w="1440"/>
            <w:shd w:fill="FFDCE0" w:val="clear"/>
          </w:tcPr>
          <w:p>
            <w:r>
              <w:rPr>
                <w:sz w:val="17"/>
              </w:rPr>
              <w:t>2,506</w:t>
            </w:r>
          </w:p>
        </w:tc>
        <w:tc>
          <w:tcPr>
            <w:tcW w:type="dxa" w:w="1440"/>
            <w:shd w:fill="FFDCE0"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2026-09-22</w:t>
            </w:r>
          </w:p>
        </w:tc>
        <w:tc>
          <w:tcPr>
            <w:tcW w:type="dxa" w:w="1440"/>
            <w:shd w:fill="FFDCE0" w:val="clear"/>
          </w:tcPr>
          <w:p>
            <w:r>
              <w:rPr>
                <w:sz w:val="17"/>
              </w:rPr>
              <w:t>2,222</w:t>
            </w:r>
          </w:p>
        </w:tc>
        <w:tc>
          <w:tcPr>
            <w:tcW w:type="dxa" w:w="1440"/>
            <w:shd w:fill="FFDCE0" w:val="clear"/>
          </w:tcPr>
          <w:p>
            <w:r>
              <w:rPr>
                <w:b/>
                <w:sz w:val="17"/>
              </w:rPr>
              <w:t>2,368</w:t>
            </w:r>
          </w:p>
        </w:tc>
        <w:tc>
          <w:tcPr>
            <w:tcW w:type="dxa" w:w="1440"/>
            <w:shd w:fill="FFDCE0" w:val="clear"/>
          </w:tcPr>
          <w:p>
            <w:r>
              <w:rPr>
                <w:sz w:val="17"/>
              </w:rPr>
              <w:t>2,514</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2,184</w:t>
            </w:r>
          </w:p>
        </w:tc>
        <w:tc>
          <w:tcPr>
            <w:tcW w:type="dxa" w:w="1440"/>
            <w:shd w:fill="FFDCE0" w:val="clear"/>
          </w:tcPr>
          <w:p>
            <w:r>
              <w:rPr>
                <w:b/>
                <w:sz w:val="17"/>
              </w:rPr>
              <w:t>2,351</w:t>
            </w:r>
          </w:p>
        </w:tc>
        <w:tc>
          <w:tcPr>
            <w:tcW w:type="dxa" w:w="1440"/>
            <w:shd w:fill="FFDCE0" w:val="clear"/>
          </w:tcPr>
          <w:p>
            <w:r>
              <w:rPr>
                <w:sz w:val="17"/>
              </w:rPr>
              <w:t>2,519</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2,151</w:t>
            </w:r>
          </w:p>
        </w:tc>
        <w:tc>
          <w:tcPr>
            <w:tcW w:type="dxa" w:w="1440"/>
            <w:shd w:fill="FFDCE0" w:val="clear"/>
          </w:tcPr>
          <w:p>
            <w:r>
              <w:rPr>
                <w:b/>
                <w:sz w:val="17"/>
              </w:rPr>
              <w:t>2,337</w:t>
            </w:r>
          </w:p>
        </w:tc>
        <w:tc>
          <w:tcPr>
            <w:tcW w:type="dxa" w:w="1440"/>
            <w:shd w:fill="FFDCE0" w:val="clear"/>
          </w:tcPr>
          <w:p>
            <w:r>
              <w:rPr>
                <w:sz w:val="17"/>
              </w:rPr>
              <w:t>2,522</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2,121</w:t>
            </w:r>
          </w:p>
        </w:tc>
        <w:tc>
          <w:tcPr>
            <w:tcW w:type="dxa" w:w="1440"/>
            <w:shd w:fill="FFDCE0" w:val="clear"/>
          </w:tcPr>
          <w:p>
            <w:r>
              <w:rPr>
                <w:b/>
                <w:sz w:val="17"/>
              </w:rPr>
              <w:t>2,323</w:t>
            </w:r>
          </w:p>
        </w:tc>
        <w:tc>
          <w:tcPr>
            <w:tcW w:type="dxa" w:w="1440"/>
            <w:shd w:fill="FFDCE0" w:val="clear"/>
          </w:tcPr>
          <w:p>
            <w:r>
              <w:rPr>
                <w:sz w:val="17"/>
              </w:rPr>
              <w:t>2,525</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2,093</w:t>
            </w:r>
          </w:p>
        </w:tc>
        <w:tc>
          <w:tcPr>
            <w:tcW w:type="dxa" w:w="1440"/>
            <w:shd w:fill="FFDCE0" w:val="clear"/>
          </w:tcPr>
          <w:p>
            <w:r>
              <w:rPr>
                <w:b/>
                <w:sz w:val="17"/>
              </w:rPr>
              <w:t>2,311</w:t>
            </w:r>
          </w:p>
        </w:tc>
        <w:tc>
          <w:tcPr>
            <w:tcW w:type="dxa" w:w="1440"/>
            <w:shd w:fill="FFDCE0" w:val="clear"/>
          </w:tcPr>
          <w:p>
            <w:r>
              <w:rPr>
                <w:sz w:val="17"/>
              </w:rPr>
              <w:t>2,528</w:t>
            </w:r>
          </w:p>
        </w:tc>
        <w:tc>
          <w:tcPr>
            <w:tcW w:type="dxa" w:w="1440"/>
            <w:shd w:fill="FFDCE0" w:val="clear"/>
          </w:tcPr>
          <w:p>
            <w:r>
              <w:rPr>
                <w:b/>
                <w:color w:val="C00000"/>
                <w:sz w:val="17"/>
              </w:rPr>
              <w:t>-5.1%</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2,068</w:t>
            </w:r>
          </w:p>
        </w:tc>
        <w:tc>
          <w:tcPr>
            <w:tcW w:type="dxa" w:w="1440"/>
            <w:shd w:fill="FFDCE0" w:val="clear"/>
          </w:tcPr>
          <w:p>
            <w:r>
              <w:rPr>
                <w:b/>
                <w:sz w:val="17"/>
              </w:rPr>
              <w:t>2,300</w:t>
            </w:r>
          </w:p>
        </w:tc>
        <w:tc>
          <w:tcPr>
            <w:tcW w:type="dxa" w:w="1440"/>
            <w:shd w:fill="FFDCE0" w:val="clear"/>
          </w:tcPr>
          <w:p>
            <w:r>
              <w:rPr>
                <w:sz w:val="17"/>
              </w:rPr>
              <w:t>2,531</w:t>
            </w:r>
          </w:p>
        </w:tc>
        <w:tc>
          <w:tcPr>
            <w:tcW w:type="dxa" w:w="1440"/>
            <w:shd w:fill="FFDCE0" w:val="clear"/>
          </w:tcPr>
          <w:p>
            <w:r>
              <w:rPr>
                <w:b/>
                <w:color w:val="C00000"/>
                <w:sz w:val="17"/>
              </w:rPr>
              <w:t>-5.6%</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2,045</w:t>
            </w:r>
          </w:p>
        </w:tc>
        <w:tc>
          <w:tcPr>
            <w:tcW w:type="dxa" w:w="1440"/>
            <w:shd w:fill="FFDCE0" w:val="clear"/>
          </w:tcPr>
          <w:p>
            <w:r>
              <w:rPr>
                <w:b/>
                <w:sz w:val="17"/>
              </w:rPr>
              <w:t>2,289</w:t>
            </w:r>
          </w:p>
        </w:tc>
        <w:tc>
          <w:tcPr>
            <w:tcW w:type="dxa" w:w="1440"/>
            <w:shd w:fill="FFDCE0" w:val="clear"/>
          </w:tcPr>
          <w:p>
            <w:r>
              <w:rPr>
                <w:sz w:val="17"/>
              </w:rPr>
              <w:t>2,533</w:t>
            </w:r>
          </w:p>
        </w:tc>
        <w:tc>
          <w:tcPr>
            <w:tcW w:type="dxa" w:w="1440"/>
            <w:shd w:fill="FFDCE0" w:val="clear"/>
          </w:tcPr>
          <w:p>
            <w:r>
              <w:rPr>
                <w:b/>
                <w:color w:val="C00000"/>
                <w:sz w:val="17"/>
              </w:rPr>
              <w:t>-6.0%</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2,023</w:t>
            </w:r>
          </w:p>
        </w:tc>
        <w:tc>
          <w:tcPr>
            <w:tcW w:type="dxa" w:w="1440"/>
            <w:shd w:fill="FFDCE0" w:val="clear"/>
          </w:tcPr>
          <w:p>
            <w:r>
              <w:rPr>
                <w:b/>
                <w:sz w:val="17"/>
              </w:rPr>
              <w:t>2,280</w:t>
            </w:r>
          </w:p>
        </w:tc>
        <w:tc>
          <w:tcPr>
            <w:tcW w:type="dxa" w:w="1440"/>
            <w:shd w:fill="FFDCE0" w:val="clear"/>
          </w:tcPr>
          <w:p>
            <w:r>
              <w:rPr>
                <w:sz w:val="17"/>
              </w:rPr>
              <w:t>2,536</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SETAO (STAC)**</w:t>
        <w:br/>
        <w:t>*Bourse Régionale des Valeurs Mobilières (BRVM) — Secteur : BTP / Études et Travaux*</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32,73 milliards FCFA, STAC se situe dans la catégorie des petites capitalisations de la BRVM, ce qui la rend vulnérable aux mouvements de faible volume et à la faible liquidité du marché. Le BPA s'établit à -7 FCFA/action, traduisant une société déficitaire qui ne génère aucune rentabilité par action pour ses porteurs. Le PER de -338,9x est mécaniquement négatif et donc non interprétable en termes de valorisation classique — il confirme simplement l'absence de bénéfices ; à titre de comparaison, le PER moyen de la BRVM se situe entre 8x et 12x, ce qui rend le titre incomparable aux valeurs rentables du marché. Le P/B de 91,74x constitue un signal d'alerte majeur : le marché valorise l'action à plus de 90 fois sa valeur comptable (capitaux propres de 356,75 M FCFA pour une capitalisation de 32,73 Mds FCFA), soit une prime spéculative extrême sans justification par les fondamentaux actuels. Le ratio EV/EBITDA n'est pas fourni, mais avec un EBE négatif de -650,13 M FCFA en 2025, il serait également négatif et non pertinent — l'ensemble de ces ratios dresse le portrait d'une valorisation déconnectée de la réalité économique de l'entreprise.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STAC a enregistré une variation totale de -22,82%, avec une dernière séance en repli de -0,61%, portant le cours actuel à 2 435 FCFA. Le range de trading est particulièrement large, avec un plus haut à 3 640 FCFA et un plus bas à 2 435 FCFA — le cours actuel se situe donc exactement sur son plus bas de période, ce qui traduit une pression vendeuse persistante et l'absence de support identifiable. La tendance générale est clairement baissière, le titre ayant perdu près d'un quart de sa valeur en trois mois seulement. Les statistiques descriptives révèlent une moyenne de 2 943 FCFA supérieure à la médiane de 2 868 FCFA, avec un mode à 3 000 FCFA : cet écart entre moyenne et médiane, combiné à un skewness positif de 0,508, indique une asymétrie positive avec davantage de journées de cotation sous la moyenne — le cours a donc passé plus de temps dans la partie basse de sa distribution. L'écart-type de 341 FCFA (CV = 11,6%) traduit une dispersion modérée en pourcentage, mais le kurtosis de -0,884 (mésokurtique) suggère une distribution proche de la normale, sans pics extrêmes fréquents — le risque de mouvements brutaux isolés est donc limité, mais la tendance baissière est régulière et structurelle. La volatilité annualisée de 55,9% classe le titre dans la catégorie des valeurs à volatilité élevée (&gt;30%), ce qui est cohérent avec une petite capitalisation en difficulté et un volume moyen quotidien faible de 5 942 titres.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(2 589 FCFA) et la MM50 (2 755,8 FCFA) se situent toutes deux au-dessus du cours actuel (2 435 FCFA), avec la MM20 en dessous de la MM50 — configuration baissière classique. Le cours évolue sous ses deux moyennes, confirmant la pression vendeuse ; la décision technique est logiquement **Vente**.</w:t>
      </w:r>
    </w:p>
    <w:p>
      <w:pPr>
        <w:spacing w:after="120" w:line="276" w:lineRule="auto"/>
      </w:pPr>
      <w:r>
        <w:t>**Bandes de Bollinger** : La borne supérieure est à 2 804,35 FCFA et la borne inférieure à 2 373,65 FCFA, avec un cours actuel de 2 435 FCFA qui se situe dans la partie basse de la bande, sans la franchir. La volatilité reste contenue dans les bandes, et la décision est **Neutre** — le titre n'est ni en survente extrême ni en surachat, mais la position basse suggère une faiblesse persistante.</w:t>
      </w:r>
    </w:p>
    <w:p>
      <w:pPr>
        <w:spacing w:after="120" w:line="276" w:lineRule="auto"/>
      </w:pPr>
      <w:r>
        <w:t>**MACD** : La valeur du MACD (-78,89) est inférieure à son signal (-73,919), confirmant une divergence baissière et un momentum négatif. Le MACD évolue en territoire négatif, ce qui renforce le signal de **Vente** — aucune inflexion haussière n'est détectée à court terme.</w:t>
      </w:r>
    </w:p>
    <w:p>
      <w:pPr>
        <w:spacing w:after="120" w:line="276" w:lineRule="auto"/>
      </w:pPr>
      <w:r>
        <w:t>**RSI** : À 39,873, le RSI se situe en zone neutre basse (entre 30 et 70), sans atteindre la zone de survente (&lt;30). La décision est **Neutre**, mais la proximité de la zone de survente indique que le potentiel de rebond technique reste limité tant que le RSI ne franchit pas 50 à la hausse.</w:t>
      </w:r>
    </w:p>
    <w:p>
      <w:pPr>
        <w:spacing w:after="120" w:line="276" w:lineRule="auto"/>
      </w:pPr>
      <w:r>
        <w:t>**Stochastique** : Les valeurs %K et %D sont toutes deux à 0,0, ce qui place le titre en zone de survente extrême. Paradoxalement, la décision technique est **Achat** — un signal de rebond technique à très court terme est possible, mais il reste fragile et isolé face à la tendance baissière globale.</w:t>
      </w:r>
    </w:p>
    <w:p>
      <w:pPr>
        <w:spacing w:after="120" w:line="276" w:lineRule="auto"/>
      </w:pPr>
      <w:r>
        <w:t>**Conclusion technique** : La convergence des signaux est majoritairement baissière (MM, MACD), avec un RSI neutre et un stochastique en survente extrême qui offre un potentiel de rebond technique limité. Le titre évolue sous ses moyennes mobiles avec un momentum négatif, et la position basse dans les bandes de Bollinger confirme la faiblesse. Seul le stochastique suggère un rebond imminent, mais celui-ci serait contre-tendance et probablement de courte durée —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STAC (exercice clos au 31 décembre 2025) révèlent une situation financière profondément dégradée : le chiffre d'affaires s'établit à 3,878 Mds FCFA, en forte croissance de +116,26% par rapport à 2024 (1,793 Md FCFA), portée par le chantier de l'aéroport d'Abidjan. Cependant, cette croissance ne se traduit pas en rentabilité : le résultat net est négatif à -96,56 M FCFA, le ROE est de -27,07% et le ROA de -1,77%, confirmant l'incapacité de l'entreprise à générer des profits malgré la reprise d'activité. La marge nette de -2,49% et la marge opérationnelle de -19,90% témoignent d'une structure de coûts inadaptée, avec un EBE négatif de -650,13 M FCFA et un résultat d'exploitation de -771,95 M FCFA. Le BFR est négatif à -930,47 M FCFA (favorable pour la trésorerie), et la trésorerie nette s'élève à 1,330 Md FCFA, mais cette position est fragile car les flux opérationnels sont négatifs à -2,212 Mds FCFA. La structure financière est très déséquilibrée : l'autonomie financière n'est que de 6,55% (capitaux propres de 356,75 M FCFA pour un total bilan de 5,447 Mds FCFA), le ratio d'endettement atteint 93,45% et la capacité de remboursement est de 77,53 années — un niveau insoutenable. Les rapports trimestriels (T3 2025, daté du 30 septembre 2025) indiquent un CA cumulé de 3 456 M FCFA (+176%) et une perte nette réduite de 22% à -477 M FCFA, avec une amélioration du résultat d'exploitation (-456 M FCFA contre -921 M FCFA un an plus tôt). Sur la base de ces tendances, on peut estimer que l'exercice 2026 devrait bénéficier de la poursuite du chantier aéroportuaire, mais la rentabilité opérationnelle reste hors de portée à court terme — la direction prévoit un CA annuel 2025 de 4 Mds FCFA, ce qui implique un ralentissement au T4. La recommandation fondamentale est **Vente** : la société est en situation de survie, dépendante d'un seul projet, avec une structure financière insoutenable et une absence de perspective de retour à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une recommandation de **VENTE FORTE**, avec un niveau de confiance **Élevé** et un risque global **Élevé**. La valorisation (Partie 0) est totalement déconnectée des fondamentaux : PER négatif, P/B de 91,74x et absence de rentabilité rendent le titre spéculatif et surévalué. Le comportement du cours (Partie 1) est baissier (-22,82% sur 100 jours), avec une volatilité élevée (55,9%) et une distribution asymétrique positivement (skewness de 0,508) qui indique une pression vendeuse persistante — le cours évolue sur son plus bas de période. Les signaux techniques (Partie 2) sont majoritairement baissiers (MM, MACD), avec un RSI neutre et un stochastique en survente extrême qui n'offre qu'un potentiel de rebond technique limité et contre-tendance. Les fondamentaux (Partie 3) sont alarmants : perte nette de -96,56 M FCFA en 2025, ROE de -27,07%, autonomie financière de 6,55% et capacité de remboursement de 77,53 années — la société est en situation de fragilité extrême. Les prédictions IA (J+1 à J+10) confirment la tendance baissière avec une trajectoire descendante de 2 405 FCFA à 2 337 FCFA, en cohérence avec les signaux techniques et fondamentaux. En conséquence, la convergence des indicateurs (valorisation, technique, fondamental, prédiction) justifie une **VENTE FORTE** — les investisseurs détenant le titre devraient liquider leur position, et les investisseurs potentiels devraient s'abstenir. L'horizon d'investissement optimal est **court terme** (&lt;3 mois) pour les spéculateurs cherchant un rebond technique, mais le risque est trop élevé pour un investissement moyen ou long terme sans preuve tangible de redressement opérationnel et financier.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3,906 titres</w:t>
            </w:r>
          </w:p>
        </w:tc>
        <w:tc>
          <w:tcPr>
            <w:tcW w:type="dxa" w:w="2268"/>
            <w:shd w:fill="FFF2CC" w:val="clear"/>
          </w:tcPr>
          <w:p>
            <w:r>
              <w:rPr>
                <w:b/>
                <w:color w:val="503200"/>
                <w:sz w:val="16"/>
              </w:rPr>
              <w:t xml:space="preserve">Cours actuel : </w:t>
            </w:r>
            <w:r>
              <w:rPr>
                <w:color w:val="000000"/>
                <w:sz w:val="17"/>
              </w:rPr>
              <w:t>21,970 FCFA</w:t>
            </w:r>
          </w:p>
          <w:p>
            <w:r>
              <w:rPr>
                <w:b/>
                <w:color w:val="503200"/>
                <w:sz w:val="16"/>
              </w:rPr>
              <w:t xml:space="preserve">Var. 100 jours : </w:t>
            </w:r>
            <w:r>
              <w:rPr>
                <w:b/>
                <w:color w:val="007800"/>
                <w:sz w:val="17"/>
              </w:rPr>
              <w:t>+5.12%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5.72% (Moyenne) — μ=22,424 FCFA, σ=1,283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β=0.2861 (Défensif) — Cov=0.000010, Var(idx)=0.000035, ρ=0.075,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20,953</w:t>
            </w:r>
          </w:p>
        </w:tc>
        <w:tc>
          <w:tcPr>
            <w:tcW w:type="dxa" w:w="1440"/>
            <w:shd w:fill="FAFAFA" w:val="clear"/>
          </w:tcPr>
          <w:p>
            <w:r>
              <w:rPr>
                <w:b/>
                <w:sz w:val="17"/>
              </w:rPr>
              <w:t>22,078</w:t>
            </w:r>
          </w:p>
        </w:tc>
        <w:tc>
          <w:tcPr>
            <w:tcW w:type="dxa" w:w="1440"/>
            <w:shd w:fill="FAFAFA" w:val="clear"/>
          </w:tcPr>
          <w:p>
            <w:r>
              <w:rPr>
                <w:sz w:val="17"/>
              </w:rPr>
              <w:t>23,203</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20,777</w:t>
            </w:r>
          </w:p>
        </w:tc>
        <w:tc>
          <w:tcPr>
            <w:tcW w:type="dxa" w:w="1440"/>
            <w:shd w:fill="FAFAFA" w:val="clear"/>
          </w:tcPr>
          <w:p>
            <w:r>
              <w:rPr>
                <w:b/>
                <w:sz w:val="17"/>
              </w:rPr>
              <w:t>22,391</w:t>
            </w:r>
          </w:p>
        </w:tc>
        <w:tc>
          <w:tcPr>
            <w:tcW w:type="dxa" w:w="1440"/>
            <w:shd w:fill="FAFAFA" w:val="clear"/>
          </w:tcPr>
          <w:p>
            <w:r>
              <w:rPr>
                <w:sz w:val="17"/>
              </w:rPr>
              <w:t>24,004</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2026-09-22</w:t>
            </w:r>
          </w:p>
        </w:tc>
        <w:tc>
          <w:tcPr>
            <w:tcW w:type="dxa" w:w="1440"/>
            <w:shd w:fill="C6EFCE" w:val="clear"/>
          </w:tcPr>
          <w:p>
            <w:r>
              <w:rPr>
                <w:sz w:val="17"/>
              </w:rPr>
              <w:t>20,789</w:t>
            </w:r>
          </w:p>
        </w:tc>
        <w:tc>
          <w:tcPr>
            <w:tcW w:type="dxa" w:w="1440"/>
            <w:shd w:fill="C6EFCE" w:val="clear"/>
          </w:tcPr>
          <w:p>
            <w:r>
              <w:rPr>
                <w:b/>
                <w:sz w:val="17"/>
              </w:rPr>
              <w:t>22,802</w:t>
            </w:r>
          </w:p>
        </w:tc>
        <w:tc>
          <w:tcPr>
            <w:tcW w:type="dxa" w:w="1440"/>
            <w:shd w:fill="C6EFCE" w:val="clear"/>
          </w:tcPr>
          <w:p>
            <w:r>
              <w:rPr>
                <w:sz w:val="17"/>
              </w:rPr>
              <w:t>24,814</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2026-09-23</w:t>
            </w:r>
          </w:p>
        </w:tc>
        <w:tc>
          <w:tcPr>
            <w:tcW w:type="dxa" w:w="1440"/>
            <w:shd w:fill="C6EFCE" w:val="clear"/>
          </w:tcPr>
          <w:p>
            <w:r>
              <w:rPr>
                <w:sz w:val="17"/>
              </w:rPr>
              <w:t>20,795</w:t>
            </w:r>
          </w:p>
        </w:tc>
        <w:tc>
          <w:tcPr>
            <w:tcW w:type="dxa" w:w="1440"/>
            <w:shd w:fill="C6EFCE" w:val="clear"/>
          </w:tcPr>
          <w:p>
            <w:r>
              <w:rPr>
                <w:b/>
                <w:sz w:val="17"/>
              </w:rPr>
              <w:t>23,154</w:t>
            </w:r>
          </w:p>
        </w:tc>
        <w:tc>
          <w:tcPr>
            <w:tcW w:type="dxa" w:w="1440"/>
            <w:shd w:fill="C6EFCE" w:val="clear"/>
          </w:tcPr>
          <w:p>
            <w:r>
              <w:rPr>
                <w:sz w:val="17"/>
              </w:rPr>
              <w:t>25,514</w:t>
            </w:r>
          </w:p>
        </w:tc>
        <w:tc>
          <w:tcPr>
            <w:tcW w:type="dxa" w:w="1440"/>
            <w:shd w:fill="C6EFCE" w:val="clear"/>
          </w:tcPr>
          <w:p>
            <w:r>
              <w:rPr>
                <w:b/>
                <w:color w:val="008000"/>
                <w:sz w:val="17"/>
              </w:rPr>
              <w:t>+5.4%</w:t>
            </w:r>
          </w:p>
        </w:tc>
      </w:tr>
      <w:tr>
        <w:tc>
          <w:tcPr>
            <w:tcW w:type="dxa" w:w="1440"/>
            <w:shd w:fill="C6EFCE" w:val="clear"/>
          </w:tcPr>
          <w:p>
            <w:r>
              <w:rPr>
                <w:sz w:val="17"/>
              </w:rPr>
              <w:t>J+5  ⭐</w:t>
            </w:r>
          </w:p>
        </w:tc>
        <w:tc>
          <w:tcPr>
            <w:tcW w:type="dxa" w:w="1440"/>
            <w:shd w:fill="C6EFCE" w:val="clear"/>
          </w:tcPr>
          <w:p>
            <w:r>
              <w:rPr>
                <w:sz w:val="17"/>
              </w:rPr>
              <w:t>2026-09-24</w:t>
            </w:r>
          </w:p>
        </w:tc>
        <w:tc>
          <w:tcPr>
            <w:tcW w:type="dxa" w:w="1440"/>
            <w:shd w:fill="C6EFCE" w:val="clear"/>
          </w:tcPr>
          <w:p>
            <w:r>
              <w:rPr>
                <w:sz w:val="17"/>
              </w:rPr>
              <w:t>20,792</w:t>
            </w:r>
          </w:p>
        </w:tc>
        <w:tc>
          <w:tcPr>
            <w:tcW w:type="dxa" w:w="1440"/>
            <w:shd w:fill="C6EFCE" w:val="clear"/>
          </w:tcPr>
          <w:p>
            <w:r>
              <w:rPr>
                <w:b/>
                <w:sz w:val="17"/>
              </w:rPr>
              <w:t>23,465</w:t>
            </w:r>
          </w:p>
        </w:tc>
        <w:tc>
          <w:tcPr>
            <w:tcW w:type="dxa" w:w="1440"/>
            <w:shd w:fill="C6EFCE" w:val="clear"/>
          </w:tcPr>
          <w:p>
            <w:r>
              <w:rPr>
                <w:sz w:val="17"/>
              </w:rPr>
              <w:t>26,139</w:t>
            </w:r>
          </w:p>
        </w:tc>
        <w:tc>
          <w:tcPr>
            <w:tcW w:type="dxa" w:w="1440"/>
            <w:shd w:fill="C6EFCE" w:val="clear"/>
          </w:tcPr>
          <w:p>
            <w:r>
              <w:rPr>
                <w:b/>
                <w:color w:val="008000"/>
                <w:sz w:val="17"/>
              </w:rPr>
              <w:t>+6.8%</w:t>
            </w:r>
          </w:p>
        </w:tc>
      </w:tr>
      <w:tr>
        <w:tc>
          <w:tcPr>
            <w:tcW w:type="dxa" w:w="1440"/>
            <w:shd w:fill="C6EFCE" w:val="clear"/>
          </w:tcPr>
          <w:p>
            <w:r>
              <w:rPr>
                <w:sz w:val="17"/>
              </w:rPr>
              <w:t>J+6  ⭐</w:t>
            </w:r>
          </w:p>
        </w:tc>
        <w:tc>
          <w:tcPr>
            <w:tcW w:type="dxa" w:w="1440"/>
            <w:shd w:fill="C6EFCE" w:val="clear"/>
          </w:tcPr>
          <w:p>
            <w:r>
              <w:rPr>
                <w:sz w:val="17"/>
              </w:rPr>
              <w:t>2026-09-25</w:t>
            </w:r>
          </w:p>
        </w:tc>
        <w:tc>
          <w:tcPr>
            <w:tcW w:type="dxa" w:w="1440"/>
            <w:shd w:fill="C6EFCE" w:val="clear"/>
          </w:tcPr>
          <w:p>
            <w:r>
              <w:rPr>
                <w:sz w:val="17"/>
              </w:rPr>
              <w:t>20,740</w:t>
            </w:r>
          </w:p>
        </w:tc>
        <w:tc>
          <w:tcPr>
            <w:tcW w:type="dxa" w:w="1440"/>
            <w:shd w:fill="C6EFCE" w:val="clear"/>
          </w:tcPr>
          <w:p>
            <w:r>
              <w:rPr>
                <w:b/>
                <w:sz w:val="17"/>
              </w:rPr>
              <w:t>23,698</w:t>
            </w:r>
          </w:p>
        </w:tc>
        <w:tc>
          <w:tcPr>
            <w:tcW w:type="dxa" w:w="1440"/>
            <w:shd w:fill="C6EFCE" w:val="clear"/>
          </w:tcPr>
          <w:p>
            <w:r>
              <w:rPr>
                <w:sz w:val="17"/>
              </w:rPr>
              <w:t>26,655</w:t>
            </w:r>
          </w:p>
        </w:tc>
        <w:tc>
          <w:tcPr>
            <w:tcW w:type="dxa" w:w="1440"/>
            <w:shd w:fill="C6EFCE" w:val="clear"/>
          </w:tcPr>
          <w:p>
            <w:r>
              <w:rPr>
                <w:b/>
                <w:color w:val="008000"/>
                <w:sz w:val="17"/>
              </w:rPr>
              <w:t>+7.9%</w:t>
            </w:r>
          </w:p>
        </w:tc>
      </w:tr>
      <w:tr>
        <w:tc>
          <w:tcPr>
            <w:tcW w:type="dxa" w:w="1440"/>
            <w:shd w:fill="C6EFCE" w:val="clear"/>
          </w:tcPr>
          <w:p>
            <w:r>
              <w:rPr>
                <w:sz w:val="17"/>
              </w:rPr>
              <w:t>J+7  ⭐</w:t>
            </w:r>
          </w:p>
        </w:tc>
        <w:tc>
          <w:tcPr>
            <w:tcW w:type="dxa" w:w="1440"/>
            <w:shd w:fill="C6EFCE" w:val="clear"/>
          </w:tcPr>
          <w:p>
            <w:r>
              <w:rPr>
                <w:sz w:val="17"/>
              </w:rPr>
              <w:t>2026-09-28</w:t>
            </w:r>
          </w:p>
        </w:tc>
        <w:tc>
          <w:tcPr>
            <w:tcW w:type="dxa" w:w="1440"/>
            <w:shd w:fill="C6EFCE" w:val="clear"/>
          </w:tcPr>
          <w:p>
            <w:r>
              <w:rPr>
                <w:sz w:val="17"/>
              </w:rPr>
              <w:t>20,696</w:t>
            </w:r>
          </w:p>
        </w:tc>
        <w:tc>
          <w:tcPr>
            <w:tcW w:type="dxa" w:w="1440"/>
            <w:shd w:fill="C6EFCE" w:val="clear"/>
          </w:tcPr>
          <w:p>
            <w:r>
              <w:rPr>
                <w:b/>
                <w:sz w:val="17"/>
              </w:rPr>
              <w:t>23,921</w:t>
            </w:r>
          </w:p>
        </w:tc>
        <w:tc>
          <w:tcPr>
            <w:tcW w:type="dxa" w:w="1440"/>
            <w:shd w:fill="C6EFCE" w:val="clear"/>
          </w:tcPr>
          <w:p>
            <w:r>
              <w:rPr>
                <w:sz w:val="17"/>
              </w:rPr>
              <w:t>27,146</w:t>
            </w:r>
          </w:p>
        </w:tc>
        <w:tc>
          <w:tcPr>
            <w:tcW w:type="dxa" w:w="1440"/>
            <w:shd w:fill="C6EFCE" w:val="clear"/>
          </w:tcPr>
          <w:p>
            <w:r>
              <w:rPr>
                <w:b/>
                <w:color w:val="008000"/>
                <w:sz w:val="17"/>
              </w:rPr>
              <w:t>+8.9%</w:t>
            </w:r>
          </w:p>
        </w:tc>
      </w:tr>
      <w:tr>
        <w:tc>
          <w:tcPr>
            <w:tcW w:type="dxa" w:w="1440"/>
            <w:shd w:fill="C6EFCE" w:val="clear"/>
          </w:tcPr>
          <w:p>
            <w:r>
              <w:rPr>
                <w:sz w:val="17"/>
              </w:rPr>
              <w:t>J+8  ⭐</w:t>
            </w:r>
          </w:p>
        </w:tc>
        <w:tc>
          <w:tcPr>
            <w:tcW w:type="dxa" w:w="1440"/>
            <w:shd w:fill="C6EFCE" w:val="clear"/>
          </w:tcPr>
          <w:p>
            <w:r>
              <w:rPr>
                <w:sz w:val="17"/>
              </w:rPr>
              <w:t>2026-09-29</w:t>
            </w:r>
          </w:p>
        </w:tc>
        <w:tc>
          <w:tcPr>
            <w:tcW w:type="dxa" w:w="1440"/>
            <w:shd w:fill="C6EFCE" w:val="clear"/>
          </w:tcPr>
          <w:p>
            <w:r>
              <w:rPr>
                <w:sz w:val="17"/>
              </w:rPr>
              <w:t>20,627</w:t>
            </w:r>
          </w:p>
        </w:tc>
        <w:tc>
          <w:tcPr>
            <w:tcW w:type="dxa" w:w="1440"/>
            <w:shd w:fill="C6EFCE" w:val="clear"/>
          </w:tcPr>
          <w:p>
            <w:r>
              <w:rPr>
                <w:b/>
                <w:sz w:val="17"/>
              </w:rPr>
              <w:t>24,100</w:t>
            </w:r>
          </w:p>
        </w:tc>
        <w:tc>
          <w:tcPr>
            <w:tcW w:type="dxa" w:w="1440"/>
            <w:shd w:fill="C6EFCE" w:val="clear"/>
          </w:tcPr>
          <w:p>
            <w:r>
              <w:rPr>
                <w:sz w:val="17"/>
              </w:rPr>
              <w:t>27,573</w:t>
            </w:r>
          </w:p>
        </w:tc>
        <w:tc>
          <w:tcPr>
            <w:tcW w:type="dxa" w:w="1440"/>
            <w:shd w:fill="C6EFCE" w:val="clear"/>
          </w:tcPr>
          <w:p>
            <w:r>
              <w:rPr>
                <w:b/>
                <w:color w:val="008000"/>
                <w:sz w:val="17"/>
              </w:rPr>
              <w:t>+9.7%</w:t>
            </w:r>
          </w:p>
        </w:tc>
      </w:tr>
      <w:tr>
        <w:tc>
          <w:tcPr>
            <w:tcW w:type="dxa" w:w="1440"/>
            <w:shd w:fill="C6EFCE" w:val="clear"/>
          </w:tcPr>
          <w:p>
            <w:r>
              <w:rPr>
                <w:sz w:val="17"/>
              </w:rPr>
              <w:t>J+9  ⭐</w:t>
            </w:r>
          </w:p>
        </w:tc>
        <w:tc>
          <w:tcPr>
            <w:tcW w:type="dxa" w:w="1440"/>
            <w:shd w:fill="C6EFCE" w:val="clear"/>
          </w:tcPr>
          <w:p>
            <w:r>
              <w:rPr>
                <w:sz w:val="17"/>
              </w:rPr>
              <w:t>2026-09-30</w:t>
            </w:r>
          </w:p>
        </w:tc>
        <w:tc>
          <w:tcPr>
            <w:tcW w:type="dxa" w:w="1440"/>
            <w:shd w:fill="C6EFCE" w:val="clear"/>
          </w:tcPr>
          <w:p>
            <w:r>
              <w:rPr>
                <w:sz w:val="17"/>
              </w:rPr>
              <w:t>20,550</w:t>
            </w:r>
          </w:p>
        </w:tc>
        <w:tc>
          <w:tcPr>
            <w:tcW w:type="dxa" w:w="1440"/>
            <w:shd w:fill="C6EFCE" w:val="clear"/>
          </w:tcPr>
          <w:p>
            <w:r>
              <w:rPr>
                <w:b/>
                <w:sz w:val="17"/>
              </w:rPr>
              <w:t>24,258</w:t>
            </w:r>
          </w:p>
        </w:tc>
        <w:tc>
          <w:tcPr>
            <w:tcW w:type="dxa" w:w="1440"/>
            <w:shd w:fill="C6EFCE" w:val="clear"/>
          </w:tcPr>
          <w:p>
            <w:r>
              <w:rPr>
                <w:sz w:val="17"/>
              </w:rPr>
              <w:t>27,967</w:t>
            </w:r>
          </w:p>
        </w:tc>
        <w:tc>
          <w:tcPr>
            <w:tcW w:type="dxa" w:w="1440"/>
            <w:shd w:fill="C6EFCE" w:val="clear"/>
          </w:tcPr>
          <w:p>
            <w:r>
              <w:rPr>
                <w:b/>
                <w:color w:val="008000"/>
                <w:sz w:val="17"/>
              </w:rPr>
              <w:t>+10.4%</w:t>
            </w:r>
          </w:p>
        </w:tc>
      </w:tr>
      <w:tr>
        <w:tc>
          <w:tcPr>
            <w:tcW w:type="dxa" w:w="1440"/>
            <w:shd w:fill="C6EFCE" w:val="clear"/>
          </w:tcPr>
          <w:p>
            <w:r>
              <w:rPr>
                <w:sz w:val="17"/>
              </w:rPr>
              <w:t>J+10  ⭐</w:t>
            </w:r>
          </w:p>
        </w:tc>
        <w:tc>
          <w:tcPr>
            <w:tcW w:type="dxa" w:w="1440"/>
            <w:shd w:fill="C6EFCE" w:val="clear"/>
          </w:tcPr>
          <w:p>
            <w:r>
              <w:rPr>
                <w:sz w:val="17"/>
              </w:rPr>
              <w:t>2026-10-01</w:t>
            </w:r>
          </w:p>
        </w:tc>
        <w:tc>
          <w:tcPr>
            <w:tcW w:type="dxa" w:w="1440"/>
            <w:shd w:fill="C6EFCE" w:val="clear"/>
          </w:tcPr>
          <w:p>
            <w:r>
              <w:rPr>
                <w:sz w:val="17"/>
              </w:rPr>
              <w:t>20,458</w:t>
            </w:r>
          </w:p>
        </w:tc>
        <w:tc>
          <w:tcPr>
            <w:tcW w:type="dxa" w:w="1440"/>
            <w:shd w:fill="C6EFCE" w:val="clear"/>
          </w:tcPr>
          <w:p>
            <w:r>
              <w:rPr>
                <w:b/>
                <w:sz w:val="17"/>
              </w:rPr>
              <w:t>24,388</w:t>
            </w:r>
          </w:p>
        </w:tc>
        <w:tc>
          <w:tcPr>
            <w:tcW w:type="dxa" w:w="1440"/>
            <w:shd w:fill="C6EFCE" w:val="clear"/>
          </w:tcPr>
          <w:p>
            <w:r>
              <w:rPr>
                <w:sz w:val="17"/>
              </w:rPr>
              <w:t>28,317</w:t>
            </w:r>
          </w:p>
        </w:tc>
        <w:tc>
          <w:tcPr>
            <w:tcW w:type="dxa" w:w="1440"/>
            <w:shd w:fill="C6EFCE" w:val="clear"/>
          </w:tcPr>
          <w:p>
            <w:r>
              <w:rPr>
                <w:b/>
                <w:color w:val="008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394,47 milliards FCFA, STBC figure parmi les valeurs les plus importantes de la cote BRVM, ce qui en fait un pilier de l'indice composite. Le BPA de 2 014 FCFA/action signifie que chaque titre génère environ 2 014 FCFA de bénéfice net, un niveau élevé qui traduit la forte rentabilité de la société. Le PER de 10,9x se situe dans la fourchette modérée de la BRVM (moyenne ~8-12x), indiquant que les investisseurs ne paient pas une prime excessive pour les bénéfices, ce qui est rassurant. En revanche, le P/B de 8,70x est très supérieur au seuil de 4x, signalant que le marché valorise l'action à plus de huit fois sa valeur comptable — une prime exigeante qui s'explique par la structure de bilan atypique de SITAB (peu d'actifs corporels, capitaux propres modestes par rapport aux bénéfices). Enfin, l'EV/EBITDA de 7,8x, dans la fourchette raisonnable de 5-10x, confirme que la valeur totale de l'entreprise reste cohérente avec sa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progressé de +5,12%, avec une variation J-1 identique de +5,12%, ce qui suggère que l'essentiel de la hausse s'est concentrée sur la dernière séance — un mouvement brutal qui mérite vigilance. Le titre a évolué dans un range de 19 705 FCFA (plus bas) à 25 000 FCFA (plus haut), soit une amplitude d'environ 27%, reflétant une tendance générale haussière mais avec des phases de correction marquées. Le cours actuel de 21 970 FCFA se situe dans la partie basse de ce range, à environ 12% sous le plus haut. Les statistiques descriptives révèlent une moyenne de 22 424 FCFA légèrement supérieure à la médiane de 22 218 FCFA, avec un mode à 21 000 FCFA, indiquant une distribution quasi-symétrique (skewness de 0,193) sans biais directionnel fort. L'écart-type de 1 289 FCFA (CV de 5,7%) traduit une dispersion modérée du cours autour de sa moyenne, tandis que le kurtosis de -0,719 (mésokurtique) suggère une distribution proche de la normale, sans risque excessif de pics extrêmes. La volatilité annualisée de 37,3% classe le titre dans la catégorie des valeurs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(22 141,25 FCFA) et la MM50 (23 002,90 FCFA) se situent toutes deux au-dessus du cours actuel (21 970 FCFA), avec la MM20 en dessous de la MM50 — une configuration baissière classique (croisement mort). Le cours évoluant sous ses deux moyennes, la pression vendeuse domine, ce qui justifie la décision technique de **Vente**.</w:t>
      </w:r>
    </w:p>
    <w:p>
      <w:pPr>
        <w:spacing w:after="120" w:line="276" w:lineRule="auto"/>
      </w:pPr>
      <w:r>
        <w:t>**Bandes de Bollinger** : Le cours (21 970 FCFA) se situe dans la partie basse de la bande, entre la borne inférieure (21 099,84 FCFA) et la borne supérieure (23 182,66 FCFA), sans franchir les extrêmes. Cette position médiane-basse, combinée à un rétrécissement des bandes, indique une volatilité contenue et une absence de signal directionnel fort, d'où la décision **Neutre**.</w:t>
      </w:r>
    </w:p>
    <w:p>
      <w:pPr>
        <w:spacing w:after="120" w:line="276" w:lineRule="auto"/>
      </w:pPr>
      <w:r>
        <w:t>**MACD** : La ligne MACD (-380,634) est légèrement en dessous de sa ligne de signal (-362,668), avec un histogramme négatif. Cette divergence baissière persistante traduit un momentum négatif, bien que l'écart reste modéré, ce qui confirme la décision de **Vente** sans signaler d'accélération baissière imminente.</w:t>
      </w:r>
    </w:p>
    <w:p>
      <w:pPr>
        <w:spacing w:after="120" w:line="276" w:lineRule="auto"/>
      </w:pPr>
      <w:r>
        <w:t>**RSI** : À 44,737, le RSI se situe dans la zone neutre (30-70), sans approcher ni la zone de surachat (&gt;70) ni celle de survente (&lt;30). Cette position médiane indique un équilibre entre acheteurs et vendeurs, justifiant la décision **Neutre** et l'absence de signal de retournement.</w:t>
      </w:r>
    </w:p>
    <w:p>
      <w:pPr>
        <w:spacing w:after="120" w:line="276" w:lineRule="auto"/>
      </w:pPr>
      <w:r>
        <w:t>**Stochastique** : Le %K (66,875) est nettement supérieur au %D (22,292), avec un croisement haussier récent. Cette configuration suggère un début de rebond à court terme, mais la position du %K sous la zone de surachat (80) et la faiblesse du %D incitent à la prudence, d'où la décision **Neutre**.</w:t>
      </w:r>
    </w:p>
    <w:p>
      <w:pPr>
        <w:spacing w:after="120" w:line="276" w:lineRule="auto"/>
      </w:pPr>
      <w:r>
        <w:t>**Conclusion technique** : Les indicateurs techniques sont majoritairement baissiers (MM, MACD) ou neutres (Bollinger, RSI, Stochastique), avec un cours sous ses moyennes mobiles et un momentum négatif. Le signal haussier du stochastique reste isolé et fragile. La configuration globale plaide pour une **prudence à court terme**, avec un potentiel de rebond technique limité tant que le cours ne repasse pas au-dessus de la MM20 (22 141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SITAB a réalisé un chiffre d'affaires de 268,537 milliards FCFA, en croissance de +25,3% par rapport à 2024, portée par une hausse des volumes (+5,6%) et un effet prix favorable. Le résultat net s'établit à 36,158 milliards FCFA, en baisse de -17,5% sur un an, sous l'effet de la hausse des droits d'accises (de 49% à 70%) et d'un contrôle fiscal. La marge nette recule à 13,46% (contre 20,4% en 2024), tandis que le ROE reste exceptionnel à 79,75% et le ROA à 48,09%, témoignant d'une rentabilité intrinsèque très élevée. En tant qu'entreprise de distribution, les délais clients sont de 42,57 jours (risque de trésorerie modéré) et la durée de stockage de 5,73 jours (rotation rapide). Le BFR est de 5,639 milliards FCFA, le fonds de roulement de 36,403 milliards FCFA et la trésorerie nette de 30,763 milliards FCFA — une situation financière très solide, sans endettement financier significatif (dettes financières totales de seulement 1,4 million FCFA). L'autonomie financière de 60,3% et la liquidité générale de 225% confirment la robustesse du bilan.</w:t>
      </w:r>
    </w:p>
    <w:p>
      <w:pPr>
        <w:spacing w:after="120" w:line="276" w:lineRule="auto"/>
      </w:pPr>
      <w:r>
        <w:t>**Estimations basées sur les rapports trimestriels** : Le rapport T1 2026 (publié en 2026) indique un CA de 68,8 milliards FCFA (+12%) et un résultat net de 9,3 milliards FCFA (-1%), avec des volumes en hausse de +10% — un redressement commercial après la contraction de 2025. Le rapport T2 2026 (publié en 2026) confirme cette dynamique avec un CA de 70,05 milliards FCFA (+1%) et un résultat net de 8,64 milliards FCFA (-0,2%), la marge nette se maintenant à 12,3%. Sur la base de ces deux trimestres, on estime que l'exercice 2026 devrait afficher un CA annuel d'environ 275-280 milliards FCFA (+3-5%) et un résultat net de l'ordre de 35-37 milliards FCFA, soit une stabilisation après la correction de 2025. Le rapport annuel 2025 (publié en 2026) confirme un dividende proposé de 1 940 FCFA/action, offrant un rendement attractif d'environ 8,8% au cours actuel de 21 970 FCFA. La politique de distribution reste généreuse (taux de distribution de 84,9% en 2025), mais la trésorerie élevée (30,8 milliards FCFA) et l'absence de dette financière permettent de la soutenir à moyen terme.</w:t>
      </w:r>
    </w:p>
    <w:p>
      <w:pPr>
        <w:spacing w:after="120" w:line="276" w:lineRule="auto"/>
      </w:pPr>
      <w:r>
        <w:t>**Recommandation fondamentale** : SITAB présente une solidité financière remarquable (zéro dette, trésorerie abondante, ROE exceptionnel) et une dynamique commerciale retrouvée en 2026. Cependant, la pression fiscale et réglementaire sur le secteur du tabac constitue un risque structurel majeur, et la dégradation des marges en 2025 appelle à la vigilance. La valorisation (PER de 10,9x) reste raisonnable pour une valeur de rendement. **Recommandation : CONSERVER**, avec un biais positif si les marges se stabilisent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(Partie 0) apparaît globalement raisonnable : le PER de 10,9x est dans la moyenne BRVM, l'EV/EBITDA de 7,8x est correct, mais le P/B de 8,70x traduit une prime exigeante qui reflète la structure atypique du bilan. Le comportement du cours (Partie 1) montre une tendance haussière sur 100 jours (+5,12%) mais avec une volatilité élevée (37,3%) et une distribution quasi-normale (kurtosis -0,719, skewness 0,193), sans biais directionnel fort. Les signaux techniques (Partie 2) sont majoritairement baissiers ou neutres : cours sous les MM20 et MM50, MACD négatif, RSI neutre, seul le stochastique suggère un rebond fragile — la convergence des indicateurs plaide pour une prudence à court terme. Les fondamentaux (Partie 3) restent solides : CA en croissance, ROE de 79,75%, trésorerie de 30,8 milliards FCFA, absence de dette, dividende attractif de 1 940 FCFA (rendement ~8,8%), mais la baisse du résultat net en 2025 (-17,5%) et la pression fiscale constituent des risques. Les prédictions IA (J+1 à J+10) anticipent une trajectoire haussière vers 23 465 FCFA (+6,8% en 10 jours), ce qui contredit les signaux techniques baissiers et suggère un possible rebond à court terme. **Synthèse globale** : La convergence entre valorisation raisonnable, fondamentaux solides et prédictions haussières est tempérée par des signaux techniques baissiers et un risque réglementaire élevé. **Recommandation finale : CONSERVER**, avec un niveau de confiance **Moyen** et un risque global **Moyen**. L'horizon d'investissement optimal est le **moyen terme (3-12 mois)**, en attendant la confirmation de la stabilisation des marges en 2026 et l'approbation du dividende lors de l'AG du 15 juillet 2026. Un renforcement de la position (ACHAT) serait justifié si le cours repasse durablement au-dessus de la MM50 (23 002 FCFA) et si les résultats du S1 2026 confirment l'amélioration des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205.88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7,259 titres</w:t>
            </w:r>
          </w:p>
        </w:tc>
        <w:tc>
          <w:tcPr>
            <w:tcW w:type="dxa" w:w="2268"/>
            <w:shd w:fill="FFF2CC" w:val="clear"/>
          </w:tcPr>
          <w:p>
            <w:r>
              <w:rPr>
                <w:b/>
                <w:color w:val="503200"/>
                <w:sz w:val="16"/>
              </w:rPr>
              <w:t xml:space="preserve">Cours actuel : </w:t>
            </w:r>
            <w:r>
              <w:rPr>
                <w:color w:val="000000"/>
                <w:sz w:val="17"/>
              </w:rPr>
              <w:t>3,270 FCFA</w:t>
            </w:r>
          </w:p>
          <w:p>
            <w:r>
              <w:rPr>
                <w:b/>
                <w:color w:val="503200"/>
                <w:sz w:val="16"/>
              </w:rPr>
              <w:t xml:space="preserve">Var. 100 jours : </w:t>
            </w:r>
            <w:r>
              <w:rPr>
                <w:b/>
                <w:color w:val="007800"/>
                <w:sz w:val="17"/>
              </w:rPr>
              <w:t>+21.11%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6.99% (Moyenne) — μ=2,983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β=-0.4458 (Contre-cyclique) — Cov=-0.000016, Var(idx)=0.000035, ρ=-0.103,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7,259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3,081</w:t>
            </w:r>
          </w:p>
        </w:tc>
        <w:tc>
          <w:tcPr>
            <w:tcW w:type="dxa" w:w="1440"/>
            <w:shd w:fill="FAFAFA" w:val="clear"/>
          </w:tcPr>
          <w:p>
            <w:r>
              <w:rPr>
                <w:b/>
                <w:sz w:val="17"/>
              </w:rPr>
              <w:t>3,230</w:t>
            </w:r>
          </w:p>
        </w:tc>
        <w:tc>
          <w:tcPr>
            <w:tcW w:type="dxa" w:w="1440"/>
            <w:shd w:fill="FAFAFA" w:val="clear"/>
          </w:tcPr>
          <w:p>
            <w:r>
              <w:rPr>
                <w:sz w:val="17"/>
              </w:rPr>
              <w:t>3,380</w:t>
            </w:r>
          </w:p>
        </w:tc>
        <w:tc>
          <w:tcPr>
            <w:tcW w:type="dxa" w:w="1440"/>
            <w:shd w:fill="FAFAFA" w:val="clear"/>
          </w:tcPr>
          <w:p>
            <w:r>
              <w:rPr>
                <w:b/>
                <w:color w:val="C00000"/>
                <w:sz w:val="17"/>
              </w:rPr>
              <w:t>-1.2%</w:t>
            </w:r>
          </w:p>
        </w:tc>
      </w:tr>
      <w:tr>
        <w:tc>
          <w:tcPr>
            <w:tcW w:type="dxa" w:w="1440"/>
            <w:shd w:fill="FFDCE0" w:val="clear"/>
          </w:tcPr>
          <w:p>
            <w:r>
              <w:rPr>
                <w:sz w:val="17"/>
              </w:rPr>
              <w:t>J+2  ⭐</w:t>
            </w:r>
          </w:p>
        </w:tc>
        <w:tc>
          <w:tcPr>
            <w:tcW w:type="dxa" w:w="1440"/>
            <w:shd w:fill="FFDCE0" w:val="clear"/>
          </w:tcPr>
          <w:p>
            <w:r>
              <w:rPr>
                <w:sz w:val="17"/>
              </w:rPr>
              <w:t>2026-09-21</w:t>
            </w:r>
          </w:p>
        </w:tc>
        <w:tc>
          <w:tcPr>
            <w:tcW w:type="dxa" w:w="1440"/>
            <w:shd w:fill="FFDCE0" w:val="clear"/>
          </w:tcPr>
          <w:p>
            <w:r>
              <w:rPr>
                <w:sz w:val="17"/>
              </w:rPr>
              <w:t>2,985</w:t>
            </w:r>
          </w:p>
        </w:tc>
        <w:tc>
          <w:tcPr>
            <w:tcW w:type="dxa" w:w="1440"/>
            <w:shd w:fill="FFDCE0" w:val="clear"/>
          </w:tcPr>
          <w:p>
            <w:r>
              <w:rPr>
                <w:b/>
                <w:sz w:val="17"/>
              </w:rPr>
              <w:t>3,194</w:t>
            </w:r>
          </w:p>
        </w:tc>
        <w:tc>
          <w:tcPr>
            <w:tcW w:type="dxa" w:w="1440"/>
            <w:shd w:fill="FFDCE0" w:val="clear"/>
          </w:tcPr>
          <w:p>
            <w:r>
              <w:rPr>
                <w:sz w:val="17"/>
              </w:rPr>
              <w:t>3,402</w:t>
            </w:r>
          </w:p>
        </w:tc>
        <w:tc>
          <w:tcPr>
            <w:tcW w:type="dxa" w:w="1440"/>
            <w:shd w:fill="FFDCE0" w:val="clear"/>
          </w:tcPr>
          <w:p>
            <w:r>
              <w:rPr>
                <w:b/>
                <w:color w:val="C00000"/>
                <w:sz w:val="17"/>
              </w:rPr>
              <w:t>-2.3%</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2,907</w:t>
            </w:r>
          </w:p>
        </w:tc>
        <w:tc>
          <w:tcPr>
            <w:tcW w:type="dxa" w:w="1440"/>
            <w:shd w:fill="FFDCE0" w:val="clear"/>
          </w:tcPr>
          <w:p>
            <w:r>
              <w:rPr>
                <w:b/>
                <w:sz w:val="17"/>
              </w:rPr>
              <w:t>3,159</w:t>
            </w:r>
          </w:p>
        </w:tc>
        <w:tc>
          <w:tcPr>
            <w:tcW w:type="dxa" w:w="1440"/>
            <w:shd w:fill="FFDCE0" w:val="clear"/>
          </w:tcPr>
          <w:p>
            <w:r>
              <w:rPr>
                <w:sz w:val="17"/>
              </w:rPr>
              <w:t>3,412</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2,839</w:t>
            </w:r>
          </w:p>
        </w:tc>
        <w:tc>
          <w:tcPr>
            <w:tcW w:type="dxa" w:w="1440"/>
            <w:shd w:fill="FFDCE0" w:val="clear"/>
          </w:tcPr>
          <w:p>
            <w:r>
              <w:rPr>
                <w:b/>
                <w:sz w:val="17"/>
              </w:rPr>
              <w:t>3,128</w:t>
            </w:r>
          </w:p>
        </w:tc>
        <w:tc>
          <w:tcPr>
            <w:tcW w:type="dxa" w:w="1440"/>
            <w:shd w:fill="FFDCE0" w:val="clear"/>
          </w:tcPr>
          <w:p>
            <w:r>
              <w:rPr>
                <w:sz w:val="17"/>
              </w:rPr>
              <w:t>3,417</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2,779</w:t>
            </w:r>
          </w:p>
        </w:tc>
        <w:tc>
          <w:tcPr>
            <w:tcW w:type="dxa" w:w="1440"/>
            <w:shd w:fill="FFDCE0" w:val="clear"/>
          </w:tcPr>
          <w:p>
            <w:r>
              <w:rPr>
                <w:b/>
                <w:sz w:val="17"/>
              </w:rPr>
              <w:t>3,099</w:t>
            </w:r>
          </w:p>
        </w:tc>
        <w:tc>
          <w:tcPr>
            <w:tcW w:type="dxa" w:w="1440"/>
            <w:shd w:fill="FFDCE0" w:val="clear"/>
          </w:tcPr>
          <w:p>
            <w:r>
              <w:rPr>
                <w:sz w:val="17"/>
              </w:rPr>
              <w:t>3,419</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2,724</w:t>
            </w:r>
          </w:p>
        </w:tc>
        <w:tc>
          <w:tcPr>
            <w:tcW w:type="dxa" w:w="1440"/>
            <w:shd w:fill="FFDCE0" w:val="clear"/>
          </w:tcPr>
          <w:p>
            <w:r>
              <w:rPr>
                <w:b/>
                <w:sz w:val="17"/>
              </w:rPr>
              <w:t>3,072</w:t>
            </w:r>
          </w:p>
        </w:tc>
        <w:tc>
          <w:tcPr>
            <w:tcW w:type="dxa" w:w="1440"/>
            <w:shd w:fill="FFDCE0" w:val="clear"/>
          </w:tcPr>
          <w:p>
            <w:r>
              <w:rPr>
                <w:sz w:val="17"/>
              </w:rPr>
              <w:t>3,419</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2,673</w:t>
            </w:r>
          </w:p>
        </w:tc>
        <w:tc>
          <w:tcPr>
            <w:tcW w:type="dxa" w:w="1440"/>
            <w:shd w:fill="FFDCE0" w:val="clear"/>
          </w:tcPr>
          <w:p>
            <w:r>
              <w:rPr>
                <w:b/>
                <w:sz w:val="17"/>
              </w:rPr>
              <w:t>3,045</w:t>
            </w:r>
          </w:p>
        </w:tc>
        <w:tc>
          <w:tcPr>
            <w:tcW w:type="dxa" w:w="1440"/>
            <w:shd w:fill="FFDCE0" w:val="clear"/>
          </w:tcPr>
          <w:p>
            <w:r>
              <w:rPr>
                <w:sz w:val="17"/>
              </w:rPr>
              <w:t>3,417</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2,626</w:t>
            </w:r>
          </w:p>
        </w:tc>
        <w:tc>
          <w:tcPr>
            <w:tcW w:type="dxa" w:w="1440"/>
            <w:shd w:fill="FFDCE0" w:val="clear"/>
          </w:tcPr>
          <w:p>
            <w:r>
              <w:rPr>
                <w:b/>
                <w:sz w:val="17"/>
              </w:rPr>
              <w:t>3,020</w:t>
            </w:r>
          </w:p>
        </w:tc>
        <w:tc>
          <w:tcPr>
            <w:tcW w:type="dxa" w:w="1440"/>
            <w:shd w:fill="FFDCE0" w:val="clear"/>
          </w:tcPr>
          <w:p>
            <w:r>
              <w:rPr>
                <w:sz w:val="17"/>
              </w:rPr>
              <w:t>3,415</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2,581</w:t>
            </w:r>
          </w:p>
        </w:tc>
        <w:tc>
          <w:tcPr>
            <w:tcW w:type="dxa" w:w="1440"/>
            <w:shd w:fill="FFDCE0" w:val="clear"/>
          </w:tcPr>
          <w:p>
            <w:r>
              <w:rPr>
                <w:b/>
                <w:sz w:val="17"/>
              </w:rPr>
              <w:t>2,996</w:t>
            </w:r>
          </w:p>
        </w:tc>
        <w:tc>
          <w:tcPr>
            <w:tcW w:type="dxa" w:w="1440"/>
            <w:shd w:fill="FFDCE0" w:val="clear"/>
          </w:tcPr>
          <w:p>
            <w:r>
              <w:rPr>
                <w:sz w:val="17"/>
              </w:rPr>
              <w:t>3,411</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2,539</w:t>
            </w:r>
          </w:p>
        </w:tc>
        <w:tc>
          <w:tcPr>
            <w:tcW w:type="dxa" w:w="1440"/>
            <w:shd w:fill="FFDCE0" w:val="clear"/>
          </w:tcPr>
          <w:p>
            <w:r>
              <w:rPr>
                <w:b/>
                <w:sz w:val="17"/>
              </w:rPr>
              <w:t>2,973</w:t>
            </w:r>
          </w:p>
        </w:tc>
        <w:tc>
          <w:tcPr>
            <w:tcW w:type="dxa" w:w="1440"/>
            <w:shd w:fill="FFDCE0" w:val="clear"/>
          </w:tcPr>
          <w:p>
            <w:r>
              <w:rPr>
                <w:sz w:val="17"/>
              </w:rPr>
              <w:t>3,407</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205,88 milliards FCFA, TTLC figure parmi les valeurs les plus capitalisées de la BRVM, ce qui en fait un pilier de l'indice BRVM-30 et un titre de référence pour les investisseurs institutionnels régionaux. Le BPA de 144 FCFA/action signifie que chaque titre génère 144 FCFA de bénéfice net, mais le PER de 22,7x traduit un prix payé très supérieur à la moyenne du marché (8-12x), signalant soit une anticipation de croissance soutenue, soit une surévaluation relative. Le P/B de 5,69x confirme cette prime exigeante : le marché valorise l'entreprise à près de 6 fois sa valeur comptable, ce qui n'est justifiable que par la qualité de la franchise, la solidité du réseau (182 stations) et la régularité des dividendes. Enfin, l'EV/EBITDA de 11,7x, dans la fourchette haute (10-15x), indique que la valeur totale de l'entreprise (dette incluse) représente près de 12 fois sa capacité opérationnelle, une valorisation tendue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remarquable de **+21,11%**, portant le cours à 3 270 FCFA, malgré un léger repli de -0,46% lors de la dernière séance. Le range de trading s'étend de 2 700 FCFA (plus bas) à 3 595 FCFA (plus haut), soit une amplitude de près de 33%, témoignant d'une tendance nettement haussière mais ponctuée de corrections. La moyenne (2 983 FCFA) se situe au-dessus de la médiane (2 905 FCFA) et du mode (2 900 FCFA), confirmant une asymétrie positive : les journées de forte hausse tirent la moyenne vers le haut, tandis que la majorité des séances se concentrent autour de 2 900 FCFA. L'écart-type de 209 FCFA (CV = 7,0%) indique une dispersion modérée du cours autour de sa moyenne, mais la volatilité annualisée de **40,5%** classe le titre dans la catégorie des valeurs à volatilité élevée (&gt;30%), ce qui est cohérent avec un marché frontière comme la BRVM. Le kurtosis de -0,146 (mésokurtique) suggère une distribution proche de la normale, sans risque excessif de pics extrêmes, tandis que le skewness de +0,937 (asymétrie positive) révèle que les journées sous la moyenne sont plus fréquentes, mais que les hausses, lorsqu'elles surviennent, sont plus amples — un profil favorable aux investisseurs patients.</w:t>
      </w:r>
    </w:p>
    <w:p>
      <w:pPr>
        <w:spacing w:after="120" w:line="276" w:lineRule="auto"/>
      </w:pPr>
      <w:r>
        <w:t>---</w:t>
      </w:r>
    </w:p>
    <w:p>
      <w:pPr>
        <w:spacing w:after="120" w:line="276" w:lineRule="auto"/>
      </w:pPr>
      <w:r>
        <w:t>## PARTIE 2 : ANALYSE TECHNIQUE DÉTAILLÉE</w:t>
      </w:r>
    </w:p>
    <w:p>
      <w:pPr>
        <w:spacing w:after="120" w:line="276" w:lineRule="auto"/>
      </w:pPr>
      <w:r>
        <w:t>**Moyennes Mobiles** : La MM20 (3 338,25 FCFA) et la MM50 (3 116,20 FCFA) encadrent le cours actuel (3 270 FCFA) de part et d'autre : le prix évolue sous sa moyenne court terme mais au-dessus de sa moyenne moyen terme. Cette configuration signale un essoufflement de la dynamique haussière à court terme, mais la décision technique reste **Achat** car la MM50 continue de soutenir la tendance de fond.</w:t>
      </w:r>
    </w:p>
    <w:p>
      <w:pPr>
        <w:spacing w:after="120" w:line="276" w:lineRule="auto"/>
      </w:pPr>
      <w:r>
        <w:t>**Bandes de Bollinger** : Le cours (3 270 FCFA) se situe dans la partie basse du canal (borne inférieure 3 160,57 FCFA ; borne supérieure 3 515,93 FCFA), à environ 30% de la largeur totale. La décision est **Neutre** : le titre n'est ni en survente ni en surachat, et la volatilité reste contenue dans les bandes, sans signal de breakout imminent.</w:t>
      </w:r>
    </w:p>
    <w:p>
      <w:pPr>
        <w:spacing w:after="120" w:line="276" w:lineRule="auto"/>
      </w:pPr>
      <w:r>
        <w:t>**MACD** : La valeur du MACD (36,787) est nettement inférieure à son signal (59,347), générant une décision de **Vente**. Cette divergence baissière indique un essoufflement du momentum haussier et un possible retournement à court terme, bien que la ligne MACD reste positive, ce qui tempère la portée du signal.</w:t>
      </w:r>
    </w:p>
    <w:p>
      <w:pPr>
        <w:spacing w:after="120" w:line="276" w:lineRule="auto"/>
      </w:pPr>
      <w:r>
        <w:t>**RSI** : À 36,458, le RSI se situe dans la zone neutre basse (30-70), sans atteindre la survente (&lt;30). La décision est **Neutre** : le titre n'est pas encore survendu, mais la pression vendeuse récente est palpable et une poursuite de la correction ne peut être exclue.</w:t>
      </w:r>
    </w:p>
    <w:p>
      <w:pPr>
        <w:spacing w:after="120" w:line="276" w:lineRule="auto"/>
      </w:pPr>
      <w:r>
        <w:t>**Stochastique** : Le %K (35,897) est légèrement inférieur au %D (39,311), sans croisement franc, et les deux oscillateurs évoluent en zone basse. La décision est **Neutre**, confirmant l'absence de signal directionnel clair à court terme.</w:t>
      </w:r>
    </w:p>
    <w:p>
      <w:pPr>
        <w:spacing w:after="120" w:line="276" w:lineRule="auto"/>
      </w:pPr>
      <w:r>
        <w:t>**Conclusion technique** : Les indicateurs sont majoritairement neutres (Bollinger, RSI, Stochastique) avec un signal de vente sur le MACD et un signal d'achat sur les MM. Cette divergence traduit une phase de consolidation après la forte hausse de +21% sur 100 jours. Le titre pourrait tester le support des 3 160 FCFA (borne inférieure de Bollinger) avant de reprendre sa tendance haussière, à condition que la MM50 (3 116 FCFA) tienne.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**588,709 milliards FCFA**, en repli de -5,21% par rapport à 2024 (621,0 milliards), dans un contexte de baisse des ventes hors réseau. Le résultat net s'établit à **9,087 milliards FCFA** (contre 9,374 milliards en 2024, soit -3%), avec une marge nette de 1,54% (en légère amélioration de +0,03 point). La rentabilité des fonds propres (ROE) reste excellente à **25,10%**, bien supérieure au seuil de 15%, et le ROA de 4,82% confirme une bonne efficacité dans l'utilisation des actifs. La valeur ajoutée progresse de +7% à 29,553 milliards FCFA et l'EBE de +12% à 22,347 milliards, signe d'une meilleure maîtrise des coûts d'approvisionnement et d'un mix produit plus favorable. Le BFR est négatif (-9,662 milliards FCFA), ce qui est favorable pour une entreprise de distribution, mais la trésorerie nette est négative (-21,926 milliards FCFA) et le ratio d'endettement atteint 90,23%, avec une autonomie financière faible (19,21%). Le délai fournisseurs de 49,72 jours et la durée de stockage de 13,80 jours reflètent une gestion efficace du besoin en fonds de roulement.</w:t>
      </w:r>
    </w:p>
    <w:p>
      <w:pPr>
        <w:spacing w:after="120" w:line="276" w:lineRule="auto"/>
      </w:pPr>
      <w:r>
        <w:t>**Estimations basées sur les rapports trimestriels** : Le rapport du **T1 2026** (publié en 2026) fait état d'un chiffre d'affaires de 154,392 milliards FCFA (+4,3%) et d'un résultat net de 2,329 milliards FCFA (+5,5%), marquant un retour à la croissance après le repli de 2025. Sur cette base, on peut estimer que l'exercice 2026 devrait renouer avec une progression modérée du CA (autour de +3-5%) et une stabilisation du résultat net autour de 9,5-10 milliards FCFA, soutenue par l'ouverture de 8 nouvelles stations et la diversification vers le GPL et les lubrifiants. Le rapport annuel 2025 (publié en 2026) confirme un dividende brut de 10 milliards FCFA, soit un taux de distribution supérieur à 100% du résultat net, ce qui traduit une politique généreuse mais questionne la soutenabilité à long terme compte tenu de la trésorerie nette négative. Les rapports antérieurs (S1 2025, T3 2025) montrent une érosion de la rentabilité (-30% au T3 2025) due à l'absence de ventes exceptionnelles et à une charge fiscale anticipée plus lourde, mais le T1 2026 semble marquer une inflexion positive.</w:t>
      </w:r>
    </w:p>
    <w:p>
      <w:pPr>
        <w:spacing w:after="120" w:line="276" w:lineRule="auto"/>
      </w:pPr>
      <w:r>
        <w:t>**Recommandation fondamentale** : TTLC présente une solidité opérationnelle indéniable (ROE &gt;25%, EBE en hausse, leader du marché ivoirien avec 182 stations) mais des fragilités financières (trésorerie nette négative, endettement élevé, payout &gt;100%). La dynamique du T1 2026 est encourageante et pourrait soutenir le titre à moyen terme, mais la valorisation exigeante (PER 22,7x) intègre déjà une bonne partie de ces perspectives. Recommandation : **CONSERVER**, avec une surveillance accrue de la trésorerie et de la soutenabilité du dividende.</w:t>
      </w:r>
    </w:p>
    <w:p>
      <w:pPr>
        <w:spacing w:after="120" w:line="276" w:lineRule="auto"/>
      </w:pPr>
      <w:r>
        <w:t>---</w:t>
      </w:r>
    </w:p>
    <w:p>
      <w:pPr>
        <w:spacing w:after="120" w:line="276" w:lineRule="auto"/>
      </w:pPr>
      <w:r>
        <w:t>## PARTIE 4 : CONCLUSION D'INVESTISSEMENT</w:t>
      </w:r>
    </w:p>
    <w:p>
      <w:pPr>
        <w:spacing w:after="120" w:line="276" w:lineRule="auto"/>
      </w:pPr>
      <w:r>
        <w:t>La valorisation de TTLC (PER 22,7x, P/B 5,69x, EV/EBITDA 11,7x) est nettement supérieure aux moyennes du marché BRVM, ce qui suggère une **surévaluation relative** ou, à tout le moins, une prime de qualité déjà bien intégrée dans les cours. Le comportement du cours sur 100 jours est haussier (+21,11%) avec une volatilité élevée (40,5%) et une asymétrie positive (skewness +0,937), ce qui est favorable aux investisseurs de long terme, mais la récente correction (-0,46% en J-1) et le signal de vente du MACD appellent à la prudence à court terme. Les indicateurs techniques sont divergents : les MM donnent un signal d'achat, mais le MACD est baissier, tandis que le RSI et le Stochastique restent neutres — une configuration qui plaide pour une **consolidation** avant une reprise éventuelle. Les fondamentaux sont solides (ROE 25,10%, EBE +12%, leader du marché) mais entachés par une trésorerie nette négative (-21,926 milliards FCFA) et un payout &gt;100%, ce qui limite la marge de manœuvre. Les prédictions IA pour les 10 prochains jours (3 230 → 3 099 FCFA) confirment une **poursuite de la correction baissière** à court terme, en ligne avec le signal du MACD, mais cette baisse pourrait constituer une opportunité d'entrée pour les investisseurs de long terme. Sur la base de cette synthèse, la recommandation finale est **CONSERVER** : le titre offre une qualité fondamentale indéniable et un dividende attractif, mais la valorisation tendue et les signaux techniques baissiers à court terme justifient une certaine prudence. Le niveau de confiance est **Moyen** (divergence entre technique et fondamental), le risque global est **Moyen** (volatilité élevée mais entreprise leader), et l'horizon optimal est le **moyen terme (3-12 mois)**, le temps que la consolidation technique s'achève et que les résultats du T1 2026 se confirment dans les trimestres suivants.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2,601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+18.94%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10.09% (Moyenne) — μ=3,598 FCFA, σ=363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β=0.5738 (Défensif) — Cov=0.000020, Var(idx)=0.000035, ρ=0.124,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Achat=3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3,712</w:t>
            </w:r>
          </w:p>
        </w:tc>
        <w:tc>
          <w:tcPr>
            <w:tcW w:type="dxa" w:w="1440"/>
            <w:shd w:fill="FAFAFA" w:val="clear"/>
          </w:tcPr>
          <w:p>
            <w:r>
              <w:rPr>
                <w:b/>
                <w:sz w:val="17"/>
              </w:rPr>
              <w:t>3,860</w:t>
            </w:r>
          </w:p>
        </w:tc>
        <w:tc>
          <w:tcPr>
            <w:tcW w:type="dxa" w:w="1440"/>
            <w:shd w:fill="FAFAFA" w:val="clear"/>
          </w:tcPr>
          <w:p>
            <w:r>
              <w:rPr>
                <w:sz w:val="17"/>
              </w:rPr>
              <w:t>4,008</w:t>
            </w:r>
          </w:p>
        </w:tc>
        <w:tc>
          <w:tcPr>
            <w:tcW w:type="dxa" w:w="1440"/>
            <w:shd w:fill="FAFAFA" w:val="clear"/>
          </w:tcPr>
          <w:p>
            <w:r>
              <w:rPr>
                <w:b/>
                <w:color w:val="008000"/>
                <w:sz w:val="17"/>
              </w:rPr>
              <w:t>+1.6%</w:t>
            </w:r>
          </w:p>
        </w:tc>
      </w:tr>
      <w:tr>
        <w:tc>
          <w:tcPr>
            <w:tcW w:type="dxa" w:w="1440"/>
            <w:shd w:fill="FAFAFA" w:val="clear"/>
          </w:tcPr>
          <w:p>
            <w:r>
              <w:rPr>
                <w:sz w:val="17"/>
              </w:rPr>
              <w:t>J+2  ⭐</w:t>
            </w:r>
          </w:p>
        </w:tc>
        <w:tc>
          <w:tcPr>
            <w:tcW w:type="dxa" w:w="1440"/>
            <w:shd w:fill="FAFAFA" w:val="clear"/>
          </w:tcPr>
          <w:p>
            <w:r>
              <w:rPr>
                <w:sz w:val="17"/>
              </w:rPr>
              <w:t>2026-09-21</w:t>
            </w:r>
          </w:p>
        </w:tc>
        <w:tc>
          <w:tcPr>
            <w:tcW w:type="dxa" w:w="1440"/>
            <w:shd w:fill="FAFAFA" w:val="clear"/>
          </w:tcPr>
          <w:p>
            <w:r>
              <w:rPr>
                <w:sz w:val="17"/>
              </w:rPr>
              <w:t>3,651</w:t>
            </w:r>
          </w:p>
        </w:tc>
        <w:tc>
          <w:tcPr>
            <w:tcW w:type="dxa" w:w="1440"/>
            <w:shd w:fill="FAFAFA" w:val="clear"/>
          </w:tcPr>
          <w:p>
            <w:r>
              <w:rPr>
                <w:b/>
                <w:sz w:val="17"/>
              </w:rPr>
              <w:t>3,860</w:t>
            </w:r>
          </w:p>
        </w:tc>
        <w:tc>
          <w:tcPr>
            <w:tcW w:type="dxa" w:w="1440"/>
            <w:shd w:fill="FAFAFA" w:val="clear"/>
          </w:tcPr>
          <w:p>
            <w:r>
              <w:rPr>
                <w:sz w:val="17"/>
              </w:rPr>
              <w:t>4,070</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2026-09-22</w:t>
            </w:r>
          </w:p>
        </w:tc>
        <w:tc>
          <w:tcPr>
            <w:tcW w:type="dxa" w:w="1440"/>
            <w:shd w:fill="FAFAFA" w:val="clear"/>
          </w:tcPr>
          <w:p>
            <w:r>
              <w:rPr>
                <w:sz w:val="17"/>
              </w:rPr>
              <w:t>3,606</w:t>
            </w:r>
          </w:p>
        </w:tc>
        <w:tc>
          <w:tcPr>
            <w:tcW w:type="dxa" w:w="1440"/>
            <w:shd w:fill="FAFAFA" w:val="clear"/>
          </w:tcPr>
          <w:p>
            <w:r>
              <w:rPr>
                <w:b/>
                <w:sz w:val="17"/>
              </w:rPr>
              <w:t>3,862</w:t>
            </w:r>
          </w:p>
        </w:tc>
        <w:tc>
          <w:tcPr>
            <w:tcW w:type="dxa" w:w="1440"/>
            <w:shd w:fill="FAFAFA" w:val="clear"/>
          </w:tcPr>
          <w:p>
            <w:r>
              <w:rPr>
                <w:sz w:val="17"/>
              </w:rPr>
              <w:t>4,119</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3,567</w:t>
            </w:r>
          </w:p>
        </w:tc>
        <w:tc>
          <w:tcPr>
            <w:tcW w:type="dxa" w:w="1440"/>
            <w:shd w:fill="FAFAFA" w:val="clear"/>
          </w:tcPr>
          <w:p>
            <w:r>
              <w:rPr>
                <w:b/>
                <w:sz w:val="17"/>
              </w:rPr>
              <w:t>3,863</w:t>
            </w:r>
          </w:p>
        </w:tc>
        <w:tc>
          <w:tcPr>
            <w:tcW w:type="dxa" w:w="1440"/>
            <w:shd w:fill="FAFAFA" w:val="clear"/>
          </w:tcPr>
          <w:p>
            <w:r>
              <w:rPr>
                <w:sz w:val="17"/>
              </w:rPr>
              <w:t>4,159</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3,531</w:t>
            </w:r>
          </w:p>
        </w:tc>
        <w:tc>
          <w:tcPr>
            <w:tcW w:type="dxa" w:w="1440"/>
            <w:shd w:fill="FAFAFA" w:val="clear"/>
          </w:tcPr>
          <w:p>
            <w:r>
              <w:rPr>
                <w:b/>
                <w:sz w:val="17"/>
              </w:rPr>
              <w:t>3,862</w:t>
            </w:r>
          </w:p>
        </w:tc>
        <w:tc>
          <w:tcPr>
            <w:tcW w:type="dxa" w:w="1440"/>
            <w:shd w:fill="FAFAFA" w:val="clear"/>
          </w:tcPr>
          <w:p>
            <w:r>
              <w:rPr>
                <w:sz w:val="17"/>
              </w:rPr>
              <w:t>4,193</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3,498</w:t>
            </w:r>
          </w:p>
        </w:tc>
        <w:tc>
          <w:tcPr>
            <w:tcW w:type="dxa" w:w="1440"/>
            <w:shd w:fill="FAFAFA" w:val="clear"/>
          </w:tcPr>
          <w:p>
            <w:r>
              <w:rPr>
                <w:b/>
                <w:sz w:val="17"/>
              </w:rPr>
              <w:t>3,860</w:t>
            </w:r>
          </w:p>
        </w:tc>
        <w:tc>
          <w:tcPr>
            <w:tcW w:type="dxa" w:w="1440"/>
            <w:shd w:fill="FAFAFA" w:val="clear"/>
          </w:tcPr>
          <w:p>
            <w:r>
              <w:rPr>
                <w:sz w:val="17"/>
              </w:rPr>
              <w:t>4,223</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2026-09-28</w:t>
            </w:r>
          </w:p>
        </w:tc>
        <w:tc>
          <w:tcPr>
            <w:tcW w:type="dxa" w:w="1440"/>
            <w:shd w:fill="FAFAFA" w:val="clear"/>
          </w:tcPr>
          <w:p>
            <w:r>
              <w:rPr>
                <w:sz w:val="17"/>
              </w:rPr>
              <w:t>3,468</w:t>
            </w:r>
          </w:p>
        </w:tc>
        <w:tc>
          <w:tcPr>
            <w:tcW w:type="dxa" w:w="1440"/>
            <w:shd w:fill="FAFAFA" w:val="clear"/>
          </w:tcPr>
          <w:p>
            <w:r>
              <w:rPr>
                <w:b/>
                <w:sz w:val="17"/>
              </w:rPr>
              <w:t>3,859</w:t>
            </w:r>
          </w:p>
        </w:tc>
        <w:tc>
          <w:tcPr>
            <w:tcW w:type="dxa" w:w="1440"/>
            <w:shd w:fill="FAFAFA" w:val="clear"/>
          </w:tcPr>
          <w:p>
            <w:r>
              <w:rPr>
                <w:sz w:val="17"/>
              </w:rPr>
              <w:t>4,250</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2026-09-29</w:t>
            </w:r>
          </w:p>
        </w:tc>
        <w:tc>
          <w:tcPr>
            <w:tcW w:type="dxa" w:w="1440"/>
            <w:shd w:fill="FAFAFA" w:val="clear"/>
          </w:tcPr>
          <w:p>
            <w:r>
              <w:rPr>
                <w:sz w:val="17"/>
              </w:rPr>
              <w:t>3,439</w:t>
            </w:r>
          </w:p>
        </w:tc>
        <w:tc>
          <w:tcPr>
            <w:tcW w:type="dxa" w:w="1440"/>
            <w:shd w:fill="FAFAFA" w:val="clear"/>
          </w:tcPr>
          <w:p>
            <w:r>
              <w:rPr>
                <w:b/>
                <w:sz w:val="17"/>
              </w:rPr>
              <w:t>3,858</w:t>
            </w:r>
          </w:p>
        </w:tc>
        <w:tc>
          <w:tcPr>
            <w:tcW w:type="dxa" w:w="1440"/>
            <w:shd w:fill="FAFAFA" w:val="clear"/>
          </w:tcPr>
          <w:p>
            <w:r>
              <w:rPr>
                <w:sz w:val="17"/>
              </w:rPr>
              <w:t>4,276</w:t>
            </w:r>
          </w:p>
        </w:tc>
        <w:tc>
          <w:tcPr>
            <w:tcW w:type="dxa" w:w="1440"/>
            <w:shd w:fill="FAFAFA" w:val="clear"/>
          </w:tcPr>
          <w:p>
            <w:r>
              <w:rPr>
                <w:b/>
                <w:color w:val="008000"/>
                <w:sz w:val="17"/>
              </w:rPr>
              <w:t>+1.5%</w:t>
            </w:r>
          </w:p>
        </w:tc>
      </w:tr>
      <w:tr>
        <w:tc>
          <w:tcPr>
            <w:tcW w:type="dxa" w:w="1440"/>
            <w:shd w:fill="FAFAFA" w:val="clear"/>
          </w:tcPr>
          <w:p>
            <w:r>
              <w:rPr>
                <w:sz w:val="17"/>
              </w:rPr>
              <w:t>J+9  ⭐</w:t>
            </w:r>
          </w:p>
        </w:tc>
        <w:tc>
          <w:tcPr>
            <w:tcW w:type="dxa" w:w="1440"/>
            <w:shd w:fill="FAFAFA" w:val="clear"/>
          </w:tcPr>
          <w:p>
            <w:r>
              <w:rPr>
                <w:sz w:val="17"/>
              </w:rPr>
              <w:t>2026-09-30</w:t>
            </w:r>
          </w:p>
        </w:tc>
        <w:tc>
          <w:tcPr>
            <w:tcW w:type="dxa" w:w="1440"/>
            <w:shd w:fill="FAFAFA" w:val="clear"/>
          </w:tcPr>
          <w:p>
            <w:r>
              <w:rPr>
                <w:sz w:val="17"/>
              </w:rPr>
              <w:t>3,413</w:t>
            </w:r>
          </w:p>
        </w:tc>
        <w:tc>
          <w:tcPr>
            <w:tcW w:type="dxa" w:w="1440"/>
            <w:shd w:fill="FAFAFA" w:val="clear"/>
          </w:tcPr>
          <w:p>
            <w:r>
              <w:rPr>
                <w:b/>
                <w:sz w:val="17"/>
              </w:rPr>
              <w:t>3,856</w:t>
            </w:r>
          </w:p>
        </w:tc>
        <w:tc>
          <w:tcPr>
            <w:tcW w:type="dxa" w:w="1440"/>
            <w:shd w:fill="FAFAFA" w:val="clear"/>
          </w:tcPr>
          <w:p>
            <w:r>
              <w:rPr>
                <w:sz w:val="17"/>
              </w:rPr>
              <w:t>4,300</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2026-10-01</w:t>
            </w:r>
          </w:p>
        </w:tc>
        <w:tc>
          <w:tcPr>
            <w:tcW w:type="dxa" w:w="1440"/>
            <w:shd w:fill="FAFAFA" w:val="clear"/>
          </w:tcPr>
          <w:p>
            <w:r>
              <w:rPr>
                <w:sz w:val="17"/>
              </w:rPr>
              <w:t>3,388</w:t>
            </w:r>
          </w:p>
        </w:tc>
        <w:tc>
          <w:tcPr>
            <w:tcW w:type="dxa" w:w="1440"/>
            <w:shd w:fill="FAFAFA" w:val="clear"/>
          </w:tcPr>
          <w:p>
            <w:r>
              <w:rPr>
                <w:b/>
                <w:sz w:val="17"/>
              </w:rPr>
              <w:t>3,855</w:t>
            </w:r>
          </w:p>
        </w:tc>
        <w:tc>
          <w:tcPr>
            <w:tcW w:type="dxa" w:w="1440"/>
            <w:shd w:fill="FAFAFA" w:val="clear"/>
          </w:tcPr>
          <w:p>
            <w:r>
              <w:rPr>
                <w:sz w:val="17"/>
              </w:rPr>
              <w:t>4,322</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123,80 milliards FCFA, TTLS figure parmi les valeurs moyennes-capitalisations de la cote BRVM, ce qui traduit une liquidité modérée mais une certaine solidité institutionnelle. Le BPA de 208 FCFA/action signifie que chaque titre génère un bénéfice net de 208 FCFA, un niveau appréciable pour une entreprise de distribution à marge nette structurellement faible (1,49 % en 2025). Le PER de 18,3x apparaît nettement supérieur à la moyenne du marché BRVM (estimée entre 8x et 12x), ce qui indique que les investisseurs paient une prime de qualité pour ce leader sectoriel — potentiellement justifiée par la stabilité du dividende et la solidité de l'actionnaire TotalEnergies (69,1 %). Le P/B de 4,38x confirme cette prime : le marché valorise TTLS à plus de quatre fois sa valeur comptable, ce qui est exigeant et suppose une confiance forte dans la capacité bénéficiaire future. Enfin, l'EV/EBITDA de 7,8x, situé dans la fourchette raisonnable de 5-10x, suggère que la valeur d'entreprise reste cohérente avec la capacité opérationnelle de génération de cash-flow, offrant un contrepoids modérateur aux deux ratios précédents.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performance positive de +18,94 %, portée par un momentum haussier malgré un repli de -3,80 % lors de la dernière séance, ce qui traduit une prise de bénéfices ponctuelle plutôt qu'un retournement de tendance. Le titre a évolué dans un range large de 2 845 FCFA (plus bas) à 4 500 FCFA (plus haut), soit une amplitude de 58 %, signe d'une volatilité intra-période significative. Le cours actuel de 3 800 FCFA se situe au-dessus de la moyenne (3 598 FCFA) et de la médiane (3 612 FCFA), confirmant la tendance haussière de fond. L'écart très faible entre moyenne et médiane (14 FCFA) ainsi que le skewness de 0,046 (quasi nul) indiquent une distribution symétrique, sans biais directionnel marqué. L'écart-type de 365 FCFA avec un coefficient de variation de 10,1 % traduit une dispersion modérée du cours autour de sa moyenne. Le kurtosis de -0,393 (mésokurtique) suggère une distribution proche de la normale, donc un risque de pics extrêmes relativement contenu par rapport à une distribution leptokurtique. Enfin, la volatilité annualisée de 43,6 % classe TTLS dans la catégorie des titres à volatilité élevée (&gt;30 %), ce qui est cohérent avec la nature cyclique du secteur pétrolier et la sensibilité aux décisions réglementaires de l'État sénégalais.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(3 855,25 FCFA) et la MM50 (3 824,20 FCFA) se situent toutes deux au-dessus du cours actuel (3 800 FCFA), ce qui pourrait suggérer une pression baissière à court terme. Toutefois, la MM20 reste supérieure à la MM50, configuration classique de tendance haussière de fond, ce qui justifie la décision « Achat » fournie par le système. Le croisement des moyennes reste donc favorable malgré le repli récent.</w:t>
      </w:r>
    </w:p>
    <w:p>
      <w:pPr>
        <w:spacing w:after="120" w:line="276" w:lineRule="auto"/>
      </w:pPr>
      <w:r>
        <w:t>**Bandes de Bollinger** : Le cours (3 800 FCFA) évolue dans la partie basse de la bande, entre la borne inférieure (3 701,03 FCFA) et la borne supérieure (4 009,47 FCFA), sans franchissement des limites. Cette position médiane-basse traduit une absence de signal directionnel fort, d'où la décision « Neutre ». L'écart entre les bornes (308 FCFA) reflète une volatilité modérée sur la période récente.</w:t>
      </w:r>
    </w:p>
    <w:p>
      <w:pPr>
        <w:spacing w:after="120" w:line="276" w:lineRule="auto"/>
      </w:pPr>
      <w:r>
        <w:t>**MACD** : Le MACD (41,111) est supérieur à son signal (36,391), avec un histogramme positif, ce qui confirme un momentum haussier en cours. Cette configuration justifie la décision « Achat » et suggère que la dynamique positive pourrait se poursuivre à court terme, bien que l'écart reste modéré.</w:t>
      </w:r>
    </w:p>
    <w:p>
      <w:pPr>
        <w:spacing w:after="120" w:line="276" w:lineRule="auto"/>
      </w:pPr>
      <w:r>
        <w:t>**RSI** : À 50,467, le RSI se situe exactement en zone neutre (30-70), sans signal de surachat ni de survente. Cette valeur médiane indique un équilibre entre acheteurs et vendeurs, justifiant la décision « Neutre » et suggérant qu'aucun mouvement directionnel fort n'est imminent.</w:t>
      </w:r>
    </w:p>
    <w:p>
      <w:pPr>
        <w:spacing w:after="120" w:line="276" w:lineRule="auto"/>
      </w:pPr>
      <w:r>
        <w:t>**Stochastique** : Le %K (4,762) est très inférieur au %D (59,259), ce qui place le %K en zone de survente extrême. Cette divergence est contre-intuitive avec la décision « Achat » fournie, mais elle peut signaler un potentiel rebond technique à court terme si le %K amorce un croisement haussier avec le %D.</w:t>
      </w:r>
    </w:p>
    <w:p>
      <w:pPr>
        <w:spacing w:after="120" w:line="276" w:lineRule="auto"/>
      </w:pPr>
      <w:r>
        <w:t>**Conclusion technique** : Les indicateurs sont globalement partagés entre signaux haussiers (MACD, MM20&gt;MM50) et neutres (RSI, Bollinger), avec un stochastique en survente qui pourrait déclencher un rebond. La convergence modérée des signaux plaide pour une poursuite de la tendance haussière de fond, mais sans accélération imminente. Le titre se trouve dans une phase de consolidation après la forte progression des 100 derniers jours.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TTLS a réalisé un chiffre d'affaires de 455 209 millions FCFA, en baisse de 6,13 % par rapport à 2024, conséquence directe de l'arrêt stratégique de la commercialisation du fuel lourd (39,5 milliards FCFA de CA en 2024). Le résultat net s'établit à 6 779 millions FCFA, en repli de 5,1 % vs 2024 (7 140 millions), avec une marge nette de 1,49 %. Le ROE ressort à 24,01 %, niveau excellent (&gt;15 %), tandis que le ROA est de 3,95 %, reflétant la faible intensité capitalistique du modèle de distribution. Le BFR est négatif (-36 899 millions FCFA), ce qui est favorable car il signifie que les fournisseurs financent une partie du cycle d'exploitation. Les délais clients (47,43 jours) et fournisseurs (97,76 jours) montrent un bon équilibre de trésorerie, le délai fournisseurs étant plus que double du délai clients. L'autonomie financière (16,44 %) reste faible, mais la solvabilité générale (119,67 %) et la couverture des intérêts (485,91 %) témoignent d'une structure financière saine. La trésorerie nette positive (13 941 millions FCFA) et le free cash-flow de 17 483 millions FCFA confirment la capacité de génération de cash.</w:t>
      </w:r>
    </w:p>
    <w:p>
      <w:pPr>
        <w:spacing w:after="120" w:line="276" w:lineRule="auto"/>
      </w:pPr>
      <w:r>
        <w:t>**Estimations basées sur les rapports trimestriels** : Selon le rapport du T1 2026 (publié le 31 mars 2026), le CA recule de 10 % à 99,9 milliards FCFA, mais le résultat d'exploitation progresse de 28 % à 2,6 milliards FCFA et le résultat net de 5 % à 1,585 milliard FCFA, grâce à l'amélioration des marges sur les lubrifiants. On estime donc que l'exercice 2026 devrait bénéficier d'une amélioration de la rentabilité opérationnelle, compensant partiellement la pression sur les volumes. Le rapport S1 2025 (30 juin 2025) confirme cette tendance avec un résultat d'exploitation en hausse de 22 % et une marge d'exploitation passant de 1,35 % à 1,70 %. Le rapport T3 2025 (30 septembre 2025) indique un résultat net cumulé de 5,024 milliards FCFA (-14 %), impacté par la baisse des dividendes des filiales. La stratégie de recentrage sur les segments à forte valeur ajoutée (lubrifiants, GPL, réseau de stations) porte ses fruits, mais la dépendance aux décisions réglementaires sur les prix à la pompe reste un risque majeur.</w:t>
      </w:r>
    </w:p>
    <w:p>
      <w:pPr>
        <w:spacing w:after="120" w:line="276" w:lineRule="auto"/>
      </w:pPr>
      <w:r>
        <w:t>**Recommandation fondamentale** : TTLS est une valeur défensive de qualité, avec une position de leader (140 stations-service), un actionnariat stable (TotalEnergies 69,1 %) et une génération de cash-flow solide. Les risques incluent la baisse structurelle du CA, la faible autonomie financière et la dépendance aux décisions de l'État. La recommandation fondamentale est **CONSERVER**, en attendant une clarification sur la politique de dividende et la reprise des volumes.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apparaît exigeante (PER 18,3x &gt; moyenne BRVM, P/B 4,38x), mais tempérée par un EV/EBITDA raisonnable (7,8x) et un ROE excellent (24 %). Le comportement du cours sur 100 jours est haussier (+18,94 %), avec une volatilité élevée (43,6 %) mais une distribution symétrique (skewness 0,046) et un risque de pics contenu (kurtosis -0,393). Les signaux techniques sont partagés : le MACD et les moyennes mobiles plaident pour un achat, tandis que le RSI et les bandes de Bollinger sont neutres, et le stochastique en survente suggère un rebond potentiel. Les fondamentaux 2025 montrent une résilience opérationnelle (ROE 24 %, BFR négatif, trésorerie nette positive) malgré la baisse du CA, et les rapports trimestriels 2026 (T1 : résultat net +5 %) confirment cette dynamique. Les prédictions IA (J+1 à J+10) anticipent une légère hausse vers 3 860-3 863 FCFA, ce qui confirme la tendance haussière de fond sans accélération majeure. Sur la base de cette synthèse, la recommandation finale est **CONSERVER**, avec un niveau de confiance **Moyen** et un risque global **Moyen**. L'horizon d'investissement optimal est le **moyen terme (3-12 mois)**, en attendant la publication des résultats semestriels 2026 pour confirmer la tendance des volumes et la politique de dividende. Un passage à l'achat serait justifié si le titre revenait vers 3 600-3 700 FCFA (zone de support technique) ou si les volumes repartaient à la hausse.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483.97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52,700 FCFA</w:t>
            </w:r>
          </w:p>
          <w:p>
            <w:r>
              <w:rPr>
                <w:b/>
                <w:color w:val="503200"/>
                <w:sz w:val="16"/>
              </w:rPr>
              <w:t xml:space="preserve">Var. 100 jours : </w:t>
            </w:r>
            <w:r>
              <w:rPr>
                <w:b/>
                <w:color w:val="B40000"/>
                <w:sz w:val="17"/>
              </w:rPr>
              <w:t>-8.35%</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49,025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5.34% (Moyenne) — μ=55,546 FCFA, σ=2,967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β=-0.1064 (Contre-cyclique) — Cov=-0.000004, Var(idx)=0.000036, ρ=-0.017,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2026-09-18</w:t>
            </w:r>
          </w:p>
        </w:tc>
        <w:tc>
          <w:tcPr>
            <w:tcW w:type="dxa" w:w="1440"/>
            <w:shd w:fill="FAFAFA" w:val="clear"/>
          </w:tcPr>
          <w:p>
            <w:r>
              <w:rPr>
                <w:sz w:val="17"/>
              </w:rPr>
              <w:t>48,399</w:t>
            </w:r>
          </w:p>
        </w:tc>
        <w:tc>
          <w:tcPr>
            <w:tcW w:type="dxa" w:w="1440"/>
            <w:shd w:fill="FAFAFA" w:val="clear"/>
          </w:tcPr>
          <w:p>
            <w:r>
              <w:rPr>
                <w:b/>
                <w:sz w:val="17"/>
              </w:rPr>
              <w:t>51,651</w:t>
            </w:r>
          </w:p>
        </w:tc>
        <w:tc>
          <w:tcPr>
            <w:tcW w:type="dxa" w:w="1440"/>
            <w:shd w:fill="FAFAFA" w:val="clear"/>
          </w:tcPr>
          <w:p>
            <w:r>
              <w:rPr>
                <w:sz w:val="17"/>
              </w:rPr>
              <w:t>54,902</w:t>
            </w:r>
          </w:p>
        </w:tc>
        <w:tc>
          <w:tcPr>
            <w:tcW w:type="dxa" w:w="1440"/>
            <w:shd w:fill="FAFAFA"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2026-09-21</w:t>
            </w:r>
          </w:p>
        </w:tc>
        <w:tc>
          <w:tcPr>
            <w:tcW w:type="dxa" w:w="1440"/>
            <w:shd w:fill="FFDCE0" w:val="clear"/>
          </w:tcPr>
          <w:p>
            <w:r>
              <w:rPr>
                <w:sz w:val="17"/>
              </w:rPr>
              <w:t>47,000</w:t>
            </w:r>
          </w:p>
        </w:tc>
        <w:tc>
          <w:tcPr>
            <w:tcW w:type="dxa" w:w="1440"/>
            <w:shd w:fill="FFDCE0" w:val="clear"/>
          </w:tcPr>
          <w:p>
            <w:r>
              <w:rPr>
                <w:b/>
                <w:sz w:val="17"/>
              </w:rPr>
              <w:t>51,593</w:t>
            </w:r>
          </w:p>
        </w:tc>
        <w:tc>
          <w:tcPr>
            <w:tcW w:type="dxa" w:w="1440"/>
            <w:shd w:fill="FFDCE0" w:val="clear"/>
          </w:tcPr>
          <w:p>
            <w:r>
              <w:rPr>
                <w:sz w:val="17"/>
              </w:rPr>
              <w:t>56,186</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2026-09-22</w:t>
            </w:r>
          </w:p>
        </w:tc>
        <w:tc>
          <w:tcPr>
            <w:tcW w:type="dxa" w:w="1440"/>
            <w:shd w:fill="FFDCE0" w:val="clear"/>
          </w:tcPr>
          <w:p>
            <w:r>
              <w:rPr>
                <w:sz w:val="17"/>
              </w:rPr>
              <w:t>45,924</w:t>
            </w:r>
          </w:p>
        </w:tc>
        <w:tc>
          <w:tcPr>
            <w:tcW w:type="dxa" w:w="1440"/>
            <w:shd w:fill="FFDCE0" w:val="clear"/>
          </w:tcPr>
          <w:p>
            <w:r>
              <w:rPr>
                <w:b/>
                <w:sz w:val="17"/>
              </w:rPr>
              <w:t>51,544</w:t>
            </w:r>
          </w:p>
        </w:tc>
        <w:tc>
          <w:tcPr>
            <w:tcW w:type="dxa" w:w="1440"/>
            <w:shd w:fill="FFDCE0" w:val="clear"/>
          </w:tcPr>
          <w:p>
            <w:r>
              <w:rPr>
                <w:sz w:val="17"/>
              </w:rPr>
              <w:t>57,164</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2026-09-23</w:t>
            </w:r>
          </w:p>
        </w:tc>
        <w:tc>
          <w:tcPr>
            <w:tcW w:type="dxa" w:w="1440"/>
            <w:shd w:fill="FFDCE0" w:val="clear"/>
          </w:tcPr>
          <w:p>
            <w:r>
              <w:rPr>
                <w:sz w:val="17"/>
              </w:rPr>
              <w:t>45,021</w:t>
            </w:r>
          </w:p>
        </w:tc>
        <w:tc>
          <w:tcPr>
            <w:tcW w:type="dxa" w:w="1440"/>
            <w:shd w:fill="FFDCE0" w:val="clear"/>
          </w:tcPr>
          <w:p>
            <w:r>
              <w:rPr>
                <w:b/>
                <w:sz w:val="17"/>
              </w:rPr>
              <w:t>51,505</w:t>
            </w:r>
          </w:p>
        </w:tc>
        <w:tc>
          <w:tcPr>
            <w:tcW w:type="dxa" w:w="1440"/>
            <w:shd w:fill="FFDCE0" w:val="clear"/>
          </w:tcPr>
          <w:p>
            <w:r>
              <w:rPr>
                <w:sz w:val="17"/>
              </w:rPr>
              <w:t>57,990</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2026-09-24</w:t>
            </w:r>
          </w:p>
        </w:tc>
        <w:tc>
          <w:tcPr>
            <w:tcW w:type="dxa" w:w="1440"/>
            <w:shd w:fill="FFDCE0" w:val="clear"/>
          </w:tcPr>
          <w:p>
            <w:r>
              <w:rPr>
                <w:sz w:val="17"/>
              </w:rPr>
              <w:t>44,227</w:t>
            </w:r>
          </w:p>
        </w:tc>
        <w:tc>
          <w:tcPr>
            <w:tcW w:type="dxa" w:w="1440"/>
            <w:shd w:fill="FFDCE0" w:val="clear"/>
          </w:tcPr>
          <w:p>
            <w:r>
              <w:rPr>
                <w:b/>
                <w:sz w:val="17"/>
              </w:rPr>
              <w:t>51,473</w:t>
            </w:r>
          </w:p>
        </w:tc>
        <w:tc>
          <w:tcPr>
            <w:tcW w:type="dxa" w:w="1440"/>
            <w:shd w:fill="FFDCE0" w:val="clear"/>
          </w:tcPr>
          <w:p>
            <w:r>
              <w:rPr>
                <w:sz w:val="17"/>
              </w:rPr>
              <w:t>58,718</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2026-09-25</w:t>
            </w:r>
          </w:p>
        </w:tc>
        <w:tc>
          <w:tcPr>
            <w:tcW w:type="dxa" w:w="1440"/>
            <w:shd w:fill="FFDCE0" w:val="clear"/>
          </w:tcPr>
          <w:p>
            <w:r>
              <w:rPr>
                <w:sz w:val="17"/>
              </w:rPr>
              <w:t>43,511</w:t>
            </w:r>
          </w:p>
        </w:tc>
        <w:tc>
          <w:tcPr>
            <w:tcW w:type="dxa" w:w="1440"/>
            <w:shd w:fill="FFDCE0" w:val="clear"/>
          </w:tcPr>
          <w:p>
            <w:r>
              <w:rPr>
                <w:b/>
                <w:sz w:val="17"/>
              </w:rPr>
              <w:t>51,444</w:t>
            </w:r>
          </w:p>
        </w:tc>
        <w:tc>
          <w:tcPr>
            <w:tcW w:type="dxa" w:w="1440"/>
            <w:shd w:fill="FFDCE0" w:val="clear"/>
          </w:tcPr>
          <w:p>
            <w:r>
              <w:rPr>
                <w:sz w:val="17"/>
              </w:rPr>
              <w:t>59,377</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42,854</w:t>
            </w:r>
          </w:p>
        </w:tc>
        <w:tc>
          <w:tcPr>
            <w:tcW w:type="dxa" w:w="1440"/>
            <w:shd w:fill="FFDCE0" w:val="clear"/>
          </w:tcPr>
          <w:p>
            <w:r>
              <w:rPr>
                <w:b/>
                <w:sz w:val="17"/>
              </w:rPr>
              <w:t>51,418</w:t>
            </w:r>
          </w:p>
        </w:tc>
        <w:tc>
          <w:tcPr>
            <w:tcW w:type="dxa" w:w="1440"/>
            <w:shd w:fill="FFDCE0" w:val="clear"/>
          </w:tcPr>
          <w:p>
            <w:r>
              <w:rPr>
                <w:sz w:val="17"/>
              </w:rPr>
              <w:t>59,982</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42,243</w:t>
            </w:r>
          </w:p>
        </w:tc>
        <w:tc>
          <w:tcPr>
            <w:tcW w:type="dxa" w:w="1440"/>
            <w:shd w:fill="FFDCE0" w:val="clear"/>
          </w:tcPr>
          <w:p>
            <w:r>
              <w:rPr>
                <w:b/>
                <w:sz w:val="17"/>
              </w:rPr>
              <w:t>51,394</w:t>
            </w:r>
          </w:p>
        </w:tc>
        <w:tc>
          <w:tcPr>
            <w:tcW w:type="dxa" w:w="1440"/>
            <w:shd w:fill="FFDCE0" w:val="clear"/>
          </w:tcPr>
          <w:p>
            <w:r>
              <w:rPr>
                <w:sz w:val="17"/>
              </w:rPr>
              <w:t>60,545</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41,670</w:t>
            </w:r>
          </w:p>
        </w:tc>
        <w:tc>
          <w:tcPr>
            <w:tcW w:type="dxa" w:w="1440"/>
            <w:shd w:fill="FFDCE0" w:val="clear"/>
          </w:tcPr>
          <w:p>
            <w:r>
              <w:rPr>
                <w:b/>
                <w:sz w:val="17"/>
              </w:rPr>
              <w:t>51,372</w:t>
            </w:r>
          </w:p>
        </w:tc>
        <w:tc>
          <w:tcPr>
            <w:tcW w:type="dxa" w:w="1440"/>
            <w:shd w:fill="FFDCE0" w:val="clear"/>
          </w:tcPr>
          <w:p>
            <w:r>
              <w:rPr>
                <w:sz w:val="17"/>
              </w:rPr>
              <w:t>61,073</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41,128</w:t>
            </w:r>
          </w:p>
        </w:tc>
        <w:tc>
          <w:tcPr>
            <w:tcW w:type="dxa" w:w="1440"/>
            <w:shd w:fill="FFDCE0" w:val="clear"/>
          </w:tcPr>
          <w:p>
            <w:r>
              <w:rPr>
                <w:b/>
                <w:sz w:val="17"/>
              </w:rPr>
              <w:t>51,350</w:t>
            </w:r>
          </w:p>
        </w:tc>
        <w:tc>
          <w:tcPr>
            <w:tcW w:type="dxa" w:w="1440"/>
            <w:shd w:fill="FFDCE0" w:val="clear"/>
          </w:tcPr>
          <w:p>
            <w:r>
              <w:rPr>
                <w:sz w:val="17"/>
              </w:rPr>
              <w:t>61,572</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s'élève à 483,97 milliards FCFA, un niveau qui la place parmi les valeurs les plus importantes de la cote BRVM, bien que très en deçà des mastodontes comme SONATEL. Les ratios de valorisation classiques (BPA, PER, P/B, EV/EBITDA) ne sont pas calculables en l'absence de données financières structurées exploitables dans la base, ce qui limite considérablement l'évaluation intrinsèque du titre. Toutefois, en croisant le résultat net 2023 de 640,3 millions FCFA (rapport du 31/12/2023) avec la capitalisation actuelle, on obtient un PER implicite extrêmement élevé (supérieur à 700x), signalant que le marché valorise le titre bien au-delà de ses bénéfices courants — une situation typique des sociétés en redressement où les investisseurs anticipent une normalisation des marges. Le P/B implicite est également problématique puisque les capitaux propres demeurent négatifs (-10 658 millions FCFA en 2023), rendant cet indicateur non pertinent. En somme, la valorisation boursière d'UNLC repose davantage sur la valeur de la marque et les perspectives de redressement que sur les fondamentaux actuels, ce qui introduit un risque de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variation totale de **-8,35%**, mais la dernière séance (J-1) enregistre un rebond spectaculaire de **+7,50%**, portant le cours à **52 700 FCFA**. Le range de trading est large, avec un plus haut à **63 345 FCFA** et un plus bas à **49 025 FCFA**, soit une amplitude de plus de 29% entre les extrêmes — signe d'une forte nervosité du titre. La tendance générale est baissière sur la période, mais le sursaut récent pourrait marquer une tentative de retournement ou un simple rebond technique après une phase de survente. Les statistiques descriptives révèlent une **moyenne (55 546 FCFA)** quasi identique à la **médiane (55 578 FCFA)**, confirmant une distribution symétrique, ce que corrobore un **skewness de 0,168** (asymétrie négligeable). L'**écart-type de 2 982 FCFA** avec un **coefficient de variation de 5,4%** indique une dispersion modérée autour de la moyenne, tandis que le **kurtosis de -0,408** (mésokurtique) suggère une distribution proche de la normale, sans risque excessif de pics extrêmes. La **volatilité annualisée de 60,3%** classe le titre dans la catégorie des valeurs très volatiles (&gt;30%), ce qui est cohérent avec la faible liquidité (volume moyen de 21 titres/jour) et les incertitudes fondamentales pesant sur la société.</w:t>
      </w:r>
    </w:p>
    <w:p>
      <w:pPr>
        <w:spacing w:after="120" w:line="276" w:lineRule="auto"/>
      </w:pPr>
      <w:r>
        <w:t>---</w:t>
      </w:r>
    </w:p>
    <w:p>
      <w:pPr>
        <w:spacing w:after="120" w:line="276" w:lineRule="auto"/>
      </w:pPr>
      <w:r>
        <w:t>## PARTIE 2 : ANALYSE TECHNIQUE DÉTAILLÉE</w:t>
      </w:r>
    </w:p>
    <w:p>
      <w:pPr>
        <w:spacing w:after="120" w:line="276" w:lineRule="auto"/>
      </w:pPr>
      <w:r>
        <w:t>**Moyennes Mobiles** : La MM20 (53 129,5 FCFA) et la MM50 (53 422,9 FCFA) sont toutes deux supérieures au cours actuel (52 700 FCFA), avec une MM20 légèrement en dessous de la MM50. Cette configuration baissière (cours sous les deux moyennes) justifie la décision de **Vente** émise par le système, bien que l'écart entre les deux moyennes soit faible, suggérant une possible convergence à venir.</w:t>
      </w:r>
    </w:p>
    <w:p>
      <w:pPr>
        <w:spacing w:after="120" w:line="276" w:lineRule="auto"/>
      </w:pPr>
      <w:r>
        <w:t>**Bandes de Bollinger** : Le cours (52 700 FCFA) se situe dans la partie médiane de la bande, entre la borne inférieure (49 881,8 FCFA) et la borne supérieure (56 377,2 FCFA). Cette position centrale, sans contact avec les extrêmes, traduit une absence de signal directionnel fort et justifie la décision **Neutre**. La largeur des bandes (6 495 FCFA) confirme la volatilité élevée du titre.</w:t>
      </w:r>
    </w:p>
    <w:p>
      <w:pPr>
        <w:spacing w:after="120" w:line="276" w:lineRule="auto"/>
      </w:pPr>
      <w:r>
        <w:t>**MACD** : La valeur du MACD (-538,997) est inférieure à son signal (-357,507), avec un histogramme négatif. Cette divergence baissière indique que le momentum reste négatif malgré le rebond de J-1, justifiant la décision de **Vente**. Un croisement haussier du MACD au-dessus de son signal serait nécessaire pour inverser ce signal.</w:t>
      </w:r>
    </w:p>
    <w:p>
      <w:pPr>
        <w:spacing w:after="120" w:line="276" w:lineRule="auto"/>
      </w:pPr>
      <w:r>
        <w:t>**RSI** : À 51,292, le RSI se situe parfaitement dans la zone neutre (30-70), sans signal de surachat ni de survente. Cette valeur médiane reflète l'équilibre actuel entre acheteurs et vendeurs, justifiant la décision **Neutre**. Le rebond de J-1 n'a pas encore propulsé le RSI vers des niveaux élevés.</w:t>
      </w:r>
    </w:p>
    <w:p>
      <w:pPr>
        <w:spacing w:after="120" w:line="276" w:lineRule="auto"/>
      </w:pPr>
      <w:r>
        <w:t>**Stochastique** : Le %K (63,636) est supérieur au %D (38,756), avec un croisement haussier récent. Cette configuration est haussière à court terme, mais le %K reste sous la zone de surachat (80), ce qui justifie la décision **Neutre** — le signal d'achat n'est pas encore confirmé.</w:t>
      </w:r>
    </w:p>
    <w:p>
      <w:pPr>
        <w:spacing w:after="120" w:line="276" w:lineRule="auto"/>
      </w:pPr>
      <w:r>
        <w:t>**Conclusion technique** : Les indicateurs sont majoritairement neutres (Bollinger, RSI, Stochastique) avec deux signaux baissiers (MM et MACD) et un signal haussier naissant (Stochastique). Le rebond de J-1 (+7,50%) n'a pas encore inversé la tendance de fond, et la convergence des signaux reste fragile. Une confirmation par le MACD et un franchissement des MM20/MM50 seraient nécessaires pour valider un retournement durable.</w:t>
      </w:r>
    </w:p>
    <w:p>
      <w:pPr>
        <w:spacing w:after="120" w:line="276" w:lineRule="auto"/>
      </w:pPr>
      <w:r>
        <w:t>---</w:t>
      </w:r>
    </w:p>
    <w:p>
      <w:pPr>
        <w:spacing w:after="120" w:line="276" w:lineRule="auto"/>
      </w:pPr>
      <w:r>
        <w:t>## 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données historiques remontant à 2021. **En 2023**, la société a réalisé un chiffre d'affaires de **24 336 millions FCFA**, stable par rapport à 2022, mais en forte baisse par rapport aux 36 174,6 millions FCFA de 2022 (rapport du 31/12/2022) — une contraction de 21,5% liée à la cession de l'activité "Thé" (Lipton) fin 2021. Le résultat net 2023 s'établit à **640,3 millions FCFA**, en amélioration spectaculaire après la perte nette de **-6 382,6 millions FCFA en 2022** (rapport du 31/12/2022), mais cette performance reste fragile avec une marge nette de seulement **2,63%**, très en dessous de la moyenne sectorielle des FMCG en Afrique de l'Ouest (5-10%). Le résultat d'exploitation est redevenu positif à **+3 340 millions FCFA** en 2023 (contre -6 258 millions en 2022), grâce à la réduction des charges et à la hausse des produits accessoires. Cependant, les **capitaux propres demeurent négatifs à -10 658 millions FCFA** en 2023, et le report à nouveau négatif (-35 635 millions FCFA) obère toute perspective de dividende à court terme. La dette financière s'élève à **4 379 millions FCFA** en 2023 (vs 3 827 millions en 2022), avec une trésorerie passive de 14 874 millions FCFA qui masque un risque de liquidité. **En 2021** (rapport du 31/12/2021), la société avait dégagé un bénéfice net de **6 090,8 millions FCFA** (marge nette de 25%), mais ce résultat incluait des produits exceptionnels liés à la cession de Lipton (+16,7 milliards FCFA), non récurrents. L'évolution sur trois ans (2021-2023) montre une société en profonde restructuration : après une année 2021 artificiellement profitable, 2022 a enregistré une perte massive, et 2023 marque un retour à un bénéfice modeste mais insuffisant pour restaurer la solidité financière. Les risques identifiés dans les rapports (dépendance au marché ivoirien, concurrence accrue de Nestlé et P&amp;G, endettement élevé, capitaux propres négatifs) persistent et limitent les perspectives de redressement durable. **Recommandation fondamentale** : la situation reste précaire malgré l'amélioration de 2023 ; les investisseurs doivent surveiller trimestriellement l'évolution des marges et de la trésorerie avant d'envisager un investissement.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pour UNLC. **En termes de valorisation (Partie 0)**, l'absence de ratios calculables et le PER implicite très élevé suggèrent une surévaluation manifeste par rapport aux bénéfices actuels, bien que la valeur de la marque Unilever puisse justifier une prime. **Le comportement du cours (Partie 1)** est préoccupant : tendance baissière sur 100 jours (-8,35%), volatilité très élevée (60,3%), et distribution symétrique (skewness 0,168) sans biais directionnel clair, malgré le rebond de J-1 (+7,50%). **Les signaux techniques (Partie 2)** sont majoritairement neutres à baissiers (MM et MACD en vente, Bollinger/RSI/Stochastique neutres), sans convergence haussière confirmée. **Les fondamentaux (Partie 3)** montrent une amélioration en 2023 (bénéfice net de 640,3 millions FCFA vs perte de 6 382,6 millions en 2022), mais la structure financière reste fragile (capitaux propres négatifs, marge nette de 2,63%, endettement en hausse). **Les prédictions IA (J+1 à J+10)** anticipent une trajectoire baissière continue, avec un cours passant de 51 651 FCFA (18/09/2026) à 51 473 FCFA (24/09/2026), soit une baisse de 0,34% sur la période — contredisant le rebond de J-1 et confirmant la tendance de fond baissière. **Recommandation finale : VENTE** (ou CONSERVER avec vigilance pour les investisseurs déjà positionnés). Cette recommandation est justifiée par la convergence des signaux baissiers (technique, fondamental, prédictions IA) et l'absence de catalyseur haussier identifiable à court terme. Le niveau de confiance est **Moyen** (les données fondamentales récentes manquent pour une analyse plus fine), et le niveau de risque global est **Élevé** (volatilité extrême, liquidité faible, incertitudes fondamentales). L'horizon d'investissement optimal est **court terme** (&lt;3 mois) pour les traders cherchant à profiter de la volatilité, mais **déconseillé** pour les investisseurs long terme en l'absence de redressement durable des fondamentaux. Une diversification vers des valeurs plus stables de la BRVM (SONATEL, CIE, NSIA) est recommandée pour les portefeuilles conservateurs.</w:t>
      </w:r>
    </w:p>
    <w:p>
      <w:pPr>
        <w:spacing w:after="120" w:line="276" w:lineRule="auto"/>
      </w:pPr>
      <w:r>
        <w: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13,226 titres</w:t>
            </w:r>
          </w:p>
        </w:tc>
        <w:tc>
          <w:tcPr>
            <w:tcW w:type="dxa" w:w="2268"/>
            <w:shd w:fill="FFF2CC" w:val="clear"/>
          </w:tcPr>
          <w:p>
            <w:r>
              <w:rPr>
                <w:b/>
                <w:color w:val="503200"/>
                <w:sz w:val="16"/>
              </w:rPr>
              <w:t xml:space="preserve">Cours actuel : </w:t>
            </w:r>
            <w:r>
              <w:rPr>
                <w:color w:val="000000"/>
                <w:sz w:val="17"/>
              </w:rPr>
              <w:t>2,320 FCFA</w:t>
            </w:r>
          </w:p>
          <w:p>
            <w:r>
              <w:rPr>
                <w:b/>
                <w:color w:val="503200"/>
                <w:sz w:val="16"/>
              </w:rPr>
              <w:t xml:space="preserve">Var. 100 jours : </w:t>
            </w:r>
            <w:r>
              <w:rPr>
                <w:b/>
                <w:color w:val="007800"/>
                <w:sz w:val="17"/>
              </w:rPr>
              <w:t>+19.59%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14.34% (Moyenne) — μ=1,960 FCFA, σ=281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β=-0.0319 (Contre-cyclique) — Cov=-0.000001, Var(idx)=0.000035, ρ=-0.006,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13,226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81/100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2026-09-18</w:t>
            </w:r>
          </w:p>
        </w:tc>
        <w:tc>
          <w:tcPr>
            <w:tcW w:type="dxa" w:w="1440"/>
            <w:shd w:fill="FAFAFA" w:val="clear"/>
          </w:tcPr>
          <w:p>
            <w:r>
              <w:rPr>
                <w:sz w:val="17"/>
              </w:rPr>
              <w:t>2,230</w:t>
            </w:r>
          </w:p>
        </w:tc>
        <w:tc>
          <w:tcPr>
            <w:tcW w:type="dxa" w:w="1440"/>
            <w:shd w:fill="FAFAFA" w:val="clear"/>
          </w:tcPr>
          <w:p>
            <w:r>
              <w:rPr>
                <w:b/>
                <w:sz w:val="17"/>
              </w:rPr>
              <w:t>2,324</w:t>
            </w:r>
          </w:p>
        </w:tc>
        <w:tc>
          <w:tcPr>
            <w:tcW w:type="dxa" w:w="1440"/>
            <w:shd w:fill="FAFAFA" w:val="clear"/>
          </w:tcPr>
          <w:p>
            <w:r>
              <w:rPr>
                <w:sz w:val="17"/>
              </w:rPr>
              <w:t>2,417</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2026-09-21</w:t>
            </w:r>
          </w:p>
        </w:tc>
        <w:tc>
          <w:tcPr>
            <w:tcW w:type="dxa" w:w="1440"/>
            <w:shd w:fill="FAFAFA" w:val="clear"/>
          </w:tcPr>
          <w:p>
            <w:r>
              <w:rPr>
                <w:sz w:val="17"/>
              </w:rPr>
              <w:t>2,181</w:t>
            </w:r>
          </w:p>
        </w:tc>
        <w:tc>
          <w:tcPr>
            <w:tcW w:type="dxa" w:w="1440"/>
            <w:shd w:fill="FAFAFA" w:val="clear"/>
          </w:tcPr>
          <w:p>
            <w:r>
              <w:rPr>
                <w:b/>
                <w:sz w:val="17"/>
              </w:rPr>
              <w:t>2,313</w:t>
            </w:r>
          </w:p>
        </w:tc>
        <w:tc>
          <w:tcPr>
            <w:tcW w:type="dxa" w:w="1440"/>
            <w:shd w:fill="FAFAFA" w:val="clear"/>
          </w:tcPr>
          <w:p>
            <w:r>
              <w:rPr>
                <w:sz w:val="17"/>
              </w:rPr>
              <w:t>2,445</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2026-09-22</w:t>
            </w:r>
          </w:p>
        </w:tc>
        <w:tc>
          <w:tcPr>
            <w:tcW w:type="dxa" w:w="1440"/>
            <w:shd w:fill="FAFAFA" w:val="clear"/>
          </w:tcPr>
          <w:p>
            <w:r>
              <w:rPr>
                <w:sz w:val="17"/>
              </w:rPr>
              <w:t>2,143</w:t>
            </w:r>
          </w:p>
        </w:tc>
        <w:tc>
          <w:tcPr>
            <w:tcW w:type="dxa" w:w="1440"/>
            <w:shd w:fill="FAFAFA" w:val="clear"/>
          </w:tcPr>
          <w:p>
            <w:r>
              <w:rPr>
                <w:b/>
                <w:sz w:val="17"/>
              </w:rPr>
              <w:t>2,304</w:t>
            </w:r>
          </w:p>
        </w:tc>
        <w:tc>
          <w:tcPr>
            <w:tcW w:type="dxa" w:w="1440"/>
            <w:shd w:fill="FAFAFA" w:val="clear"/>
          </w:tcPr>
          <w:p>
            <w:r>
              <w:rPr>
                <w:sz w:val="17"/>
              </w:rPr>
              <w:t>2,466</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2026-09-23</w:t>
            </w:r>
          </w:p>
        </w:tc>
        <w:tc>
          <w:tcPr>
            <w:tcW w:type="dxa" w:w="1440"/>
            <w:shd w:fill="FAFAFA" w:val="clear"/>
          </w:tcPr>
          <w:p>
            <w:r>
              <w:rPr>
                <w:sz w:val="17"/>
              </w:rPr>
              <w:t>2,111</w:t>
            </w:r>
          </w:p>
        </w:tc>
        <w:tc>
          <w:tcPr>
            <w:tcW w:type="dxa" w:w="1440"/>
            <w:shd w:fill="FAFAFA" w:val="clear"/>
          </w:tcPr>
          <w:p>
            <w:r>
              <w:rPr>
                <w:b/>
                <w:sz w:val="17"/>
              </w:rPr>
              <w:t>2,296</w:t>
            </w:r>
          </w:p>
        </w:tc>
        <w:tc>
          <w:tcPr>
            <w:tcW w:type="dxa" w:w="1440"/>
            <w:shd w:fill="FAFAFA" w:val="clear"/>
          </w:tcPr>
          <w:p>
            <w:r>
              <w:rPr>
                <w:sz w:val="17"/>
              </w:rPr>
              <w:t>2,482</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2026-09-24</w:t>
            </w:r>
          </w:p>
        </w:tc>
        <w:tc>
          <w:tcPr>
            <w:tcW w:type="dxa" w:w="1440"/>
            <w:shd w:fill="FAFAFA" w:val="clear"/>
          </w:tcPr>
          <w:p>
            <w:r>
              <w:rPr>
                <w:sz w:val="17"/>
              </w:rPr>
              <w:t>2,082</w:t>
            </w:r>
          </w:p>
        </w:tc>
        <w:tc>
          <w:tcPr>
            <w:tcW w:type="dxa" w:w="1440"/>
            <w:shd w:fill="FAFAFA" w:val="clear"/>
          </w:tcPr>
          <w:p>
            <w:r>
              <w:rPr>
                <w:b/>
                <w:sz w:val="17"/>
              </w:rPr>
              <w:t>2,288</w:t>
            </w:r>
          </w:p>
        </w:tc>
        <w:tc>
          <w:tcPr>
            <w:tcW w:type="dxa" w:w="1440"/>
            <w:shd w:fill="FAFAFA" w:val="clear"/>
          </w:tcPr>
          <w:p>
            <w:r>
              <w:rPr>
                <w:sz w:val="17"/>
              </w:rPr>
              <w:t>2,495</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2026-09-25</w:t>
            </w:r>
          </w:p>
        </w:tc>
        <w:tc>
          <w:tcPr>
            <w:tcW w:type="dxa" w:w="1440"/>
            <w:shd w:fill="FAFAFA" w:val="clear"/>
          </w:tcPr>
          <w:p>
            <w:r>
              <w:rPr>
                <w:sz w:val="17"/>
              </w:rPr>
              <w:t>2,055</w:t>
            </w:r>
          </w:p>
        </w:tc>
        <w:tc>
          <w:tcPr>
            <w:tcW w:type="dxa" w:w="1440"/>
            <w:shd w:fill="FAFAFA" w:val="clear"/>
          </w:tcPr>
          <w:p>
            <w:r>
              <w:rPr>
                <w:b/>
                <w:sz w:val="17"/>
              </w:rPr>
              <w:t>2,280</w:t>
            </w:r>
          </w:p>
        </w:tc>
        <w:tc>
          <w:tcPr>
            <w:tcW w:type="dxa" w:w="1440"/>
            <w:shd w:fill="FAFAFA" w:val="clear"/>
          </w:tcPr>
          <w:p>
            <w:r>
              <w:rPr>
                <w:sz w:val="17"/>
              </w:rPr>
              <w:t>2,505</w:t>
            </w:r>
          </w:p>
        </w:tc>
        <w:tc>
          <w:tcPr>
            <w:tcW w:type="dxa" w:w="1440"/>
            <w:shd w:fill="FAFAFA" w:val="clear"/>
          </w:tcPr>
          <w:p>
            <w:r>
              <w:rPr>
                <w:b/>
                <w:color w:val="C00000"/>
                <w:sz w:val="17"/>
              </w:rPr>
              <w:t>-1.7%</w:t>
            </w:r>
          </w:p>
        </w:tc>
      </w:tr>
      <w:tr>
        <w:tc>
          <w:tcPr>
            <w:tcW w:type="dxa" w:w="1440"/>
            <w:shd w:fill="FFDCE0" w:val="clear"/>
          </w:tcPr>
          <w:p>
            <w:r>
              <w:rPr>
                <w:sz w:val="17"/>
              </w:rPr>
              <w:t>J+7  ⭐</w:t>
            </w:r>
          </w:p>
        </w:tc>
        <w:tc>
          <w:tcPr>
            <w:tcW w:type="dxa" w:w="1440"/>
            <w:shd w:fill="FFDCE0" w:val="clear"/>
          </w:tcPr>
          <w:p>
            <w:r>
              <w:rPr>
                <w:sz w:val="17"/>
              </w:rPr>
              <w:t>2026-09-28</w:t>
            </w:r>
          </w:p>
        </w:tc>
        <w:tc>
          <w:tcPr>
            <w:tcW w:type="dxa" w:w="1440"/>
            <w:shd w:fill="FFDCE0" w:val="clear"/>
          </w:tcPr>
          <w:p>
            <w:r>
              <w:rPr>
                <w:sz w:val="17"/>
              </w:rPr>
              <w:t>2,029</w:t>
            </w:r>
          </w:p>
        </w:tc>
        <w:tc>
          <w:tcPr>
            <w:tcW w:type="dxa" w:w="1440"/>
            <w:shd w:fill="FFDCE0" w:val="clear"/>
          </w:tcPr>
          <w:p>
            <w:r>
              <w:rPr>
                <w:b/>
                <w:sz w:val="17"/>
              </w:rPr>
              <w:t>2,272</w:t>
            </w:r>
          </w:p>
        </w:tc>
        <w:tc>
          <w:tcPr>
            <w:tcW w:type="dxa" w:w="1440"/>
            <w:shd w:fill="FFDCE0" w:val="clear"/>
          </w:tcPr>
          <w:p>
            <w:r>
              <w:rPr>
                <w:sz w:val="17"/>
              </w:rPr>
              <w:t>2,515</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2026-09-29</w:t>
            </w:r>
          </w:p>
        </w:tc>
        <w:tc>
          <w:tcPr>
            <w:tcW w:type="dxa" w:w="1440"/>
            <w:shd w:fill="FFDCE0" w:val="clear"/>
          </w:tcPr>
          <w:p>
            <w:r>
              <w:rPr>
                <w:sz w:val="17"/>
              </w:rPr>
              <w:t>2,006</w:t>
            </w:r>
          </w:p>
        </w:tc>
        <w:tc>
          <w:tcPr>
            <w:tcW w:type="dxa" w:w="1440"/>
            <w:shd w:fill="FFDCE0" w:val="clear"/>
          </w:tcPr>
          <w:p>
            <w:r>
              <w:rPr>
                <w:b/>
                <w:sz w:val="17"/>
              </w:rPr>
              <w:t>2,264</w:t>
            </w:r>
          </w:p>
        </w:tc>
        <w:tc>
          <w:tcPr>
            <w:tcW w:type="dxa" w:w="1440"/>
            <w:shd w:fill="FFDCE0" w:val="clear"/>
          </w:tcPr>
          <w:p>
            <w:r>
              <w:rPr>
                <w:sz w:val="17"/>
              </w:rPr>
              <w:t>2,523</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2026-09-30</w:t>
            </w:r>
          </w:p>
        </w:tc>
        <w:tc>
          <w:tcPr>
            <w:tcW w:type="dxa" w:w="1440"/>
            <w:shd w:fill="FFDCE0" w:val="clear"/>
          </w:tcPr>
          <w:p>
            <w:r>
              <w:rPr>
                <w:sz w:val="17"/>
              </w:rPr>
              <w:t>1,983</w:t>
            </w:r>
          </w:p>
        </w:tc>
        <w:tc>
          <w:tcPr>
            <w:tcW w:type="dxa" w:w="1440"/>
            <w:shd w:fill="FFDCE0" w:val="clear"/>
          </w:tcPr>
          <w:p>
            <w:r>
              <w:rPr>
                <w:b/>
                <w:sz w:val="17"/>
              </w:rPr>
              <w:t>2,257</w:t>
            </w:r>
          </w:p>
        </w:tc>
        <w:tc>
          <w:tcPr>
            <w:tcW w:type="dxa" w:w="1440"/>
            <w:shd w:fill="FFDCE0" w:val="clear"/>
          </w:tcPr>
          <w:p>
            <w:r>
              <w:rPr>
                <w:sz w:val="17"/>
              </w:rPr>
              <w:t>2,530</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2026-10-01</w:t>
            </w:r>
          </w:p>
        </w:tc>
        <w:tc>
          <w:tcPr>
            <w:tcW w:type="dxa" w:w="1440"/>
            <w:shd w:fill="FFDCE0" w:val="clear"/>
          </w:tcPr>
          <w:p>
            <w:r>
              <w:rPr>
                <w:sz w:val="17"/>
              </w:rPr>
              <w:t>1,962</w:t>
            </w:r>
          </w:p>
        </w:tc>
        <w:tc>
          <w:tcPr>
            <w:tcW w:type="dxa" w:w="1440"/>
            <w:shd w:fill="FFDCE0" w:val="clear"/>
          </w:tcPr>
          <w:p>
            <w:r>
              <w:rPr>
                <w:b/>
                <w:sz w:val="17"/>
              </w:rPr>
              <w:t>2,249</w:t>
            </w:r>
          </w:p>
        </w:tc>
        <w:tc>
          <w:tcPr>
            <w:tcW w:type="dxa" w:w="1440"/>
            <w:shd w:fill="FFDCE0" w:val="clear"/>
          </w:tcPr>
          <w:p>
            <w:r>
              <w:rPr>
                <w:sz w:val="17"/>
              </w:rPr>
              <w:t>2,536</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 Entreprise industrielle (Textile)*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48,14 milliards FCFA pour un cours de 2 320 FCFA, UNXC se positionne comme une valeur de taille moyenne sur la BRVM, représentative du compartiment industriel textile ivoirien. Le BPA ressort à -105 FCFA/action sur l'exercice 2024, traduisant une société déficitaire sur cette période, ce qui rend le PER négatif (-22,0x) et donc non interprétable en termes de multiples bénéficiaires — un ratio classique pour une entreprise en restructuration. Le P/B de 3,09x indique que le marché valorise l'action à environ trois fois sa valeur comptable, soit une prime de croissance significative (fourchette 2-4x) qui n'est justifiée que si le redressement opérationnel se confirme durablement. Le ratio EV/EBITDA n'est pas fourni dans les données disponibles, mais au regard de l'EBE redevenu positif à 1,13 milliard FCFA en 2025 (rapport annuel 2025), la valeur d'entreprise reste élevée par rapport à la capacité opérationnelle actuelle, ce qui suggère que le marché anticipe déjà une normalisation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performance remarquable de +19,59%, malgré un repli marginal de -0,85% lors de la dernière séance (J-1), signe d'une consolidation après un fort mouvement haussier. Le titre a évolué dans un range très large, entre un plus bas de 1 250 FCFA et un plus haut de 2 495 FCFA, soit une amplitude de près de 100%, ce qui témoigne d'une forte volatilité et d'un intérêt marqué des investisseurs. La tendance générale est clairement haussière, portée par les annonces de redressement opérationnel (retour à un résultat d'exploitation positif au S1 2026). Les statistiques descriptives révèlent une moyenne de 1 960 FCFA légèrement supérieure à la médiane de 1 905 FCFA, avec un mode à 1 900 FCFA : l'écart faible entre ces trois mesures indique une distribution globalement équilibrée, confirmée par un skewness de 0,127 (quasi-symétrie) et un kurtosis de 0,004 (mésokurtique, proche d'une loi normale), donc sans risque de pics extrêmes anormaux. L'écart-type de 282 FCFA (CV = 14,4%) traduit une dispersion modérée autour de la moyenne, tandis que la volatilité annualisée de 50,2% classe le titre dans la catégorie des valeurs à volatilité élevée (&gt;30%), ce qui implique un risque de marché conséquent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2 407,0 FCFA et la MM50 à 2 066,9 FCFA, toutes deux inférieures au cours actuel de 2 320 FCFA pour la MM20 mais nettement au-dessus pour la MM50 — configuration haussière classique (cours &gt; MM50) avec un signal d'achat confirmé. Le croisement récent de la MM20 sous le cours suggère une consolidation à court terme, mais la structure de fond reste positive, justifiant la décision technique « Achat ».</w:t>
      </w:r>
    </w:p>
    <w:p>
      <w:pPr>
        <w:spacing w:after="120" w:line="276" w:lineRule="auto"/>
      </w:pPr>
      <w:r>
        <w:t>**Bandes de Bollinger** : La borne supérieure se situe à 2 507,28 FCFA et la borne inférieure à 2 306,72 FCFA, avec un cours actuel de 2 320 FCFA positionné très près de la borne basse. Cette proximité indique une pression vendeuse à court terme et une volatilité qui se comprime, mais la décision reste « Neutre » car le cours n'a pas encore cassé la borne inférieure — un rebond technique est possible vers la bande médiane.</w:t>
      </w:r>
    </w:p>
    <w:p>
      <w:pPr>
        <w:spacing w:after="120" w:line="276" w:lineRule="auto"/>
      </w:pPr>
      <w:r>
        <w:t>**MACD** : La valeur du MACD (68,187) est inférieure à son signal (97,615), générant un croisement baissier et une divergence négative qui traduit un essoufflement du momentum haussier. La décision « Vente » est cohérente avec cette configuration, bien que le MACD reste en territoire positif, ce qui limite la portée baissière du signal.</w:t>
      </w:r>
    </w:p>
    <w:p>
      <w:pPr>
        <w:spacing w:after="120" w:line="276" w:lineRule="auto"/>
      </w:pPr>
      <w:r>
        <w:t>**RSI** : À 25,455, le RSI se situe en zone de survente (&lt;30), ce qui constitue un signal d'achat technique classique — le titre pourrait être survendu à court terme après la correction récente. La décision « Achat » est justifiée par cette lecture contrarienne, mais la prudence reste de mise tant que le MACD ne confirme pas de retournement.</w:t>
      </w:r>
    </w:p>
    <w:p>
      <w:pPr>
        <w:spacing w:after="120" w:line="276" w:lineRule="auto"/>
      </w:pPr>
      <w:r>
        <w:t>**Stochastique** : Le %K est à 0,0 et le %D à 11,594, avec un %K nettement inférieur au %D — configuration de survente extrême qui précède souvent un rebond technique. La décision « Achat » est cohérente avec cette lecture, mais le croisement haussier n'est pas encore confirmé, ce qui invite à attendre un signal de retournement.</w:t>
      </w:r>
    </w:p>
    <w:p>
      <w:pPr>
        <w:spacing w:after="120" w:line="276" w:lineRule="auto"/>
      </w:pPr>
      <w:r>
        <w:t>**Conclusion technique** : Les indicateurs sont divergents — les moyennes mobiles et le RSI/Stochastique plaident pour un achat (survente, tendance de fond haussière), tandis que le MACD et les Bandes de Bollinger signalent une pression baissière à court terme. Cette divergence suggère une phase de consolidation avant une reprise éventuelle, avec un support clé à 2 306 FCFA (borne basse de Bollinger) et une résistance à 2 407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une situation contrastée : un chiffre d'affaires de 27,333 milliards FCFA, en croissance de +15,4% par rapport à 2023 (23,690 milliards), mais un résultat net déficitaire de -2,189 milliards FCFA, soit une marge nette de -8,01% et un ROE négatif de -14,04% — la rentabilité des fonds propres est donc en zone rouge. Le ROA ressort à -6,39%, confirmant que l'actif total (34,241 milliards FCFA) n'est pas rentabilisé. Sur le plan opérationnel, l'EBE est négatif à -352,22 millions FCFA, et le résultat d'exploitation plonge à -2,136 milliards FCFA, pénalisé par des charges générales d'exploitation de 32,706 milliards FCFA (supérieures au CA) et des dotations aux amortissements de 2,367 milliards FCFA. La structure financière reste néanmoins solide : autonomie financière de 45,53% (capitaux propres de 15,591 milliards FCFA), endettement financier très faible (328,66 millions FCFA, soit 2,11% du bilan), et liquidité générale de 126,23% (&gt;1, donc favorable). Les délais d'exploitation sont préoccupants : délai clients de 51,03 jours (risque de trésorerie modéré), délai fournisseurs de 267,82 jours (excellent pour la trésorerie) et durée de stockage de 254,72 jours (immobilisation de capital très élevée, typique du textile). Le BFR est de 2,149 milliards FCFA, mais le fonds de roulement de 4,027 milliards FCFA couvre ce besoin.</w:t>
      </w:r>
    </w:p>
    <w:p>
      <w:pPr>
        <w:spacing w:after="120" w:line="276" w:lineRule="auto"/>
      </w:pPr>
      <w:r>
        <w:t>Les rapports narratifs confirment une nette amélioration en 2025 et 2026. Selon le rapport annuel 2025 (publié en 2025), le CA progresse à 29,03 milliards FCFA (+6,2%), l'EBE redevient positif à 1,13 milliard FCFA, et la perte nette est réduite de 71% à -624 millions FCFA — mais les pertes cumulées atteignent -5,54 milliards FCFA, et le flux de trésorerie opérationnel reste négatif (-8,12 milliards FCFA), le désendettement ayant été financé par des cessions d'actifs (terrains et bâtiments) pour +10,5 milliards FCFA. Le rapport du S1 2026 (publié en 2026) marque un tournant décisif : le CA s'établit à 15,752 milliards FCFA (+0,3%), le résultat d'exploitation redevient positif à 771 millions FCFA (contre -314 millions au S1 2025), et le résultat net est de 771 millions FCFA — mais ce dernier inclut une plus-value de cession exceptionnelle de près de 10 milliards FCFA au S1 2025, sans laquelle la performance opérationnelle reste fragile. La marge nette du S1 2026 est de 4,9%, et le résultat financier s'améliore de 59,3% grâce à une meilleure structuration des charges. On estime, sur la base de ces rapports trimestriels, que l'exercice 2026 devrait confirmer le retour à une rentabilité opérationnelle positive, avec un résultat net annuel qui pourrait se situer entre 1,5 et 2 milliards FCFA hors éléments exceptionnels, sous réserve de la confirmation de la tendance au second semestre.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atypique : le PER négatif (-22,0x) et le BPA déficitaire (-105 FCFA) interdisent toute lecture bénéficiaire classique, tandis que le P/B de 3,09x traduit une prime de croissance que le marché accorde en anticipation du redressement — une surévaluation apparente qui n'est justifiée que si les fondamentaux confirment la reprise. Le comportement du cours (Partie 1) est haussier sur 100 jours (+19,59%) avec une volatilité élevée (50,2%) et une distribution quasi-normale (kurtosis 0,004, skewness 0,127), ce qui est rassurant sur l'absence de risque de queue épaisse, mais le repli de J-1 (-0,85%) et la proximité de la borne basse de Bollinger signalent une consolidation. Les signaux techniques (Partie 2) sont divergents : le RSI (25,455) et le Stochastique (%K=0,0) sont en survente extrême et plaident pour un rebond, tandis que le MACD (68,187 &lt; signal 97,615) et les Bandes de Bollinger (cours près de la borne basse) indiquent une pression baissière à court terme — cette divergence suggère une phase de transition. Les fondamentaux (Partie 3) montrent une amélioration réelle mais fragile : le retour à un résultat d'exploitation positif au S1 2026 (771 millions FCFA) est un signal fort, mais la dépendance aux éléments exceptionnels (plus-value de cession de 10 milliards FCFA) et les pertes cumulées (-5,54 milliards FCFA) incitent à la prudence. Les prédictions IA (J+1 à J+10) anticipent une légère baisse du cours de 2 324 FCFA à 2 288 FCFA, soit une contraction de -1,55% sur 10 jours, ce qui contredit la thèse d'un rebond immédiat mais reste cohérent avec la consolidation technique observée. Sur la base de cette synthèse globale, la recommandation finale est **CONSERVER** avec un biais haussier conditionnel : la convergence entre le redressement opérationnel (S1 2026), la survente technique (RSI, Stochastique) et la solidité financière (autonomie de 45,53%, endettement faible) plaide pour une poursuite de la tendance haussière à moyen terme, mais la divergence du MACD et les prédictions baissières à court terme justifient une position d'attente. Le niveau de confiance est **Moyen** (les fondamentaux s'améliorent mais restent fragiles), le risque global est **Élevé** (volatilité de 50,2%, dépendance aux cessions d'actifs, pertes cumulées), et l'horizon d'investissement optimal est le **moyen terme (3-12 mois)**, le temps que la rentabilité opérationnelle se confirme durablement et que les comptes 2026 soient certifiés. Un passage à l'achat franc serait justifié si le cours casse la résistance de 2 407 FCFA (MM20) avec confirmation du MACD, ou si le T4 2026 confirme un résultat d'exploitation positif hors éléments exceptionnels.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