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18/08/2026 à 04:58</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BOAC  (score 76/100)</w:t>
      </w:r>
    </w:p>
    <w:p>
      <w:pPr>
        <w:spacing w:before="20" w:after="20"/>
        <w:ind w:left="360" w:right="360"/>
        <w:shd w:val="clear" w:color="auto" w:fill="EBF5FB"/>
      </w:pPr>
      <w:r>
        <w:rPr>
          <w:b/>
          <w:sz w:val="19"/>
        </w:rPr>
        <w:t xml:space="preserve">Secteur surperformant :  </w:t>
      </w:r>
      <w:r>
        <w:rPr>
          <w:color w:val="008000"/>
          <w:sz w:val="19"/>
        </w:rPr>
        <w:t>SERVICES PUBLICS  (+65.9%)</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20 sociétés — vérifier avant d'investir</w:t>
      </w:r>
    </w:p>
    <w:p>
      <w:pPr>
        <w:spacing w:before="20" w:after="20"/>
        <w:ind w:left="360" w:right="360"/>
        <w:shd w:val="clear" w:color="auto" w:fill="EBF5FB"/>
      </w:pPr>
      <w:r>
        <w:rPr>
          <w:b/>
          <w:sz w:val="19"/>
        </w:rPr>
        <w:t xml:space="preserve">⚠️ Liquidité réduite :  </w:t>
      </w:r>
      <w:r>
        <w:rPr>
          <w:color w:val="C00000"/>
          <w:sz w:val="19"/>
        </w:rPr>
        <w:t>12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501.30 points </w:t>
      </w:r>
      <w:r>
        <w:rPr>
          <w:color w:val="008000"/>
        </w:rPr>
        <w:t>(+0.73%)</w:t>
      </w:r>
      <w:r>
        <w:t xml:space="preserve"> sur la séance. </w:t>
      </w:r>
      <w:r>
        <w:t>La capitalisation globale du marché atteint 19 330,891 milliards FCFA.</w:t>
      </w:r>
    </w:p>
    <w:p/>
    <w:p>
      <w:pPr>
        <w:pStyle w:val="Heading3"/>
      </w:pPr>
      <w:r>
        <w:t>📊 Évolution de l'indice BRVM Composite (100 derniers jours)</w:t>
      </w:r>
    </w:p>
    <w:p>
      <w:r>
        <w:rPr>
          <w:b/>
        </w:rPr>
        <w:t xml:space="preserve">BRVM Composite — </w:t>
      </w:r>
      <w:r>
        <w:t xml:space="preserve">Sur les 100 derniers jours de cotation (2026-03-23 au 2026-08-17), l'indice BRVM Composite a évolué de </w:t>
      </w:r>
      <w:r>
        <w:rPr>
          <w:b/>
          <w:color w:val="008000"/>
        </w:rPr>
        <w:t>+24.40%</w:t>
      </w:r>
      <w:r>
        <w:t>, passant de 402.99 pts à 501.30 pts. Le plus haut atteint est 501.30 pts et le plus bas 397.33 pts. Sur l'ensemble de la période, la moyenne de l'indice s'établit à 438.15 pts, la médiane à 435.84 pts et le mode à 403.36 pts</w:t>
      </w:r>
      <w:r>
        <w:t xml:space="preserve"> (asymétrie positive — plus de jours sous la moyenne). </w:t>
      </w:r>
      <w:r>
        <w:t xml:space="preserve">L'écart-type de 32.83 pts (CV=7.5%) traduit une modérée dispersion des cotations. Le kurtosis de -1.34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+24.41%</w:t>
      </w:r>
      <w:r>
        <w:t xml:space="preserve"> sur la période, passant de 15 537,454 Mds FCFA à 19 330,891 Mds FCFA. Le pic de capitalisation observé est de 19 330,891 Mds FCFA et le plancher de 15 319,235 Mds FCFA. La moyenne de la capitalisation sur la période s'établit à 16 886,050 Mds FCFA, la médiane à 16 796,870 Mds FCFA et le mode à 15 319,235 Mds FCFA</w:t>
      </w:r>
      <w:r>
        <w:t xml:space="preserve"> (asymétrie positive). </w:t>
      </w:r>
      <w:r>
        <w:t>L'écart-type de 1 260,917 Mds FCFA (CV=7.5%) reflète une modérée variabilité de la valorisation du marché. Le kurtosis de -1.33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NSBC - NSBC - NSIA BANQUE COTE D'IVOIRE</w:t>
      </w:r>
      <w:r>
        <w:t xml:space="preserve"> | Prix: 23050 FCFA | </w:t>
      </w:r>
      <w:r>
        <w:rPr>
          <w:b/>
          <w:color w:val="008000"/>
        </w:rPr>
        <w:t>ACHAT FORT</w:t>
      </w:r>
      <w:r>
        <w:t xml:space="preserve"> | Confiance: Élevée | Risque: Moyen</w:t>
      </w:r>
    </w:p>
    <w:p>
      <w:pPr>
        <w:pStyle w:val="ListNumber"/>
      </w:pPr>
      <w:r>
        <w:rPr>
          <w:b/>
        </w:rPr>
        <w:t>ABJC - ABJC - SERVAIR ABIDJAN CI</w:t>
      </w:r>
      <w:r>
        <w:t xml:space="preserve"> | Prix: 3300 FCFA | </w:t>
      </w:r>
      <w:r>
        <w:rPr>
          <w:b/>
          <w:color w:val="008000"/>
        </w:rPr>
        <w:t>ACHAT</w:t>
      </w:r>
      <w:r>
        <w:t xml:space="preserve"> | Confiance: Faible | Risque: Faible</w:t>
      </w:r>
    </w:p>
    <w:p>
      <w:pPr>
        <w:pStyle w:val="ListNumber"/>
      </w:pPr>
      <w:r>
        <w:rPr>
          <w:b/>
        </w:rPr>
        <w:t>BICB - BIIC BN - Banque internationale pour le commerce du benin</w:t>
      </w:r>
      <w:r>
        <w:t xml:space="preserve"> | Prix: 8495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28995 FCFA | </w:t>
      </w:r>
      <w:r>
        <w:rPr>
          <w:b/>
          <w:color w:val="008000"/>
        </w:rPr>
        <w:t>ACHAT</w:t>
      </w:r>
      <w:r>
        <w:t xml:space="preserve"> | Confiance: Moyen | Risque: Moyen</w:t>
      </w:r>
    </w:p>
    <w:p>
      <w:pPr>
        <w:pStyle w:val="ListNumber"/>
      </w:pPr>
      <w:r>
        <w:rPr>
          <w:b/>
        </w:rPr>
        <w:t>BNBC - BNBC - BERNABE CI</w:t>
      </w:r>
      <w:r>
        <w:t xml:space="preserve"> | Prix: 1985 FCFA | </w:t>
      </w:r>
      <w:r>
        <w:rPr>
          <w:b/>
          <w:color w:val="008000"/>
        </w:rPr>
        <w:t>ACHAT</w:t>
      </w:r>
      <w:r>
        <w:t xml:space="preserve"> | Confiance: Élevée | Risque: Faible</w:t>
      </w:r>
    </w:p>
    <w:p>
      <w:pPr>
        <w:pStyle w:val="ListNumber"/>
      </w:pPr>
      <w:r>
        <w:rPr>
          <w:b/>
        </w:rPr>
        <w:t>BOAB - BANK OF AFRICA BENIN</w:t>
      </w:r>
      <w:r>
        <w:t xml:space="preserve"> | Prix: 8800 FCFA | </w:t>
      </w:r>
      <w:r>
        <w:rPr>
          <w:b/>
          <w:color w:val="008000"/>
        </w:rPr>
        <w:t>ACHAT</w:t>
      </w:r>
      <w:r>
        <w:t xml:space="preserve"> | Confiance: Faible | Risque: Moyen</w:t>
      </w:r>
    </w:p>
    <w:p>
      <w:pPr>
        <w:pStyle w:val="ListNumber"/>
      </w:pPr>
      <w:r>
        <w:rPr>
          <w:b/>
        </w:rPr>
        <w:t>BOABF - BANK OF AFRICA BURKINA FASO</w:t>
      </w:r>
      <w:r>
        <w:t xml:space="preserve"> | Prix: 7300 FCFA | </w:t>
      </w:r>
      <w:r>
        <w:rPr>
          <w:b/>
          <w:color w:val="008000"/>
        </w:rPr>
        <w:t>ACHAT</w:t>
      </w:r>
      <w:r>
        <w:t xml:space="preserve"> | Confiance: Faible | Risque: Faible</w:t>
      </w:r>
    </w:p>
    <w:p>
      <w:pPr>
        <w:pStyle w:val="ListNumber"/>
      </w:pPr>
      <w:r>
        <w:rPr>
          <w:b/>
        </w:rPr>
        <w:t>BOAC - BANK OF AFRICA COTE D'IVOIRE</w:t>
      </w:r>
      <w:r>
        <w:t xml:space="preserve"> | Prix: 13400 FCFA | </w:t>
      </w:r>
      <w:r>
        <w:rPr>
          <w:b/>
          <w:color w:val="008000"/>
        </w:rPr>
        <w:t>ACHAT</w:t>
      </w:r>
      <w:r>
        <w:t xml:space="preserve"> | Confiance: Faible | Risque: Faible</w:t>
      </w:r>
    </w:p>
    <w:p>
      <w:pPr>
        <w:pStyle w:val="ListNumber"/>
      </w:pPr>
      <w:r>
        <w:rPr>
          <w:b/>
        </w:rPr>
        <w:t>BOAM - BANK OF AFRICA MALI</w:t>
      </w:r>
      <w:r>
        <w:t xml:space="preserve"> | Prix: 6185 FCFA | </w:t>
      </w:r>
      <w:r>
        <w:rPr>
          <w:b/>
          <w:color w:val="008000"/>
        </w:rPr>
        <w:t>ACHAT</w:t>
      </w:r>
      <w:r>
        <w:t xml:space="preserve"> | Confiance: Faible | Risque: Faible</w:t>
      </w:r>
    </w:p>
    <w:p>
      <w:pPr>
        <w:pStyle w:val="ListNumber"/>
      </w:pPr>
      <w:r>
        <w:rPr>
          <w:b/>
        </w:rPr>
        <w:t>BOAN - BANK OF AFRICA NIGER</w:t>
      </w:r>
      <w:r>
        <w:t xml:space="preserve"> | Prix: 5150 FCFA | </w:t>
      </w:r>
      <w:r>
        <w:rPr>
          <w:b/>
          <w:color w:val="008000"/>
        </w:rPr>
        <w:t>ACHAT</w:t>
      </w:r>
      <w:r>
        <w:t xml:space="preserve"> | Confiance: Moyen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65.86%</w:t>
      </w:r>
      <w:r>
        <w:t xml:space="preserve">  |  </w:t>
      </w:r>
      <w:r>
        <w:rPr>
          <w:b/>
        </w:rPr>
        <w:t xml:space="preserve">vs BRVM Composite: </w:t>
      </w:r>
      <w:r>
        <w:rPr>
          <w:b/>
          <w:color w:val="008000"/>
        </w:rPr>
        <w:t>+41.47%  🟢 Surperformance</w:t>
      </w:r>
      <w:r>
        <w:br/>
      </w:r>
      <w:r>
        <w:rPr>
          <w:b/>
        </w:rPr>
        <w:t xml:space="preserve">Sentiment général: </w:t>
      </w:r>
      <w:r>
        <w:t xml:space="preserve">ACHAT  |  </w:t>
      </w:r>
      <w:r>
        <w:rPr>
          <w:b/>
        </w:rPr>
        <w:t xml:space="preserve">Risque moyen: </w:t>
      </w:r>
      <w:r>
        <w:t xml:space="preserve">Moyen  |  </w:t>
      </w:r>
      <w:r>
        <w:rPr>
          <w:b/>
        </w:rPr>
        <w:t xml:space="preserve">Prix moyen: </w:t>
      </w:r>
      <w:r>
        <w:t>8908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39.58%</w:t>
      </w:r>
      <w:r>
        <w:t xml:space="preserve">  |  </w:t>
      </w:r>
      <w:r>
        <w:rPr>
          <w:b/>
        </w:rPr>
        <w:t xml:space="preserve">vs BRVM Composite: </w:t>
      </w:r>
      <w:r>
        <w:rPr>
          <w:b/>
          <w:color w:val="008000"/>
        </w:rPr>
        <w:t>+15.18%  🟢 Surperformance</w:t>
      </w:r>
      <w:r>
        <w:br/>
      </w:r>
      <w:r>
        <w:rPr>
          <w:b/>
        </w:rPr>
        <w:t xml:space="preserve">Sentiment général: </w:t>
      </w:r>
      <w:r>
        <w:t xml:space="preserve">ACHAT  |  </w:t>
      </w:r>
      <w:r>
        <w:rPr>
          <w:b/>
        </w:rPr>
        <w:t xml:space="preserve">Risque moyen: </w:t>
      </w:r>
      <w:r>
        <w:t xml:space="preserve">Moyen  |  </w:t>
      </w:r>
      <w:r>
        <w:rPr>
          <w:b/>
        </w:rPr>
        <w:t xml:space="preserve">Prix moyen: </w:t>
      </w:r>
      <w:r>
        <w:t>13184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36.05%</w:t>
      </w:r>
      <w:r>
        <w:t xml:space="preserve">  |  </w:t>
      </w:r>
      <w:r>
        <w:rPr>
          <w:b/>
        </w:rPr>
        <w:t xml:space="preserve">vs BRVM Composite: </w:t>
      </w:r>
      <w:r>
        <w:rPr>
          <w:b/>
          <w:color w:val="008000"/>
        </w:rPr>
        <w:t>+11.66%  🟢 Surperformance</w:t>
      </w:r>
      <w:r>
        <w:br/>
      </w:r>
      <w:r>
        <w:rPr>
          <w:b/>
        </w:rPr>
        <w:t xml:space="preserve">Sentiment général: </w:t>
      </w:r>
      <w:r>
        <w:t xml:space="preserve">ACHAT  |  </w:t>
      </w:r>
      <w:r>
        <w:rPr>
          <w:b/>
        </w:rPr>
        <w:t xml:space="preserve">Risque moyen: </w:t>
      </w:r>
      <w:r>
        <w:t xml:space="preserve">Faible  |  </w:t>
      </w:r>
      <w:r>
        <w:rPr>
          <w:b/>
        </w:rPr>
        <w:t xml:space="preserve">Prix moyen: </w:t>
      </w:r>
      <w:r>
        <w:t>19526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15.62%</w:t>
      </w:r>
      <w:r>
        <w:t xml:space="preserve">  |  </w:t>
      </w:r>
      <w:r>
        <w:rPr>
          <w:b/>
        </w:rPr>
        <w:t xml:space="preserve">vs BRVM Composite: </w:t>
      </w:r>
      <w:r>
        <w:rPr>
          <w:b/>
          <w:color w:val="C00000"/>
        </w:rPr>
        <w:t>-8.77%  🔴 Sous-performance</w:t>
      </w:r>
      <w:r>
        <w:br/>
      </w:r>
      <w:r>
        <w:rPr>
          <w:b/>
        </w:rPr>
        <w:t xml:space="preserve">Sentiment général: </w:t>
      </w:r>
      <w:r>
        <w:t xml:space="preserve">ACHAT  |  </w:t>
      </w:r>
      <w:r>
        <w:rPr>
          <w:b/>
        </w:rPr>
        <w:t xml:space="preserve">Risque moyen: </w:t>
      </w:r>
      <w:r>
        <w:t xml:space="preserve">Moyen  |  </w:t>
      </w:r>
      <w:r>
        <w:rPr>
          <w:b/>
        </w:rPr>
        <w:t xml:space="preserve">Prix moyen: </w:t>
      </w:r>
      <w:r>
        <w:t>6426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13.47%</w:t>
      </w:r>
      <w:r>
        <w:t xml:space="preserve">  |  </w:t>
      </w:r>
      <w:r>
        <w:rPr>
          <w:b/>
        </w:rPr>
        <w:t xml:space="preserve">vs BRVM Composite: </w:t>
      </w:r>
      <w:r>
        <w:rPr>
          <w:b/>
          <w:color w:val="C00000"/>
        </w:rPr>
        <w:t>-10.92%  🔴 Sous-performance</w:t>
      </w:r>
      <w:r>
        <w:br/>
      </w:r>
      <w:r>
        <w:rPr>
          <w:b/>
        </w:rPr>
        <w:t xml:space="preserve">Sentiment général: </w:t>
      </w:r>
      <w:r>
        <w:t xml:space="preserve">ACHAT  |  </w:t>
      </w:r>
      <w:r>
        <w:rPr>
          <w:b/>
        </w:rPr>
        <w:t xml:space="preserve">Risque moyen: </w:t>
      </w:r>
      <w:r>
        <w:t xml:space="preserve">Faible  |  </w:t>
      </w:r>
      <w:r>
        <w:rPr>
          <w:b/>
        </w:rPr>
        <w:t xml:space="preserve">Prix moyen: </w:t>
      </w:r>
      <w:r>
        <w:t>17783 FCFA</w:t>
        <w:br/>
      </w:r>
      <w:r>
        <w:rPr>
          <w:b/>
        </w:rPr>
        <w:br/>
        <w:t xml:space="preserve">Sociétés: </w:t>
      </w:r>
      <w:r>
        <w:t>ONTBF (ONTBF - ONATEL BURKINA FASO), ORAC (ORAC - ORANGE COTE D'IVOIRE), SNTS (SNTS - SONATEL SN)</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9.16%</w:t>
      </w:r>
      <w:r>
        <w:t xml:space="preserve">  |  </w:t>
      </w:r>
      <w:r>
        <w:rPr>
          <w:b/>
        </w:rPr>
        <w:t xml:space="preserve">vs BRVM Composite: </w:t>
      </w:r>
      <w:r>
        <w:rPr>
          <w:b/>
          <w:color w:val="C00000"/>
        </w:rPr>
        <w:t>-15.24%  🔴 Sous-performance</w:t>
      </w:r>
      <w:r>
        <w:br/>
      </w:r>
      <w:r>
        <w:rPr>
          <w:b/>
        </w:rPr>
        <w:t xml:space="preserve">Sentiment général: </w:t>
      </w:r>
      <w:r>
        <w:t xml:space="preserve">ACHAT  |  </w:t>
      </w:r>
      <w:r>
        <w:rPr>
          <w:b/>
        </w:rPr>
        <w:t xml:space="preserve">Risque moyen: </w:t>
      </w:r>
      <w:r>
        <w:t xml:space="preserve">Moyen  |  </w:t>
      </w:r>
      <w:r>
        <w:rPr>
          <w:b/>
        </w:rPr>
        <w:t xml:space="preserve">Prix moyen: </w:t>
      </w:r>
      <w:r>
        <w:t>2819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008000"/>
        </w:rPr>
        <w:t>3.35%</w:t>
      </w:r>
      <w:r>
        <w:t xml:space="preserve">  |  </w:t>
      </w:r>
      <w:r>
        <w:rPr>
          <w:b/>
        </w:rPr>
        <w:t xml:space="preserve">vs BRVM Composite: </w:t>
      </w:r>
      <w:r>
        <w:rPr>
          <w:b/>
          <w:color w:val="C00000"/>
        </w:rPr>
        <w:t>-21.05%  🔴 Sous-performance</w:t>
      </w:r>
      <w:r>
        <w:br/>
      </w:r>
      <w:r>
        <w:rPr>
          <w:b/>
        </w:rPr>
        <w:t xml:space="preserve">Sentiment général: </w:t>
      </w:r>
      <w:r>
        <w:t xml:space="preserve">ACHAT  |  </w:t>
      </w:r>
      <w:r>
        <w:rPr>
          <w:b/>
        </w:rPr>
        <w:t xml:space="preserve">Risque moyen: </w:t>
      </w:r>
      <w:r>
        <w:t xml:space="preserve">Moyen  |  </w:t>
      </w:r>
      <w:r>
        <w:rPr>
          <w:b/>
        </w:rPr>
        <w:t xml:space="preserve">Prix moyen: </w:t>
      </w:r>
      <w:r>
        <w:t>2481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BICB, BNBC, ECOC, LNBB, NSBC, SAFC, SCRC, SIBC, SNTS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BICC, BOAN, BOAS, CABC, CBIBF, CFAC, ETIT, NEIC, NTLC, ONTBF, PALC, PRSC, SDSC, SEMC, SHEC, STBC, TTLC,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 BOABF, BOAC, BOAM, CIEC, FTSC, ORAC, ORGT, SDCC, SGBC, SICC, SIVC, SLBC, SMBC, SOGC, SPHC, STAC, TTLS, UNLC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2142334</w:t>
            </w:r>
          </w:p>
        </w:tc>
        <w:tc>
          <w:tcPr>
            <w:tcW w:type="dxa" w:w="1728"/>
          </w:tcPr>
          <w:p>
            <w:r>
              <w:t>141520386 FCFA</w:t>
            </w:r>
          </w:p>
        </w:tc>
        <w:tc>
          <w:tcPr>
            <w:tcW w:type="dxa" w:w="1728"/>
          </w:tcPr>
          <w:p>
            <w:r>
              <w:t>103.12%</w:t>
            </w:r>
          </w:p>
        </w:tc>
        <w:tc>
          <w:tcPr>
            <w:tcW w:type="dxa" w:w="1728"/>
          </w:tcPr>
          <w:p>
            <w:r>
              <w:t>ACHAT</w:t>
            </w:r>
          </w:p>
        </w:tc>
      </w:tr>
      <w:tr>
        <w:tc>
          <w:tcPr>
            <w:tcW w:type="dxa" w:w="1728"/>
          </w:tcPr>
          <w:p>
            <w:r>
              <w:t>SDSC (SDSC - AFRICA GLOBAL LOGISTICS CI)</w:t>
            </w:r>
          </w:p>
        </w:tc>
        <w:tc>
          <w:tcPr>
            <w:tcW w:type="dxa" w:w="1728"/>
          </w:tcPr>
          <w:p>
            <w:r>
              <w:t>14595</w:t>
            </w:r>
          </w:p>
        </w:tc>
        <w:tc>
          <w:tcPr>
            <w:tcW w:type="dxa" w:w="1728"/>
          </w:tcPr>
          <w:p>
            <w:r>
              <w:t>37512816 FCFA</w:t>
            </w:r>
          </w:p>
        </w:tc>
        <w:tc>
          <w:tcPr>
            <w:tcW w:type="dxa" w:w="1728"/>
          </w:tcPr>
          <w:p>
            <w:r>
              <w:t>47.95%</w:t>
            </w:r>
          </w:p>
        </w:tc>
        <w:tc>
          <w:tcPr>
            <w:tcW w:type="dxa" w:w="1728"/>
          </w:tcPr>
          <w:p>
            <w:r>
              <w:t>ACHAT</w:t>
            </w:r>
          </w:p>
        </w:tc>
      </w:tr>
      <w:tr>
        <w:tc>
          <w:tcPr>
            <w:tcW w:type="dxa" w:w="1728"/>
          </w:tcPr>
          <w:p>
            <w:r>
              <w:t>SNTS (SNTS - SONATEL SN)</w:t>
            </w:r>
          </w:p>
        </w:tc>
        <w:tc>
          <w:tcPr>
            <w:tcW w:type="dxa" w:w="1728"/>
          </w:tcPr>
          <w:p>
            <w:r>
              <w:t>11489</w:t>
            </w:r>
          </w:p>
        </w:tc>
        <w:tc>
          <w:tcPr>
            <w:tcW w:type="dxa" w:w="1728"/>
          </w:tcPr>
          <w:p>
            <w:r>
              <w:t>357841622 FCFA</w:t>
            </w:r>
          </w:p>
        </w:tc>
        <w:tc>
          <w:tcPr>
            <w:tcW w:type="dxa" w:w="1728"/>
          </w:tcPr>
          <w:p>
            <w:r>
              <w:t>13.12%</w:t>
            </w:r>
          </w:p>
        </w:tc>
        <w:tc>
          <w:tcPr>
            <w:tcW w:type="dxa" w:w="1728"/>
          </w:tcPr>
          <w:p>
            <w:r>
              <w:t>ACHAT</w:t>
            </w:r>
          </w:p>
        </w:tc>
      </w:tr>
      <w:tr>
        <w:tc>
          <w:tcPr>
            <w:tcW w:type="dxa" w:w="1728"/>
          </w:tcPr>
          <w:p>
            <w:r>
              <w:t>SOGC (SOGC - Société des caoutchoucs de Grand-Béréby)</w:t>
            </w:r>
          </w:p>
        </w:tc>
        <w:tc>
          <w:tcPr>
            <w:tcW w:type="dxa" w:w="1728"/>
          </w:tcPr>
          <w:p>
            <w:r>
              <w:t>11026</w:t>
            </w:r>
          </w:p>
        </w:tc>
        <w:tc>
          <w:tcPr>
            <w:tcW w:type="dxa" w:w="1728"/>
          </w:tcPr>
          <w:p>
            <w:r>
              <w:t>82986131 FCFA</w:t>
            </w:r>
          </w:p>
        </w:tc>
        <w:tc>
          <w:tcPr>
            <w:tcW w:type="dxa" w:w="1728"/>
          </w:tcPr>
          <w:p>
            <w:r>
              <w:t>-7.65%</w:t>
            </w:r>
          </w:p>
        </w:tc>
        <w:tc>
          <w:tcPr>
            <w:tcW w:type="dxa" w:w="1728"/>
          </w:tcPr>
          <w:p>
            <w:r>
              <w:t>ACHAT</w:t>
            </w:r>
          </w:p>
        </w:tc>
      </w:tr>
      <w:tr>
        <w:tc>
          <w:tcPr>
            <w:tcW w:type="dxa" w:w="1728"/>
          </w:tcPr>
          <w:p>
            <w:r>
              <w:t>BICB (BIIC BN - Banque internationale pour le commerce du benin)</w:t>
            </w:r>
          </w:p>
        </w:tc>
        <w:tc>
          <w:tcPr>
            <w:tcW w:type="dxa" w:w="1728"/>
          </w:tcPr>
          <w:p>
            <w:r>
              <w:t>10910</w:t>
            </w:r>
          </w:p>
        </w:tc>
        <w:tc>
          <w:tcPr>
            <w:tcW w:type="dxa" w:w="1728"/>
          </w:tcPr>
          <w:p>
            <w:r>
              <w:t>85027555 FCFA</w:t>
            </w:r>
          </w:p>
        </w:tc>
        <w:tc>
          <w:tcPr>
            <w:tcW w:type="dxa" w:w="1728"/>
          </w:tcPr>
          <w:p>
            <w:r>
              <w:t>63.84%</w:t>
            </w:r>
          </w:p>
        </w:tc>
        <w:tc>
          <w:tcPr>
            <w:tcW w:type="dxa" w:w="1728"/>
          </w:tcPr>
          <w:p>
            <w:r>
              <w:t>ACHAT</w:t>
            </w:r>
          </w:p>
        </w:tc>
      </w:tr>
      <w:tr>
        <w:tc>
          <w:tcPr>
            <w:tcW w:type="dxa" w:w="1728"/>
          </w:tcPr>
          <w:p>
            <w:r>
              <w:t>UNXC (UNXC - UNIWAX COTE D'IVOIRE)</w:t>
            </w:r>
          </w:p>
        </w:tc>
        <w:tc>
          <w:tcPr>
            <w:tcW w:type="dxa" w:w="1728"/>
          </w:tcPr>
          <w:p>
            <w:r>
              <w:t>10772</w:t>
            </w:r>
          </w:p>
        </w:tc>
        <w:tc>
          <w:tcPr>
            <w:tcW w:type="dxa" w:w="1728"/>
          </w:tcPr>
          <w:p>
            <w:r>
              <w:t>20627124 FCFA</w:t>
            </w:r>
          </w:p>
        </w:tc>
        <w:tc>
          <w:tcPr>
            <w:tcW w:type="dxa" w:w="1728"/>
          </w:tcPr>
          <w:p>
            <w:r>
              <w:t>0.48%</w:t>
            </w:r>
          </w:p>
        </w:tc>
        <w:tc>
          <w:tcPr>
            <w:tcW w:type="dxa" w:w="1728"/>
          </w:tcPr>
          <w:p>
            <w:r>
              <w:t>ACHAT</w:t>
            </w:r>
          </w:p>
        </w:tc>
      </w:tr>
      <w:tr>
        <w:tc>
          <w:tcPr>
            <w:tcW w:type="dxa" w:w="1728"/>
          </w:tcPr>
          <w:p>
            <w:r>
              <w:t>ONTBF (ONTBF - ONATEL BURKINA FASO)</w:t>
            </w:r>
          </w:p>
        </w:tc>
        <w:tc>
          <w:tcPr>
            <w:tcW w:type="dxa" w:w="1728"/>
          </w:tcPr>
          <w:p>
            <w:r>
              <w:t>7825</w:t>
            </w:r>
          </w:p>
        </w:tc>
        <w:tc>
          <w:tcPr>
            <w:tcW w:type="dxa" w:w="1728"/>
          </w:tcPr>
          <w:p>
            <w:r>
              <w:t>21635556 FCFA</w:t>
            </w:r>
          </w:p>
        </w:tc>
        <w:tc>
          <w:tcPr>
            <w:tcW w:type="dxa" w:w="1728"/>
          </w:tcPr>
          <w:p>
            <w:r>
              <w:t>-3.33%</w:t>
            </w:r>
          </w:p>
        </w:tc>
        <w:tc>
          <w:tcPr>
            <w:tcW w:type="dxa" w:w="1728"/>
          </w:tcPr>
          <w:p>
            <w:r>
              <w:t>ACHAT</w:t>
            </w:r>
          </w:p>
        </w:tc>
      </w:tr>
      <w:tr>
        <w:tc>
          <w:tcPr>
            <w:tcW w:type="dxa" w:w="1728"/>
          </w:tcPr>
          <w:p>
            <w:r>
              <w:t>SIBC (SIBC - SOCIETE IVOIRIENNE DE BANQUE)</w:t>
            </w:r>
          </w:p>
        </w:tc>
        <w:tc>
          <w:tcPr>
            <w:tcW w:type="dxa" w:w="1728"/>
          </w:tcPr>
          <w:p>
            <w:r>
              <w:t>7654</w:t>
            </w:r>
          </w:p>
        </w:tc>
        <w:tc>
          <w:tcPr>
            <w:tcW w:type="dxa" w:w="1728"/>
          </w:tcPr>
          <w:p>
            <w:r>
              <w:t>69325500 FCFA</w:t>
            </w:r>
          </w:p>
        </w:tc>
        <w:tc>
          <w:tcPr>
            <w:tcW w:type="dxa" w:w="1728"/>
          </w:tcPr>
          <w:p>
            <w:r>
              <w:t>34.49%</w:t>
            </w:r>
          </w:p>
        </w:tc>
        <w:tc>
          <w:tcPr>
            <w:tcW w:type="dxa" w:w="1728"/>
          </w:tcPr>
          <w:p>
            <w:r>
              <w:t>ACHAT</w:t>
            </w:r>
          </w:p>
        </w:tc>
      </w:tr>
      <w:tr>
        <w:tc>
          <w:tcPr>
            <w:tcW w:type="dxa" w:w="1728"/>
          </w:tcPr>
          <w:p>
            <w:r>
              <w:t>BOAC (BANK OF AFRICA COTE D'IVOIRE)</w:t>
            </w:r>
          </w:p>
        </w:tc>
        <w:tc>
          <w:tcPr>
            <w:tcW w:type="dxa" w:w="1728"/>
          </w:tcPr>
          <w:p>
            <w:r>
              <w:t>7519</w:t>
            </w:r>
          </w:p>
        </w:tc>
        <w:tc>
          <w:tcPr>
            <w:tcW w:type="dxa" w:w="1728"/>
          </w:tcPr>
          <w:p>
            <w:r>
              <w:t>84169934 FCFA</w:t>
            </w:r>
          </w:p>
        </w:tc>
        <w:tc>
          <w:tcPr>
            <w:tcW w:type="dxa" w:w="1728"/>
          </w:tcPr>
          <w:p>
            <w:r>
              <w:t>52.45%</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3167</w:t>
            </w:r>
          </w:p>
        </w:tc>
        <w:tc>
          <w:tcPr>
            <w:tcW w:type="dxa" w:w="1728"/>
          </w:tcPr>
          <w:p>
            <w:r>
              <w:t>9623711 FCFA</w:t>
            </w:r>
          </w:p>
        </w:tc>
        <w:tc>
          <w:tcPr>
            <w:tcW w:type="dxa" w:w="1728"/>
          </w:tcPr>
          <w:p>
            <w:r>
              <w:t>-11.53%</w:t>
            </w:r>
          </w:p>
        </w:tc>
        <w:tc>
          <w:tcPr>
            <w:tcW w:type="dxa" w:w="1728"/>
          </w:tcPr>
          <w:p>
            <w:r>
              <w:t>ACHAT</w:t>
            </w:r>
          </w:p>
        </w:tc>
      </w:tr>
      <w:tr>
        <w:tc>
          <w:tcPr>
            <w:tcW w:type="dxa" w:w="1728"/>
          </w:tcPr>
          <w:p>
            <w:r>
              <w:t>CFAC (CFAC - CFAO MOTORS CI)</w:t>
            </w:r>
          </w:p>
        </w:tc>
        <w:tc>
          <w:tcPr>
            <w:tcW w:type="dxa" w:w="1728"/>
          </w:tcPr>
          <w:p>
            <w:r>
              <w:t>2967</w:t>
            </w:r>
          </w:p>
        </w:tc>
        <w:tc>
          <w:tcPr>
            <w:tcW w:type="dxa" w:w="1728"/>
          </w:tcPr>
          <w:p>
            <w:r>
              <w:t>4936716 FCFA</w:t>
            </w:r>
          </w:p>
        </w:tc>
        <w:tc>
          <w:tcPr>
            <w:tcW w:type="dxa" w:w="1728"/>
          </w:tcPr>
          <w:p>
            <w:r>
              <w:t>-4.86%</w:t>
            </w:r>
          </w:p>
        </w:tc>
        <w:tc>
          <w:tcPr>
            <w:tcW w:type="dxa" w:w="1728"/>
          </w:tcPr>
          <w:p>
            <w:r>
              <w:t>ACHAT</w:t>
            </w:r>
          </w:p>
        </w:tc>
      </w:tr>
      <w:tr>
        <w:tc>
          <w:tcPr>
            <w:tcW w:type="dxa" w:w="1728"/>
          </w:tcPr>
          <w:p>
            <w:r>
              <w:t>TTLS (TTLS - TOTAL ENERGIES MARKETING SENEGAL)</w:t>
            </w:r>
          </w:p>
        </w:tc>
        <w:tc>
          <w:tcPr>
            <w:tcW w:type="dxa" w:w="1728"/>
          </w:tcPr>
          <w:p>
            <w:r>
              <w:t>2804</w:t>
            </w:r>
          </w:p>
        </w:tc>
        <w:tc>
          <w:tcPr>
            <w:tcW w:type="dxa" w:w="1728"/>
          </w:tcPr>
          <w:p>
            <w:r>
              <w:t>10261476 FCFA</w:t>
            </w:r>
          </w:p>
        </w:tc>
        <w:tc>
          <w:tcPr>
            <w:tcW w:type="dxa" w:w="1728"/>
          </w:tcPr>
          <w:p>
            <w:r>
              <w:t>22.31%</w:t>
            </w:r>
          </w:p>
        </w:tc>
        <w:tc>
          <w:tcPr>
            <w:tcW w:type="dxa" w:w="1728"/>
          </w:tcPr>
          <w:p>
            <w:r>
              <w:t>ACHAT</w:t>
            </w:r>
          </w:p>
        </w:tc>
      </w:tr>
      <w:tr>
        <w:tc>
          <w:tcPr>
            <w:tcW w:type="dxa" w:w="1728"/>
          </w:tcPr>
          <w:p>
            <w:r>
              <w:t>CABC (CABC - SICABLE COTE D'IVOIRE)</w:t>
            </w:r>
          </w:p>
        </w:tc>
        <w:tc>
          <w:tcPr>
            <w:tcW w:type="dxa" w:w="1728"/>
          </w:tcPr>
          <w:p>
            <w:r>
              <w:t>2579</w:t>
            </w:r>
          </w:p>
        </w:tc>
        <w:tc>
          <w:tcPr>
            <w:tcW w:type="dxa" w:w="1728"/>
          </w:tcPr>
          <w:p>
            <w:r>
              <w:t>9179505 FCFA</w:t>
            </w:r>
          </w:p>
        </w:tc>
        <w:tc>
          <w:tcPr>
            <w:tcW w:type="dxa" w:w="1728"/>
          </w:tcPr>
          <w:p>
            <w:r>
              <w:t>9.92%</w:t>
            </w:r>
          </w:p>
        </w:tc>
        <w:tc>
          <w:tcPr>
            <w:tcW w:type="dxa" w:w="1728"/>
          </w:tcPr>
          <w:p>
            <w:r>
              <w:t>ACHAT</w:t>
            </w:r>
          </w:p>
        </w:tc>
      </w:tr>
      <w:tr>
        <w:tc>
          <w:tcPr>
            <w:tcW w:type="dxa" w:w="1728"/>
          </w:tcPr>
          <w:p>
            <w:r>
              <w:t>PALC (PALC - PALM COTE D'IVOIRE)</w:t>
            </w:r>
          </w:p>
        </w:tc>
        <w:tc>
          <w:tcPr>
            <w:tcW w:type="dxa" w:w="1728"/>
          </w:tcPr>
          <w:p>
            <w:r>
              <w:t>2478</w:t>
            </w:r>
          </w:p>
        </w:tc>
        <w:tc>
          <w:tcPr>
            <w:tcW w:type="dxa" w:w="1728"/>
          </w:tcPr>
          <w:p>
            <w:r>
              <w:t>22090218 FCFA</w:t>
            </w:r>
          </w:p>
        </w:tc>
        <w:tc>
          <w:tcPr>
            <w:tcW w:type="dxa" w:w="1728"/>
          </w:tcPr>
          <w:p>
            <w:r>
              <w:t>-1.06%</w:t>
            </w:r>
          </w:p>
        </w:tc>
        <w:tc>
          <w:tcPr>
            <w:tcW w:type="dxa" w:w="1728"/>
          </w:tcPr>
          <w:p>
            <w:r>
              <w:t>ACHAT</w:t>
            </w:r>
          </w:p>
        </w:tc>
      </w:tr>
      <w:tr>
        <w:tc>
          <w:tcPr>
            <w:tcW w:type="dxa" w:w="1728"/>
          </w:tcPr>
          <w:p>
            <w:r>
              <w:t>SLBC (SLBC - SOLIBRA COTE D'IVOIRE)</w:t>
            </w:r>
          </w:p>
        </w:tc>
        <w:tc>
          <w:tcPr>
            <w:tcW w:type="dxa" w:w="1728"/>
          </w:tcPr>
          <w:p>
            <w:r>
              <w:t>2179</w:t>
            </w:r>
          </w:p>
        </w:tc>
        <w:tc>
          <w:tcPr>
            <w:tcW w:type="dxa" w:w="1728"/>
          </w:tcPr>
          <w:p>
            <w:r>
              <w:t>84214469 FCFA</w:t>
            </w:r>
          </w:p>
        </w:tc>
        <w:tc>
          <w:tcPr>
            <w:tcW w:type="dxa" w:w="1728"/>
          </w:tcPr>
          <w:p>
            <w:r>
              <w:t>-2.36%</w:t>
            </w:r>
          </w:p>
        </w:tc>
        <w:tc>
          <w:tcPr>
            <w:tcW w:type="dxa" w:w="1728"/>
          </w:tcPr>
          <w:p>
            <w:r>
              <w:t>ACHAT</w:t>
            </w:r>
          </w:p>
        </w:tc>
      </w:tr>
      <w:tr>
        <w:tc>
          <w:tcPr>
            <w:tcW w:type="dxa" w:w="1728"/>
          </w:tcPr>
          <w:p>
            <w:r>
              <w:t>SMBC (SMBC - Société Multinationale de Bitumes COTE D'IVOIRE)</w:t>
            </w:r>
          </w:p>
        </w:tc>
        <w:tc>
          <w:tcPr>
            <w:tcW w:type="dxa" w:w="1728"/>
          </w:tcPr>
          <w:p>
            <w:r>
              <w:t>1843</w:t>
            </w:r>
          </w:p>
        </w:tc>
        <w:tc>
          <w:tcPr>
            <w:tcW w:type="dxa" w:w="1728"/>
          </w:tcPr>
          <w:p>
            <w:r>
              <w:t>29390066 FCFA</w:t>
            </w:r>
          </w:p>
        </w:tc>
        <w:tc>
          <w:tcPr>
            <w:tcW w:type="dxa" w:w="1728"/>
          </w:tcPr>
          <w:p>
            <w:r>
              <w:t>23.69%</w:t>
            </w:r>
          </w:p>
        </w:tc>
        <w:tc>
          <w:tcPr>
            <w:tcW w:type="dxa" w:w="1728"/>
          </w:tcPr>
          <w:p>
            <w:r>
              <w:t>ACHAT</w:t>
            </w:r>
          </w:p>
        </w:tc>
      </w:tr>
      <w:tr>
        <w:tc>
          <w:tcPr>
            <w:tcW w:type="dxa" w:w="1728"/>
          </w:tcPr>
          <w:p>
            <w:r>
              <w:t>SPHC (SPHC - Société Africaine de Plantation d'Hévéas de Côte d'Ivoire)</w:t>
            </w:r>
          </w:p>
        </w:tc>
        <w:tc>
          <w:tcPr>
            <w:tcW w:type="dxa" w:w="1728"/>
          </w:tcPr>
          <w:p>
            <w:r>
              <w:t>1726</w:t>
            </w:r>
          </w:p>
        </w:tc>
        <w:tc>
          <w:tcPr>
            <w:tcW w:type="dxa" w:w="1728"/>
          </w:tcPr>
          <w:p>
            <w:r>
              <w:t>13314234 FCFA</w:t>
            </w:r>
          </w:p>
        </w:tc>
        <w:tc>
          <w:tcPr>
            <w:tcW w:type="dxa" w:w="1728"/>
          </w:tcPr>
          <w:p>
            <w:r>
              <w:t>16.02%</w:t>
            </w:r>
          </w:p>
        </w:tc>
        <w:tc>
          <w:tcPr>
            <w:tcW w:type="dxa" w:w="1728"/>
          </w:tcPr>
          <w:p>
            <w:r>
              <w:t>ACHAT</w:t>
            </w:r>
          </w:p>
        </w:tc>
      </w:tr>
      <w:tr>
        <w:tc>
          <w:tcPr>
            <w:tcW w:type="dxa" w:w="1728"/>
          </w:tcPr>
          <w:p>
            <w:r>
              <w:t>BNBC (BNBC - BERNABE CI)</w:t>
            </w:r>
          </w:p>
        </w:tc>
        <w:tc>
          <w:tcPr>
            <w:tcW w:type="dxa" w:w="1728"/>
          </w:tcPr>
          <w:p>
            <w:r>
              <w:t>1670</w:t>
            </w:r>
          </w:p>
        </w:tc>
        <w:tc>
          <w:tcPr>
            <w:tcW w:type="dxa" w:w="1728"/>
          </w:tcPr>
          <w:p>
            <w:r>
              <w:t>3228504 FCFA</w:t>
            </w:r>
          </w:p>
        </w:tc>
        <w:tc>
          <w:tcPr>
            <w:tcW w:type="dxa" w:w="1728"/>
          </w:tcPr>
          <w:p>
            <w:r>
              <w:t>23.68%</w:t>
            </w:r>
          </w:p>
        </w:tc>
        <w:tc>
          <w:tcPr>
            <w:tcW w:type="dxa" w:w="1728"/>
          </w:tcPr>
          <w:p>
            <w:r>
              <w:t>ACHAT</w:t>
            </w:r>
          </w:p>
        </w:tc>
      </w:tr>
      <w:tr>
        <w:tc>
          <w:tcPr>
            <w:tcW w:type="dxa" w:w="1728"/>
          </w:tcPr>
          <w:p>
            <w:r>
              <w:t>NSBC (NSBC - NSIA BANQUE COTE D'IVOIRE)</w:t>
            </w:r>
          </w:p>
        </w:tc>
        <w:tc>
          <w:tcPr>
            <w:tcW w:type="dxa" w:w="1728"/>
          </w:tcPr>
          <w:p>
            <w:r>
              <w:t>1534</w:t>
            </w:r>
          </w:p>
        </w:tc>
        <w:tc>
          <w:tcPr>
            <w:tcW w:type="dxa" w:w="1728"/>
          </w:tcPr>
          <w:p>
            <w:r>
              <w:t>35869385 FCFA</w:t>
            </w:r>
          </w:p>
        </w:tc>
        <w:tc>
          <w:tcPr>
            <w:tcW w:type="dxa" w:w="1728"/>
          </w:tcPr>
          <w:p>
            <w:r>
              <w:t>64.64%</w:t>
            </w:r>
          </w:p>
        </w:tc>
        <w:tc>
          <w:tcPr>
            <w:tcW w:type="dxa" w:w="1728"/>
          </w:tcPr>
          <w:p>
            <w:r>
              <w:t>ACHAT FORT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 - BANK OF AFRICA BENIN</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SDCC - SDCC - Société de Distribution d'Eau de Côte d'Ivoire</w:t>
      </w:r>
    </w:p>
    <w:p>
      <w:r>
        <w:rPr>
          <w:b/>
        </w:rPr>
        <w:t xml:space="preserve">Score de divergence: </w:t>
      </w:r>
      <w:r>
        <w:t>6/8</w:t>
        <w:br/>
      </w:r>
      <w:r>
        <w:rPr>
          <w:b/>
        </w:rPr>
        <w:t xml:space="preserve">Description: </w:t>
      </w:r>
      <w:r>
        <w:t>Signaux de vente: MM, MACD, Stochastique | Recommandation finale: ACHAT</w:t>
        <w:br/>
      </w:r>
    </w:p>
    <w:p/>
    <w:p>
      <w:pPr>
        <w:pStyle w:val="Heading3"/>
      </w:pPr>
      <w:r>
        <w:t>3. TTLS - TTLS - TOTAL ENERGIES MARKETING SENEGAL</w:t>
      </w:r>
    </w:p>
    <w:p>
      <w:r>
        <w:rPr>
          <w:b/>
        </w:rPr>
        <w:t xml:space="preserve">Score de divergence: </w:t>
      </w:r>
      <w:r>
        <w:t>6/8</w:t>
        <w:br/>
      </w:r>
      <w:r>
        <w:rPr>
          <w:b/>
        </w:rPr>
        <w:t xml:space="preserve">Description: </w:t>
      </w:r>
      <w:r>
        <w:t>Signaux de vente: MM, MACD, Stochastique | Recommandation finale: ACHAT</w:t>
        <w:br/>
      </w:r>
    </w:p>
    <w:p/>
    <w:p>
      <w:pPr>
        <w:pStyle w:val="Heading3"/>
      </w:pPr>
      <w:r>
        <w:t>4. SGBC - SGBC - SOCIETE GENERALE COTE D'IVOIRE</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5. SLBC - SLBC - SOLIBRA COTE D'IVOIRE</w:t>
      </w:r>
    </w:p>
    <w:p>
      <w:r>
        <w:rPr>
          <w:b/>
        </w:rPr>
        <w:t xml:space="preserve">Score de divergence: </w:t>
      </w:r>
      <w:r>
        <w:t>5/8</w:t>
        <w:br/>
      </w:r>
      <w:r>
        <w:rPr>
          <w:b/>
        </w:rPr>
        <w:t xml:space="preserve">Description: </w:t>
      </w:r>
      <w:r>
        <w:t>Signaux de vente: MM, MACD | Recommandation finale: ACHAT</w:t>
        <w:br/>
      </w:r>
    </w:p>
    <w:p/>
    <w:p>
      <w:pPr>
        <w:pStyle w:val="Heading3"/>
      </w:pPr>
      <w:r>
        <w:t>6.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7.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BOABF - BANK OF AFRICA BURKINA FASO</w:t>
      </w:r>
    </w:p>
    <w:p>
      <w:r>
        <w:rPr>
          <w:b/>
        </w:rPr>
        <w:t xml:space="preserve">Score de divergence: </w:t>
      </w:r>
      <w:r>
        <w:t>4/8</w:t>
        <w:br/>
      </w:r>
      <w:r>
        <w:rPr>
          <w:b/>
        </w:rPr>
        <w:t xml:space="preserve">Description: </w:t>
      </w:r>
      <w:r>
        <w:t>Signaux d'achat: MM | Signaux de vente: MACD, RSI | Recommandation finale: ACHAT</w:t>
        <w:br/>
      </w:r>
    </w:p>
    <w:p/>
    <w:p>
      <w:pPr>
        <w:pStyle w:val="Heading3"/>
      </w:pPr>
      <w:r>
        <w:t>9. BOAC - BANK OF AFRICA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BOAM - BANK OF AFRICA MALI</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23</w:t>
            </w:r>
          </w:p>
        </w:tc>
        <w:tc>
          <w:tcPr>
            <w:tcW w:type="dxa" w:w="2160"/>
          </w:tcPr>
          <w:p>
            <w:r>
              <w:t>0</w:t>
            </w:r>
          </w:p>
        </w:tc>
      </w:tr>
      <w:tr>
        <w:tc>
          <w:tcPr>
            <w:tcW w:type="dxa" w:w="2160"/>
          </w:tcPr>
          <w:p>
            <w:r>
              <w:t>Risque Moyen</w:t>
            </w:r>
          </w:p>
        </w:tc>
        <w:tc>
          <w:tcPr>
            <w:tcW w:type="dxa" w:w="2160"/>
          </w:tcPr>
          <w:p>
            <w:r>
              <w:t>0</w:t>
            </w:r>
          </w:p>
        </w:tc>
        <w:tc>
          <w:tcPr>
            <w:tcW w:type="dxa" w:w="2160"/>
          </w:tcPr>
          <w:p>
            <w:r>
              <w:t>24</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BNBC (BNBC - BERNABE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SNTS (SNTS - SONATEL SN)</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SHEC (SHEC - VIVO ENERGY COTE D'IVOIRE)</w:t>
      </w:r>
    </w:p>
    <w:p>
      <w:pPr>
        <w:pStyle w:val="ListBullet"/>
      </w:pPr>
      <w:r>
        <w:t>• SICC (SICC - SICOR COTE D'IVOIRE)</w:t>
      </w:r>
    </w:p>
    <w:p>
      <w:pPr>
        <w:pStyle w:val="ListBullet"/>
      </w:pPr>
      <w:r>
        <w:t>• SMBC (SMBC - Société Multinationale de Bitumes COTE D'IVOIRE)</w:t>
      </w:r>
    </w:p>
    <w:p>
      <w:pPr>
        <w:pStyle w:val="ListBullet"/>
      </w:pPr>
      <w:r>
        <w:t>• STAC (STAC - SETAO COTE D'IVOIRE)</w:t>
      </w:r>
    </w:p>
    <w:p>
      <w:pPr>
        <w:pStyle w:val="ListBullet"/>
      </w:pPr>
      <w:r>
        <w:t>• UNLC (UNLC - UNILEVER COTE D'IVOIRE)</w:t>
      </w:r>
    </w:p>
    <w:p>
      <w:pPr>
        <w:pStyle w:val="ListBullet"/>
      </w:pPr>
      <w:r>
        <w:t>• UNXC (UNXC - UNIWAX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MACROÉCONOMIQUE - BRVM**</w:t>
      </w:r>
    </w:p>
    <w:p>
      <w:pPr>
        <w:spacing w:before="20" w:after="40"/>
        <w:ind w:left="0"/>
      </w:pPr>
      <w:r>
        <w:rPr>
          <w:sz w:val="18"/>
        </w:rPr>
        <w:t>**Date : 18 Août 2026**</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Les marchés nord-américains ont clôturé en baisse, signalant une aversion au risque sur les places occidentales. En parallèle, les prix du pétrole brut et du blé ont bondi d'environ 6% sous l'effet d'une forte pression de la demande, créant un environnement de tensions inflationnistes sur les matières premières agricoles et énergétiques.</w:t>
      </w:r>
    </w:p>
    <w:p>
      <w:pPr>
        <w:pStyle w:val="Heading3"/>
      </w:pPr>
      <w:r>
        <w:rPr>
          <w:color w:val="500050"/>
        </w:rPr>
        <w:t>⚡ Impact estimé sur la BRVM</w:t>
      </w:r>
    </w:p>
    <w:p>
      <w:pPr>
        <w:spacing w:before="20" w:after="40"/>
        <w:ind w:left="280"/>
      </w:pPr>
      <w:r>
        <w:rPr>
          <w:i/>
          <w:sz w:val="18"/>
        </w:rPr>
        <w:t>La hausse des prix du pétrole est un facteur **positif** pour le secteur ÉNERGIE, notamment pour **TTLC** et **SHEC**, qui pourraient voir leurs marges s'améliorer. À l'inverse, la hausse du blé pèsera sur les coûts des entreprises de CONSOMMATION DE BASE comme **NTLC** et **SPHC**, qui dépendent des importations de matières premières agricoles, compressant potentiellement leurs marges.</w:t>
      </w:r>
    </w:p>
    <w:p>
      <w:pPr>
        <w:pStyle w:val="Heading2"/>
      </w:pPr>
      <w:r>
        <w:rPr>
          <w:color w:val="006E32"/>
        </w:rPr>
        <w:t>🌍 Plan Africain</w:t>
      </w:r>
    </w:p>
    <w:p>
      <w:pPr>
        <w:spacing w:before="20" w:after="40"/>
        <w:ind w:left="0"/>
      </w:pPr>
      <w:r>
        <w:rPr>
          <w:sz w:val="18"/>
        </w:rPr>
        <w:t>Les perspectives d'investissement en Afrique restent positives, ciblant les infrastructures, l'agro-industrie et les énergies renouvelables. Par ailleurs, l'économie des soins est identifiée comme un levier de croissance stratégique, notamment au Sénégal. Enfin, la Senelec a levé 108 milliards de FCFA en dette verte à la Bourse de Luxembourg, démontrant l'appétit des investisseurs pour les projets structurants ouest-africains.</w:t>
      </w:r>
    </w:p>
    <w:p>
      <w:pPr>
        <w:pStyle w:val="Heading3"/>
      </w:pPr>
      <w:r>
        <w:rPr>
          <w:color w:val="500050"/>
        </w:rPr>
        <w:t>⚡ Impact estimé sur la BRVM</w:t>
      </w:r>
    </w:p>
    <w:p>
      <w:pPr>
        <w:spacing w:before="20" w:after="40"/>
        <w:ind w:left="280"/>
      </w:pPr>
      <w:r>
        <w:rPr>
          <w:i/>
          <w:sz w:val="18"/>
        </w:rPr>
        <w:t>Les secteurs mis en avant (infrastructures, énergie) sont directement corrélés aux activités de **SIBC** et **BOAC** (financement de projets) et de **SHEC**. La levée de fonds de la Senelec pourrait inspirer des émissions similaires sur la BRVM, renforçant l'attractivité du marché pour les émetteurs institutionnels.</w:t>
      </w:r>
    </w:p>
    <w:p>
      <w:pPr>
        <w:pStyle w:val="Heading2"/>
      </w:pPr>
      <w:r>
        <w:rPr>
          <w:color w:val="145A28"/>
        </w:rPr>
        <w:t>🌍 Plan Afrique de l'Ouest</w:t>
      </w:r>
    </w:p>
    <w:p>
      <w:pPr>
        <w:spacing w:before="20" w:after="40"/>
        <w:ind w:left="0"/>
      </w:pPr>
      <w:r>
        <w:rPr>
          <w:sz w:val="18"/>
        </w:rPr>
        <w:t>Quatre pays ouest-africains dominent le haut débit grâce à la fibre optique, une avancée numérique significative pour la sous-région. Le projet de monnaie unique (Eco) reste toutefois confronté à des obstacles économiques et politiques majeurs, malgré un calendrier évoqué pour 2027.</w:t>
      </w:r>
    </w:p>
    <w:p>
      <w:pPr>
        <w:pStyle w:val="Heading3"/>
      </w:pPr>
      <w:r>
        <w:rPr>
          <w:color w:val="500050"/>
        </w:rPr>
        <w:t>⚡ Impact estimé sur la BRVM</w:t>
      </w:r>
    </w:p>
    <w:p>
      <w:pPr>
        <w:spacing w:before="20" w:after="40"/>
        <w:ind w:left="280"/>
      </w:pPr>
      <w:r>
        <w:rPr>
          <w:i/>
          <w:sz w:val="18"/>
        </w:rPr>
        <w:t>Le développement du haut débit est un catalyseur pour le secteur des TELECOMMUNICATIONS, bénéficiant directement à **SNTS**. L'incertitude persistante sur la monnaie unique maintient un risque de change et politique latent, incitant les investisseurs à la prudence sur les actifs à long terme.</w:t>
      </w:r>
    </w:p>
    <w:p>
      <w:pPr>
        <w:pStyle w:val="Heading2"/>
      </w:pPr>
      <w:r>
        <w:rPr>
          <w:color w:val="8C4600"/>
        </w:rPr>
        <w:t>🏦 Plan UEMOA / Zone Franc</w:t>
      </w:r>
    </w:p>
    <w:p>
      <w:pPr>
        <w:spacing w:before="20" w:after="40"/>
        <w:ind w:left="0"/>
      </w:pPr>
      <w:r>
        <w:rPr>
          <w:sz w:val="18"/>
        </w:rPr>
        <w:t>La mission du FMI au Sénégal est critiquée par le FRAPP, qui dénonce une politique d'austérité. Cette situation soulève des questions sur la trajectoire budgétaire de la zone et la pression sur les finances publiques.</w:t>
      </w:r>
    </w:p>
    <w:p>
      <w:pPr>
        <w:pStyle w:val="Heading3"/>
      </w:pPr>
      <w:r>
        <w:rPr>
          <w:color w:val="500050"/>
        </w:rPr>
        <w:t>⚡ Impact estimé sur la BRVM</w:t>
      </w:r>
    </w:p>
    <w:p>
      <w:pPr>
        <w:spacing w:before="20" w:after="40"/>
        <w:ind w:left="280"/>
      </w:pPr>
      <w:r>
        <w:rPr>
          <w:i/>
          <w:sz w:val="18"/>
        </w:rPr>
        <w:t>Une politique d'austérité au Sénégal pourrait réduire la consommation intérieure, affectant les filiales de distribution et de consommation comme **LNBB** et **BNBC** qui y opèrent. Cela pourrait également freiner la demande de crédit, impactant la croissance des revenus des banques telles que **ECOC** et **BOAM** dans ce pays.</w:t>
      </w:r>
    </w:p>
    <w:p>
      <w:pPr>
        <w:pStyle w:val="Heading2"/>
      </w:pPr>
      <w:r>
        <w:rPr>
          <w:color w:val="003366"/>
        </w:rPr>
        <w:t>📈 Plan BRVM</w:t>
      </w:r>
    </w:p>
    <w:p>
      <w:pPr>
        <w:spacing w:before="20" w:after="40"/>
        <w:ind w:left="0"/>
      </w:pPr>
      <w:r>
        <w:rPr>
          <w:sz w:val="18"/>
        </w:rPr>
        <w:t>Les résultats des sociétés cotées ivoiriennes sont jugés encourageants, soutenant la confiance dans le marché régional. L'indice BRVM Composite se positionne à 501.3 points, dans un contexte de collecte d'actualités limitée pour la période récente.</w:t>
      </w:r>
    </w:p>
    <w:p>
      <w:pPr>
        <w:pStyle w:val="Heading3"/>
      </w:pPr>
      <w:r>
        <w:rPr>
          <w:color w:val="500050"/>
        </w:rPr>
        <w:t>⚡ Impact estimé sur la BRVM</w:t>
      </w:r>
    </w:p>
    <w:p>
      <w:pPr>
        <w:spacing w:before="20" w:after="40"/>
        <w:ind w:left="280"/>
      </w:pPr>
      <w:r>
        <w:rPr>
          <w:i/>
          <w:sz w:val="18"/>
        </w:rPr>
        <w:t>Les fondamentaux solides des sociétés ivoiriennes (notamment **SGBC**, **BICB**, **PALC**) confirment leur résilience. Nous recommandons de surveiller les valeurs bancaires (**NSBC**, **BNBC**) qui bénéficient de la bonne tenue de l'activité économique, et de conserver les positions sur les valeurs agro-industrielles comme **SOGC** et **CFAC**.</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géopolitiques persistent, notamment dans le détroit d'Ormuz, mais les prix du pétrole au Canada continuent de s'effriter, suggérant que l'offre mondiale reste abondante. La baisse des marchés nord-américains reflète une prudence générale des investisseurs.</w:t>
      </w:r>
    </w:p>
    <w:p>
      <w:pPr>
        <w:pStyle w:val="Heading3"/>
      </w:pPr>
      <w:r>
        <w:rPr>
          <w:color w:val="500050"/>
        </w:rPr>
        <w:t>⚡ Impact estimé sur la BRVM</w:t>
      </w:r>
    </w:p>
    <w:p>
      <w:pPr>
        <w:spacing w:before="20" w:after="40"/>
        <w:ind w:left="280"/>
      </w:pPr>
      <w:r>
        <w:rPr>
          <w:i/>
          <w:sz w:val="18"/>
        </w:rPr>
        <w:t>L'aversion au risque mondiale peut réduire les flux de capitaux étrangers vers les marchés émergents, y compris la BRVM. Cependant, la relative stabilité des prix du pétrole, malgré les tensions, évite un choc majeur sur les économies importatrices de la zone.</w:t>
      </w:r>
    </w:p>
    <w:p>
      <w:pPr>
        <w:pStyle w:val="Heading2"/>
      </w:pPr>
      <w:r>
        <w:rPr>
          <w:color w:val="006E32"/>
        </w:rPr>
        <w:t>🌍 Plan Africain</w:t>
      </w:r>
    </w:p>
    <w:p>
      <w:pPr>
        <w:spacing w:before="20" w:after="40"/>
        <w:ind w:left="0"/>
      </w:pPr>
      <w:r>
        <w:rPr>
          <w:sz w:val="18"/>
        </w:rPr>
        <w:t>Les dynamiques politiques africaines sont marquées par des initiatives positives comme l'Académie africaine de Kigali pour le leadership féminin, mais aussi par des tensions sociales, comme la dénonciation des politiques d'austérité au Sénégal.</w:t>
      </w:r>
    </w:p>
    <w:p>
      <w:pPr>
        <w:pStyle w:val="Heading3"/>
      </w:pPr>
      <w:r>
        <w:rPr>
          <w:color w:val="500050"/>
        </w:rPr>
        <w:t>⚡ Impact estimé sur la BRVM</w:t>
      </w:r>
    </w:p>
    <w:p>
      <w:pPr>
        <w:spacing w:before="20" w:after="40"/>
        <w:ind w:left="280"/>
      </w:pPr>
      <w:r>
        <w:rPr>
          <w:i/>
          <w:sz w:val="18"/>
        </w:rPr>
        <w:t>La stabilité politique globale de la région UEMOA, contrastant avec d'autres zones, conforte le statut de la BRVM comme valeur refuge régionale. Les tensions sociales au Sénégal doivent être surveillées, car elles pourraient affecter la confiance des investisseurs dans les filiales sénégalaises des groupes cotés.</w:t>
      </w:r>
    </w:p>
    <w:p>
      <w:pPr>
        <w:pStyle w:val="Heading2"/>
      </w:pPr>
      <w:r>
        <w:rPr>
          <w:color w:val="145A28"/>
        </w:rPr>
        <w:t>🌍 Plan Afrique de l'Ouest</w:t>
      </w:r>
    </w:p>
    <w:p>
      <w:pPr>
        <w:spacing w:before="20" w:after="40"/>
        <w:ind w:left="0"/>
      </w:pPr>
      <w:r>
        <w:rPr>
          <w:sz w:val="18"/>
        </w:rPr>
        <w:t>La nomination d'un nouveau chef à l'Agence nationale de renseignement (ANR) au Togo marque un changement de leadership sécuritaire. Les relations régionales et la sécurité restent des sujets de vigilance pour la CEDEAO.</w:t>
      </w:r>
    </w:p>
    <w:p>
      <w:pPr>
        <w:pStyle w:val="Heading3"/>
      </w:pPr>
      <w:r>
        <w:rPr>
          <w:color w:val="500050"/>
        </w:rPr>
        <w:t>⚡ Impact estimé sur la BRVM</w:t>
      </w:r>
    </w:p>
    <w:p>
      <w:pPr>
        <w:spacing w:before="20" w:after="40"/>
        <w:ind w:left="280"/>
      </w:pPr>
      <w:r>
        <w:rPr>
          <w:i/>
          <w:sz w:val="18"/>
        </w:rPr>
        <w:t>Les changements dans l'appareil sécuritaire togolais n'ont pas d'impact direct à court terme sur les sociétés cotées. Toutefois, la stabilité sécuritaire de la sous-région est un prérequis pour la continuité des activités économiques et l'attractivité de la place.</w:t>
      </w:r>
    </w:p>
    <w:p>
      <w:pPr>
        <w:pStyle w:val="Heading2"/>
      </w:pPr>
      <w:r>
        <w:rPr>
          <w:color w:val="8C4600"/>
        </w:rPr>
        <w:t>🏦 Plan UEMOA / Zone Franc</w:t>
      </w:r>
    </w:p>
    <w:p>
      <w:pPr>
        <w:spacing w:before="20" w:after="40"/>
        <w:ind w:left="0"/>
      </w:pPr>
      <w:r>
        <w:rPr>
          <w:sz w:val="18"/>
        </w:rPr>
        <w:t>L'environnement politique dans les pays membres est globalement stable, avec des transitions de pouvoir (Togo) et des débats sur la politique économique (Sénégal). Aucune réforme institutionnelle majeure affectant le marché n'est signalée.</w:t>
      </w:r>
    </w:p>
    <w:p>
      <w:pPr>
        <w:pStyle w:val="Heading3"/>
      </w:pPr>
      <w:r>
        <w:rPr>
          <w:color w:val="500050"/>
        </w:rPr>
        <w:t>⚡ Impact estimé sur la BRVM</w:t>
      </w:r>
    </w:p>
    <w:p>
      <w:pPr>
        <w:spacing w:before="20" w:after="40"/>
        <w:ind w:left="280"/>
      </w:pPr>
      <w:r>
        <w:rPr>
          <w:i/>
          <w:sz w:val="18"/>
        </w:rPr>
        <w:t>La stabilité politique de l'UEMOA est un facteur de soutien pour la BRVM. L'absence de chocs politiques majeurs permet aux entreprises de se concentrer sur leurs fondamentaux, favorisant une progression régulière des cours.</w:t>
      </w:r>
    </w:p>
    <w:p>
      <w:pPr>
        <w:pStyle w:val="Heading2"/>
      </w:pPr>
      <w:r>
        <w:rPr>
          <w:color w:val="003366"/>
        </w:rPr>
        <w:t>📈 Plan BRVM</w:t>
      </w:r>
    </w:p>
    <w:p>
      <w:pPr>
        <w:spacing w:before="20" w:after="40"/>
        <w:ind w:left="0"/>
      </w:pPr>
      <w:r>
        <w:rPr>
          <w:sz w:val="18"/>
        </w:rPr>
        <w:t>Aucune actualité réglementaire spécifique (CREPMF) ou de gouvernance n'est rapportée pour la période récente.</w:t>
      </w:r>
    </w:p>
    <w:p>
      <w:pPr>
        <w:pStyle w:val="Heading3"/>
      </w:pPr>
      <w:r>
        <w:rPr>
          <w:color w:val="500050"/>
        </w:rPr>
        <w:t>⚡ Impact estimé sur la BRVM</w:t>
      </w:r>
    </w:p>
    <w:p>
      <w:pPr>
        <w:spacing w:before="20" w:after="40"/>
        <w:ind w:left="280"/>
      </w:pPr>
      <w:r>
        <w:rPr>
          <w:i/>
          <w:sz w:val="18"/>
        </w:rPr>
        <w:t>Données insuffisantes.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américains et canadiens sont en baisse, signalant une correction ou une prise de bénéfices. La hausse des prix des matières premières (pétrole, blé) est le principal moteur des marchés, soutenant les secteurs liés aux ressources.</w:t>
      </w:r>
    </w:p>
    <w:p>
      <w:pPr>
        <w:pStyle w:val="Heading3"/>
      </w:pPr>
      <w:r>
        <w:rPr>
          <w:color w:val="500050"/>
        </w:rPr>
        <w:t>⚡ Impact estimé sur la BRVM</w:t>
      </w:r>
    </w:p>
    <w:p>
      <w:pPr>
        <w:spacing w:before="20" w:after="40"/>
        <w:ind w:left="280"/>
      </w:pPr>
      <w:r>
        <w:rPr>
          <w:i/>
          <w:sz w:val="18"/>
        </w:rPr>
        <w:t>La corrélation avec les marchés développés est faible, mais un environnement mondial négatif peut inciter les investisseurs internationaux à la prudence. La hausse des matières premières est un avantage pour les valeurs exportatrices de la BRVM, notamment dans l'agro-industrie (**PALC**, **SPHC**).</w:t>
      </w:r>
    </w:p>
    <w:p>
      <w:pPr>
        <w:pStyle w:val="Heading2"/>
      </w:pPr>
      <w:r>
        <w:rPr>
          <w:color w:val="006E32"/>
        </w:rPr>
        <w:t>🌍 Plan Africain</w:t>
      </w:r>
    </w:p>
    <w:p>
      <w:pPr>
        <w:spacing w:before="20" w:after="40"/>
        <w:ind w:left="0"/>
      </w:pPr>
      <w:r>
        <w:rPr>
          <w:sz w:val="18"/>
        </w:rPr>
        <w:t>La levée de dette verte de la Senelec à Luxembourg est un signal fort pour les marchés financiers africains, démontrant une capacité d'innovation financière. Cela pourrait attirer davantage d'investisseurs internationaux vers les instruments de dette africains.</w:t>
      </w:r>
    </w:p>
    <w:p>
      <w:pPr>
        <w:pStyle w:val="Heading3"/>
      </w:pPr>
      <w:r>
        <w:rPr>
          <w:color w:val="500050"/>
        </w:rPr>
        <w:t>⚡ Impact estimé sur la BRVM</w:t>
      </w:r>
    </w:p>
    <w:p>
      <w:pPr>
        <w:spacing w:before="20" w:after="40"/>
        <w:ind w:left="280"/>
      </w:pPr>
      <w:r>
        <w:rPr>
          <w:i/>
          <w:sz w:val="18"/>
        </w:rPr>
        <w:t>Cette opération renforce la visibilité de la zone UEMOA. Elle pourrait ouvrir la voie à des émissions obligataires similaires par des entreprises cotées à la BRVM, diversifiant ainsi l'offre de produits financiers et attirant de nouveaux capitaux.</w:t>
      </w:r>
    </w:p>
    <w:p>
      <w:pPr>
        <w:pStyle w:val="Heading2"/>
      </w:pPr>
      <w:r>
        <w:rPr>
          <w:color w:val="145A28"/>
        </w:rPr>
        <w:t>🌍 Plan Afrique de l'Ouest</w:t>
      </w:r>
    </w:p>
    <w:p>
      <w:pPr>
        <w:spacing w:before="20" w:after="40"/>
        <w:ind w:left="0"/>
      </w:pPr>
      <w:r>
        <w:rPr>
          <w:sz w:val="18"/>
        </w:rPr>
        <w:t>Aucune information spécifique sur les bourses régionales concurrentes ou les flux de capitaux sous-régionaux n'est disponible.</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Le marché des titres publics de l'UEMOA n'est pas directement évoqué dans les actualités. La liquidité bancaire et le taux interbancaire ne sont pas mentionnés.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003366"/>
        </w:rPr>
        <w:t>📈 Plan BRVM</w:t>
      </w:r>
    </w:p>
    <w:p>
      <w:pPr>
        <w:spacing w:before="20" w:after="40"/>
        <w:ind w:left="0"/>
      </w:pPr>
      <w:r>
        <w:rPr>
          <w:sz w:val="18"/>
        </w:rPr>
        <w:t>L'indice BRVM Composite est à 501.3 points. Les nouvelles sont dominées par les facteurs macroéconomiques (prix du pétrole, blé) et les fondamentaux solides des sociétés ivoiriennes. Aucun mouvement majeur de titre spécifique n'est rapporté.</w:t>
      </w:r>
    </w:p>
    <w:p>
      <w:pPr>
        <w:pStyle w:val="Heading3"/>
      </w:pPr>
      <w:r>
        <w:rPr>
          <w:color w:val="500050"/>
        </w:rPr>
        <w:t>⚡ Impact estimé sur la BRVM</w:t>
      </w:r>
    </w:p>
    <w:p>
      <w:pPr>
        <w:pStyle w:val="ListBullet"/>
        <w:spacing w:before="20" w:after="20"/>
        <w:ind w:left="560"/>
      </w:pPr>
      <w:r>
        <w:rPr>
          <w:color w:val="008000"/>
          <w:sz w:val="18"/>
        </w:rPr>
        <w:t>**Opportunités d'achat :** Les valeurs du secteur ÉNERGIE (**TTLC**, **SHEC**) sont bien positionnées pour profiter de la hausse des prix du pétrole. Les banques (**SGBC**, **NSBC**, **BOAC**) restent des valeurs de rendement sûres.</w:t>
      </w:r>
    </w:p>
    <w:p>
      <w:pPr>
        <w:pStyle w:val="ListBullet"/>
        <w:spacing w:before="20" w:after="20"/>
        <w:ind w:left="560"/>
      </w:pPr>
      <w:r>
        <w:rPr>
          <w:color w:val="C00000"/>
          <w:sz w:val="18"/>
        </w:rPr>
        <w:t>**Titres sous pression :** Les valeurs de CONSOMMATION DE BASE dépendantes des importations de blé (**NTLC**, **SPHC**) pourraient voir leurs marges sous pression. Les valeurs de consommation discrétionnaire (**UNXC**, **LNBB**) pourraient souffrir d'un ralentissement si l'inflation importée pèse sur le pouvoir d'achat.</w:t>
      </w:r>
    </w:p>
    <w:p>
      <w:pPr>
        <w:pStyle w:val="ListBullet"/>
        <w:spacing w:before="20" w:after="20"/>
        <w:ind w:left="560"/>
      </w:pPr>
      <w:r>
        <w:rPr>
          <w:color w:val="500050"/>
          <w:sz w:val="18"/>
        </w:rPr>
        <w:t>**Recommandations :** Nous recommandons de renforcer les positions sur **TTLC** et **SHEC**, et de conserver les valeurs bancaires. Pour les investisseurs défensifs, **PALC** et **SOGC** (agro-industrie) offrent une bonne diversification face à l'inflation.</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est marqué par un paradoxe : une hausse des prix des matières premières (pétrole, blé) qui profite au secteur énergétique mais pèse sur les coûts des entreprises de consommation, créant des pressions inflationnistes. La baisse des marchés occidentaux et les tensions sociales au Sénégal (politique d'austérité) introduisent une prudence, mais les fondamentaux solides des sociétés ivoiriennes et la stabilité de l'UEMOA soutiennent le marché.</w:t>
      </w:r>
    </w:p>
    <w:p>
      <w:pPr>
        <w:spacing w:before="20" w:after="40"/>
        <w:ind w:left="0"/>
      </w:pPr>
      <w:r>
        <w:rPr>
          <w:sz w:val="18"/>
        </w:rPr>
        <w:t>**Recommandation :** Adopter une stratégie sélective. Privilégier les valeurs énergétiques (**TTLC**, **SHEC**) et les banques solides (**SGBC**, **NSBC**). Surveiller de près les marges des valeurs de consommation de base (**NTLC**, **SPHC**) et rester à l'écart des valeurs les plus exposées à une baisse de la consommation. Une approche "bottom-up" basée sur la solidité des bilans est conseillée dans ce contexte de volatilité modérée.</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2026-08-17</w:t>
            </w:r>
          </w:p>
        </w:tc>
        <w:tc>
          <w:tcPr>
            <w:tcW w:type="dxa" w:w="1728"/>
          </w:tcPr>
          <w:p>
            <w:r>
              <w:rPr>
                <w:sz w:val="14"/>
              </w:rPr>
              <w:t>La forte pression à la demande a fait grimper les prix du pétrole brut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2026-08-17</w:t>
            </w:r>
          </w:p>
        </w:tc>
        <w:tc>
          <w:tcPr>
            <w:tcW w:type="dxa" w:w="1728"/>
          </w:tcPr>
          <w:p>
            <w:r>
              <w:rPr>
                <w:sz w:val="14"/>
              </w:rPr>
              <w:t>Marchés des matières premières : Les prix du pétrole brut et du blé 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2026-08-17</w:t>
            </w:r>
          </w:p>
        </w:tc>
        <w:tc>
          <w:tcPr>
            <w:tcW w:type="dxa" w:w="1728"/>
          </w:tcPr>
          <w:p>
            <w:r>
              <w:rPr>
                <w:sz w:val="14"/>
              </w:rPr>
              <w:t>Le « nouveau pétrole » de l'IA : comment Wall Street veut donner un pr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2026-08-12</w:t>
            </w:r>
          </w:p>
        </w:tc>
        <w:tc>
          <w:tcPr>
            <w:tcW w:type="dxa" w:w="1728"/>
          </w:tcPr>
          <w:p>
            <w:r>
              <w:rPr>
                <w:sz w:val="14"/>
              </w:rPr>
              <w:t>Le pétrole iranien maintient l’inflation américaine à 3,5 % et donne a</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Fibre optique : quatre pays ouest-africains dominent le haut débit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2026-08-13</w:t>
            </w:r>
          </w:p>
        </w:tc>
        <w:tc>
          <w:tcPr>
            <w:tcW w:type="dxa" w:w="1728"/>
          </w:tcPr>
          <w:p>
            <w:r>
              <w:rPr>
                <w:sz w:val="14"/>
              </w:rPr>
              <w:t xml:space="preserve">Monnaie unique en Afrique de l’Ouest : en 2027, l’Eco sur les rails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Côte d'Ivoire : Fin de mandat à la CEDEAO, Omar Alieu Touray chez Alas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2026-08-11</w:t>
            </w:r>
          </w:p>
        </w:tc>
        <w:tc>
          <w:tcPr>
            <w:tcW w:type="dxa" w:w="1728"/>
          </w:tcPr>
          <w:p>
            <w:r>
              <w:rPr>
                <w:sz w:val="14"/>
              </w:rPr>
              <w:t>Creativo El Matador en France - Afriquinfos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2026-08-12</w:t>
            </w:r>
          </w:p>
        </w:tc>
        <w:tc>
          <w:tcPr>
            <w:tcW w:type="dxa" w:w="1728"/>
          </w:tcPr>
          <w:p>
            <w:r>
              <w:rPr>
                <w:sz w:val="14"/>
              </w:rPr>
              <w:t xml:space="preserve">À quel point le projet de monnaie unique de la CEDEAO est-il réaliste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2026-08-18</w:t>
            </w:r>
          </w:p>
        </w:tc>
        <w:tc>
          <w:tcPr>
            <w:tcW w:type="dxa" w:w="1728"/>
          </w:tcPr>
          <w:p>
            <w:r>
              <w:rPr>
                <w:sz w:val="14"/>
              </w:rPr>
              <w:t>Togo : Le Colonel Akapo Ayewalani prend les rênes de l'Agence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Leadership féminin : le Togo représenté à la nouvelle Académie africai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Mission du FMI au Sénégal : Le FRAPP dénonce une politique d'austérité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Sénégal : La déclaration de patrimoine du président en fin de mandat 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Sénégal : des exilés subsahariens chassés d'un quartier populaire de D</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Mali: le chroniqueur Ras Bath et l’influenceuse «Rose, la vie chère» c</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2026-08-17</w:t>
            </w:r>
          </w:p>
        </w:tc>
        <w:tc>
          <w:tcPr>
            <w:tcW w:type="dxa" w:w="1728"/>
          </w:tcPr>
          <w:p>
            <w:r>
              <w:rPr>
                <w:sz w:val="14"/>
              </w:rPr>
              <w:t>La forte pression à la demande a fait grimper les prix du pétrole brut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2026-08-17</w:t>
            </w:r>
          </w:p>
        </w:tc>
        <w:tc>
          <w:tcPr>
            <w:tcW w:type="dxa" w:w="1728"/>
          </w:tcPr>
          <w:p>
            <w:r>
              <w:rPr>
                <w:sz w:val="14"/>
              </w:rPr>
              <w:t>Marchés des matières premières : Les prix du pétrole brut et du blé 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2026-08-17</w:t>
            </w:r>
          </w:p>
        </w:tc>
        <w:tc>
          <w:tcPr>
            <w:tcW w:type="dxa" w:w="1728"/>
          </w:tcPr>
          <w:p>
            <w:r>
              <w:rPr>
                <w:sz w:val="14"/>
              </w:rPr>
              <w:t>Le « nouveau pétrole » de l'IA : comment Wall Street veut donner un pr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2026-08-17</w:t>
            </w:r>
          </w:p>
        </w:tc>
        <w:tc>
          <w:tcPr>
            <w:tcW w:type="dxa" w:w="1728"/>
          </w:tcPr>
          <w:p>
            <w:r>
              <w:rPr>
                <w:sz w:val="14"/>
              </w:rPr>
              <w:t>Fibre optique : quatre pays ouest-africains dominent le haut débit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Togo : Le Colonel Akapo Ayewalani prend les rênes de l'Agence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2026-08-18</w:t>
            </w:r>
          </w:p>
        </w:tc>
        <w:tc>
          <w:tcPr>
            <w:tcW w:type="dxa" w:w="1728"/>
          </w:tcPr>
          <w:p>
            <w:r>
              <w:rPr>
                <w:sz w:val="14"/>
              </w:rPr>
              <w:t>Togo : Le Colonel Akapo Ayewalani prend les rênes de l'Agence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Mission du FMI au Sénégal : Le FRAPP dénonce une politique d'austérité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Sénégal : La déclaration de patrimoine du président en fin de mandat r</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2026-08-18</w:t>
            </w:r>
          </w:p>
        </w:tc>
        <w:tc>
          <w:tcPr>
            <w:tcW w:type="dxa" w:w="1728"/>
          </w:tcPr>
          <w:p>
            <w:r>
              <w:rPr>
                <w:sz w:val="14"/>
              </w:rPr>
              <w:t>Togo : Le Colonel Akapo Ayewalani prend les rênes de l'Agence national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Leadership féminin : le Togo représenté à la nouvelle Académie africai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2026-08-17</w:t>
            </w:r>
          </w:p>
        </w:tc>
        <w:tc>
          <w:tcPr>
            <w:tcW w:type="dxa" w:w="1728"/>
          </w:tcPr>
          <w:p>
            <w:r>
              <w:rPr>
                <w:sz w:val="14"/>
              </w:rPr>
              <w:t>Mission du FMI au Sénégal : Le FRAPP dénonce une politique d'austérité</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2026-08-17</w:t>
            </w:r>
          </w:p>
        </w:tc>
        <w:tc>
          <w:tcPr>
            <w:tcW w:type="dxa" w:w="1728"/>
          </w:tcPr>
          <w:p>
            <w:r>
              <w:rPr>
                <w:sz w:val="14"/>
              </w:rPr>
              <w:t>La forte pression à la demande a fait grimper les prix du pétrole brut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2026-08-12</w:t>
            </w:r>
          </w:p>
        </w:tc>
        <w:tc>
          <w:tcPr>
            <w:tcW w:type="dxa" w:w="1728"/>
          </w:tcPr>
          <w:p>
            <w:r>
              <w:rPr>
                <w:sz w:val="14"/>
              </w:rPr>
              <w:t>Le pétrole iranien maintient l’inflation américaine à 3,5 % et donne a</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2026-08-17</w:t>
            </w:r>
          </w:p>
        </w:tc>
        <w:tc>
          <w:tcPr>
            <w:tcW w:type="dxa" w:w="1728"/>
          </w:tcPr>
          <w:p>
            <w:r>
              <w:rPr>
                <w:sz w:val="14"/>
              </w:rPr>
              <w:t>Fibre optique : quatre pays ouest-africains dominent le haut débit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2026-08-17</w:t>
            </w:r>
          </w:p>
        </w:tc>
        <w:tc>
          <w:tcPr>
            <w:tcW w:type="dxa" w:w="1728"/>
          </w:tcPr>
          <w:p>
            <w:r>
              <w:rPr>
                <w:sz w:val="14"/>
              </w:rPr>
              <w:t>La forte pression à la demande a fait grimper les prix du pétrole brut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2026-08-17</w:t>
            </w:r>
          </w:p>
        </w:tc>
        <w:tc>
          <w:tcPr>
            <w:tcW w:type="dxa" w:w="1728"/>
          </w:tcPr>
          <w:p>
            <w:r>
              <w:rPr>
                <w:sz w:val="14"/>
              </w:rPr>
              <w:t>Marchés des matières premières : Les prix du pétrole brut et du blé 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2026-08-17</w:t>
            </w:r>
          </w:p>
        </w:tc>
        <w:tc>
          <w:tcPr>
            <w:tcW w:type="dxa" w:w="1728"/>
          </w:tcPr>
          <w:p>
            <w:r>
              <w:rPr>
                <w:sz w:val="14"/>
              </w:rPr>
              <w:t>Le « nouveau pétrole » de l'IA : comment Wall Street veut donner un pr</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2026-08-17</w:t>
            </w:r>
          </w:p>
        </w:tc>
        <w:tc>
          <w:tcPr>
            <w:tcW w:type="dxa" w:w="1728"/>
          </w:tcPr>
          <w:p>
            <w:r>
              <w:rPr>
                <w:sz w:val="14"/>
              </w:rPr>
              <w:t>La forte pression à la demande a fait grimper les prix du pétrole brut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2026-08-12</w:t>
            </w:r>
          </w:p>
        </w:tc>
        <w:tc>
          <w:tcPr>
            <w:tcW w:type="dxa" w:w="1728"/>
          </w:tcPr>
          <w:p>
            <w:r>
              <w:rPr>
                <w:sz w:val="14"/>
              </w:rPr>
              <w:t>Le pétrole iranien maintient l’inflation américaine à 3,5 % et donne a</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2026-08-17</w:t>
            </w:r>
          </w:p>
        </w:tc>
        <w:tc>
          <w:tcPr>
            <w:tcW w:type="dxa" w:w="1728"/>
          </w:tcPr>
          <w:p>
            <w:r>
              <w:rPr>
                <w:sz w:val="14"/>
              </w:rPr>
              <w:t>La forte pression à la demande a fait grimper les prix du pétrole brut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2026-08-12</w:t>
            </w:r>
          </w:p>
        </w:tc>
        <w:tc>
          <w:tcPr>
            <w:tcW w:type="dxa" w:w="1728"/>
          </w:tcPr>
          <w:p>
            <w:r>
              <w:rPr>
                <w:sz w:val="14"/>
              </w:rPr>
              <w:t>Le pétrole iranien maintient l’inflation américaine à 3,5 % et donne a</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2026-08-17</w:t>
            </w:r>
          </w:p>
        </w:tc>
        <w:tc>
          <w:tcPr>
            <w:tcW w:type="dxa" w:w="1728"/>
          </w:tcPr>
          <w:p>
            <w:r>
              <w:rPr>
                <w:sz w:val="14"/>
              </w:rPr>
              <w:t>Fibre optique : quatre pays ouest-africains dominent le haut débit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2026-08-17</w:t>
            </w:r>
          </w:p>
        </w:tc>
        <w:tc>
          <w:tcPr>
            <w:tcW w:type="dxa" w:w="1728"/>
          </w:tcPr>
          <w:p>
            <w:r>
              <w:rPr>
                <w:sz w:val="14"/>
              </w:rPr>
              <w:t>La forte pression à la demande a fait grimper les prix du pétrole brut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2026-08-12</w:t>
            </w:r>
          </w:p>
        </w:tc>
        <w:tc>
          <w:tcPr>
            <w:tcW w:type="dxa" w:w="1728"/>
          </w:tcPr>
          <w:p>
            <w:r>
              <w:rPr>
                <w:sz w:val="14"/>
              </w:rPr>
              <w:t>Le pétrole iranien maintient l’inflation américaine à 3,5 % et donne a</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2026-08-17</w:t>
            </w:r>
          </w:p>
        </w:tc>
        <w:tc>
          <w:tcPr>
            <w:tcW w:type="dxa" w:w="1728"/>
          </w:tcPr>
          <w:p>
            <w:r>
              <w:rPr>
                <w:sz w:val="14"/>
              </w:rPr>
              <w:t>Fibre optique : quatre pays ouest-africains dominent le haut débit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2026-08-17</w:t>
            </w:r>
          </w:p>
        </w:tc>
        <w:tc>
          <w:tcPr>
            <w:tcW w:type="dxa" w:w="1728"/>
          </w:tcPr>
          <w:p>
            <w:r>
              <w:rPr>
                <w:sz w:val="14"/>
              </w:rPr>
              <w:t>La Bourse de Toronto et les marchés américains clôturent en baisse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2026-08-17</w:t>
            </w:r>
          </w:p>
        </w:tc>
        <w:tc>
          <w:tcPr>
            <w:tcW w:type="dxa" w:w="1728"/>
          </w:tcPr>
          <w:p>
            <w:r>
              <w:rPr>
                <w:sz w:val="14"/>
              </w:rPr>
              <w:t>La forte pression à la demande a fait grimper les prix du pétrole brut</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2026-08-14</w:t>
            </w:r>
          </w:p>
        </w:tc>
        <w:tc>
          <w:tcPr>
            <w:tcW w:type="dxa" w:w="1728"/>
          </w:tcPr>
          <w:p>
            <w:r>
              <w:rPr>
                <w:sz w:val="14"/>
              </w:rPr>
              <w:t>Matières premières Canada : les prix du pétrole continuent de s'effrit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2026-08-12</w:t>
            </w:r>
          </w:p>
        </w:tc>
        <w:tc>
          <w:tcPr>
            <w:tcW w:type="dxa" w:w="1728"/>
          </w:tcPr>
          <w:p>
            <w:r>
              <w:rPr>
                <w:sz w:val="14"/>
              </w:rPr>
              <w:t>Le pétrole iranien maintient l’inflation américaine à 3,5 % et donne a</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2026-08-17</w:t>
            </w:r>
          </w:p>
        </w:tc>
        <w:tc>
          <w:tcPr>
            <w:tcW w:type="dxa" w:w="1728"/>
          </w:tcPr>
          <w:p>
            <w:r>
              <w:rPr>
                <w:sz w:val="14"/>
              </w:rPr>
              <w:t>Fibre optique : quatre pays ouest-africains dominent le haut débit - 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(12 alerte(s))</w:t>
      </w:r>
    </w:p>
    <w:p>
      <w:pPr>
        <w:spacing w:before="40" w:after="40"/>
        <w:ind w:left="360"/>
      </w:pPr>
      <w:r>
        <w:rPr>
          <w:color w:val="646464"/>
          <w:sz w:val="17"/>
        </w:rPr>
        <w:t xml:space="preserve">[18/08/2026] ⚪  </w:t>
      </w:r>
      <w:r>
        <w:rPr>
          <w:b/>
          <w:color w:val="505050"/>
          <w:sz w:val="18"/>
        </w:rPr>
        <w:t>Togo : Le Colonel Akapo Ayewalani prend les rênes de l'Agence nationale de renseignement (ANR) - 24heureinfo.com</w:t>
      </w:r>
      <w:r>
        <w:rPr>
          <w:color w:val="787878"/>
          <w:sz w:val="15"/>
        </w:rPr>
        <w:t xml:space="preserve">  [politique]</w:t>
      </w:r>
      <w:r>
        <w:rPr>
          <w:color w:val="B47800"/>
          <w:sz w:val="16"/>
        </w:rPr>
        <w:t xml:space="preserve">  ★ 50/10</w:t>
      </w:r>
    </w:p>
    <w:p>
      <w:pPr>
        <w:spacing w:before="0" w:after="20"/>
        <w:ind w:left="600"/>
      </w:pPr>
      <w:r>
        <w:rPr>
          <w:color w:val="323232"/>
          <w:sz w:val="17"/>
        </w:rPr>
        <w:t>Le Colonel Akapo Ayewalani a été nommé à la tête de l'Agence nationale de renseignement (ANR) du Togo, marquant un changement de leadership dans un organe clé de la sécurité nationale. Cette nomination s'inscrit dans un contexte de renforcement des institutions de l'État, sans implication directe sur les marchés financiers. L'information est princi</w:t>
      </w:r>
    </w:p>
    <w:p>
      <w:pPr>
        <w:spacing w:before="0" w:after="40"/>
        <w:ind w:left="600"/>
      </w:pPr>
      <w:r>
        <w:rPr>
          <w:color w:val="00643C"/>
          <w:sz w:val="16"/>
        </w:rPr>
        <w:t>Points clés : Nomination du Colonel Akapo Ayewalani comme nouveau chef de l'ANR au Togo.  •  Changement de direction dans un organe de renseignement, reflétant une continuité ou une réorganisation sécuritaire.  •  Aucun impact direct attendu sur les activités des entreprises cotées à la BRVM.</w:t>
      </w:r>
    </w:p>
    <w:p>
      <w:pPr>
        <w:spacing w:before="0" w:after="60"/>
        <w:ind w:left="600"/>
      </w:pPr>
      <w:r>
        <w:rPr>
          <w:color w:val="0064B4"/>
          <w:sz w:val="15"/>
        </w:rPr>
        <w:t>Source : https://news.google.com/rss/articles/CBMiwgFBVV95cUxPTFhqaGRvTEVtLW1fVGFvcUJjM2h</w:t>
      </w:r>
    </w:p>
    <w:p>
      <w:pPr>
        <w:spacing w:before="40" w:after="40"/>
        <w:ind w:left="360"/>
      </w:pPr>
      <w:r>
        <w:rPr>
          <w:color w:val="646464"/>
          <w:sz w:val="17"/>
        </w:rPr>
        <w:t xml:space="preserve">[17/08/2026] 🔴  </w:t>
      </w:r>
      <w:r>
        <w:rPr>
          <w:b/>
          <w:color w:val="C00000"/>
          <w:sz w:val="18"/>
        </w:rPr>
        <w:t>Mission du FMI au Sénégal : Le FRAPP dénonce une politique d'austérité et appelle à la mobilisation - pressafrik.com</w:t>
      </w:r>
      <w:r>
        <w:rPr>
          <w:color w:val="787878"/>
          <w:sz w:val="15"/>
        </w:rPr>
        <w:t xml:space="preserve">  [politique]</w:t>
      </w:r>
      <w:r>
        <w:rPr>
          <w:color w:val="B47800"/>
          <w:sz w:val="16"/>
        </w:rPr>
        <w:t xml:space="preserve">  ★ 50/10</w:t>
      </w:r>
    </w:p>
    <w:p>
      <w:pPr>
        <w:spacing w:before="0" w:after="20"/>
        <w:ind w:left="600"/>
      </w:pPr>
      <w:r>
        <w:rPr>
          <w:color w:val="323232"/>
          <w:sz w:val="17"/>
        </w:rPr>
        <w:t>Le Front pour une Révolution Anti-Impérialiste et Panafricaine (FRAPP) a dénoncé la politique d'austérité du gouvernement sénégalais lors de la mission du FMI, appelant à la mobilisation populaire contre les mesures imposées. Cette opposition reflète un climat social tendu et des critiques sur la gestion économique du pays, dans un contexte de négo</w:t>
      </w:r>
    </w:p>
    <w:p>
      <w:pPr>
        <w:spacing w:before="0" w:after="40"/>
        <w:ind w:left="600"/>
      </w:pPr>
      <w:r>
        <w:rPr>
          <w:color w:val="00643C"/>
          <w:sz w:val="16"/>
        </w:rPr>
        <w:t>Points clés : Le FRAPP critique la politique d'austérité soutenue par le FMI au Sénégal.  •  Appel à la mobilisation contre les mesures économiques jugées défavorables aux populations.</w:t>
      </w:r>
    </w:p>
    <w:p>
      <w:pPr>
        <w:spacing w:before="0" w:after="60"/>
        <w:ind w:left="600"/>
      </w:pPr>
      <w:r>
        <w:rPr>
          <w:color w:val="0064B4"/>
          <w:sz w:val="15"/>
        </w:rPr>
        <w:t>Source : https://news.google.com/rss/articles/CBMi0wFBVV95cUxOY3VYOTBvQUdlWHFFdFQ5aWJXa2p</w:t>
      </w:r>
    </w:p>
    <w:p>
      <w:pPr>
        <w:spacing w:before="40" w:after="40"/>
        <w:ind w:left="360"/>
      </w:pPr>
      <w:r>
        <w:rPr>
          <w:color w:val="646464"/>
          <w:sz w:val="17"/>
        </w:rPr>
        <w:t xml:space="preserve">[17/08/2026] 🟢  </w:t>
      </w:r>
      <w:r>
        <w:rPr>
          <w:b/>
          <w:color w:val="008000"/>
          <w:sz w:val="18"/>
        </w:rPr>
        <w:t>Leadership féminin : le Togo représenté à la nouvelle Académie africaine de Kigali - République Togolaise</w:t>
      </w:r>
      <w:r>
        <w:rPr>
          <w:color w:val="787878"/>
          <w:sz w:val="15"/>
        </w:rPr>
        <w:t xml:space="preserve">  [politique]</w:t>
      </w:r>
      <w:r>
        <w:rPr>
          <w:color w:val="B47800"/>
          <w:sz w:val="16"/>
        </w:rPr>
        <w:t xml:space="preserve">  ★ 50/10</w:t>
      </w:r>
    </w:p>
    <w:p>
      <w:pPr>
        <w:spacing w:before="0" w:after="20"/>
        <w:ind w:left="600"/>
      </w:pPr>
      <w:r>
        <w:rPr>
          <w:color w:val="323232"/>
          <w:sz w:val="17"/>
        </w:rPr>
        <w:t>Le Togo participe à la nouvelle Académie africaine de Kigali, une initiative dédiée au leadership féminin. Cette participation souligne l'engagement du pays en faveur de l'autonomisation des femmes et du renforcement de leur rôle dans la gouvernance. L'événement reflète une dynamique régionale positive en matière de développement social et de leade</w:t>
      </w:r>
    </w:p>
    <w:p>
      <w:pPr>
        <w:spacing w:before="0" w:after="40"/>
        <w:ind w:left="600"/>
      </w:pPr>
      <w:r>
        <w:rPr>
          <w:color w:val="00643C"/>
          <w:sz w:val="16"/>
        </w:rPr>
        <w:t>Points clés : Le Togo est représenté à l'Académie africaine de Kigali, axée sur le leadership féminin.  •  Cette participation marque un engagement pour l'égalité des genres et le développement du capital humain.</w:t>
      </w:r>
    </w:p>
    <w:p>
      <w:pPr>
        <w:spacing w:before="0" w:after="60"/>
        <w:ind w:left="600"/>
      </w:pPr>
      <w:r>
        <w:rPr>
          <w:color w:val="0064B4"/>
          <w:sz w:val="15"/>
        </w:rPr>
        <w:t>Source : https://news.google.com/rss/articles/CBMi1gFBVV95cUxQc2d2MzZicWNzTjRTbXBseWx2OVY</w:t>
      </w:r>
    </w:p>
    <w:p>
      <w:pPr>
        <w:spacing w:before="40" w:after="40"/>
        <w:ind w:left="360"/>
      </w:pPr>
      <w:r>
        <w:rPr>
          <w:color w:val="646464"/>
          <w:sz w:val="17"/>
        </w:rPr>
        <w:t xml:space="preserve">[17/08/2026] 🔴  </w:t>
      </w:r>
      <w:r>
        <w:rPr>
          <w:b/>
          <w:color w:val="C00000"/>
          <w:sz w:val="18"/>
        </w:rPr>
        <w:t>Mali: le chroniqueur Ras Bath et l’influenceuse «Rose, la vie chère» condamnés à sept ans de prison ferme - RFI</w:t>
      </w:r>
      <w:r>
        <w:rPr>
          <w:color w:val="787878"/>
          <w:sz w:val="15"/>
        </w:rPr>
        <w:t xml:space="preserve">  [politique]</w:t>
      </w:r>
      <w:r>
        <w:rPr>
          <w:color w:val="B47800"/>
          <w:sz w:val="16"/>
        </w:rPr>
        <w:t xml:space="preserve">  ★ 50/10</w:t>
      </w:r>
    </w:p>
    <w:p>
      <w:pPr>
        <w:spacing w:before="0" w:after="20"/>
        <w:ind w:left="600"/>
      </w:pPr>
      <w:r>
        <w:rPr>
          <w:color w:val="323232"/>
          <w:sz w:val="17"/>
        </w:rPr>
        <w:t>Au Mali, le chroniqueur Ras Bath et l'influenceuse 'Rose, la vie chère' ont été condamnés à sept ans de prison ferme, selon RFI. Cette décision judiciaire s'inscrit dans un contexte politique tendu dans la zone UEMOA. L'actualité politique malienne peut avoir des répercussions sur la stabilité régionale, mais n'affecte pas directement les marchés f</w:t>
      </w:r>
    </w:p>
    <w:p>
      <w:pPr>
        <w:spacing w:before="0" w:after="40"/>
        <w:ind w:left="600"/>
      </w:pPr>
      <w:r>
        <w:rPr>
          <w:color w:val="00643C"/>
          <w:sz w:val="16"/>
        </w:rPr>
        <w:t>Points clés : Condamnation à sept ans de prison ferme pour Ras Bath et 'Rose, la vie chère'  •  Contexte politique sensible au Mali  •  Information relayée par RFI, source internationale</w:t>
      </w:r>
    </w:p>
    <w:p>
      <w:pPr>
        <w:spacing w:before="0" w:after="60"/>
        <w:ind w:left="600"/>
      </w:pPr>
      <w:r>
        <w:rPr>
          <w:color w:val="0064B4"/>
          <w:sz w:val="15"/>
        </w:rPr>
        <w:t>Source : https://news.google.com/rss/articles/CBMi6wFBVV95cUxQMENDdzVCM0gwQk52d3BtdmpCdzI</w:t>
      </w:r>
    </w:p>
    <w:p>
      <w:pPr>
        <w:spacing w:before="40" w:after="40"/>
        <w:ind w:left="360"/>
      </w:pPr>
      <w:r>
        <w:rPr>
          <w:color w:val="646464"/>
          <w:sz w:val="17"/>
        </w:rPr>
        <w:t xml:space="preserve">[17/08/2026] 🔴  </w:t>
      </w:r>
      <w:r>
        <w:rPr>
          <w:b/>
          <w:color w:val="C00000"/>
          <w:sz w:val="18"/>
        </w:rPr>
        <w:t>Sénégal : des exilés subsahariens chassés d'un quartier populaire de Dakar - tv5monde</w:t>
      </w:r>
      <w:r>
        <w:rPr>
          <w:color w:val="787878"/>
          <w:sz w:val="15"/>
        </w:rPr>
        <w:t xml:space="preserve">  [politique]</w:t>
      </w:r>
      <w:r>
        <w:rPr>
          <w:color w:val="B47800"/>
          <w:sz w:val="16"/>
        </w:rPr>
        <w:t xml:space="preserve">  ★ 50/10</w:t>
      </w:r>
    </w:p>
    <w:p>
      <w:pPr>
        <w:spacing w:before="0" w:after="20"/>
        <w:ind w:left="600"/>
      </w:pPr>
      <w:r>
        <w:rPr>
          <w:color w:val="323232"/>
          <w:sz w:val="17"/>
        </w:rPr>
        <w:t>Des exilés subsahariens ont été chassés d'un quartier populaire de Dakar, au Sénégal, selon un reportage de TV5Monde. Cet événement reflète des tensions sociales et migratoires dans la région de l'UEMOA. Il pourrait avoir des répercussions sur la stabilité politique et sociale, mais sans impact direct sur les marchés financiers.</w:t>
      </w:r>
    </w:p>
    <w:p>
      <w:pPr>
        <w:spacing w:before="0" w:after="40"/>
        <w:ind w:left="600"/>
      </w:pPr>
      <w:r>
        <w:rPr>
          <w:color w:val="00643C"/>
          <w:sz w:val="16"/>
        </w:rPr>
        <w:t>Points clés : Expulsion de migrants subsahariens d'un quartier de Dakar  •  Tensions sociales et migratoires au Sénégal</w:t>
      </w:r>
    </w:p>
    <w:p>
      <w:pPr>
        <w:spacing w:before="0" w:after="60"/>
        <w:ind w:left="600"/>
      </w:pPr>
      <w:r>
        <w:rPr>
          <w:color w:val="0064B4"/>
          <w:sz w:val="15"/>
        </w:rPr>
        <w:t>Source : https://news.google.com/rss/articles/CBMivAFBVV95cUxOcFRMRk9PSktCNGg1U2NWOTN4VWM</w:t>
      </w:r>
    </w:p>
    <w:p>
      <w:pPr>
        <w:spacing w:before="120" w:after="40"/>
      </w:pPr>
      <w:r>
        <w:rPr>
          <w:b/>
          <w:color w:val="00467F"/>
          <w:sz w:val="20"/>
        </w:rPr>
        <w:t>🔑 marche_financier  (1 alerte(s))</w:t>
      </w:r>
    </w:p>
    <w:p>
      <w:pPr>
        <w:spacing w:before="40" w:after="40"/>
        <w:ind w:left="360"/>
      </w:pPr>
      <w:r>
        <w:rPr>
          <w:color w:val="646464"/>
          <w:sz w:val="17"/>
        </w:rPr>
        <w:t xml:space="preserve">[17/08/2026] 🔴  </w:t>
      </w:r>
      <w:r>
        <w:rPr>
          <w:b/>
          <w:color w:val="C00000"/>
          <w:sz w:val="18"/>
        </w:rPr>
        <w:t>La Bourse de Toronto et les marchés américains clôturent en baisse - La Presse</w:t>
      </w:r>
      <w:r>
        <w:rPr>
          <w:color w:val="787878"/>
          <w:sz w:val="15"/>
        </w:rPr>
        <w:t xml:space="preserve">  [marche_financier]</w:t>
      </w:r>
      <w:r>
        <w:rPr>
          <w:color w:val="B47800"/>
          <w:sz w:val="16"/>
        </w:rPr>
        <w:t xml:space="preserve">  ★ 50/10</w:t>
      </w:r>
    </w:p>
    <w:p>
      <w:pPr>
        <w:spacing w:before="0" w:after="20"/>
        <w:ind w:left="600"/>
      </w:pPr>
      <w:r>
        <w:rPr>
          <w:color w:val="323232"/>
          <w:sz w:val="17"/>
        </w:rPr>
        <w:t>Les marchés boursiers nord-américains, dont la Bourse de Toronto et les principaux indices américains, ont clôturé en baisse lors de la dernière séance. Cette tendance reflète un sentiment de prudence chez les investisseurs, possiblement lié à des inquiétudes économiques ou géopolitiques. La baisse est généralisée, touchant plusieurs secteurs.</w:t>
      </w:r>
    </w:p>
    <w:p>
      <w:pPr>
        <w:spacing w:before="0" w:after="40"/>
        <w:ind w:left="600"/>
      </w:pPr>
      <w:r>
        <w:rPr>
          <w:color w:val="00643C"/>
          <w:sz w:val="16"/>
        </w:rPr>
        <w:t>Points clés : Clôture en baisse pour la Bourse de Toronto et les marchés américains.  •  Sentiment de prudence sur les marchés nord-américains.</w:t>
      </w:r>
    </w:p>
    <w:p>
      <w:pPr>
        <w:spacing w:before="0" w:after="60"/>
        <w:ind w:left="600"/>
      </w:pPr>
      <w:r>
        <w:rPr>
          <w:color w:val="0064B4"/>
          <w:sz w:val="15"/>
        </w:rPr>
        <w:t>Source : https://news.google.com/rss/articles/CBMivwFBVV95cUxQNVdfcGRKTHhjem9mcml2LXlxM0Z</w:t>
      </w:r>
    </w:p>
    <w:p>
      <w:pPr>
        <w:spacing w:before="120" w:after="40"/>
      </w:pPr>
      <w:r>
        <w:rPr>
          <w:b/>
          <w:color w:val="00467F"/>
          <w:sz w:val="20"/>
        </w:rPr>
        <w:t>🔑 économique  (1 alerte(s))</w:t>
      </w:r>
    </w:p>
    <w:p>
      <w:pPr>
        <w:spacing w:before="40" w:after="40"/>
        <w:ind w:left="360"/>
      </w:pPr>
      <w:r>
        <w:rPr>
          <w:color w:val="646464"/>
          <w:sz w:val="17"/>
        </w:rPr>
        <w:t xml:space="preserve">[17/08/2026] 🟢  </w:t>
      </w:r>
      <w:r>
        <w:rPr>
          <w:b/>
          <w:color w:val="008000"/>
          <w:sz w:val="18"/>
        </w:rPr>
        <w:t>Fibre optique : quatre pays ouest-africains dominent le haut débit - Africtelegraph</w:t>
      </w:r>
      <w:r>
        <w:rPr>
          <w:color w:val="787878"/>
          <w:sz w:val="15"/>
        </w:rPr>
        <w:t xml:space="preserve">  [économique]</w:t>
      </w:r>
      <w:r>
        <w:rPr>
          <w:color w:val="B47800"/>
          <w:sz w:val="16"/>
        </w:rPr>
        <w:t xml:space="preserve">  ★ 50/10</w:t>
      </w:r>
    </w:p>
    <w:p>
      <w:pPr>
        <w:spacing w:before="0" w:after="20"/>
        <w:ind w:left="600"/>
      </w:pPr>
      <w:r>
        <w:rPr>
          <w:color w:val="323232"/>
          <w:sz w:val="17"/>
        </w:rPr>
        <w:t xml:space="preserve">L'article met en avant la domination de quatre pays ouest-africains dans le haut débit grâce à la fibre optique, soulignant une avancée significative en matière d'infrastructures numériques dans la région. Cette progression pourrait renforcer l'attractivité économique et stimuler les secteurs liés aux télécommunications et aux services numériques. </w:t>
      </w:r>
    </w:p>
    <w:p>
      <w:pPr>
        <w:spacing w:before="0" w:after="40"/>
        <w:ind w:left="600"/>
      </w:pPr>
      <w:r>
        <w:rPr>
          <w:color w:val="00643C"/>
          <w:sz w:val="16"/>
        </w:rPr>
        <w:t>Points clés : Quatre pays ouest-africains dominent le haut débit en Afrique de l'Ouest.  •  La fibre optique est un vecteur clé de développement économique régional.</w:t>
      </w:r>
    </w:p>
    <w:p>
      <w:pPr>
        <w:spacing w:before="0" w:after="60"/>
        <w:ind w:left="600"/>
      </w:pPr>
      <w:r>
        <w:rPr>
          <w:color w:val="0064B4"/>
          <w:sz w:val="15"/>
        </w:rPr>
        <w:t>Source : https://news.google.com/rss/articles/CBMingFBVV95cUxNTkM1X0tKOGtZVGgwVDdUTE52MHh</w:t>
      </w:r>
    </w:p>
    <w:p>
      <w:pPr>
        <w:spacing w:before="120" w:after="40"/>
      </w:pPr>
      <w:r>
        <w:rPr>
          <w:b/>
          <w:color w:val="00467F"/>
          <w:sz w:val="20"/>
        </w:rPr>
        <w:t>🔑 matieres_premieres  (5 alerte(s))</w:t>
      </w:r>
    </w:p>
    <w:p>
      <w:pPr>
        <w:spacing w:before="40" w:after="40"/>
        <w:ind w:left="360"/>
      </w:pPr>
      <w:r>
        <w:rPr>
          <w:color w:val="646464"/>
          <w:sz w:val="17"/>
        </w:rPr>
        <w:t xml:space="preserve">[17/08/2026] 🟢  </w:t>
      </w:r>
      <w:r>
        <w:rPr>
          <w:b/>
          <w:color w:val="008000"/>
          <w:sz w:val="18"/>
        </w:rPr>
        <w:t>La forte pression à la demande a fait grimper les prix du pétrole brut et du blé la semaine dernière. - Vietnam.vn</w:t>
      </w:r>
      <w:r>
        <w:rPr>
          <w:color w:val="787878"/>
          <w:sz w:val="15"/>
        </w:rPr>
        <w:t xml:space="preserve">  [matieres_premieres]</w:t>
      </w:r>
      <w:r>
        <w:rPr>
          <w:color w:val="B47800"/>
          <w:sz w:val="16"/>
        </w:rPr>
        <w:t xml:space="preserve">  ★ 50/10</w:t>
      </w:r>
    </w:p>
    <w:p>
      <w:pPr>
        <w:spacing w:before="0" w:after="20"/>
        <w:ind w:left="600"/>
      </w:pPr>
      <w:r>
        <w:rPr>
          <w:color w:val="323232"/>
          <w:sz w:val="17"/>
        </w:rPr>
        <w:t>La semaine dernière, les prix du pétrole brut et du blé ont augmenté en raison d'une forte pression de la demande sur les marchés internationaux. Cette hausse reflète une dynamique de reprise économique et une demande soutenue de matières premières. Pour la BRVM, cela pourrait influencer les secteurs liés à l'énergie et à l'agroalimentaire, mais l'</w:t>
      </w:r>
    </w:p>
    <w:p>
      <w:pPr>
        <w:spacing w:before="0" w:after="40"/>
        <w:ind w:left="600"/>
      </w:pPr>
      <w:r>
        <w:rPr>
          <w:color w:val="00643C"/>
          <w:sz w:val="16"/>
        </w:rPr>
        <w:t>Points clés : Hausse des prix du pétrole brut et du blé la semaine dernière.  •  Pression de la demande comme principal moteur de cette augmentation.</w:t>
      </w:r>
    </w:p>
    <w:p>
      <w:pPr>
        <w:spacing w:before="0" w:after="60"/>
        <w:ind w:left="600"/>
      </w:pPr>
      <w:r>
        <w:rPr>
          <w:color w:val="0064B4"/>
          <w:sz w:val="15"/>
        </w:rPr>
        <w:t>Source : https://news.google.com/rss/articles/CBMiggFBVV95cUxNRk1mT3lUdUZQNmZHSllTMjZPdW1</w:t>
      </w:r>
    </w:p>
    <w:p>
      <w:pPr>
        <w:spacing w:before="40" w:after="40"/>
        <w:ind w:left="360"/>
      </w:pPr>
      <w:r>
        <w:rPr>
          <w:color w:val="646464"/>
          <w:sz w:val="17"/>
        </w:rPr>
        <w:t xml:space="preserve">[17/08/2026] 🟢  </w:t>
      </w:r>
      <w:r>
        <w:rPr>
          <w:b/>
          <w:color w:val="008000"/>
          <w:sz w:val="18"/>
        </w:rPr>
        <w:t>Marchés des matières premières : Les prix du pétrole brut et du blé ont tous deux augmenté de près de 6 %.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brut et du blé ont enregistré une hausse significative d'environ 6% sur les marchés internationaux des matières premières. Cette évolution est rapportée par Vietnam.vn, indiquant une tendance haussière pour ces deux commodités. Cette augmentation pourrait refléter des tensions sur l'offre ou une demande soutenue.</w:t>
      </w:r>
    </w:p>
    <w:p>
      <w:pPr>
        <w:spacing w:before="0" w:after="40"/>
        <w:ind w:left="600"/>
      </w:pPr>
      <w:r>
        <w:rPr>
          <w:color w:val="00643C"/>
          <w:sz w:val="16"/>
        </w:rPr>
        <w:t>Points clés : Hausse d'environ 6% des prix du pétrole brut.  •  Hausse d'environ 6% des prix du blé.</w:t>
      </w:r>
    </w:p>
    <w:p>
      <w:pPr>
        <w:spacing w:before="0" w:after="60"/>
        <w:ind w:left="600"/>
      </w:pPr>
      <w:r>
        <w:rPr>
          <w:color w:val="0064B4"/>
          <w:sz w:val="15"/>
        </w:rPr>
        <w:t>Source : https://news.google.com/rss/articles/CBMikgFBVV95cUxPNjhTdS12T1o3eUZJWmkyQ0YzR3N</w:t>
      </w:r>
    </w:p>
    <w:p>
      <w:pPr>
        <w:spacing w:before="40" w:after="40"/>
        <w:ind w:left="360"/>
      </w:pPr>
      <w:r>
        <w:rPr>
          <w:color w:val="646464"/>
          <w:sz w:val="17"/>
        </w:rPr>
        <w:t xml:space="preserve">[17/08/2026] ⚪  </w:t>
      </w:r>
      <w:r>
        <w:rPr>
          <w:b/>
          <w:color w:val="505050"/>
          <w:sz w:val="18"/>
        </w:rPr>
        <w:t>Le « nouveau pétrole » de l'IA : comment Wall Street veut donner un prix à la puissance de calcul - Les Echos</w:t>
      </w:r>
      <w:r>
        <w:rPr>
          <w:color w:val="787878"/>
          <w:sz w:val="15"/>
        </w:rPr>
        <w:t xml:space="preserve">  [matieres_premieres]</w:t>
      </w:r>
      <w:r>
        <w:rPr>
          <w:color w:val="B47800"/>
          <w:sz w:val="16"/>
        </w:rPr>
        <w:t xml:space="preserve">  ★ 50/10</w:t>
      </w:r>
    </w:p>
    <w:p>
      <w:pPr>
        <w:spacing w:before="0" w:after="20"/>
        <w:ind w:left="600"/>
      </w:pPr>
      <w:r>
        <w:rPr>
          <w:color w:val="323232"/>
          <w:sz w:val="17"/>
        </w:rPr>
        <w:t>Wall Street cherche à établir un marché pour la puissance de calcul, considérée comme le nouveau pétrole de l'IA. L'article explore comment les investisseurs tentent de valoriser cette ressource essentielle, à l'instar des matières premières. Cela pourrait créer de nouveaux instruments financiers et attirer des capitaux vers les infrastructures tec</w:t>
      </w:r>
    </w:p>
    <w:p>
      <w:pPr>
        <w:spacing w:before="0" w:after="40"/>
        <w:ind w:left="600"/>
      </w:pPr>
      <w:r>
        <w:rPr>
          <w:color w:val="00643C"/>
          <w:sz w:val="16"/>
        </w:rPr>
        <w:t>Points clés : La puissance de calcul est comparée au pétrole pour l'IA, devenant un actif stratégique.  •  Wall Street développe des mécanismes de prix pour cette ressource, ouvrant la voie à des marchés dérivés.</w:t>
      </w:r>
    </w:p>
    <w:p>
      <w:pPr>
        <w:spacing w:before="0" w:after="60"/>
        <w:ind w:left="600"/>
      </w:pPr>
      <w:r>
        <w:rPr>
          <w:color w:val="0064B4"/>
          <w:sz w:val="15"/>
        </w:rPr>
        <w:t>Source : https://news.google.com/rss/articles/CBMi7gFBVV95cUxNRTFQVS13NDYydXhhN1ZTQlB6cy1</w:t>
      </w:r>
    </w:p>
    <w:p>
      <w:pPr>
        <w:spacing w:before="40" w:after="40"/>
        <w:ind w:left="360"/>
      </w:pPr>
      <w:r>
        <w:rPr>
          <w:color w:val="646464"/>
          <w:sz w:val="17"/>
        </w:rPr>
        <w:t xml:space="preserve">[14/08/2026] 🔴  </w:t>
      </w:r>
      <w:r>
        <w:rPr>
          <w:b/>
          <w:color w:val="C00000"/>
          <w:sz w:val="18"/>
        </w:rPr>
        <w:t xml:space="preserve">Matières premières Canada : les prix du pétrole continuent de s'effriter malgré l'impasse dans le détroit d'Ormuz, l'or </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continuent de baisser sur les marchés canadiens, malgré les tensions géopolitiques dans le détroit d'Ormuz. Cette baisse s'explique par des inquiétudes sur la demande mondiale et une offre abondante. En parallèle, le prix de l'or progresse, reflétant un mouvement vers les valeurs refuges. Cette situation pourrait avoir des impli</w:t>
      </w:r>
    </w:p>
    <w:p>
      <w:pPr>
        <w:spacing w:before="0" w:after="40"/>
        <w:ind w:left="600"/>
      </w:pPr>
      <w:r>
        <w:rPr>
          <w:color w:val="00643C"/>
          <w:sz w:val="16"/>
        </w:rPr>
        <w:t>Points clés : Baisse persistante des prix du pétrole malgré les tensions au Moyen-Orient.  •  Hausse du prix de l'or, indiquant un appétit pour les actifs sûrs.</w:t>
      </w:r>
    </w:p>
    <w:p>
      <w:pPr>
        <w:spacing w:before="0" w:after="60"/>
        <w:ind w:left="600"/>
      </w:pPr>
      <w:r>
        <w:rPr>
          <w:color w:val="0064B4"/>
          <w:sz w:val="15"/>
        </w:rPr>
        <w:t>Source : https://news.google.com/rss/articles/CBMi8AFBVV95cUxQQW1TSnBUcGtkMDBtS1U0cTNlNEl</w:t>
      </w:r>
    </w:p>
    <w:p>
      <w:pPr>
        <w:spacing w:before="40" w:after="40"/>
        <w:ind w:left="360"/>
      </w:pPr>
      <w:r>
        <w:rPr>
          <w:color w:val="646464"/>
          <w:sz w:val="17"/>
        </w:rPr>
        <w:t xml:space="preserve">[14/08/2026] ⚪  </w:t>
      </w:r>
      <w:r>
        <w:rPr>
          <w:b/>
          <w:color w:val="505050"/>
          <w:sz w:val="18"/>
        </w:rPr>
        <w:t>Marchés des matières premières : les prix de l'énergie s'effondrent, ceux de l'argent flambent.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marchés des matières premières connaissent une forte baisse des prix de l'énergie, tandis que ceux de l'argent (argent métal) enregistrent une hausse significative. Cette évolution reflète des dynamiques contrastées entre les secteurs énergétique et des métaux précieux. L'article, provenant de Vietnam.vn, couvre l'actualité internationale des m</w:t>
      </w:r>
    </w:p>
    <w:p>
      <w:pPr>
        <w:spacing w:before="0" w:after="40"/>
        <w:ind w:left="600"/>
      </w:pPr>
      <w:r>
        <w:rPr>
          <w:color w:val="00643C"/>
          <w:sz w:val="16"/>
        </w:rPr>
        <w:t>Points clés : Effondrement des prix de l'énergie sur les marchés internationaux.  •  Forte hausse des prix de l'argent (métal précieux).</w:t>
      </w:r>
    </w:p>
    <w:p>
      <w:pPr>
        <w:spacing w:before="0" w:after="60"/>
        <w:ind w:left="600"/>
      </w:pPr>
      <w:r>
        <w:rPr>
          <w:color w:val="0064B4"/>
          <w:sz w:val="15"/>
        </w:rPr>
        <w:t>Source : https://news.google.com/rss/articles/CBMijwFBVV95cUxPaURRa19SUFBWRzl3N05SSVE4Ulp</w:t>
      </w:r>
    </w:p>
    <w:p>
      <w:pPr>
        <w:spacing w:before="120" w:after="40"/>
      </w:pPr>
      <w:r>
        <w:rPr>
          <w:b/>
          <w:color w:val="00467F"/>
          <w:sz w:val="20"/>
        </w:rPr>
        <w:t>🔑 politique_monetaire  (1 alerte(s))</w:t>
      </w:r>
    </w:p>
    <w:p>
      <w:pPr>
        <w:spacing w:before="40" w:after="40"/>
        <w:ind w:left="360"/>
      </w:pPr>
      <w:r>
        <w:rPr>
          <w:color w:val="646464"/>
          <w:sz w:val="17"/>
        </w:rPr>
        <w:t xml:space="preserve">[14/08/2026] ⚪  </w:t>
      </w:r>
      <w:r>
        <w:rPr>
          <w:b/>
          <w:color w:val="505050"/>
          <w:sz w:val="18"/>
        </w:rPr>
        <w:t>Le franc s’affaiblit face à l’euro, qui dépasse brièvement 0,94 franc - Agefi.com</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Le franc suisse s'est affaibli face à l'euro, qui a brièvement dépassé le seuil de 0,94 franc. Cette évolution reflète une pression sur la monnaie helvétique, probablement due à des facteurs économiques ou politiques. L'article, bien que court, signale un mouvement notable sur le marché des changes. Aucun détail supplémentaire n'est fourni dans le </w:t>
      </w:r>
    </w:p>
    <w:p>
      <w:pPr>
        <w:spacing w:before="0" w:after="40"/>
        <w:ind w:left="600"/>
      </w:pPr>
      <w:r>
        <w:rPr>
          <w:color w:val="00643C"/>
          <w:sz w:val="16"/>
        </w:rPr>
        <w:t>Points clés : L'euro a dépassé brièvement 0,94 franc suisse.  •  Le franc suisse s'affaiblit face à l'euro.</w:t>
      </w:r>
    </w:p>
    <w:p>
      <w:pPr>
        <w:spacing w:before="0" w:after="60"/>
        <w:ind w:left="600"/>
      </w:pPr>
      <w:r>
        <w:rPr>
          <w:color w:val="0064B4"/>
          <w:sz w:val="15"/>
        </w:rPr>
        <w:t>Source : https://news.google.com/rss/articles/CBMipAFBVV95cUxNS1pWZlRLU2pHTWJ5bmZiemRxY2p</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13,400</w:t>
            </w:r>
          </w:p>
        </w:tc>
        <w:tc>
          <w:tcPr>
            <w:tcW w:type="dxa" w:w="1080"/>
            <w:shd w:fill="C6EFCE" w:val="clear"/>
          </w:tcPr>
          <w:p>
            <w:r>
              <w:rPr>
                <w:b/>
                <w:sz w:val="16"/>
              </w:rPr>
              <w:t>76/100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2,105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16,005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4,055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23,050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6</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3,590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31,900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8,400</w:t>
            </w:r>
          </w:p>
        </w:tc>
        <w:tc>
          <w:tcPr>
            <w:tcW w:type="dxa" w:w="1080"/>
            <w:shd w:fill="C6EFCE" w:val="clear"/>
          </w:tcPr>
          <w:p>
            <w:r>
              <w:rPr>
                <w:b/>
                <w:sz w:val="16"/>
              </w:rPr>
              <w:t>73/100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3,210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1,985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6,185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NTLC</w:t>
            </w:r>
          </w:p>
        </w:tc>
        <w:tc>
          <w:tcPr>
            <w:tcW w:type="dxa" w:w="1080"/>
            <w:shd w:fill="C6EFCE" w:val="clear"/>
          </w:tcPr>
          <w:p>
            <w:r>
              <w:rPr>
                <w:sz w:val="16"/>
              </w:rPr>
              <w:t>CONSOMMATION DE BA</w:t>
            </w:r>
          </w:p>
        </w:tc>
        <w:tc>
          <w:tcPr>
            <w:tcW w:type="dxa" w:w="1080"/>
            <w:shd w:fill="C6EFCE" w:val="clear"/>
          </w:tcPr>
          <w:p>
            <w:r>
              <w:rPr>
                <w:sz w:val="16"/>
              </w:rPr>
              <w:t>17,400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8,495</w:t>
            </w:r>
          </w:p>
        </w:tc>
        <w:tc>
          <w:tcPr>
            <w:tcW w:type="dxa" w:w="1080"/>
            <w:shd w:fill="C6EFCE" w:val="clear"/>
          </w:tcPr>
          <w:p>
            <w:r>
              <w:rPr>
                <w:b/>
                <w:sz w:val="16"/>
              </w:rPr>
              <w:t>71/100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18,550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5,730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5,920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5,150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7,300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BOAS</w:t>
            </w:r>
          </w:p>
        </w:tc>
        <w:tc>
          <w:tcPr>
            <w:tcW w:type="dxa" w:w="1080"/>
            <w:shd w:fill="EBF5FB" w:val="clear"/>
          </w:tcPr>
          <w:p>
            <w:r>
              <w:rPr>
                <w:sz w:val="16"/>
              </w:rPr>
              <w:t>SERVICES FINANCIER</w:t>
            </w:r>
          </w:p>
        </w:tc>
        <w:tc>
          <w:tcPr>
            <w:tcW w:type="dxa" w:w="1080"/>
            <w:shd w:fill="EBF5FB" w:val="clear"/>
          </w:tcPr>
          <w:p>
            <w:r>
              <w:rPr>
                <w:sz w:val="16"/>
              </w:rPr>
              <w:t>7,800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3,060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23,000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3,300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8,800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3,600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1,665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2,410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16,445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2,545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28,315</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2,175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10,200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39,300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7,850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28,995</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1,480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4,450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3,700</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SDCC</w:t>
            </w:r>
          </w:p>
        </w:tc>
        <w:tc>
          <w:tcPr>
            <w:tcW w:type="dxa" w:w="1080"/>
            <w:shd w:fill="FEFEFE" w:val="clear"/>
          </w:tcPr>
          <w:p>
            <w:r>
              <w:rPr>
                <w:sz w:val="16"/>
              </w:rPr>
              <w:t>SERVICES PUBLICS</w:t>
            </w:r>
          </w:p>
        </w:tc>
        <w:tc>
          <w:tcPr>
            <w:tcW w:type="dxa" w:w="1080"/>
            <w:shd w:fill="FEFEFE" w:val="clear"/>
          </w:tcPr>
          <w:p>
            <w:r>
              <w:rPr>
                <w:sz w:val="16"/>
              </w:rPr>
              <w:t>11,895</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57,990</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13,400</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4,055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SNTS</w:t>
            </w:r>
          </w:p>
        </w:tc>
        <w:tc>
          <w:tcPr>
            <w:tcW w:type="dxa" w:w="1728"/>
            <w:shd w:fill="DEEAF1" w:val="clear"/>
          </w:tcPr>
          <w:p>
            <w:r>
              <w:rPr>
                <w:sz w:val="17"/>
              </w:rPr>
              <w:t>SNTS - SONATEL SN</w:t>
            </w:r>
          </w:p>
        </w:tc>
        <w:tc>
          <w:tcPr>
            <w:tcW w:type="dxa" w:w="1728"/>
            <w:shd w:fill="DEEAF1" w:val="clear"/>
          </w:tcPr>
          <w:p>
            <w:r>
              <w:rPr>
                <w:sz w:val="17"/>
              </w:rPr>
              <w:t>31,900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8,400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3,210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1,985</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13,400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2,105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16,005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4,055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23,050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3,590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9,300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31,900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13,400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2,105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16,005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4,055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23,050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3,590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9,300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31,900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BOABF — BANK OF AFRICA BURKINA FASO</w:t>
      </w:r>
    </w:p>
    <w:p>
      <w:pPr>
        <w:pStyle w:val="ListBullet"/>
        <w:spacing w:before="20"/>
        <w:ind w:left="400"/>
      </w:pPr>
      <w:r>
        <w:rPr>
          <w:sz w:val="18"/>
        </w:rPr>
        <w:t>🔴 RSI surachat (70.2 &gt; 70) — risque de correction</w:t>
      </w:r>
    </w:p>
    <w:p>
      <w:pPr>
        <w:pStyle w:val="ListBullet"/>
        <w:spacing w:before="20"/>
        <w:ind w:left="400"/>
      </w:pPr>
      <w:r>
        <w:rPr>
          <w:sz w:val="18"/>
        </w:rPr>
        <w:t>⚠️ Cours à 0.7% du plus haut 100j (7,350 FCFA)</w:t>
      </w:r>
    </w:p>
    <w:p>
      <w:pPr>
        <w:pStyle w:val="ListBullet"/>
        <w:spacing w:before="20"/>
        <w:ind w:left="400"/>
      </w:pPr>
      <w:r>
        <w:rPr>
          <w:sz w:val="18"/>
        </w:rPr>
        <w:t>🟠 Divergence tech(VENTE) / fond(ACHAT) — recommandation ajustée à ACHAT</w:t>
      </w:r>
    </w:p>
    <w:p>
      <w:pPr>
        <w:spacing w:before="120"/>
      </w:pPr>
      <w:r>
        <w:rPr>
          <w:b/>
          <w:color w:val="0050A0"/>
          <w:sz w:val="20"/>
        </w:rPr>
        <w:t>BOAC — BANK OF AFRICA COTE D'IVOIRE</w:t>
      </w:r>
    </w:p>
    <w:p>
      <w:pPr>
        <w:pStyle w:val="ListBullet"/>
        <w:spacing w:before="20"/>
        <w:ind w:left="400"/>
      </w:pPr>
      <w:r>
        <w:rPr>
          <w:sz w:val="18"/>
        </w:rPr>
        <w:t>🔴 RSI surachat (88.4 &gt; 70) — risque de correction</w:t>
      </w:r>
    </w:p>
    <w:p>
      <w:pPr>
        <w:pStyle w:val="ListBullet"/>
        <w:spacing w:before="20"/>
        <w:ind w:left="400"/>
      </w:pPr>
      <w:r>
        <w:rPr>
          <w:sz w:val="18"/>
        </w:rPr>
        <w:t>⚠️ Cours à 0.0% du plus haut 100j (13,400 FCFA)</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surachat (90.7 &gt; 70) — risque de correction</w:t>
      </w:r>
    </w:p>
    <w:p>
      <w:pPr>
        <w:pStyle w:val="ListBullet"/>
        <w:spacing w:before="20"/>
        <w:ind w:left="400"/>
      </w:pPr>
      <w:r>
        <w:rPr>
          <w:sz w:val="18"/>
        </w:rPr>
        <w:t>⚠️ Cours à 0.0% du plus haut 100j (6,185 FCFA)</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surachat (74.3 &gt; 70) — risque de correction</w:t>
      </w:r>
    </w:p>
    <w:p>
      <w:pPr>
        <w:pStyle w:val="ListBullet"/>
        <w:spacing w:before="20"/>
        <w:ind w:left="400"/>
      </w:pPr>
      <w:r>
        <w:rPr>
          <w:sz w:val="18"/>
        </w:rPr>
        <w:t>⚠️ Cours à 0.0% du plus haut 100j (5,920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(92.0 &gt; 70) — risque de correction</w:t>
      </w:r>
    </w:p>
    <w:p>
      <w:pPr>
        <w:pStyle w:val="ListBullet"/>
        <w:spacing w:before="20"/>
        <w:ind w:left="400"/>
      </w:pPr>
      <w:r>
        <w:rPr>
          <w:sz w:val="18"/>
        </w:rPr>
        <w:t>⚠️ Cours à 0.0% du plus haut 100j (18,550 FCFA)</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(93.1 &gt; 70) — risque de correction</w:t>
      </w:r>
    </w:p>
    <w:p>
      <w:pPr>
        <w:pStyle w:val="ListBullet"/>
        <w:spacing w:before="20"/>
        <w:ind w:left="400"/>
      </w:pPr>
      <w:r>
        <w:rPr>
          <w:sz w:val="18"/>
        </w:rPr>
        <w:t>⚠️ Cours à 0.0% du plus haut 100j (10,200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(90.3 &gt; 70) — risque de correction</w:t>
      </w:r>
    </w:p>
    <w:p>
      <w:pPr>
        <w:pStyle w:val="ListBullet"/>
        <w:spacing w:before="20"/>
        <w:ind w:left="400"/>
      </w:pPr>
      <w:r>
        <w:rPr>
          <w:sz w:val="18"/>
        </w:rPr>
        <w:t>⚠️ Cours à 0.0% du plus haut 100j (8,400 FCFA)</w:t>
      </w:r>
    </w:p>
    <w:p>
      <w:pPr>
        <w:pStyle w:val="ListBullet"/>
        <w:spacing w:before="20"/>
        <w:ind w:left="400"/>
      </w:pPr>
      <w:r>
        <w:rPr>
          <w:sz w:val="18"/>
        </w:rPr>
        <w:t>🟠 Divergence tech(VENTE) / fond(ACHAT) — recommandation ajustée à ACHAT</w:t>
      </w:r>
    </w:p>
    <w:p>
      <w:pPr>
        <w:spacing w:before="120"/>
      </w:pPr>
      <w:r>
        <w:rPr>
          <w:b/>
          <w:color w:val="0050A0"/>
          <w:sz w:val="20"/>
        </w:rPr>
        <w:t>BOAB — BANK OF AFRICA BENIN</w:t>
      </w:r>
    </w:p>
    <w:p>
      <w:pPr>
        <w:pStyle w:val="ListBullet"/>
        <w:spacing w:before="20"/>
        <w:ind w:left="400"/>
      </w:pPr>
      <w:r>
        <w:rPr>
          <w:sz w:val="18"/>
        </w:rPr>
        <w:t>🔴 RSI surachat (76.8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surachat (82.0 &gt; 70) — risque de correction</w:t>
      </w:r>
    </w:p>
    <w:p>
      <w:pPr>
        <w:pStyle w:val="ListBullet"/>
        <w:spacing w:before="20"/>
        <w:ind w:left="400"/>
      </w:pPr>
      <w:r>
        <w:rPr>
          <w:sz w:val="18"/>
        </w:rPr>
        <w:t>⚠️ Cours à 0.3% du plus haut 100j (17,450 FCFA)</w:t>
      </w:r>
    </w:p>
    <w:p>
      <w:pPr>
        <w:spacing w:before="120"/>
      </w:pPr>
      <w:r>
        <w:rPr>
          <w:b/>
          <w:color w:val="0050A0"/>
          <w:sz w:val="20"/>
        </w:rPr>
        <w:t>ORGT — ORGT - ORAGROUP TOGO</w:t>
      </w:r>
    </w:p>
    <w:p>
      <w:pPr>
        <w:pStyle w:val="ListBullet"/>
        <w:spacing w:before="20"/>
        <w:ind w:left="400"/>
      </w:pPr>
      <w:r>
        <w:rPr>
          <w:sz w:val="18"/>
        </w:rPr>
        <w:t>🔴 RSI surachat (81.5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Cours à 2.5%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0.0%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RSI surachat (74.5 &gt; 70) — risque de correction</w:t>
      </w:r>
    </w:p>
    <w:p>
      <w:pPr>
        <w:pStyle w:val="ListBullet"/>
        <w:spacing w:before="20"/>
        <w:ind w:left="400"/>
      </w:pPr>
      <w:r>
        <w:rPr>
          <w:sz w:val="18"/>
        </w:rPr>
        <w:t>⚠️ Cours à 0.0% du plus haut 100j (2,350 FCFA)</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BICB — BIIC BN - Banque internationale pour le commerce du benin</w:t>
      </w:r>
    </w:p>
    <w:p>
      <w:pPr>
        <w:pStyle w:val="ListBullet"/>
        <w:spacing w:before="20"/>
        <w:ind w:left="400"/>
      </w:pPr>
      <w:r>
        <w:rPr>
          <w:sz w:val="18"/>
        </w:rPr>
        <w:t>⚠️ Cours à 0.1% du plus haut 100j (8,500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1.7% du plus haut 100j (29,490 FCFA)</w:t>
      </w:r>
    </w:p>
    <w:p>
      <w:pPr>
        <w:spacing w:before="120"/>
      </w:pPr>
      <w:r>
        <w:rPr>
          <w:b/>
          <w:color w:val="0050A0"/>
          <w:sz w:val="20"/>
        </w:rPr>
        <w:t>FTSC — FTSC - FILTISAC COTE D'IVOIRE</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Cours à 1.1% du plus haut 100j (9,400 FCFA)</w:t>
      </w:r>
    </w:p>
    <w:p>
      <w:pPr>
        <w:spacing w:before="120"/>
      </w:pPr>
      <w:r>
        <w:rPr>
          <w:b/>
          <w:color w:val="0050A0"/>
          <w:sz w:val="20"/>
        </w:rPr>
        <w:t>SIBC — SIBC - SOCIETE IVOIRIENNE DE BANQUE</w:t>
      </w:r>
    </w:p>
    <w:p>
      <w:pPr>
        <w:pStyle w:val="ListBullet"/>
        <w:spacing w:before="20"/>
        <w:ind w:left="400"/>
      </w:pPr>
      <w:r>
        <w:rPr>
          <w:sz w:val="18"/>
        </w:rPr>
        <w:t>⚠️ Cours à 2.1% du plus haut 100j (9,500 FCFA)</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Cours à 1.8% du plus haut 100j (32,500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0.0% du plus haut 100j (3,210 FCFA)</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Cours à 0.0% du plus haut 100j (2,105 FCFA)</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23 société(s) (49%)</w:t>
            </w:r>
          </w:p>
        </w:tc>
        <w:tc>
          <w:tcPr>
            <w:tcW w:type="dxa" w:w="1644"/>
            <w:shd w:fill="FFEB9C" w:val="clear"/>
          </w:tcPr>
          <w:p>
            <w:r>
              <w:rPr>
                <w:b/>
                <w:color w:val="825A00"/>
                <w:sz w:val="19"/>
              </w:rPr>
              <w:t>24 société(s) (51%)</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21.1/100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21.1/100).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33.1/100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CIEC (33.1/100 — Moyen) : </w:t>
      </w:r>
      <w:r>
        <w:rPr>
          <w:sz w:val="17"/>
        </w:rPr>
        <w:t>Volatilité=Élevée | Bêta=Agressif | Liquidité=Bonne | Divergence signaux=taux divergence=40% (Très divergent ❌) | Stabilité=Stable</w:t>
      </w:r>
    </w:p>
    <w:p>
      <w:pPr>
        <w:pStyle w:val="ListBullet"/>
      </w:pPr>
      <w:r>
        <w:rPr>
          <w:b/>
          <w:color w:val="B40000"/>
          <w:sz w:val="18"/>
        </w:rPr>
        <w:t xml:space="preserve">#3 SICC (32.6/100 — Moyen) : </w:t>
      </w:r>
      <w:r>
        <w:rPr>
          <w:sz w:val="17"/>
        </w:rPr>
        <w:t>Volatilité=Élevée | Bêta=Défensif | Liquidité=Faible | Divergence signaux=taux divergence=40% (Très divergent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NEIC (30.8/100 — Moyen) : </w:t>
      </w:r>
      <w:r>
        <w:rPr>
          <w:sz w:val="17"/>
        </w:rPr>
        <w:t>Volatilité=Élevée | Bêta=Contre-cyclique | Liquidité=Bonne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33.1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28.8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27.5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FFEB9C" w:val="clear"/>
          </w:tcPr>
          <w:p>
            <w:r>
              <w:rPr>
                <w:b/>
                <w:color w:val="825A00"/>
                <w:sz w:val="15"/>
              </w:rPr>
              <w:t>21.6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19.0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17.1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C6EFCE" w:val="clear"/>
          </w:tcPr>
          <w:p>
            <w:r>
              <w:rPr>
                <w:b/>
                <w:color w:val="006400"/>
                <w:sz w:val="15"/>
              </w:rPr>
              <w:t>16.3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15.1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-11.53%  |  Médiane : -9.09%</w:t>
            </w:r>
          </w:p>
        </w:tc>
      </w:tr>
      <w:tr>
        <w:tc>
          <w:tcPr>
            <w:tcW w:type="dxa" w:w="2835"/>
            <w:shd w:fill="DEEAF1" w:val="clear"/>
          </w:tcPr>
          <w:p>
            <w:r>
              <w:rPr>
                <w:b/>
                <w:sz w:val="18"/>
              </w:rPr>
              <w:t>Répartition</w:t>
            </w:r>
          </w:p>
        </w:tc>
        <w:tc>
          <w:tcPr>
            <w:tcW w:type="dxa" w:w="7370"/>
          </w:tcPr>
          <w:p>
            <w:r>
              <w:rPr>
                <w:b/>
                <w:sz w:val="18"/>
              </w:rPr>
              <w:t>📈 7 sociétés en hausse (&gt;+1%)   📉 37 en baisse (&lt;-1%)   ➡️ 3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37 sociétés sur 47 sont orientées à la baisse avec une variation moyenne de -11.53%.</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3,600 FCFA</w:t>
            </w:r>
          </w:p>
        </w:tc>
        <w:tc>
          <w:tcPr>
            <w:tcW w:type="dxa" w:w="1417"/>
            <w:shd w:fill="FFFFFF" w:val="clear"/>
          </w:tcPr>
          <w:p>
            <w:r>
              <w:rPr>
                <w:sz w:val="16"/>
              </w:rPr>
              <w:t>6,421 FCFA</w:t>
            </w:r>
          </w:p>
        </w:tc>
        <w:tc>
          <w:tcPr>
            <w:tcW w:type="dxa" w:w="1134"/>
            <w:shd w:fill="C6EFCE" w:val="clear"/>
          </w:tcPr>
          <w:p>
            <w:r>
              <w:rPr>
                <w:b/>
                <w:color w:val="007800"/>
                <w:sz w:val="16"/>
              </w:rPr>
              <w:t>+78.36%</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23,050 FCFA</w:t>
            </w:r>
          </w:p>
        </w:tc>
        <w:tc>
          <w:tcPr>
            <w:tcW w:type="dxa" w:w="1417"/>
            <w:shd w:fill="FFFFFF" w:val="clear"/>
          </w:tcPr>
          <w:p>
            <w:r>
              <w:rPr>
                <w:sz w:val="16"/>
              </w:rPr>
              <w:t>27,193 FCFA</w:t>
            </w:r>
          </w:p>
        </w:tc>
        <w:tc>
          <w:tcPr>
            <w:tcW w:type="dxa" w:w="1134"/>
            <w:shd w:fill="C6EFCE" w:val="clear"/>
          </w:tcPr>
          <w:p>
            <w:r>
              <w:rPr>
                <w:b/>
                <w:color w:val="007800"/>
                <w:sz w:val="16"/>
              </w:rPr>
              <w:t>+17.97%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57,990 FCFA</w:t>
            </w:r>
          </w:p>
        </w:tc>
        <w:tc>
          <w:tcPr>
            <w:tcW w:type="dxa" w:w="1417"/>
            <w:shd w:fill="FFFFFF" w:val="clear"/>
          </w:tcPr>
          <w:p>
            <w:r>
              <w:rPr>
                <w:sz w:val="16"/>
              </w:rPr>
              <w:t>64,981 FCFA</w:t>
            </w:r>
          </w:p>
        </w:tc>
        <w:tc>
          <w:tcPr>
            <w:tcW w:type="dxa" w:w="1134"/>
            <w:shd w:fill="C6EFCE" w:val="clear"/>
          </w:tcPr>
          <w:p>
            <w:r>
              <w:rPr>
                <w:b/>
                <w:color w:val="007800"/>
                <w:sz w:val="16"/>
              </w:rPr>
              <w:t>+12.05%</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23,000 FCFA</w:t>
            </w:r>
          </w:p>
        </w:tc>
        <w:tc>
          <w:tcPr>
            <w:tcW w:type="dxa" w:w="1417"/>
            <w:shd w:fill="FFFFFF" w:val="clear"/>
          </w:tcPr>
          <w:p>
            <w:r>
              <w:rPr>
                <w:sz w:val="16"/>
              </w:rPr>
              <w:t>25,406 FCFA</w:t>
            </w:r>
          </w:p>
        </w:tc>
        <w:tc>
          <w:tcPr>
            <w:tcW w:type="dxa" w:w="1134"/>
            <w:shd w:fill="C6EFCE" w:val="clear"/>
          </w:tcPr>
          <w:p>
            <w:r>
              <w:rPr>
                <w:b/>
                <w:color w:val="007800"/>
                <w:sz w:val="16"/>
              </w:rPr>
              <w:t>+10.46%</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2,150 FCFA</w:t>
            </w:r>
          </w:p>
        </w:tc>
        <w:tc>
          <w:tcPr>
            <w:tcW w:type="dxa" w:w="1417"/>
            <w:shd w:fill="FFFFFF" w:val="clear"/>
          </w:tcPr>
          <w:p>
            <w:r>
              <w:rPr>
                <w:sz w:val="16"/>
              </w:rPr>
              <w:t>2,249 FCFA</w:t>
            </w:r>
          </w:p>
        </w:tc>
        <w:tc>
          <w:tcPr>
            <w:tcW w:type="dxa" w:w="1134"/>
            <w:shd w:fill="C6EFCE" w:val="clear"/>
          </w:tcPr>
          <w:p>
            <w:r>
              <w:rPr>
                <w:b/>
                <w:color w:val="007800"/>
                <w:sz w:val="16"/>
              </w:rPr>
              <w:t>+4.60%</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(+78.4%) — signal potentiellement excessif, à croiser avec l'analyse technique. Trajectoire : 📈 Hausse continue. Cours actuel : 3,600 FCFA → prédit J+10 : 6,421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(+18.0%) — potentiel de revalorisation notable. Trajectoire : 📈 Hausse continue. Cours actuel : 23,050 FCFA → prédit J+10 : 27,193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(+12.1%) — potentiel de revalorisation notable. Trajectoire : 📈 Hausse continue. Cours actuel : 57,990 FCFA → prédit J+10 : 64,981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(+10.5%) — potentiel de revalorisation notable. Trajectoire : 📈 Hausse continue. Cours actuel : 23,000 FCFA → prédit J+10 : 25,406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(+4.6%) — progression graduelle attendue. Trajectoire : 📈 Hausse continue. Cours actuel : 2,150 FCFA → prédit J+10 : 2,249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3,590 FCFA</w:t>
            </w:r>
          </w:p>
        </w:tc>
        <w:tc>
          <w:tcPr>
            <w:tcW w:type="dxa" w:w="1417"/>
            <w:shd w:fill="FFFFFF" w:val="clear"/>
          </w:tcPr>
          <w:p>
            <w:r>
              <w:rPr>
                <w:sz w:val="16"/>
              </w:rPr>
              <w:t>1,646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5,730 FCFA</w:t>
            </w:r>
          </w:p>
        </w:tc>
        <w:tc>
          <w:tcPr>
            <w:tcW w:type="dxa" w:w="1417"/>
            <w:shd w:fill="FFFFFF" w:val="clear"/>
          </w:tcPr>
          <w:p>
            <w:r>
              <w:rPr>
                <w:sz w:val="16"/>
              </w:rPr>
              <w:t>2,628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65 FCFA</w:t>
            </w:r>
          </w:p>
        </w:tc>
        <w:tc>
          <w:tcPr>
            <w:tcW w:type="dxa" w:w="1417"/>
            <w:shd w:fill="FFFFFF" w:val="clear"/>
          </w:tcPr>
          <w:p>
            <w:r>
              <w:rPr>
                <w:sz w:val="16"/>
              </w:rPr>
              <w:t>30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5,920 FCFA</w:t>
            </w:r>
          </w:p>
        </w:tc>
        <w:tc>
          <w:tcPr>
            <w:tcW w:type="dxa" w:w="1417"/>
            <w:shd w:fill="FFFFFF" w:val="clear"/>
          </w:tcPr>
          <w:p>
            <w:r>
              <w:rPr>
                <w:sz w:val="16"/>
              </w:rPr>
              <w:t>3,227 FCFA</w:t>
            </w:r>
          </w:p>
        </w:tc>
        <w:tc>
          <w:tcPr>
            <w:tcW w:type="dxa" w:w="1134"/>
            <w:shd w:fill="FFC7CE" w:val="clear"/>
          </w:tcPr>
          <w:p>
            <w:r>
              <w:rPr>
                <w:b/>
                <w:color w:val="B40000"/>
                <w:sz w:val="16"/>
              </w:rPr>
              <w:t>-45.49%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28,315 FCFA</w:t>
            </w:r>
          </w:p>
        </w:tc>
        <w:tc>
          <w:tcPr>
            <w:tcW w:type="dxa" w:w="1417"/>
            <w:shd w:fill="FFFFFF" w:val="clear"/>
          </w:tcPr>
          <w:p>
            <w:r>
              <w:rPr>
                <w:sz w:val="16"/>
              </w:rPr>
              <w:t>17,375 FCFA</w:t>
            </w:r>
          </w:p>
        </w:tc>
        <w:tc>
          <w:tcPr>
            <w:tcW w:type="dxa" w:w="1134"/>
            <w:shd w:fill="FFC7CE" w:val="clear"/>
          </w:tcPr>
          <w:p>
            <w:r>
              <w:rPr>
                <w:b/>
                <w:color w:val="B40000"/>
                <w:sz w:val="16"/>
              </w:rPr>
              <w:t>-38.64%</w:t>
            </w:r>
          </w:p>
        </w:tc>
        <w:tc>
          <w:tcPr>
            <w:tcW w:type="dxa" w:w="1020"/>
            <w:shd w:fill="FFC7CE" w:val="clear"/>
          </w:tcPr>
          <w:p>
            <w:r>
              <w:rPr>
                <w:sz w:val="16"/>
              </w:rPr>
              <w:t>Faible</w:t>
            </w:r>
          </w:p>
        </w:tc>
      </w:tr>
    </w:tbl>
    <w:p/>
    <w:p>
      <w:pPr>
        <w:pStyle w:val="ListBullet"/>
      </w:pPr>
      <w:r>
        <w:rPr>
          <w:b/>
          <w:color w:val="B40000"/>
          <w:sz w:val="18"/>
        </w:rPr>
        <w:t xml:space="preserve">#1 SCRC </w:t>
      </w:r>
      <w:r>
        <w:rPr>
          <w:sz w:val="17"/>
        </w:rPr>
        <w:t>(SCRC - SUCRIVOIRE) — baisse très forte (-54.1%) — amplitude potentiellement surestimée par le modèle. Trajectoire : 📉 Baisse continue. Cours actuel : 3,590 FCFA → prédit J+10 : 1,646 FCFA. ⚠️ Confiance limitée — volatilité élevée. Ne pas agir sur ce seul signal.</w:t>
      </w:r>
    </w:p>
    <w:p>
      <w:pPr>
        <w:pStyle w:val="ListBullet"/>
      </w:pPr>
      <w:r>
        <w:rPr>
          <w:b/>
          <w:color w:val="B40000"/>
          <w:sz w:val="18"/>
        </w:rPr>
        <w:t xml:space="preserve">#2 SAFC </w:t>
      </w:r>
      <w:r>
        <w:rPr>
          <w:sz w:val="17"/>
        </w:rPr>
        <w:t>(SAFCA CI) — baisse très forte (-54.1%) — amplitude potentiellement surestimée par le modèle. Trajectoire : 📉 Baisse continue. Cours actuel : 5,730 FCFA → prédit J+10 : 2,628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65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(-45.5%) — amplitude potentiellement surestimée par le modèle. Trajectoire : 📉 Baisse continue. Cours actuel : 5,920 FCFA → prédit J+10 : 3,227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(-38.6%) — amplitude potentiellement surestimée par le modèle. Trajectoire : 📉 Baisse continue. Cours actuel : 28,315 FCFA → prédit J+10 : 17,375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3,600</w:t>
            </w:r>
          </w:p>
        </w:tc>
        <w:tc>
          <w:tcPr>
            <w:tcW w:type="dxa" w:w="1417"/>
            <w:shd w:fill="FFFFFF" w:val="clear"/>
          </w:tcPr>
          <w:p>
            <w:r>
              <w:rPr>
                <w:sz w:val="16"/>
              </w:rPr>
              <w:t>6,421</w:t>
            </w:r>
          </w:p>
        </w:tc>
        <w:tc>
          <w:tcPr>
            <w:tcW w:type="dxa" w:w="1134"/>
            <w:shd w:fill="C6EFCE" w:val="clear"/>
          </w:tcPr>
          <w:p>
            <w:r>
              <w:rPr>
                <w:b/>
                <w:color w:val="007800"/>
                <w:sz w:val="16"/>
              </w:rPr>
              <w:t>+78.36%</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23,050</w:t>
            </w:r>
          </w:p>
        </w:tc>
        <w:tc>
          <w:tcPr>
            <w:tcW w:type="dxa" w:w="1417"/>
            <w:shd w:fill="FFFFFF" w:val="clear"/>
          </w:tcPr>
          <w:p>
            <w:r>
              <w:rPr>
                <w:sz w:val="16"/>
              </w:rPr>
              <w:t>27,193</w:t>
            </w:r>
          </w:p>
        </w:tc>
        <w:tc>
          <w:tcPr>
            <w:tcW w:type="dxa" w:w="1134"/>
            <w:shd w:fill="C6EFCE" w:val="clear"/>
          </w:tcPr>
          <w:p>
            <w:r>
              <w:rPr>
                <w:b/>
                <w:color w:val="007800"/>
                <w:sz w:val="16"/>
              </w:rPr>
              <w:t>+17.97%</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57,990</w:t>
            </w:r>
          </w:p>
        </w:tc>
        <w:tc>
          <w:tcPr>
            <w:tcW w:type="dxa" w:w="1417"/>
            <w:shd w:fill="FFFFFF" w:val="clear"/>
          </w:tcPr>
          <w:p>
            <w:r>
              <w:rPr>
                <w:sz w:val="16"/>
              </w:rPr>
              <w:t>64,981</w:t>
            </w:r>
          </w:p>
        </w:tc>
        <w:tc>
          <w:tcPr>
            <w:tcW w:type="dxa" w:w="1134"/>
            <w:shd w:fill="C6EFCE" w:val="clear"/>
          </w:tcPr>
          <w:p>
            <w:r>
              <w:rPr>
                <w:b/>
                <w:color w:val="007800"/>
                <w:sz w:val="16"/>
              </w:rPr>
              <w:t>+12.05%</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23,000</w:t>
            </w:r>
          </w:p>
        </w:tc>
        <w:tc>
          <w:tcPr>
            <w:tcW w:type="dxa" w:w="1417"/>
            <w:shd w:fill="FFFFFF" w:val="clear"/>
          </w:tcPr>
          <w:p>
            <w:r>
              <w:rPr>
                <w:sz w:val="16"/>
              </w:rPr>
              <w:t>25,406</w:t>
            </w:r>
          </w:p>
        </w:tc>
        <w:tc>
          <w:tcPr>
            <w:tcW w:type="dxa" w:w="1134"/>
            <w:shd w:fill="C6EFCE" w:val="clear"/>
          </w:tcPr>
          <w:p>
            <w:r>
              <w:rPr>
                <w:b/>
                <w:color w:val="007800"/>
                <w:sz w:val="16"/>
              </w:rPr>
              <w:t>+10.46%</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2,150</w:t>
            </w:r>
          </w:p>
        </w:tc>
        <w:tc>
          <w:tcPr>
            <w:tcW w:type="dxa" w:w="1417"/>
            <w:shd w:fill="FFFFFF" w:val="clear"/>
          </w:tcPr>
          <w:p>
            <w:r>
              <w:rPr>
                <w:sz w:val="16"/>
              </w:rPr>
              <w:t>2,249</w:t>
            </w:r>
          </w:p>
        </w:tc>
        <w:tc>
          <w:tcPr>
            <w:tcW w:type="dxa" w:w="1134"/>
            <w:shd w:fill="C6EFCE" w:val="clear"/>
          </w:tcPr>
          <w:p>
            <w:r>
              <w:rPr>
                <w:b/>
                <w:color w:val="007800"/>
                <w:sz w:val="16"/>
              </w:rPr>
              <w:t>+4.60%</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9,300</w:t>
            </w:r>
          </w:p>
        </w:tc>
        <w:tc>
          <w:tcPr>
            <w:tcW w:type="dxa" w:w="1417"/>
            <w:shd w:fill="FFFFFF" w:val="clear"/>
          </w:tcPr>
          <w:p>
            <w:r>
              <w:rPr>
                <w:sz w:val="16"/>
              </w:rPr>
              <w:t>9,488</w:t>
            </w:r>
          </w:p>
        </w:tc>
        <w:tc>
          <w:tcPr>
            <w:tcW w:type="dxa" w:w="1134"/>
            <w:shd w:fill="C6EFCE" w:val="clear"/>
          </w:tcPr>
          <w:p>
            <w:r>
              <w:rPr>
                <w:b/>
                <w:color w:val="007800"/>
                <w:sz w:val="16"/>
              </w:rPr>
              <w:t>+2.02%</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7,850</w:t>
            </w:r>
          </w:p>
        </w:tc>
        <w:tc>
          <w:tcPr>
            <w:tcW w:type="dxa" w:w="1417"/>
            <w:shd w:fill="FFFFFF" w:val="clear"/>
          </w:tcPr>
          <w:p>
            <w:r>
              <w:rPr>
                <w:sz w:val="16"/>
              </w:rPr>
              <w:t>7,951</w:t>
            </w:r>
          </w:p>
        </w:tc>
        <w:tc>
          <w:tcPr>
            <w:tcW w:type="dxa" w:w="1134"/>
            <w:shd w:fill="C6EFCE" w:val="clear"/>
          </w:tcPr>
          <w:p>
            <w:r>
              <w:rPr>
                <w:b/>
                <w:color w:val="007800"/>
                <w:sz w:val="16"/>
              </w:rPr>
              <w:t>+1.29%</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3,060</w:t>
            </w:r>
          </w:p>
        </w:tc>
        <w:tc>
          <w:tcPr>
            <w:tcW w:type="dxa" w:w="1417"/>
            <w:shd w:fill="FFFFFF" w:val="clear"/>
          </w:tcPr>
          <w:p>
            <w:r>
              <w:rPr>
                <w:sz w:val="16"/>
              </w:rPr>
              <w:t>3,042</w:t>
            </w:r>
          </w:p>
        </w:tc>
        <w:tc>
          <w:tcPr>
            <w:tcW w:type="dxa" w:w="1134"/>
            <w:shd w:fill="FFEB9C" w:val="clear"/>
          </w:tcPr>
          <w:p>
            <w:r>
              <w:rPr>
                <w:b/>
                <w:color w:val="646400"/>
                <w:sz w:val="16"/>
              </w:rPr>
              <w:t>-0.60%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16,005</w:t>
            </w:r>
          </w:p>
        </w:tc>
        <w:tc>
          <w:tcPr>
            <w:tcW w:type="dxa" w:w="1417"/>
            <w:shd w:fill="FFFFFF" w:val="clear"/>
          </w:tcPr>
          <w:p>
            <w:r>
              <w:rPr>
                <w:sz w:val="16"/>
              </w:rPr>
              <w:t>15,886</w:t>
            </w:r>
          </w:p>
        </w:tc>
        <w:tc>
          <w:tcPr>
            <w:tcW w:type="dxa" w:w="1134"/>
            <w:shd w:fill="FFEB9C" w:val="clear"/>
          </w:tcPr>
          <w:p>
            <w:r>
              <w:rPr>
                <w:b/>
                <w:color w:val="646400"/>
                <w:sz w:val="16"/>
              </w:rPr>
              <w:t>-0.74%</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1,985</w:t>
            </w:r>
          </w:p>
        </w:tc>
        <w:tc>
          <w:tcPr>
            <w:tcW w:type="dxa" w:w="1417"/>
            <w:shd w:fill="FFFFFF" w:val="clear"/>
          </w:tcPr>
          <w:p>
            <w:r>
              <w:rPr>
                <w:sz w:val="16"/>
              </w:rPr>
              <w:t>1,970</w:t>
            </w:r>
          </w:p>
        </w:tc>
        <w:tc>
          <w:tcPr>
            <w:tcW w:type="dxa" w:w="1134"/>
            <w:shd w:fill="FFEB9C" w:val="clear"/>
          </w:tcPr>
          <w:p>
            <w:r>
              <w:rPr>
                <w:b/>
                <w:color w:val="646400"/>
                <w:sz w:val="16"/>
              </w:rPr>
              <w:t>-0.77%</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37,402</w:t>
            </w:r>
          </w:p>
        </w:tc>
        <w:tc>
          <w:tcPr>
            <w:tcW w:type="dxa" w:w="1134"/>
            <w:shd w:fill="FFC7CE" w:val="clear"/>
          </w:tcPr>
          <w:p>
            <w:r>
              <w:rPr>
                <w:b/>
                <w:color w:val="B40000"/>
                <w:sz w:val="16"/>
              </w:rPr>
              <w:t>-1.57%</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31,900</w:t>
            </w:r>
          </w:p>
        </w:tc>
        <w:tc>
          <w:tcPr>
            <w:tcW w:type="dxa" w:w="1417"/>
            <w:shd w:fill="FFFFFF" w:val="clear"/>
          </w:tcPr>
          <w:p>
            <w:r>
              <w:rPr>
                <w:sz w:val="16"/>
              </w:rPr>
              <w:t>31,374</w:t>
            </w:r>
          </w:p>
        </w:tc>
        <w:tc>
          <w:tcPr>
            <w:tcW w:type="dxa" w:w="1134"/>
            <w:shd w:fill="FFC7CE" w:val="clear"/>
          </w:tcPr>
          <w:p>
            <w:r>
              <w:rPr>
                <w:b/>
                <w:color w:val="B40000"/>
                <w:sz w:val="16"/>
              </w:rPr>
              <w:t>-1.65%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5,150</w:t>
            </w:r>
          </w:p>
        </w:tc>
        <w:tc>
          <w:tcPr>
            <w:tcW w:type="dxa" w:w="1417"/>
            <w:shd w:fill="FFFFFF" w:val="clear"/>
          </w:tcPr>
          <w:p>
            <w:r>
              <w:rPr>
                <w:sz w:val="16"/>
              </w:rPr>
              <w:t>5,038</w:t>
            </w:r>
          </w:p>
        </w:tc>
        <w:tc>
          <w:tcPr>
            <w:tcW w:type="dxa" w:w="1134"/>
            <w:shd w:fill="FFC7CE" w:val="clear"/>
          </w:tcPr>
          <w:p>
            <w:r>
              <w:rPr>
                <w:b/>
                <w:color w:val="B40000"/>
                <w:sz w:val="16"/>
              </w:rPr>
              <w:t>-2.17%</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4,055</w:t>
            </w:r>
          </w:p>
        </w:tc>
        <w:tc>
          <w:tcPr>
            <w:tcW w:type="dxa" w:w="1417"/>
            <w:shd w:fill="FFFFFF" w:val="clear"/>
          </w:tcPr>
          <w:p>
            <w:r>
              <w:rPr>
                <w:sz w:val="16"/>
              </w:rPr>
              <w:t>3,933</w:t>
            </w:r>
          </w:p>
        </w:tc>
        <w:tc>
          <w:tcPr>
            <w:tcW w:type="dxa" w:w="1134"/>
            <w:shd w:fill="FFC7CE" w:val="clear"/>
          </w:tcPr>
          <w:p>
            <w:r>
              <w:rPr>
                <w:b/>
                <w:color w:val="B40000"/>
                <w:sz w:val="16"/>
              </w:rPr>
              <w:t>-3.01%</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2,807</w:t>
            </w:r>
          </w:p>
        </w:tc>
        <w:tc>
          <w:tcPr>
            <w:tcW w:type="dxa" w:w="1134"/>
            <w:shd w:fill="FFC7CE" w:val="clear"/>
          </w:tcPr>
          <w:p>
            <w:r>
              <w:rPr>
                <w:b/>
                <w:color w:val="B40000"/>
                <w:sz w:val="16"/>
              </w:rPr>
              <w:t>-3.20%</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3,210</w:t>
            </w:r>
          </w:p>
        </w:tc>
        <w:tc>
          <w:tcPr>
            <w:tcW w:type="dxa" w:w="1417"/>
            <w:shd w:fill="FFFFFF" w:val="clear"/>
          </w:tcPr>
          <w:p>
            <w:r>
              <w:rPr>
                <w:sz w:val="16"/>
              </w:rPr>
              <w:t>3,099</w:t>
            </w:r>
          </w:p>
        </w:tc>
        <w:tc>
          <w:tcPr>
            <w:tcW w:type="dxa" w:w="1134"/>
            <w:shd w:fill="FFC7CE" w:val="clear"/>
          </w:tcPr>
          <w:p>
            <w:r>
              <w:rPr>
                <w:b/>
                <w:color w:val="B40000"/>
                <w:sz w:val="16"/>
              </w:rPr>
              <w:t>-3.45%</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16,445</w:t>
            </w:r>
          </w:p>
        </w:tc>
        <w:tc>
          <w:tcPr>
            <w:tcW w:type="dxa" w:w="1417"/>
            <w:shd w:fill="FFFFFF" w:val="clear"/>
          </w:tcPr>
          <w:p>
            <w:r>
              <w:rPr>
                <w:sz w:val="16"/>
              </w:rPr>
              <w:t>15,815</w:t>
            </w:r>
          </w:p>
        </w:tc>
        <w:tc>
          <w:tcPr>
            <w:tcW w:type="dxa" w:w="1134"/>
            <w:shd w:fill="FFC7CE" w:val="clear"/>
          </w:tcPr>
          <w:p>
            <w:r>
              <w:rPr>
                <w:b/>
                <w:color w:val="B40000"/>
                <w:sz w:val="16"/>
              </w:rPr>
              <w:t>-3.83%</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39,300</w:t>
            </w:r>
          </w:p>
        </w:tc>
        <w:tc>
          <w:tcPr>
            <w:tcW w:type="dxa" w:w="1417"/>
            <w:shd w:fill="FFFFFF" w:val="clear"/>
          </w:tcPr>
          <w:p>
            <w:r>
              <w:rPr>
                <w:sz w:val="16"/>
              </w:rPr>
              <w:t>37,793</w:t>
            </w:r>
          </w:p>
        </w:tc>
        <w:tc>
          <w:tcPr>
            <w:tcW w:type="dxa" w:w="1134"/>
            <w:shd w:fill="FFC7CE" w:val="clear"/>
          </w:tcPr>
          <w:p>
            <w:r>
              <w:rPr>
                <w:b/>
                <w:color w:val="B40000"/>
                <w:sz w:val="16"/>
              </w:rPr>
              <w:t>-3.83%</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4,450</w:t>
            </w:r>
          </w:p>
        </w:tc>
        <w:tc>
          <w:tcPr>
            <w:tcW w:type="dxa" w:w="1417"/>
            <w:shd w:fill="FFFFFF" w:val="clear"/>
          </w:tcPr>
          <w:p>
            <w:r>
              <w:rPr>
                <w:sz w:val="16"/>
              </w:rPr>
              <w:t>4,246</w:t>
            </w:r>
          </w:p>
        </w:tc>
        <w:tc>
          <w:tcPr>
            <w:tcW w:type="dxa" w:w="1134"/>
            <w:shd w:fill="FFC7CE" w:val="clear"/>
          </w:tcPr>
          <w:p>
            <w:r>
              <w:rPr>
                <w:b/>
                <w:color w:val="B40000"/>
                <w:sz w:val="16"/>
              </w:rPr>
              <w:t>-4.58%</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17,400</w:t>
            </w:r>
          </w:p>
        </w:tc>
        <w:tc>
          <w:tcPr>
            <w:tcW w:type="dxa" w:w="1417"/>
            <w:shd w:fill="FFFFFF" w:val="clear"/>
          </w:tcPr>
          <w:p>
            <w:r>
              <w:rPr>
                <w:sz w:val="16"/>
              </w:rPr>
              <w:t>16,529</w:t>
            </w:r>
          </w:p>
        </w:tc>
        <w:tc>
          <w:tcPr>
            <w:tcW w:type="dxa" w:w="1134"/>
            <w:shd w:fill="FFC7CE" w:val="clear"/>
          </w:tcPr>
          <w:p>
            <w:r>
              <w:rPr>
                <w:b/>
                <w:color w:val="B40000"/>
                <w:sz w:val="16"/>
              </w:rPr>
              <w:t>-5.00%</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8,400</w:t>
            </w:r>
          </w:p>
        </w:tc>
        <w:tc>
          <w:tcPr>
            <w:tcW w:type="dxa" w:w="1417"/>
            <w:shd w:fill="FFFFFF" w:val="clear"/>
          </w:tcPr>
          <w:p>
            <w:r>
              <w:rPr>
                <w:sz w:val="16"/>
              </w:rPr>
              <w:t>7,956</w:t>
            </w:r>
          </w:p>
        </w:tc>
        <w:tc>
          <w:tcPr>
            <w:tcW w:type="dxa" w:w="1134"/>
            <w:shd w:fill="FFC7CE" w:val="clear"/>
          </w:tcPr>
          <w:p>
            <w:r>
              <w:rPr>
                <w:b/>
                <w:color w:val="B40000"/>
                <w:sz w:val="16"/>
              </w:rPr>
              <w:t>-5.29%</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18,550</w:t>
            </w:r>
          </w:p>
        </w:tc>
        <w:tc>
          <w:tcPr>
            <w:tcW w:type="dxa" w:w="1417"/>
            <w:shd w:fill="FFFFFF" w:val="clear"/>
          </w:tcPr>
          <w:p>
            <w:r>
              <w:rPr>
                <w:sz w:val="16"/>
              </w:rPr>
              <w:t>17,499</w:t>
            </w:r>
          </w:p>
        </w:tc>
        <w:tc>
          <w:tcPr>
            <w:tcW w:type="dxa" w:w="1134"/>
            <w:shd w:fill="FFC7CE" w:val="clear"/>
          </w:tcPr>
          <w:p>
            <w:r>
              <w:rPr>
                <w:b/>
                <w:color w:val="B40000"/>
                <w:sz w:val="16"/>
              </w:rPr>
              <w:t>-5.66%</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2,700</w:t>
            </w:r>
          </w:p>
        </w:tc>
        <w:tc>
          <w:tcPr>
            <w:tcW w:type="dxa" w:w="1417"/>
            <w:shd w:fill="FFFFFF" w:val="clear"/>
          </w:tcPr>
          <w:p>
            <w:r>
              <w:rPr>
                <w:sz w:val="16"/>
              </w:rPr>
              <w:t>2,497</w:t>
            </w:r>
          </w:p>
        </w:tc>
        <w:tc>
          <w:tcPr>
            <w:tcW w:type="dxa" w:w="1134"/>
            <w:shd w:fill="FFC7CE" w:val="clear"/>
          </w:tcPr>
          <w:p>
            <w:r>
              <w:rPr>
                <w:b/>
                <w:color w:val="B40000"/>
                <w:sz w:val="16"/>
              </w:rPr>
              <w:t>-7.53%</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2,105</w:t>
            </w:r>
          </w:p>
        </w:tc>
        <w:tc>
          <w:tcPr>
            <w:tcW w:type="dxa" w:w="1417"/>
            <w:shd w:fill="FFFFFF" w:val="clear"/>
          </w:tcPr>
          <w:p>
            <w:r>
              <w:rPr>
                <w:sz w:val="16"/>
              </w:rPr>
              <w:t>1,914</w:t>
            </w:r>
          </w:p>
        </w:tc>
        <w:tc>
          <w:tcPr>
            <w:tcW w:type="dxa" w:w="1134"/>
            <w:shd w:fill="FFC7CE" w:val="clear"/>
          </w:tcPr>
          <w:p>
            <w:r>
              <w:rPr>
                <w:b/>
                <w:color w:val="B40000"/>
                <w:sz w:val="16"/>
              </w:rPr>
              <w:t>-9.09%</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28,995</w:t>
            </w:r>
          </w:p>
        </w:tc>
        <w:tc>
          <w:tcPr>
            <w:tcW w:type="dxa" w:w="1417"/>
            <w:shd w:fill="FFFFFF" w:val="clear"/>
          </w:tcPr>
          <w:p>
            <w:r>
              <w:rPr>
                <w:sz w:val="16"/>
              </w:rPr>
              <w:t>26,135</w:t>
            </w:r>
          </w:p>
        </w:tc>
        <w:tc>
          <w:tcPr>
            <w:tcW w:type="dxa" w:w="1134"/>
            <w:shd w:fill="FFC7CE" w:val="clear"/>
          </w:tcPr>
          <w:p>
            <w:r>
              <w:rPr>
                <w:b/>
                <w:color w:val="B40000"/>
                <w:sz w:val="16"/>
              </w:rPr>
              <w:t>-9.86%</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11,895</w:t>
            </w:r>
          </w:p>
        </w:tc>
        <w:tc>
          <w:tcPr>
            <w:tcW w:type="dxa" w:w="1417"/>
            <w:shd w:fill="FFFFFF" w:val="clear"/>
          </w:tcPr>
          <w:p>
            <w:r>
              <w:rPr>
                <w:sz w:val="16"/>
              </w:rPr>
              <w:t>10,710</w:t>
            </w:r>
          </w:p>
        </w:tc>
        <w:tc>
          <w:tcPr>
            <w:tcW w:type="dxa" w:w="1134"/>
            <w:shd w:fill="FFC7CE" w:val="clear"/>
          </w:tcPr>
          <w:p>
            <w:r>
              <w:rPr>
                <w:b/>
                <w:color w:val="B40000"/>
                <w:sz w:val="16"/>
              </w:rPr>
              <w:t>-9.96%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1,480</w:t>
            </w:r>
          </w:p>
        </w:tc>
        <w:tc>
          <w:tcPr>
            <w:tcW w:type="dxa" w:w="1417"/>
            <w:shd w:fill="FFFFFF" w:val="clear"/>
          </w:tcPr>
          <w:p>
            <w:r>
              <w:rPr>
                <w:sz w:val="16"/>
              </w:rPr>
              <w:t>1,332</w:t>
            </w:r>
          </w:p>
        </w:tc>
        <w:tc>
          <w:tcPr>
            <w:tcW w:type="dxa" w:w="1134"/>
            <w:shd w:fill="FFC7CE" w:val="clear"/>
          </w:tcPr>
          <w:p>
            <w:r>
              <w:rPr>
                <w:b/>
                <w:color w:val="B40000"/>
                <w:sz w:val="16"/>
              </w:rPr>
              <w:t>-10.02%</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7,300</w:t>
            </w:r>
          </w:p>
        </w:tc>
        <w:tc>
          <w:tcPr>
            <w:tcW w:type="dxa" w:w="1417"/>
            <w:shd w:fill="FFFFFF" w:val="clear"/>
          </w:tcPr>
          <w:p>
            <w:r>
              <w:rPr>
                <w:sz w:val="16"/>
              </w:rPr>
              <w:t>6,524</w:t>
            </w:r>
          </w:p>
        </w:tc>
        <w:tc>
          <w:tcPr>
            <w:tcW w:type="dxa" w:w="1134"/>
            <w:shd w:fill="FFC7CE" w:val="clear"/>
          </w:tcPr>
          <w:p>
            <w:r>
              <w:rPr>
                <w:b/>
                <w:color w:val="B40000"/>
                <w:sz w:val="16"/>
              </w:rPr>
              <w:t>-10.63%</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8,800</w:t>
            </w:r>
          </w:p>
        </w:tc>
        <w:tc>
          <w:tcPr>
            <w:tcW w:type="dxa" w:w="1417"/>
            <w:shd w:fill="FFFFFF" w:val="clear"/>
          </w:tcPr>
          <w:p>
            <w:r>
              <w:rPr>
                <w:sz w:val="16"/>
              </w:rPr>
              <w:t>7,728</w:t>
            </w:r>
          </w:p>
        </w:tc>
        <w:tc>
          <w:tcPr>
            <w:tcW w:type="dxa" w:w="1134"/>
            <w:shd w:fill="FFC7CE" w:val="clear"/>
          </w:tcPr>
          <w:p>
            <w:r>
              <w:rPr>
                <w:b/>
                <w:color w:val="B40000"/>
                <w:sz w:val="16"/>
              </w:rPr>
              <w:t>-12.19%</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7,800</w:t>
            </w:r>
          </w:p>
        </w:tc>
        <w:tc>
          <w:tcPr>
            <w:tcW w:type="dxa" w:w="1417"/>
            <w:shd w:fill="FFFFFF" w:val="clear"/>
          </w:tcPr>
          <w:p>
            <w:r>
              <w:rPr>
                <w:sz w:val="16"/>
              </w:rPr>
              <w:t>6,757</w:t>
            </w:r>
          </w:p>
        </w:tc>
        <w:tc>
          <w:tcPr>
            <w:tcW w:type="dxa" w:w="1134"/>
            <w:shd w:fill="FFC7CE" w:val="clear"/>
          </w:tcPr>
          <w:p>
            <w:r>
              <w:rPr>
                <w:b/>
                <w:color w:val="B40000"/>
                <w:sz w:val="16"/>
              </w:rPr>
              <w:t>-13.37%</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3,300</w:t>
            </w:r>
          </w:p>
        </w:tc>
        <w:tc>
          <w:tcPr>
            <w:tcW w:type="dxa" w:w="1417"/>
            <w:shd w:fill="FFFFFF" w:val="clear"/>
          </w:tcPr>
          <w:p>
            <w:r>
              <w:rPr>
                <w:sz w:val="16"/>
              </w:rPr>
              <w:t>2,854</w:t>
            </w:r>
          </w:p>
        </w:tc>
        <w:tc>
          <w:tcPr>
            <w:tcW w:type="dxa" w:w="1134"/>
            <w:shd w:fill="FFC7CE" w:val="clear"/>
          </w:tcPr>
          <w:p>
            <w:r>
              <w:rPr>
                <w:b/>
                <w:color w:val="B40000"/>
                <w:sz w:val="16"/>
              </w:rPr>
              <w:t>-13.51%</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3,700</w:t>
            </w:r>
          </w:p>
        </w:tc>
        <w:tc>
          <w:tcPr>
            <w:tcW w:type="dxa" w:w="1417"/>
            <w:shd w:fill="FFFFFF" w:val="clear"/>
          </w:tcPr>
          <w:p>
            <w:r>
              <w:rPr>
                <w:sz w:val="16"/>
              </w:rPr>
              <w:t>3,196</w:t>
            </w:r>
          </w:p>
        </w:tc>
        <w:tc>
          <w:tcPr>
            <w:tcW w:type="dxa" w:w="1134"/>
            <w:shd w:fill="FFC7CE" w:val="clear"/>
          </w:tcPr>
          <w:p>
            <w:r>
              <w:rPr>
                <w:b/>
                <w:color w:val="B40000"/>
                <w:sz w:val="16"/>
              </w:rPr>
              <w:t>-13.63%</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6,185</w:t>
            </w:r>
          </w:p>
        </w:tc>
        <w:tc>
          <w:tcPr>
            <w:tcW w:type="dxa" w:w="1417"/>
            <w:shd w:fill="FFFFFF" w:val="clear"/>
          </w:tcPr>
          <w:p>
            <w:r>
              <w:rPr>
                <w:sz w:val="16"/>
              </w:rPr>
              <w:t>5,310</w:t>
            </w:r>
          </w:p>
        </w:tc>
        <w:tc>
          <w:tcPr>
            <w:tcW w:type="dxa" w:w="1134"/>
            <w:shd w:fill="FFC7CE" w:val="clear"/>
          </w:tcPr>
          <w:p>
            <w:r>
              <w:rPr>
                <w:b/>
                <w:color w:val="B40000"/>
                <w:sz w:val="16"/>
              </w:rPr>
              <w:t>-14.15%</w:t>
            </w:r>
          </w:p>
        </w:tc>
        <w:tc>
          <w:tcPr>
            <w:tcW w:type="dxa" w:w="1134"/>
            <w:shd w:fill="FFEB9C" w:val="clear"/>
          </w:tcPr>
          <w:p>
            <w:r>
              <w:rPr>
                <w:sz w:val="16"/>
              </w:rPr>
              <w:t>Moyenne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1,665</w:t>
            </w:r>
          </w:p>
        </w:tc>
        <w:tc>
          <w:tcPr>
            <w:tcW w:type="dxa" w:w="1417"/>
            <w:shd w:fill="FFFFFF" w:val="clear"/>
          </w:tcPr>
          <w:p>
            <w:r>
              <w:rPr>
                <w:sz w:val="16"/>
              </w:rPr>
              <w:t>1,420</w:t>
            </w:r>
          </w:p>
        </w:tc>
        <w:tc>
          <w:tcPr>
            <w:tcW w:type="dxa" w:w="1134"/>
            <w:shd w:fill="FFC7CE" w:val="clear"/>
          </w:tcPr>
          <w:p>
            <w:r>
              <w:rPr>
                <w:b/>
                <w:color w:val="B40000"/>
                <w:sz w:val="16"/>
              </w:rPr>
              <w:t>-14.70%</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10,200</w:t>
            </w:r>
          </w:p>
        </w:tc>
        <w:tc>
          <w:tcPr>
            <w:tcW w:type="dxa" w:w="1417"/>
            <w:shd w:fill="FFFFFF" w:val="clear"/>
          </w:tcPr>
          <w:p>
            <w:r>
              <w:rPr>
                <w:sz w:val="16"/>
              </w:rPr>
              <w:t>8,150</w:t>
            </w:r>
          </w:p>
        </w:tc>
        <w:tc>
          <w:tcPr>
            <w:tcW w:type="dxa" w:w="1134"/>
            <w:shd w:fill="FFC7CE" w:val="clear"/>
          </w:tcPr>
          <w:p>
            <w:r>
              <w:rPr>
                <w:b/>
                <w:color w:val="B40000"/>
                <w:sz w:val="16"/>
              </w:rPr>
              <w:t>-20.10%</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7,243</w:t>
            </w:r>
          </w:p>
        </w:tc>
        <w:tc>
          <w:tcPr>
            <w:tcW w:type="dxa" w:w="1134"/>
            <w:shd w:fill="FFC7CE" w:val="clear"/>
          </w:tcPr>
          <w:p>
            <w:r>
              <w:rPr>
                <w:b/>
                <w:color w:val="B40000"/>
                <w:sz w:val="16"/>
              </w:rPr>
              <w:t>-22.12%</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2,410</w:t>
            </w:r>
          </w:p>
        </w:tc>
        <w:tc>
          <w:tcPr>
            <w:tcW w:type="dxa" w:w="1417"/>
            <w:shd w:fill="FFFFFF" w:val="clear"/>
          </w:tcPr>
          <w:p>
            <w:r>
              <w:rPr>
                <w:sz w:val="16"/>
              </w:rPr>
              <w:t>1,856</w:t>
            </w:r>
          </w:p>
        </w:tc>
        <w:tc>
          <w:tcPr>
            <w:tcW w:type="dxa" w:w="1134"/>
            <w:shd w:fill="FFC7CE" w:val="clear"/>
          </w:tcPr>
          <w:p>
            <w:r>
              <w:rPr>
                <w:b/>
                <w:color w:val="B40000"/>
                <w:sz w:val="16"/>
              </w:rPr>
              <w:t>-22.98%</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2,350</w:t>
            </w:r>
          </w:p>
        </w:tc>
        <w:tc>
          <w:tcPr>
            <w:tcW w:type="dxa" w:w="1417"/>
            <w:shd w:fill="FFFFFF" w:val="clear"/>
          </w:tcPr>
          <w:p>
            <w:r>
              <w:rPr>
                <w:sz w:val="16"/>
              </w:rPr>
              <w:t>1,670</w:t>
            </w:r>
          </w:p>
        </w:tc>
        <w:tc>
          <w:tcPr>
            <w:tcW w:type="dxa" w:w="1134"/>
            <w:shd w:fill="FFC7CE" w:val="clear"/>
          </w:tcPr>
          <w:p>
            <w:r>
              <w:rPr>
                <w:b/>
                <w:color w:val="B40000"/>
                <w:sz w:val="16"/>
              </w:rPr>
              <w:t>-28.95%</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13,400</w:t>
            </w:r>
          </w:p>
        </w:tc>
        <w:tc>
          <w:tcPr>
            <w:tcW w:type="dxa" w:w="1417"/>
            <w:shd w:fill="FFFFFF" w:val="clear"/>
          </w:tcPr>
          <w:p>
            <w:r>
              <w:rPr>
                <w:sz w:val="16"/>
              </w:rPr>
              <w:t>8,970</w:t>
            </w:r>
          </w:p>
        </w:tc>
        <w:tc>
          <w:tcPr>
            <w:tcW w:type="dxa" w:w="1134"/>
            <w:shd w:fill="FFC7CE" w:val="clear"/>
          </w:tcPr>
          <w:p>
            <w:r>
              <w:rPr>
                <w:b/>
                <w:color w:val="B40000"/>
                <w:sz w:val="16"/>
              </w:rPr>
              <w:t>-33.06%</w:t>
            </w:r>
          </w:p>
        </w:tc>
        <w:tc>
          <w:tcPr>
            <w:tcW w:type="dxa" w:w="1134"/>
            <w:shd w:fill="FFEB9C" w:val="clear"/>
          </w:tcPr>
          <w:p>
            <w:r>
              <w:rPr>
                <w:sz w:val="16"/>
              </w:rPr>
              <w:t>Moyenne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8,495</w:t>
            </w:r>
          </w:p>
        </w:tc>
        <w:tc>
          <w:tcPr>
            <w:tcW w:type="dxa" w:w="1417"/>
            <w:shd w:fill="FFFFFF" w:val="clear"/>
          </w:tcPr>
          <w:p>
            <w:r>
              <w:rPr>
                <w:sz w:val="16"/>
              </w:rPr>
              <w:t>5,501</w:t>
            </w:r>
          </w:p>
        </w:tc>
        <w:tc>
          <w:tcPr>
            <w:tcW w:type="dxa" w:w="1134"/>
            <w:shd w:fill="FFC7CE" w:val="clear"/>
          </w:tcPr>
          <w:p>
            <w:r>
              <w:rPr>
                <w:b/>
                <w:color w:val="B40000"/>
                <w:sz w:val="16"/>
              </w:rPr>
              <w:t>-35.25%</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2,175</w:t>
            </w:r>
          </w:p>
        </w:tc>
        <w:tc>
          <w:tcPr>
            <w:tcW w:type="dxa" w:w="1417"/>
            <w:shd w:fill="FFFFFF" w:val="clear"/>
          </w:tcPr>
          <w:p>
            <w:r>
              <w:rPr>
                <w:sz w:val="16"/>
              </w:rPr>
              <w:t>1,360</w:t>
            </w:r>
          </w:p>
        </w:tc>
        <w:tc>
          <w:tcPr>
            <w:tcW w:type="dxa" w:w="1134"/>
            <w:shd w:fill="FFC7CE" w:val="clear"/>
          </w:tcPr>
          <w:p>
            <w:r>
              <w:rPr>
                <w:b/>
                <w:color w:val="B40000"/>
                <w:sz w:val="16"/>
              </w:rPr>
              <w:t>-37.47%</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2,545</w:t>
            </w:r>
          </w:p>
        </w:tc>
        <w:tc>
          <w:tcPr>
            <w:tcW w:type="dxa" w:w="1417"/>
            <w:shd w:fill="FFFFFF" w:val="clear"/>
          </w:tcPr>
          <w:p>
            <w:r>
              <w:rPr>
                <w:sz w:val="16"/>
              </w:rPr>
              <w:t>1,577</w:t>
            </w:r>
          </w:p>
        </w:tc>
        <w:tc>
          <w:tcPr>
            <w:tcW w:type="dxa" w:w="1134"/>
            <w:shd w:fill="FFC7CE" w:val="clear"/>
          </w:tcPr>
          <w:p>
            <w:r>
              <w:rPr>
                <w:b/>
                <w:color w:val="B40000"/>
                <w:sz w:val="16"/>
              </w:rPr>
              <w:t>-38.02%</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28,315</w:t>
            </w:r>
          </w:p>
        </w:tc>
        <w:tc>
          <w:tcPr>
            <w:tcW w:type="dxa" w:w="1417"/>
            <w:shd w:fill="FFFFFF" w:val="clear"/>
          </w:tcPr>
          <w:p>
            <w:r>
              <w:rPr>
                <w:sz w:val="16"/>
              </w:rPr>
              <w:t>17,375</w:t>
            </w:r>
          </w:p>
        </w:tc>
        <w:tc>
          <w:tcPr>
            <w:tcW w:type="dxa" w:w="1134"/>
            <w:shd w:fill="FFC7CE" w:val="clear"/>
          </w:tcPr>
          <w:p>
            <w:r>
              <w:rPr>
                <w:b/>
                <w:color w:val="B40000"/>
                <w:sz w:val="16"/>
              </w:rPr>
              <w:t>-38.64%</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5,920</w:t>
            </w:r>
          </w:p>
        </w:tc>
        <w:tc>
          <w:tcPr>
            <w:tcW w:type="dxa" w:w="1417"/>
            <w:shd w:fill="FFFFFF" w:val="clear"/>
          </w:tcPr>
          <w:p>
            <w:r>
              <w:rPr>
                <w:sz w:val="16"/>
              </w:rPr>
              <w:t>3,227</w:t>
            </w:r>
          </w:p>
        </w:tc>
        <w:tc>
          <w:tcPr>
            <w:tcW w:type="dxa" w:w="1134"/>
            <w:shd w:fill="FFC7CE" w:val="clear"/>
          </w:tcPr>
          <w:p>
            <w:r>
              <w:rPr>
                <w:b/>
                <w:color w:val="B40000"/>
                <w:sz w:val="16"/>
              </w:rPr>
              <w:t>-45.49%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65</w:t>
            </w:r>
          </w:p>
        </w:tc>
        <w:tc>
          <w:tcPr>
            <w:tcW w:type="dxa" w:w="1417"/>
            <w:shd w:fill="FFFFFF" w:val="clear"/>
          </w:tcPr>
          <w:p>
            <w:r>
              <w:rPr>
                <w:sz w:val="16"/>
              </w:rPr>
              <w:t>30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5,730</w:t>
            </w:r>
          </w:p>
        </w:tc>
        <w:tc>
          <w:tcPr>
            <w:tcW w:type="dxa" w:w="1417"/>
            <w:shd w:fill="FFFFFF" w:val="clear"/>
          </w:tcPr>
          <w:p>
            <w:r>
              <w:rPr>
                <w:sz w:val="16"/>
              </w:rPr>
              <w:t>2,628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3,590</w:t>
            </w:r>
          </w:p>
        </w:tc>
        <w:tc>
          <w:tcPr>
            <w:tcW w:type="dxa" w:w="1417"/>
            <w:shd w:fill="FFFFFF" w:val="clear"/>
          </w:tcPr>
          <w:p>
            <w:r>
              <w:rPr>
                <w:sz w:val="16"/>
              </w:rPr>
              <w:t>1,646</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36.01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3,162 titres</w:t>
            </w:r>
          </w:p>
        </w:tc>
        <w:tc>
          <w:tcPr>
            <w:tcW w:type="dxa" w:w="2268"/>
            <w:shd w:fill="FFF2CC" w:val="clear"/>
          </w:tcPr>
          <w:p>
            <w:r>
              <w:rPr>
                <w:b/>
                <w:color w:val="503200"/>
                <w:sz w:val="16"/>
              </w:rPr>
              <w:t xml:space="preserve">Cours actuel : </w:t>
            </w:r>
            <w:r>
              <w:rPr>
                <w:color w:val="000000"/>
                <w:sz w:val="17"/>
              </w:rPr>
              <w:t>3,300 FCFA</w:t>
            </w:r>
          </w:p>
          <w:p>
            <w:r>
              <w:rPr>
                <w:b/>
                <w:color w:val="503200"/>
                <w:sz w:val="16"/>
              </w:rPr>
              <w:t xml:space="preserve">Var. 100 jours : </w:t>
            </w:r>
            <w:r>
              <w:rPr>
                <w:b/>
                <w:color w:val="B40000"/>
                <w:sz w:val="17"/>
              </w:rPr>
              <w:t>-11.53%</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7.42% (Moyenne) — μ=3,215 FCFA, σ=238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β=0.3319 (Défensif) — Cov=0.000010, Var(idx)=0.000031, ρ=0.060,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3,048</w:t>
            </w:r>
          </w:p>
        </w:tc>
        <w:tc>
          <w:tcPr>
            <w:tcW w:type="dxa" w:w="1440"/>
            <w:shd w:fill="FFDCE0" w:val="clear"/>
          </w:tcPr>
          <w:p>
            <w:r>
              <w:rPr>
                <w:b/>
                <w:sz w:val="17"/>
              </w:rPr>
              <w:t>3,200</w:t>
            </w:r>
          </w:p>
        </w:tc>
        <w:tc>
          <w:tcPr>
            <w:tcW w:type="dxa" w:w="1440"/>
            <w:shd w:fill="FFDCE0" w:val="clear"/>
          </w:tcPr>
          <w:p>
            <w:r>
              <w:rPr>
                <w:sz w:val="17"/>
              </w:rPr>
              <w:t>3,353</w:t>
            </w:r>
          </w:p>
        </w:tc>
        <w:tc>
          <w:tcPr>
            <w:tcW w:type="dxa" w:w="1440"/>
            <w:shd w:fill="FFDCE0" w:val="clear"/>
          </w:tcPr>
          <w:p>
            <w:r>
              <w:rPr>
                <w:b/>
                <w:color w:val="C00000"/>
                <w:sz w:val="17"/>
              </w:rPr>
              <w:t>-3.0%</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2,949</w:t>
            </w:r>
          </w:p>
        </w:tc>
        <w:tc>
          <w:tcPr>
            <w:tcW w:type="dxa" w:w="1440"/>
            <w:shd w:fill="FFDCE0" w:val="clear"/>
          </w:tcPr>
          <w:p>
            <w:r>
              <w:rPr>
                <w:b/>
                <w:sz w:val="17"/>
              </w:rPr>
              <w:t>3,162</w:t>
            </w:r>
          </w:p>
        </w:tc>
        <w:tc>
          <w:tcPr>
            <w:tcW w:type="dxa" w:w="1440"/>
            <w:shd w:fill="FFDCE0" w:val="clear"/>
          </w:tcPr>
          <w:p>
            <w:r>
              <w:rPr>
                <w:sz w:val="17"/>
              </w:rPr>
              <w:t>3,375</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2,852</w:t>
            </w:r>
          </w:p>
        </w:tc>
        <w:tc>
          <w:tcPr>
            <w:tcW w:type="dxa" w:w="1440"/>
            <w:shd w:fill="FFDCE0" w:val="clear"/>
          </w:tcPr>
          <w:p>
            <w:r>
              <w:rPr>
                <w:b/>
                <w:sz w:val="17"/>
              </w:rPr>
              <w:t>3,109</w:t>
            </w:r>
          </w:p>
        </w:tc>
        <w:tc>
          <w:tcPr>
            <w:tcW w:type="dxa" w:w="1440"/>
            <w:shd w:fill="FFDCE0" w:val="clear"/>
          </w:tcPr>
          <w:p>
            <w:r>
              <w:rPr>
                <w:sz w:val="17"/>
              </w:rPr>
              <w:t>3,366</w:t>
            </w:r>
          </w:p>
        </w:tc>
        <w:tc>
          <w:tcPr>
            <w:tcW w:type="dxa" w:w="1440"/>
            <w:shd w:fill="FFDCE0" w:val="clear"/>
          </w:tcPr>
          <w:p>
            <w:r>
              <w:rPr>
                <w:b/>
                <w:color w:val="C00000"/>
                <w:sz w:val="17"/>
              </w:rPr>
              <w:t>-5.8%</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2,771</w:t>
            </w:r>
          </w:p>
        </w:tc>
        <w:tc>
          <w:tcPr>
            <w:tcW w:type="dxa" w:w="1440"/>
            <w:shd w:fill="FFDCE0" w:val="clear"/>
          </w:tcPr>
          <w:p>
            <w:r>
              <w:rPr>
                <w:b/>
                <w:sz w:val="17"/>
              </w:rPr>
              <w:t>3,063</w:t>
            </w:r>
          </w:p>
        </w:tc>
        <w:tc>
          <w:tcPr>
            <w:tcW w:type="dxa" w:w="1440"/>
            <w:shd w:fill="FFDCE0" w:val="clear"/>
          </w:tcPr>
          <w:p>
            <w:r>
              <w:rPr>
                <w:sz w:val="17"/>
              </w:rPr>
              <w:t>3,355</w:t>
            </w:r>
          </w:p>
        </w:tc>
        <w:tc>
          <w:tcPr>
            <w:tcW w:type="dxa" w:w="1440"/>
            <w:shd w:fill="FFDCE0" w:val="clear"/>
          </w:tcPr>
          <w:p>
            <w:r>
              <w:rPr>
                <w:b/>
                <w:color w:val="C00000"/>
                <w:sz w:val="17"/>
              </w:rPr>
              <w:t>-7.2%</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2,700</w:t>
            </w:r>
          </w:p>
        </w:tc>
        <w:tc>
          <w:tcPr>
            <w:tcW w:type="dxa" w:w="1440"/>
            <w:shd w:fill="FFDCE0" w:val="clear"/>
          </w:tcPr>
          <w:p>
            <w:r>
              <w:rPr>
                <w:b/>
                <w:sz w:val="17"/>
              </w:rPr>
              <w:t>3,022</w:t>
            </w:r>
          </w:p>
        </w:tc>
        <w:tc>
          <w:tcPr>
            <w:tcW w:type="dxa" w:w="1440"/>
            <w:shd w:fill="FFDCE0" w:val="clear"/>
          </w:tcPr>
          <w:p>
            <w:r>
              <w:rPr>
                <w:sz w:val="17"/>
              </w:rPr>
              <w:t>3,345</w:t>
            </w:r>
          </w:p>
        </w:tc>
        <w:tc>
          <w:tcPr>
            <w:tcW w:type="dxa" w:w="1440"/>
            <w:shd w:fill="FFDCE0" w:val="clear"/>
          </w:tcPr>
          <w:p>
            <w:r>
              <w:rPr>
                <w:b/>
                <w:color w:val="C00000"/>
                <w:sz w:val="17"/>
              </w:rPr>
              <w:t>-8.4%</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2,636</w:t>
            </w:r>
          </w:p>
        </w:tc>
        <w:tc>
          <w:tcPr>
            <w:tcW w:type="dxa" w:w="1440"/>
            <w:shd w:fill="FFDCE0" w:val="clear"/>
          </w:tcPr>
          <w:p>
            <w:r>
              <w:rPr>
                <w:b/>
                <w:sz w:val="17"/>
              </w:rPr>
              <w:t>2,985</w:t>
            </w:r>
          </w:p>
        </w:tc>
        <w:tc>
          <w:tcPr>
            <w:tcW w:type="dxa" w:w="1440"/>
            <w:shd w:fill="FFDCE0" w:val="clear"/>
          </w:tcPr>
          <w:p>
            <w:r>
              <w:rPr>
                <w:sz w:val="17"/>
              </w:rPr>
              <w:t>3,334</w:t>
            </w:r>
          </w:p>
        </w:tc>
        <w:tc>
          <w:tcPr>
            <w:tcW w:type="dxa" w:w="1440"/>
            <w:shd w:fill="FFDCE0" w:val="clear"/>
          </w:tcPr>
          <w:p>
            <w:r>
              <w:rPr>
                <w:b/>
                <w:color w:val="C00000"/>
                <w:sz w:val="17"/>
              </w:rPr>
              <w:t>-9.5%</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2,578</w:t>
            </w:r>
          </w:p>
        </w:tc>
        <w:tc>
          <w:tcPr>
            <w:tcW w:type="dxa" w:w="1440"/>
            <w:shd w:fill="FFDCE0" w:val="clear"/>
          </w:tcPr>
          <w:p>
            <w:r>
              <w:rPr>
                <w:b/>
                <w:sz w:val="17"/>
              </w:rPr>
              <w:t>2,950</w:t>
            </w:r>
          </w:p>
        </w:tc>
        <w:tc>
          <w:tcPr>
            <w:tcW w:type="dxa" w:w="1440"/>
            <w:shd w:fill="FFDCE0" w:val="clear"/>
          </w:tcPr>
          <w:p>
            <w:r>
              <w:rPr>
                <w:sz w:val="17"/>
              </w:rPr>
              <w:t>3,322</w:t>
            </w:r>
          </w:p>
        </w:tc>
        <w:tc>
          <w:tcPr>
            <w:tcW w:type="dxa" w:w="1440"/>
            <w:shd w:fill="FFDCE0" w:val="clear"/>
          </w:tcPr>
          <w:p>
            <w:r>
              <w:rPr>
                <w:b/>
                <w:color w:val="C00000"/>
                <w:sz w:val="17"/>
              </w:rPr>
              <w:t>-10.6%</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2,523</w:t>
            </w:r>
          </w:p>
        </w:tc>
        <w:tc>
          <w:tcPr>
            <w:tcW w:type="dxa" w:w="1440"/>
            <w:shd w:fill="FFDCE0" w:val="clear"/>
          </w:tcPr>
          <w:p>
            <w:r>
              <w:rPr>
                <w:b/>
                <w:sz w:val="17"/>
              </w:rPr>
              <w:t>2,916</w:t>
            </w:r>
          </w:p>
        </w:tc>
        <w:tc>
          <w:tcPr>
            <w:tcW w:type="dxa" w:w="1440"/>
            <w:shd w:fill="FFDCE0" w:val="clear"/>
          </w:tcPr>
          <w:p>
            <w:r>
              <w:rPr>
                <w:sz w:val="17"/>
              </w:rPr>
              <w:t>3,310</w:t>
            </w:r>
          </w:p>
        </w:tc>
        <w:tc>
          <w:tcPr>
            <w:tcW w:type="dxa" w:w="1440"/>
            <w:shd w:fill="FFDCE0" w:val="clear"/>
          </w:tcPr>
          <w:p>
            <w:r>
              <w:rPr>
                <w:b/>
                <w:color w:val="C00000"/>
                <w:sz w:val="17"/>
              </w:rPr>
              <w:t>-11.6%</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2,472</w:t>
            </w:r>
          </w:p>
        </w:tc>
        <w:tc>
          <w:tcPr>
            <w:tcW w:type="dxa" w:w="1440"/>
            <w:shd w:fill="FFDCE0" w:val="clear"/>
          </w:tcPr>
          <w:p>
            <w:r>
              <w:rPr>
                <w:b/>
                <w:sz w:val="17"/>
              </w:rPr>
              <w:t>2,885</w:t>
            </w:r>
          </w:p>
        </w:tc>
        <w:tc>
          <w:tcPr>
            <w:tcW w:type="dxa" w:w="1440"/>
            <w:shd w:fill="FFDCE0" w:val="clear"/>
          </w:tcPr>
          <w:p>
            <w:r>
              <w:rPr>
                <w:sz w:val="17"/>
              </w:rPr>
              <w:t>3,297</w:t>
            </w:r>
          </w:p>
        </w:tc>
        <w:tc>
          <w:tcPr>
            <w:tcW w:type="dxa" w:w="1440"/>
            <w:shd w:fill="FFDCE0" w:val="clear"/>
          </w:tcPr>
          <w:p>
            <w:r>
              <w:rPr>
                <w:b/>
                <w:color w:val="C00000"/>
                <w:sz w:val="17"/>
              </w:rPr>
              <w:t>-12.6%</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2,424</w:t>
            </w:r>
          </w:p>
        </w:tc>
        <w:tc>
          <w:tcPr>
            <w:tcW w:type="dxa" w:w="1440"/>
            <w:shd w:fill="FFDCE0" w:val="clear"/>
          </w:tcPr>
          <w:p>
            <w:r>
              <w:rPr>
                <w:b/>
                <w:sz w:val="17"/>
              </w:rPr>
              <w:t>2,854</w:t>
            </w:r>
          </w:p>
        </w:tc>
        <w:tc>
          <w:tcPr>
            <w:tcW w:type="dxa" w:w="1440"/>
            <w:shd w:fill="FFDCE0" w:val="clear"/>
          </w:tcPr>
          <w:p>
            <w:r>
              <w:rPr>
                <w:sz w:val="17"/>
              </w:rPr>
              <w:t>3,285</w:t>
            </w:r>
          </w:p>
        </w:tc>
        <w:tc>
          <w:tcPr>
            <w:tcW w:type="dxa" w:w="1440"/>
            <w:shd w:fill="FFDCE0" w:val="clear"/>
          </w:tcPr>
          <w:p>
            <w:r>
              <w:rPr>
                <w:b/>
                <w:color w:val="C00000"/>
                <w:sz w:val="17"/>
              </w:rPr>
              <w:t>-13.5%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15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36,01 milliards FCFA, un niveau significatif qui la positionne comme une valeur moyenne sur la place BRVM. Avec un BPA de 124 FCFA, le titre se négocie à un PER de 26,7x, ce qui est très supérieur à la moyenne du marché (8-12x). Ce niveau indique que les investisseurs anticipent une forte croissance future des bénéfices, mais expose également le titre à un risque de correction si ces attentes ne se matérialisent pas. Le P/B de 6,98x confirme cette prime, le marché valorisant le titre près de 7 fois sa valeur comptable, ce qui est exigeant. Enfin, l'EV/EBITDA de 13,5x, bien que dans la fourchette haute (10-15x), suggère que la valeur totale de l'entreprise (capitalisation + dette nette) reste cohérente avec sa capacité opérationnelle, mais sans marge de sécurité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ABJC a enregistré une baisse de 11,53%, avec un cours actuel de 3 300 FCFA, mais a rebondi de 4,10% lors de la dernière séance. Le titre a évolué dans une fourchette de 2 800 à 3 780 FCFA, montrant une amplitude de près de 35%. La moyenne (3 215 FCFA) et la médiane (3 182 FCFA) sont proches, indiquant une distribution relativement symétrique, confirmée par un skewness de 0,316. L'écart-type de 240 FCFA (CV=7,5%) révèle une dispersion modérée des prix autour de la moyenne. Le kurtosis de -0,720 (mésokurtique) suggère l'absence de mouvements extrêmes fréquents, tandis que la volatilité annualisée de 49,3% classe le titre comme très volatil, un niveau élevé qui reflète une incertitude marquée des investisseurs malgré une distribution statistique normale.</w:t>
      </w:r>
    </w:p>
    <w:p>
      <w:pPr>
        <w:spacing w:after="120" w:line="276" w:lineRule="auto"/>
      </w:pPr>
      <w:r>
        <w:t>---</w:t>
      </w:r>
    </w:p>
    <w:p>
      <w:pPr>
        <w:spacing w:after="120" w:line="276" w:lineRule="auto"/>
      </w:pPr>
      <w:r>
        <w:t>### PARTIE 2 : ANALYSE TECHNIQUE DÉTAILLÉE</w:t>
      </w:r>
    </w:p>
    <w:p>
      <w:pPr>
        <w:spacing w:after="120" w:line="276" w:lineRule="auto"/>
      </w:pPr>
      <w:r>
        <w:t>**Moyennes Mobiles**: La MM20 (3 072,5 FCFA) est inférieure à la MM50 (3 170,9 FCFA), et le cours actuel (3 300 FCFA) est au-dessus des deux. Cependant, la configuration baissière des moyennes (MM20 &lt; MM50) génère un signal de vente, indiquant que la tendance de fond reste négative malgré le rebond récent.</w:t>
      </w:r>
    </w:p>
    <w:p>
      <w:pPr>
        <w:spacing w:after="120" w:line="276" w:lineRule="auto"/>
      </w:pPr>
      <w:r>
        <w:t>**Bandes de Bollinger**: Le cours (3 300 FCFA) se situe près de la borne supérieure (3 305,6 FCFA), après avoir touché la borne inférieure (2 839,4 FCFA) il y a quelques semaines. Cette remontée rapide indique une volatilité accrue, mais la position proche de la borne supérieure suggère une possible résistance. La décision est neutre.</w:t>
      </w:r>
    </w:p>
    <w:p>
      <w:pPr>
        <w:spacing w:after="120" w:line="276" w:lineRule="auto"/>
      </w:pPr>
      <w:r>
        <w:t>**MACD**: Le MACD (14,876) est passé au-dessus de sa ligne de signal (-19,264), formant un croisement haussier. Ce signal d'achat indique un momentum positif en cours de formation, suggérant que la dynamique baissière pourrait s'inverser à court terme.</w:t>
      </w:r>
    </w:p>
    <w:p>
      <w:pPr>
        <w:spacing w:after="120" w:line="276" w:lineRule="auto"/>
      </w:pPr>
      <w:r>
        <w:t>**RSI**: À 59,887, le RSI est en zone neutre (30-70), indiquant un équilibre entre pressions acheteuses et vendeuses. Il n'y a pas de conditions de surachat ou de survente, ce qui laisse de la marge pour un mouvement dans les deux sens. La décision est neutre.</w:t>
      </w:r>
    </w:p>
    <w:p>
      <w:pPr>
        <w:spacing w:after="120" w:line="276" w:lineRule="auto"/>
      </w:pPr>
      <w:r>
        <w:t>**Stochastique**: Le %K (100,0) et le %D (98,291) sont en zone de surachat extrême, signalant que le rebond récent est probablement exagéré à court terme. Ce niveau élevé suggère un risque de retournement baissier imminent, justifiant une décision de vente.</w:t>
      </w:r>
    </w:p>
    <w:p>
      <w:pPr>
        <w:spacing w:after="120" w:line="276" w:lineRule="auto"/>
      </w:pPr>
      <w:r>
        <w:t>**Conclusion technique**: Les signaux sont mitigés : le MACD est haussier, mais les moyennes mobiles et le stochastique en surachat plaident pour une prudence. Le cours a fortement rebondi, mais la tendance de fond reste baissière. Un repli technique est probable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indiquent un chiffre d'affaires de 13,298 milliards FCFA, en croissance de 6,7%, et un résultat net de 1,351 milliard FCFA, en baisse de 12,1% par rapport à 2024 (1,515 milliard FCFA). La marge nette s'établit à 10,16%, et le ROE est excellent à 26,18%, avec un ROA de 14,64%. La structure financière est saine : capitaux propres de 5,159 milliards FCFA (autonomie financière de 55,9%), une trésorerie nette de 4,035 milliards FCFA, et un endettement financier très faible (65,89 millions FCFA). Le BFR est positif (257,45 millions FCFA), avec un délai clients de 70 jours et un délai fournisseurs de 92 jours, ce qui est gérable. **Les rapports trimestriels 2025** montrent une trajectoire contrastée : le T1 a été perturbé par un litige avec la BCEAO (résultat net en baisse de 6,8%), mais le T3 a enregistré un fort redressement (+17,1% de résultat net). **Cependant, le rapport T1 2026 (daté de 2026)** révèle une forte dégradation : le résultat net chute de 35,6% à 222,6 millions FCFA, impacté par les ajustements de redevances aéroportuaires. Sur cette base, on estime que l'exercice 2026 pourrait voir un résultat net annuel autour de 1,0-1,1 milliard FCFA, soit une baisse de 20-25% par rapport à 2025. La recommandation des sources est de "conserver", soulignant une solidité financière mais des perspectives de croissance incertaines.</w:t>
      </w:r>
    </w:p>
    <w:p>
      <w:pPr>
        <w:spacing w:after="120" w:line="276" w:lineRule="auto"/>
      </w:pPr>
      <w:r>
        <w:t>---</w:t>
      </w:r>
    </w:p>
    <w:p>
      <w:pPr>
        <w:spacing w:after="120" w:line="276" w:lineRule="auto"/>
      </w:pPr>
      <w:r>
        <w:t>### PARTIE 4 : CONCLUSION D'INVESTISSEMENT</w:t>
      </w:r>
    </w:p>
    <w:p>
      <w:pPr>
        <w:spacing w:after="120" w:line="276" w:lineRule="auto"/>
      </w:pPr>
      <w:r>
        <w:t>La valorisation d'ABJC est exigeante (PER 26,7x, P/B 6,98x), indiquant une surévaluation relative par rapport aux bénéfices actuels. Le comportement du cours montre une tendance baissière sur 100 jours (-11,53%) avec une volatilité très élevée (49,3%), mais un rebond récent de 4,10%. Les signaux techniques sont divergents : le MACD est haussier, mais les moyennes mobiles et le stochastique (surachat) suggèrent une prudence. Les fondamentaux sont solides (ROE de 26,2%, trésorerie nette importante), mais la dégradation de la rentabilité au T1 2026 (-35,6% de résultat net) et les prédictions IA (baisse de 3 200 à 3 022 FCFA sur 10 jours) confirment un risque baissier. **Recommandation finale : CONSERVER**. La convergence entre la valorisation élevée, la tendance technique baissière et les perspectives fondamentales dégradées justifie une position d'attente. **Niveau de confiance : Moyen**. **Risque global : Élevé** (volatilité et incertitudes réglementaires). **Horizon d'investissement optimal : Moyen terme (3-12 mois)**, en attendant une stabilisation de la rentabilité et une résolution des tensions sur les redevances.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490.67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9,347 titres</w:t>
            </w:r>
          </w:p>
        </w:tc>
        <w:tc>
          <w:tcPr>
            <w:tcW w:type="dxa" w:w="2268"/>
            <w:shd w:fill="FFF2CC" w:val="clear"/>
          </w:tcPr>
          <w:p>
            <w:r>
              <w:rPr>
                <w:b/>
                <w:color w:val="503200"/>
                <w:sz w:val="16"/>
              </w:rPr>
              <w:t xml:space="preserve">Cours actuel : </w:t>
            </w:r>
            <w:r>
              <w:rPr>
                <w:color w:val="000000"/>
                <w:sz w:val="17"/>
              </w:rPr>
              <w:t>8,495 FCFA</w:t>
            </w:r>
          </w:p>
          <w:p>
            <w:r>
              <w:rPr>
                <w:b/>
                <w:color w:val="503200"/>
                <w:sz w:val="16"/>
              </w:rPr>
              <w:t xml:space="preserve">Var. 100 jours : </w:t>
            </w:r>
            <w:r>
              <w:rPr>
                <w:b/>
                <w:color w:val="007800"/>
                <w:sz w:val="17"/>
              </w:rPr>
              <w:t>+63.84%</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5,000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16.36% (Élevée) — μ=5,911 FCFA, σ=967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β=0.5976 (Défensif) — Cov=0.000019, Var(idx)=0.000031, ρ=0.176,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9,347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7,535</w:t>
            </w:r>
          </w:p>
        </w:tc>
        <w:tc>
          <w:tcPr>
            <w:tcW w:type="dxa" w:w="1440"/>
            <w:shd w:fill="FFDCE0" w:val="clear"/>
          </w:tcPr>
          <w:p>
            <w:r>
              <w:rPr>
                <w:b/>
                <w:sz w:val="17"/>
              </w:rPr>
              <w:t>7,858</w:t>
            </w:r>
          </w:p>
        </w:tc>
        <w:tc>
          <w:tcPr>
            <w:tcW w:type="dxa" w:w="1440"/>
            <w:shd w:fill="FFDCE0" w:val="clear"/>
          </w:tcPr>
          <w:p>
            <w:r>
              <w:rPr>
                <w:sz w:val="17"/>
              </w:rPr>
              <w:t>8,181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6,846</w:t>
            </w:r>
          </w:p>
        </w:tc>
        <w:tc>
          <w:tcPr>
            <w:tcW w:type="dxa" w:w="1440"/>
            <w:shd w:fill="FFDCE0" w:val="clear"/>
          </w:tcPr>
          <w:p>
            <w:r>
              <w:rPr>
                <w:b/>
                <w:sz w:val="17"/>
              </w:rPr>
              <w:t>7,269</w:t>
            </w:r>
          </w:p>
        </w:tc>
        <w:tc>
          <w:tcPr>
            <w:tcW w:type="dxa" w:w="1440"/>
            <w:shd w:fill="FFDCE0" w:val="clear"/>
          </w:tcPr>
          <w:p>
            <w:r>
              <w:rPr>
                <w:sz w:val="17"/>
              </w:rPr>
              <w:t>7,691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6,244</w:t>
            </w:r>
          </w:p>
        </w:tc>
        <w:tc>
          <w:tcPr>
            <w:tcW w:type="dxa" w:w="1440"/>
            <w:shd w:fill="FFDCE0" w:val="clear"/>
          </w:tcPr>
          <w:p>
            <w:r>
              <w:rPr>
                <w:b/>
                <w:sz w:val="17"/>
              </w:rPr>
              <w:t>6,723</w:t>
            </w:r>
          </w:p>
        </w:tc>
        <w:tc>
          <w:tcPr>
            <w:tcW w:type="dxa" w:w="1440"/>
            <w:shd w:fill="FFDCE0" w:val="clear"/>
          </w:tcPr>
          <w:p>
            <w:r>
              <w:rPr>
                <w:sz w:val="17"/>
              </w:rPr>
              <w:t>7,202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5,707</w:t>
            </w:r>
          </w:p>
        </w:tc>
        <w:tc>
          <w:tcPr>
            <w:tcW w:type="dxa" w:w="1440"/>
            <w:shd w:fill="FFDCE0" w:val="clear"/>
          </w:tcPr>
          <w:p>
            <w:r>
              <w:rPr>
                <w:b/>
                <w:sz w:val="17"/>
              </w:rPr>
              <w:t>6,219</w:t>
            </w:r>
          </w:p>
        </w:tc>
        <w:tc>
          <w:tcPr>
            <w:tcW w:type="dxa" w:w="1440"/>
            <w:shd w:fill="FFDCE0" w:val="clear"/>
          </w:tcPr>
          <w:p>
            <w:r>
              <w:rPr>
                <w:sz w:val="17"/>
              </w:rPr>
              <w:t>6,731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5,490</w:t>
            </w:r>
          </w:p>
        </w:tc>
        <w:tc>
          <w:tcPr>
            <w:tcW w:type="dxa" w:w="1440"/>
            <w:shd w:fill="FFDCE0" w:val="clear"/>
          </w:tcPr>
          <w:p>
            <w:r>
              <w:rPr>
                <w:b/>
                <w:sz w:val="17"/>
              </w:rPr>
              <w:t>6,046</w:t>
            </w:r>
          </w:p>
        </w:tc>
        <w:tc>
          <w:tcPr>
            <w:tcW w:type="dxa" w:w="1440"/>
            <w:shd w:fill="FFDCE0" w:val="clear"/>
          </w:tcPr>
          <w:p>
            <w:r>
              <w:rPr>
                <w:sz w:val="17"/>
              </w:rPr>
              <w:t>6,602</w:t>
            </w:r>
          </w:p>
        </w:tc>
        <w:tc>
          <w:tcPr>
            <w:tcW w:type="dxa" w:w="1440"/>
            <w:shd w:fill="FFDCE0" w:val="clear"/>
          </w:tcPr>
          <w:p>
            <w:r>
              <w:rPr>
                <w:b/>
                <w:color w:val="C00000"/>
                <w:sz w:val="17"/>
              </w:rPr>
              <w:t>-28.8%</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5,308</w:t>
            </w:r>
          </w:p>
        </w:tc>
        <w:tc>
          <w:tcPr>
            <w:tcW w:type="dxa" w:w="1440"/>
            <w:shd w:fill="FFDCE0" w:val="clear"/>
          </w:tcPr>
          <w:p>
            <w:r>
              <w:rPr>
                <w:b/>
                <w:sz w:val="17"/>
              </w:rPr>
              <w:t>5,903</w:t>
            </w:r>
          </w:p>
        </w:tc>
        <w:tc>
          <w:tcPr>
            <w:tcW w:type="dxa" w:w="1440"/>
            <w:shd w:fill="FFDCE0" w:val="clear"/>
          </w:tcPr>
          <w:p>
            <w:r>
              <w:rPr>
                <w:sz w:val="17"/>
              </w:rPr>
              <w:t>6,498</w:t>
            </w:r>
          </w:p>
        </w:tc>
        <w:tc>
          <w:tcPr>
            <w:tcW w:type="dxa" w:w="1440"/>
            <w:shd w:fill="FFDCE0" w:val="clear"/>
          </w:tcPr>
          <w:p>
            <w:r>
              <w:rPr>
                <w:b/>
                <w:color w:val="C00000"/>
                <w:sz w:val="17"/>
              </w:rPr>
              <w:t>-30.5%</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5,151</w:t>
            </w:r>
          </w:p>
        </w:tc>
        <w:tc>
          <w:tcPr>
            <w:tcW w:type="dxa" w:w="1440"/>
            <w:shd w:fill="FFDCE0" w:val="clear"/>
          </w:tcPr>
          <w:p>
            <w:r>
              <w:rPr>
                <w:b/>
                <w:sz w:val="17"/>
              </w:rPr>
              <w:t>5,780</w:t>
            </w:r>
          </w:p>
        </w:tc>
        <w:tc>
          <w:tcPr>
            <w:tcW w:type="dxa" w:w="1440"/>
            <w:shd w:fill="FFDCE0" w:val="clear"/>
          </w:tcPr>
          <w:p>
            <w:r>
              <w:rPr>
                <w:sz w:val="17"/>
              </w:rPr>
              <w:t>6,409</w:t>
            </w:r>
          </w:p>
        </w:tc>
        <w:tc>
          <w:tcPr>
            <w:tcW w:type="dxa" w:w="1440"/>
            <w:shd w:fill="FFDCE0" w:val="clear"/>
          </w:tcPr>
          <w:p>
            <w:r>
              <w:rPr>
                <w:b/>
                <w:color w:val="C00000"/>
                <w:sz w:val="17"/>
              </w:rPr>
              <w:t>-32.0%</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5,013</w:t>
            </w:r>
          </w:p>
        </w:tc>
        <w:tc>
          <w:tcPr>
            <w:tcW w:type="dxa" w:w="1440"/>
            <w:shd w:fill="FFDCE0" w:val="clear"/>
          </w:tcPr>
          <w:p>
            <w:r>
              <w:rPr>
                <w:b/>
                <w:sz w:val="17"/>
              </w:rPr>
              <w:t>5,673</w:t>
            </w:r>
          </w:p>
        </w:tc>
        <w:tc>
          <w:tcPr>
            <w:tcW w:type="dxa" w:w="1440"/>
            <w:shd w:fill="FFDCE0" w:val="clear"/>
          </w:tcPr>
          <w:p>
            <w:r>
              <w:rPr>
                <w:sz w:val="17"/>
              </w:rPr>
              <w:t>6,333</w:t>
            </w:r>
          </w:p>
        </w:tc>
        <w:tc>
          <w:tcPr>
            <w:tcW w:type="dxa" w:w="1440"/>
            <w:shd w:fill="FFDCE0" w:val="clear"/>
          </w:tcPr>
          <w:p>
            <w:r>
              <w:rPr>
                <w:b/>
                <w:color w:val="C00000"/>
                <w:sz w:val="17"/>
              </w:rPr>
              <w:t>-33.2%</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4,892</w:t>
            </w:r>
          </w:p>
        </w:tc>
        <w:tc>
          <w:tcPr>
            <w:tcW w:type="dxa" w:w="1440"/>
            <w:shd w:fill="FFDCE0" w:val="clear"/>
          </w:tcPr>
          <w:p>
            <w:r>
              <w:rPr>
                <w:b/>
                <w:sz w:val="17"/>
              </w:rPr>
              <w:t>5,581</w:t>
            </w:r>
          </w:p>
        </w:tc>
        <w:tc>
          <w:tcPr>
            <w:tcW w:type="dxa" w:w="1440"/>
            <w:shd w:fill="FFDCE0" w:val="clear"/>
          </w:tcPr>
          <w:p>
            <w:r>
              <w:rPr>
                <w:sz w:val="17"/>
              </w:rPr>
              <w:t>6,269</w:t>
            </w:r>
          </w:p>
        </w:tc>
        <w:tc>
          <w:tcPr>
            <w:tcW w:type="dxa" w:w="1440"/>
            <w:shd w:fill="FFDCE0" w:val="clear"/>
          </w:tcPr>
          <w:p>
            <w:r>
              <w:rPr>
                <w:b/>
                <w:color w:val="C00000"/>
                <w:sz w:val="17"/>
              </w:rPr>
              <w:t>-34.3%</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4,785</w:t>
            </w:r>
          </w:p>
        </w:tc>
        <w:tc>
          <w:tcPr>
            <w:tcW w:type="dxa" w:w="1440"/>
            <w:shd w:fill="FFDCE0" w:val="clear"/>
          </w:tcPr>
          <w:p>
            <w:r>
              <w:rPr>
                <w:b/>
                <w:sz w:val="17"/>
              </w:rPr>
              <w:t>5,501</w:t>
            </w:r>
          </w:p>
        </w:tc>
        <w:tc>
          <w:tcPr>
            <w:tcW w:type="dxa" w:w="1440"/>
            <w:shd w:fill="FFDCE0" w:val="clear"/>
          </w:tcPr>
          <w:p>
            <w:r>
              <w:rPr>
                <w:sz w:val="17"/>
              </w:rPr>
              <w:t>6,216</w:t>
            </w:r>
          </w:p>
        </w:tc>
        <w:tc>
          <w:tcPr>
            <w:tcW w:type="dxa" w:w="1440"/>
            <w:shd w:fill="FFDCE0" w:val="clear"/>
          </w:tcPr>
          <w:p>
            <w:r>
              <w:rPr>
                <w:b/>
                <w:color w:val="C00000"/>
                <w:sz w:val="17"/>
              </w:rPr>
              <w:t>-35.2%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Absolument. Voici un rapport d'analyse structuré et professionnel pour l'action BICB,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490,67 milliards FCFA, un niveau qui la positionne comme une valeur de premier plan sur la BRVM, reflétant la confiance des investisseurs dans son modèle. Avec un BPA de 627 FCFA, chaque action génère un bénéfice substantiel. Le PER de 13,5x est supérieur à la moyenne historique de la BRVM (8-12x), indiquant que le marché est prêt à payer une prime pour la croissance future de la banque, mais cette prime n'est pas excessive. Le P/B de 3,63x confirme cette perception, le marché valorisant l'actif net de la banque bien au-dessus de sa valeur comptable, signe d'une rentabilité attendue élevée. Enfin, l'EV/EBITDA de 24,1x est très exigeant, suggérant que la valeur totale de l'entreprise (dette incluse) est élevée par rapport à sa capacité opérationnelle, ce qui pourrait limiter le potentiel de hausse à court terme.</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exceptionnelle de +63,84%, avec une dernière séance quasi stable (-0,06%). Le cours a évolué dans une fourchette allant de 5 000 FCFA (plus bas) à 8 500 FCFA (plus haut), démontrant une forte dynamique haussière. Les statistiques descriptives révèlent une distribution asymétrique : la moyenne (5 911 FCFA) est nettement supérieure à la médiane (5 498 FCFA), ce qui, combiné à un skewness positif de 1,217, indique que la majorité des séances se sont situées sous la moyenne, mais que les fortes hausses récentes ont tiré la moyenne vers le haut. L'écart-type de 972 FCFA (CV=16,4%) montre une dispersion modérée des prix autour de la moyenne. Le kurtosis de 0,281 (mésokurtique) suggère une distribution proche de la normale, sans risque de "pics" extrêmes. Enfin, la volatilité annualisée de 30,0% classe le titre comme à risque élevé, ce qui est cohérent avec la forte amplitude de la variation sur la période.</w:t>
      </w:r>
    </w:p>
    <w:p>
      <w:pPr>
        <w:spacing w:after="120" w:line="276" w:lineRule="auto"/>
      </w:pPr>
      <w:r>
        <w:t>### PARTIE 2 : ANALYSE TECHNIQUE DÉTAILLÉE</w:t>
      </w:r>
    </w:p>
    <w:p>
      <w:pPr>
        <w:spacing w:after="120" w:line="276" w:lineRule="auto"/>
      </w:pPr>
      <w:r>
        <w:t>**Moyennes Mobiles** : Le cours actuel (8 495 FCFA) est nettement au-dessus de la MM20 (7 604,5 FCFA) et de la MM50 (6 629,4 FCFA). Cette configuration haussière, où le prix est soutenu par ses moyennes mobiles, confirme la tendance positive de fond et justifie la décision d'**Achat**.</w:t>
      </w:r>
    </w:p>
    <w:p>
      <w:pPr>
        <w:spacing w:after="120" w:line="276" w:lineRule="auto"/>
      </w:pPr>
      <w:r>
        <w:t>**Bandes de Bollinger** : Le prix se situe dans la partie supérieure des bandes, proche de la borne haute (8 770,5 FCFA), mais sans la toucher. Cela indique une volatilité élevée et une dynamique haussière forte, mais le fait qu'il ne soit pas en "overbought" extrême justifie une décision **Neutre**, signalant un potentiel de poursuite mais aussi un risque de consolidation.</w:t>
      </w:r>
    </w:p>
    <w:p>
      <w:pPr>
        <w:spacing w:after="120" w:line="276" w:lineRule="auto"/>
      </w:pPr>
      <w:r>
        <w:t>**MACD** : Le MACD (512,7) est nettement au-dessus de sa ligne de signal (457,8), montrant un momentum haussier très fort. Cette divergence positive, sans signe de retournement imminent, renforce la tendance et justifie la décision d'**Achat**.</w:t>
      </w:r>
    </w:p>
    <w:p>
      <w:pPr>
        <w:spacing w:after="120" w:line="276" w:lineRule="auto"/>
      </w:pPr>
      <w:r>
        <w:t>**RSI** : Avec une valeur de 67,3, le RSI est en zone neutre mais proche du seuil de surachat (70). Cela indique une pression acheteuse soutenue sans être excessive. La décision est **Neutre**, car une poursuite de la hausse est possible, mais un retournement est également à surveiller.</w:t>
      </w:r>
    </w:p>
    <w:p>
      <w:pPr>
        <w:spacing w:after="120" w:line="276" w:lineRule="auto"/>
      </w:pPr>
      <w:r>
        <w:t>**Stochastique** : Les valeurs de %K (99,5) et %D (99,8) sont extrêmement élevées, en territoire de surachat profond. Ce niveau signale que le titre est survendu à la hausse et qu'un repli technique est très probable à court terme, justifiant la décision de **Vente**.</w:t>
      </w:r>
    </w:p>
    <w:p>
      <w:pPr>
        <w:spacing w:after="120" w:line="276" w:lineRule="auto"/>
      </w:pPr>
      <w:r>
        <w:t>**Conclusion technique** : Les indicateurs de tendance (MM, MACD) sont résolument haussiers, tandis que les oscillateurs (RSI, Stochastique) signalent une condition de surachat extrême. Cette divergence suggère que la tendance de fond reste positive, mais qu'un repli technique de court terme est hautement probable pour "respirer". La prudence est donc de mise pour un nouvel achat à ces niveaux.</w:t>
      </w:r>
    </w:p>
    <w:p>
      <w:pPr>
        <w:spacing w:after="120" w:line="276" w:lineRule="auto"/>
      </w:pPr>
      <w:r>
        <w:t>### PARTIE 3 : ANALYSE FONDAMENTALE (SECTION CRITIQUE)</w:t>
      </w:r>
    </w:p>
    <w:p>
      <w:pPr>
        <w:spacing w:after="120" w:line="276" w:lineRule="auto"/>
      </w:pPr>
      <w:r>
        <w:t>En 2025, les données financières structurées de BICB montrent une banque très rentable et en pleine expansion. Le Produit Net Bancaire (PNB) s'élève à 52,805 milliards FCFA, en croissance de 16,49%, avec un résultat net de 36,237 milliards FCFA. La rentabilité est excellente, avec un ROE de 26,82% et un ROA de 1,96%. Le coefficient d'exploitation de 31,12% témoigne d'une excellente maîtrise des charges. Cependant, le coût du risque de 9,61% est un point de vigilance, indiquant un risque de crédit significatif. La transformation est très tendue, avec un ratio crédits/dépôts de 97,5%, et la trésorerie nette est fortement négative (-424,1 milliards FCFA), un point de fragilité. Les rapports narratifs confirment cette trajectoire contrastée. Le rapport annuel 2025 (analysé en juin 2026) fait état d'une croissance de 24,7% du résultat net, portée par une hausse de 37,3% des crédits. Cependant, les rapports semestriels et du T3 2025 (analysés en mars 2026) montrent une baisse du résultat net (-26,7% au S1, -9% au T3) due à une explosion du coût du risque, la direction ayant choisi une politique de provisionnement prudente. Enfin, le rapport du T1 2026 (analysé en 2026) indique un rebond spectaculaire, avec un résultat net en hausse de 48% à 8,0 milliards FCFA, suggérant que la phase de provisionnement lourd est peut-être derrière elle. On estime donc que l'exercice 2026 pourrait voir une normalisation du coût du risque et une traduction de la forte croissance du PNB (+35% au T1) en bénéfices. La recommandation fondamentale est **ACHAT**, basée sur une croissance solide, une rentabilité élevée, mais avec une surveillance accrue du risque de crédit et de la liquidité.</w:t>
      </w:r>
    </w:p>
    <w:p>
      <w:pPr>
        <w:spacing w:after="120" w:line="276" w:lineRule="auto"/>
      </w:pPr>
      <w:r>
        <w:t>### PARTIE 4 : CONCLUSION D'INVESTISSEMENT</w:t>
      </w:r>
    </w:p>
    <w:p>
      <w:pPr>
        <w:spacing w:after="120" w:line="276" w:lineRule="auto"/>
      </w:pPr>
      <w:r>
        <w:t>La synthèse des analyses fait ressortir un profil d'investissement contrasté. La valorisation (PER 13,5x, P/B 3,63x) est exigeante, mais justifiée par une croissance et une rentabilité fondamentales solides. Le comportement du cours (+63,84% sur 100 jours) est extrêmement haussier, mais la volatilité élevée (30%) et les statistiques (skewness positif) suggèrent un risque de retournement. Les signaux techniques sont mitigés : la tendance de fond (MM, MACD) est haussière, mais les oscillateurs (RSI, Stochastique) crient au surachat, annonçant un repli probable. Les fondamentaux, après une année 2025 marquée par un provisionnement prudent, montrent un rebond très net au T1 2026, ce qui est un signal très positif. Enfin, les prédictions IA pour les 10 prochains jours (chute de 8 495 à 6 046 FCFA) confirment le scénario technique d'un repli à court terme. Par conséquent, la recommandation finale est **CONSERVER** pour les investisseurs en portefeuille, avec un niveau de confiance **Moyen** et un risque global **Élevé**. Pour les nouveaux investisseurs, il serait prudent d'attendre un repli vers les 7 000-7 500 FCFA pour initier une position, avec un horizon d'investissement à **moyen terme (3-12 mois)**, afin de capitaliser sur la dynamique de croissance des bénéfices attendue pour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483.25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740 titres</w:t>
            </w:r>
          </w:p>
        </w:tc>
        <w:tc>
          <w:tcPr>
            <w:tcW w:type="dxa" w:w="2268"/>
            <w:shd w:fill="FFF2CC" w:val="clear"/>
          </w:tcPr>
          <w:p>
            <w:r>
              <w:rPr>
                <w:b/>
                <w:color w:val="503200"/>
                <w:sz w:val="16"/>
              </w:rPr>
              <w:t xml:space="preserve">Cours actuel : </w:t>
            </w:r>
            <w:r>
              <w:rPr>
                <w:color w:val="000000"/>
                <w:sz w:val="17"/>
              </w:rPr>
              <w:t>28,995 FCFA</w:t>
            </w:r>
          </w:p>
          <w:p>
            <w:r>
              <w:rPr>
                <w:b/>
                <w:color w:val="503200"/>
                <w:sz w:val="16"/>
              </w:rPr>
              <w:t xml:space="preserve">Var. 100 jours : </w:t>
            </w:r>
            <w:r>
              <w:rPr>
                <w:b/>
                <w:color w:val="007800"/>
                <w:sz w:val="17"/>
              </w:rPr>
              <w:t>+17.18%</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7.42% (Moyenne) — μ=27,014 FCFA, σ=2,006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β=0.3240 (Défensif) — Cov=0.000010, Var(idx)=0.000031, ρ=0.100,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740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27,622</w:t>
            </w:r>
          </w:p>
        </w:tc>
        <w:tc>
          <w:tcPr>
            <w:tcW w:type="dxa" w:w="1440"/>
            <w:shd w:fill="FFDCE0" w:val="clear"/>
          </w:tcPr>
          <w:p>
            <w:r>
              <w:rPr>
                <w:b/>
                <w:sz w:val="17"/>
              </w:rPr>
              <w:t>28,239</w:t>
            </w:r>
          </w:p>
        </w:tc>
        <w:tc>
          <w:tcPr>
            <w:tcW w:type="dxa" w:w="1440"/>
            <w:shd w:fill="FFDCE0" w:val="clear"/>
          </w:tcPr>
          <w:p>
            <w:r>
              <w:rPr>
                <w:sz w:val="17"/>
              </w:rPr>
              <w:t>28,855</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27,139</w:t>
            </w:r>
          </w:p>
        </w:tc>
        <w:tc>
          <w:tcPr>
            <w:tcW w:type="dxa" w:w="1440"/>
            <w:shd w:fill="FFDCE0" w:val="clear"/>
          </w:tcPr>
          <w:p>
            <w:r>
              <w:rPr>
                <w:b/>
                <w:sz w:val="17"/>
              </w:rPr>
              <w:t>28,004</w:t>
            </w:r>
          </w:p>
        </w:tc>
        <w:tc>
          <w:tcPr>
            <w:tcW w:type="dxa" w:w="1440"/>
            <w:shd w:fill="FFDCE0" w:val="clear"/>
          </w:tcPr>
          <w:p>
            <w:r>
              <w:rPr>
                <w:sz w:val="17"/>
              </w:rPr>
              <w:t>28,869</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26,674</w:t>
            </w:r>
          </w:p>
        </w:tc>
        <w:tc>
          <w:tcPr>
            <w:tcW w:type="dxa" w:w="1440"/>
            <w:shd w:fill="FFDCE0" w:val="clear"/>
          </w:tcPr>
          <w:p>
            <w:r>
              <w:rPr>
                <w:b/>
                <w:sz w:val="17"/>
              </w:rPr>
              <w:t>27,723</w:t>
            </w:r>
          </w:p>
        </w:tc>
        <w:tc>
          <w:tcPr>
            <w:tcW w:type="dxa" w:w="1440"/>
            <w:shd w:fill="FFDCE0" w:val="clear"/>
          </w:tcPr>
          <w:p>
            <w:r>
              <w:rPr>
                <w:sz w:val="17"/>
              </w:rPr>
              <w:t>28,772</w:t>
            </w:r>
          </w:p>
        </w:tc>
        <w:tc>
          <w:tcPr>
            <w:tcW w:type="dxa" w:w="1440"/>
            <w:shd w:fill="FFDCE0" w:val="clear"/>
          </w:tcPr>
          <w:p>
            <w:r>
              <w:rPr>
                <w:b/>
                <w:color w:val="C00000"/>
                <w:sz w:val="17"/>
              </w:rPr>
              <w:t>-4.4%</w:t>
            </w:r>
          </w:p>
        </w:tc>
      </w:tr>
      <w:tr>
        <w:tc>
          <w:tcPr>
            <w:tcW w:type="dxa" w:w="1440"/>
            <w:shd w:fill="FFDCE0" w:val="clear"/>
          </w:tcPr>
          <w:p>
            <w:r>
              <w:rPr>
                <w:sz w:val="17"/>
              </w:rPr>
              <w:t>J+4  Moyenne</w:t>
            </w:r>
          </w:p>
        </w:tc>
        <w:tc>
          <w:tcPr>
            <w:tcW w:type="dxa" w:w="1440"/>
            <w:shd w:fill="FFDCE0" w:val="clear"/>
          </w:tcPr>
          <w:p>
            <w:r>
              <w:rPr>
                <w:sz w:val="17"/>
              </w:rPr>
              <w:t>2026-08-21</w:t>
            </w:r>
          </w:p>
        </w:tc>
        <w:tc>
          <w:tcPr>
            <w:tcW w:type="dxa" w:w="1440"/>
            <w:shd w:fill="FFDCE0" w:val="clear"/>
          </w:tcPr>
          <w:p>
            <w:r>
              <w:rPr>
                <w:sz w:val="17"/>
              </w:rPr>
              <w:t>26,259</w:t>
            </w:r>
          </w:p>
        </w:tc>
        <w:tc>
          <w:tcPr>
            <w:tcW w:type="dxa" w:w="1440"/>
            <w:shd w:fill="FFDCE0" w:val="clear"/>
          </w:tcPr>
          <w:p>
            <w:r>
              <w:rPr>
                <w:b/>
                <w:sz w:val="17"/>
              </w:rPr>
              <w:t>27,459</w:t>
            </w:r>
          </w:p>
        </w:tc>
        <w:tc>
          <w:tcPr>
            <w:tcW w:type="dxa" w:w="1440"/>
            <w:shd w:fill="FFDCE0" w:val="clear"/>
          </w:tcPr>
          <w:p>
            <w:r>
              <w:rPr>
                <w:sz w:val="17"/>
              </w:rPr>
              <w:t>28,658</w:t>
            </w:r>
          </w:p>
        </w:tc>
        <w:tc>
          <w:tcPr>
            <w:tcW w:type="dxa" w:w="1440"/>
            <w:shd w:fill="FFDCE0" w:val="clear"/>
          </w:tcPr>
          <w:p>
            <w:r>
              <w:rPr>
                <w:b/>
                <w:color w:val="C00000"/>
                <w:sz w:val="17"/>
              </w:rPr>
              <w:t>-5.3%</w:t>
            </w:r>
          </w:p>
        </w:tc>
      </w:tr>
      <w:tr>
        <w:tc>
          <w:tcPr>
            <w:tcW w:type="dxa" w:w="1440"/>
            <w:shd w:fill="FFDCE0" w:val="clear"/>
          </w:tcPr>
          <w:p>
            <w:r>
              <w:rPr>
                <w:sz w:val="17"/>
              </w:rPr>
              <w:t>J+5  Moyenne</w:t>
            </w:r>
          </w:p>
        </w:tc>
        <w:tc>
          <w:tcPr>
            <w:tcW w:type="dxa" w:w="1440"/>
            <w:shd w:fill="FFDCE0" w:val="clear"/>
          </w:tcPr>
          <w:p>
            <w:r>
              <w:rPr>
                <w:sz w:val="17"/>
              </w:rPr>
              <w:t>2026-08-24</w:t>
            </w:r>
          </w:p>
        </w:tc>
        <w:tc>
          <w:tcPr>
            <w:tcW w:type="dxa" w:w="1440"/>
            <w:shd w:fill="FFDCE0" w:val="clear"/>
          </w:tcPr>
          <w:p>
            <w:r>
              <w:rPr>
                <w:sz w:val="17"/>
              </w:rPr>
              <w:t>25,885</w:t>
            </w:r>
          </w:p>
        </w:tc>
        <w:tc>
          <w:tcPr>
            <w:tcW w:type="dxa" w:w="1440"/>
            <w:shd w:fill="FFDCE0" w:val="clear"/>
          </w:tcPr>
          <w:p>
            <w:r>
              <w:rPr>
                <w:b/>
                <w:sz w:val="17"/>
              </w:rPr>
              <w:t>27,214</w:t>
            </w:r>
          </w:p>
        </w:tc>
        <w:tc>
          <w:tcPr>
            <w:tcW w:type="dxa" w:w="1440"/>
            <w:shd w:fill="FFDCE0" w:val="clear"/>
          </w:tcPr>
          <w:p>
            <w:r>
              <w:rPr>
                <w:sz w:val="17"/>
              </w:rPr>
              <w:t>28,543</w:t>
            </w:r>
          </w:p>
        </w:tc>
        <w:tc>
          <w:tcPr>
            <w:tcW w:type="dxa" w:w="1440"/>
            <w:shd w:fill="FFDCE0" w:val="clear"/>
          </w:tcPr>
          <w:p>
            <w:r>
              <w:rPr>
                <w:b/>
                <w:color w:val="C00000"/>
                <w:sz w:val="17"/>
              </w:rPr>
              <w:t>-6.1%</w:t>
            </w:r>
          </w:p>
        </w:tc>
      </w:tr>
      <w:tr>
        <w:tc>
          <w:tcPr>
            <w:tcW w:type="dxa" w:w="1440"/>
            <w:shd w:fill="FFDCE0" w:val="clear"/>
          </w:tcPr>
          <w:p>
            <w:r>
              <w:rPr>
                <w:sz w:val="17"/>
              </w:rPr>
              <w:t>J+6  Moyenne</w:t>
            </w:r>
          </w:p>
        </w:tc>
        <w:tc>
          <w:tcPr>
            <w:tcW w:type="dxa" w:w="1440"/>
            <w:shd w:fill="FFDCE0" w:val="clear"/>
          </w:tcPr>
          <w:p>
            <w:r>
              <w:rPr>
                <w:sz w:val="17"/>
              </w:rPr>
              <w:t>2026-08-25</w:t>
            </w:r>
          </w:p>
        </w:tc>
        <w:tc>
          <w:tcPr>
            <w:tcW w:type="dxa" w:w="1440"/>
            <w:shd w:fill="FFDCE0" w:val="clear"/>
          </w:tcPr>
          <w:p>
            <w:r>
              <w:rPr>
                <w:sz w:val="17"/>
              </w:rPr>
              <w:t>25,538</w:t>
            </w:r>
          </w:p>
        </w:tc>
        <w:tc>
          <w:tcPr>
            <w:tcW w:type="dxa" w:w="1440"/>
            <w:shd w:fill="FFDCE0" w:val="clear"/>
          </w:tcPr>
          <w:p>
            <w:r>
              <w:rPr>
                <w:b/>
                <w:sz w:val="17"/>
              </w:rPr>
              <w:t>26,982</w:t>
            </w:r>
          </w:p>
        </w:tc>
        <w:tc>
          <w:tcPr>
            <w:tcW w:type="dxa" w:w="1440"/>
            <w:shd w:fill="FFDCE0" w:val="clear"/>
          </w:tcPr>
          <w:p>
            <w:r>
              <w:rPr>
                <w:sz w:val="17"/>
              </w:rPr>
              <w:t>28,425</w:t>
            </w:r>
          </w:p>
        </w:tc>
        <w:tc>
          <w:tcPr>
            <w:tcW w:type="dxa" w:w="1440"/>
            <w:shd w:fill="FFDCE0" w:val="clear"/>
          </w:tcPr>
          <w:p>
            <w:r>
              <w:rPr>
                <w:b/>
                <w:color w:val="C00000"/>
                <w:sz w:val="17"/>
              </w:rPr>
              <w:t>-6.9%</w:t>
            </w:r>
          </w:p>
        </w:tc>
      </w:tr>
      <w:tr>
        <w:tc>
          <w:tcPr>
            <w:tcW w:type="dxa" w:w="1440"/>
            <w:shd w:fill="FFDCE0" w:val="clear"/>
          </w:tcPr>
          <w:p>
            <w:r>
              <w:rPr>
                <w:sz w:val="17"/>
              </w:rPr>
              <w:t>J+7  Moyenne</w:t>
            </w:r>
          </w:p>
        </w:tc>
        <w:tc>
          <w:tcPr>
            <w:tcW w:type="dxa" w:w="1440"/>
            <w:shd w:fill="FFDCE0" w:val="clear"/>
          </w:tcPr>
          <w:p>
            <w:r>
              <w:rPr>
                <w:sz w:val="17"/>
              </w:rPr>
              <w:t>2026-08-27</w:t>
            </w:r>
          </w:p>
        </w:tc>
        <w:tc>
          <w:tcPr>
            <w:tcW w:type="dxa" w:w="1440"/>
            <w:shd w:fill="FFDCE0" w:val="clear"/>
          </w:tcPr>
          <w:p>
            <w:r>
              <w:rPr>
                <w:sz w:val="17"/>
              </w:rPr>
              <w:t>25,212</w:t>
            </w:r>
          </w:p>
        </w:tc>
        <w:tc>
          <w:tcPr>
            <w:tcW w:type="dxa" w:w="1440"/>
            <w:shd w:fill="FFDCE0" w:val="clear"/>
          </w:tcPr>
          <w:p>
            <w:r>
              <w:rPr>
                <w:b/>
                <w:sz w:val="17"/>
              </w:rPr>
              <w:t>26,758</w:t>
            </w:r>
          </w:p>
        </w:tc>
        <w:tc>
          <w:tcPr>
            <w:tcW w:type="dxa" w:w="1440"/>
            <w:shd w:fill="FFDCE0" w:val="clear"/>
          </w:tcPr>
          <w:p>
            <w:r>
              <w:rPr>
                <w:sz w:val="17"/>
              </w:rPr>
              <w:t>28,305</w:t>
            </w:r>
          </w:p>
        </w:tc>
        <w:tc>
          <w:tcPr>
            <w:tcW w:type="dxa" w:w="1440"/>
            <w:shd w:fill="FFDCE0" w:val="clear"/>
          </w:tcPr>
          <w:p>
            <w:r>
              <w:rPr>
                <w:b/>
                <w:color w:val="C00000"/>
                <w:sz w:val="17"/>
              </w:rPr>
              <w:t>-7.7%</w:t>
            </w:r>
          </w:p>
        </w:tc>
      </w:tr>
      <w:tr>
        <w:tc>
          <w:tcPr>
            <w:tcW w:type="dxa" w:w="1440"/>
            <w:shd w:fill="FFDCE0" w:val="clear"/>
          </w:tcPr>
          <w:p>
            <w:r>
              <w:rPr>
                <w:sz w:val="17"/>
              </w:rPr>
              <w:t>J+8  Moyenne</w:t>
            </w:r>
          </w:p>
        </w:tc>
        <w:tc>
          <w:tcPr>
            <w:tcW w:type="dxa" w:w="1440"/>
            <w:shd w:fill="FFDCE0" w:val="clear"/>
          </w:tcPr>
          <w:p>
            <w:r>
              <w:rPr>
                <w:sz w:val="17"/>
              </w:rPr>
              <w:t>2026-08-28</w:t>
            </w:r>
          </w:p>
        </w:tc>
        <w:tc>
          <w:tcPr>
            <w:tcW w:type="dxa" w:w="1440"/>
            <w:shd w:fill="FFDCE0" w:val="clear"/>
          </w:tcPr>
          <w:p>
            <w:r>
              <w:rPr>
                <w:sz w:val="17"/>
              </w:rPr>
              <w:t>24,903</w:t>
            </w:r>
          </w:p>
        </w:tc>
        <w:tc>
          <w:tcPr>
            <w:tcW w:type="dxa" w:w="1440"/>
            <w:shd w:fill="FFDCE0" w:val="clear"/>
          </w:tcPr>
          <w:p>
            <w:r>
              <w:rPr>
                <w:b/>
                <w:sz w:val="17"/>
              </w:rPr>
              <w:t>26,543</w:t>
            </w:r>
          </w:p>
        </w:tc>
        <w:tc>
          <w:tcPr>
            <w:tcW w:type="dxa" w:w="1440"/>
            <w:shd w:fill="FFDCE0" w:val="clear"/>
          </w:tcPr>
          <w:p>
            <w:r>
              <w:rPr>
                <w:sz w:val="17"/>
              </w:rPr>
              <w:t>28,183</w:t>
            </w:r>
          </w:p>
        </w:tc>
        <w:tc>
          <w:tcPr>
            <w:tcW w:type="dxa" w:w="1440"/>
            <w:shd w:fill="FFDCE0" w:val="clear"/>
          </w:tcPr>
          <w:p>
            <w:r>
              <w:rPr>
                <w:b/>
                <w:color w:val="C00000"/>
                <w:sz w:val="17"/>
              </w:rPr>
              <w:t>-8.5%</w:t>
            </w:r>
          </w:p>
        </w:tc>
      </w:tr>
      <w:tr>
        <w:tc>
          <w:tcPr>
            <w:tcW w:type="dxa" w:w="1440"/>
            <w:shd w:fill="FFDCE0" w:val="clear"/>
          </w:tcPr>
          <w:p>
            <w:r>
              <w:rPr>
                <w:sz w:val="17"/>
              </w:rPr>
              <w:t>J+9  Moyenne</w:t>
            </w:r>
          </w:p>
        </w:tc>
        <w:tc>
          <w:tcPr>
            <w:tcW w:type="dxa" w:w="1440"/>
            <w:shd w:fill="FFDCE0" w:val="clear"/>
          </w:tcPr>
          <w:p>
            <w:r>
              <w:rPr>
                <w:sz w:val="17"/>
              </w:rPr>
              <w:t>2026-08-31</w:t>
            </w:r>
          </w:p>
        </w:tc>
        <w:tc>
          <w:tcPr>
            <w:tcW w:type="dxa" w:w="1440"/>
            <w:shd w:fill="FFDCE0" w:val="clear"/>
          </w:tcPr>
          <w:p>
            <w:r>
              <w:rPr>
                <w:sz w:val="17"/>
              </w:rPr>
              <w:t>24,610</w:t>
            </w:r>
          </w:p>
        </w:tc>
        <w:tc>
          <w:tcPr>
            <w:tcW w:type="dxa" w:w="1440"/>
            <w:shd w:fill="FFDCE0" w:val="clear"/>
          </w:tcPr>
          <w:p>
            <w:r>
              <w:rPr>
                <w:b/>
                <w:sz w:val="17"/>
              </w:rPr>
              <w:t>26,335</w:t>
            </w:r>
          </w:p>
        </w:tc>
        <w:tc>
          <w:tcPr>
            <w:tcW w:type="dxa" w:w="1440"/>
            <w:shd w:fill="FFDCE0" w:val="clear"/>
          </w:tcPr>
          <w:p>
            <w:r>
              <w:rPr>
                <w:sz w:val="17"/>
              </w:rPr>
              <w:t>28,061</w:t>
            </w:r>
          </w:p>
        </w:tc>
        <w:tc>
          <w:tcPr>
            <w:tcW w:type="dxa" w:w="1440"/>
            <w:shd w:fill="FFDCE0" w:val="clear"/>
          </w:tcPr>
          <w:p>
            <w:r>
              <w:rPr>
                <w:b/>
                <w:color w:val="C00000"/>
                <w:sz w:val="17"/>
              </w:rPr>
              <w:t>-9.2%</w:t>
            </w:r>
          </w:p>
        </w:tc>
      </w:tr>
      <w:tr>
        <w:tc>
          <w:tcPr>
            <w:tcW w:type="dxa" w:w="1440"/>
            <w:shd w:fill="FFDCE0" w:val="clear"/>
          </w:tcPr>
          <w:p>
            <w:r>
              <w:rPr>
                <w:sz w:val="17"/>
              </w:rPr>
              <w:t>J+10  Moyenne</w:t>
            </w:r>
          </w:p>
        </w:tc>
        <w:tc>
          <w:tcPr>
            <w:tcW w:type="dxa" w:w="1440"/>
            <w:shd w:fill="FFDCE0" w:val="clear"/>
          </w:tcPr>
          <w:p>
            <w:r>
              <w:rPr>
                <w:sz w:val="17"/>
              </w:rPr>
              <w:t>2026-09-01</w:t>
            </w:r>
          </w:p>
        </w:tc>
        <w:tc>
          <w:tcPr>
            <w:tcW w:type="dxa" w:w="1440"/>
            <w:shd w:fill="FFDCE0" w:val="clear"/>
          </w:tcPr>
          <w:p>
            <w:r>
              <w:rPr>
                <w:sz w:val="17"/>
              </w:rPr>
              <w:t>24,330</w:t>
            </w:r>
          </w:p>
        </w:tc>
        <w:tc>
          <w:tcPr>
            <w:tcW w:type="dxa" w:w="1440"/>
            <w:shd w:fill="FFDCE0" w:val="clear"/>
          </w:tcPr>
          <w:p>
            <w:r>
              <w:rPr>
                <w:b/>
                <w:sz w:val="17"/>
              </w:rPr>
              <w:t>26,135</w:t>
            </w:r>
          </w:p>
        </w:tc>
        <w:tc>
          <w:tcPr>
            <w:tcW w:type="dxa" w:w="1440"/>
            <w:shd w:fill="FFDCE0" w:val="clear"/>
          </w:tcPr>
          <w:p>
            <w:r>
              <w:rPr>
                <w:sz w:val="17"/>
              </w:rPr>
              <w:t>27,940</w:t>
            </w:r>
          </w:p>
        </w:tc>
        <w:tc>
          <w:tcPr>
            <w:tcW w:type="dxa" w:w="1440"/>
            <w:shd w:fill="FFDCE0" w:val="clear"/>
          </w:tcPr>
          <w:p>
            <w:r>
              <w:rPr>
                <w:b/>
                <w:color w:val="C00000"/>
                <w:sz w:val="17"/>
              </w:rPr>
              <w:t>-9.9%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**Bourse Régionale des Valeurs Mobilières (BRVM)**</w:t>
        <w:br/>
        <w:t>**Date du rapport : 18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483,25 milliards FCFA, ce qui en fait l'une des valeurs les plus significatives de la cote BRVM, reflétant son statut de banque systémique en Côte d'Ivoire. Avec un BPA de 2 191 FCFA, le titre se négocie à un PER de 13,2x, légèrement au-dessus de la moyenne historique de la place (8-12x), indiquant que le marché intègre déjà une partie des perspectives de croissance. Le P/B de 4,01x est particulièrement élevé, signifiant que les investisseurs paient une prime substantielle de 300% par rapport à la valeur comptable des actifs, ce qui traduit une forte confiance dans la qualité du bilan et la génération de valeur future. Enfin, l'EV/EBITDA de 9,3x se situe dans une fourchette raisonnable (5-10x), suggérant que la valorisation globale de l'entreprise, rapportée à sa capacité opérationnelle, demeure cohérente avec les standards du secteur bancaire régional.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BICC a enregistré une progression remarquable de +17,18%, avec une dernière séance en hausse de +1,13% à 28 995 FCFA, confirmant une dynamique haussière soutenue. Le titre a évolué dans un range de 22 500 à 29 490 FCFA, démontrant une amplitude de trading significative de près de 31% entre le plus bas et le plus haut. La moyenne du cours (27 014 FCFA) est inférieure à la médiane (28 020 FCFA), ce qui, combiné à un skewness négatif de -0,614, indique que le titre a passé davantage de journées au-dessus de sa moyenne, avec des épisodes de baisse concentrés mais limités. L'écart-type de 2 016 FCFA (CV=7,5%) révèle une dispersion modérée autour de la moyenne, tandis que le kurtosis de -1,110 (platykurtique) suggère une distribution aplatie avec peu de mouvements extrêmes, réduisant le risque de chocs soudains. La volatilité annualisée de 28,8% classe le titre dans la catégorie modérée (15-30%), offrant un équilibre acceptable entre rendement et risque pour un investisseur actionnaire.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(28 995 FCFA) se positionne au-dessus de la MM20 (28 708 FCFA) et de la MM50 (28 574,6 FCFA), avec un écart positif de 0,8% et 1,5% respectivement. Cette configuration haussière, où le prix évolue au-dessus des deux moyennes, confirme une tendance de fond positive à court et moyen terme, justifiant la décision d'achat signalée par cet indicateur.</w:t>
      </w:r>
    </w:p>
    <w:p>
      <w:pPr>
        <w:spacing w:after="120" w:line="276" w:lineRule="auto"/>
      </w:pPr>
      <w:r>
        <w:t>**Bandes de Bollinger :** Le prix se situe à 28 995 FCFA, proche de la zone médiane entre la borne supérieure (29 653,5 FCFA) et la borne inférieure (27 762,5 FCFA). Cette position neutre indique une volatilité modérée sans pression excessive d'achat ou de vente, laissant une marge de manœuvre dans les deux sens. La décision neutre est cohérente avec l'absence de signal directionnel fort.</w:t>
      </w:r>
    </w:p>
    <w:p>
      <w:pPr>
        <w:spacing w:after="120" w:line="276" w:lineRule="auto"/>
      </w:pPr>
      <w:r>
        <w:t>**MACD :** La valeur du MACD (172,8) est légèrement inférieure à sa ligne de signal (178,0), générant un signal de vente. Cette divergence négative, bien que modeste, suggère un ralentissement du momentum haussier à court terme, pouvant précéder une consolidation ou un léger repli technique.</w:t>
      </w:r>
    </w:p>
    <w:p>
      <w:pPr>
        <w:spacing w:after="120" w:line="276" w:lineRule="auto"/>
      </w:pPr>
      <w:r>
        <w:t>**RSI :** À 57,2, le RSI se situe dans la zone neutre (30-70), indiquant un équilibre entre pression acheteuse et vendeuse. Cette valeur reflète une dynamique positive sans surachat, laissant une marge de progression avant d'atteindre des niveaux d'épuisement.</w:t>
      </w:r>
    </w:p>
    <w:p>
      <w:pPr>
        <w:spacing w:after="120" w:line="276" w:lineRule="auto"/>
      </w:pPr>
      <w:r>
        <w:t>**Stochastique :** Le %K (61,3) est supérieur au %D (46,3), avec un écart positif de 15 points, suggérant un croisement haussier en formation. Cette configuration indique que le momentum de court terme reprend de la vigueur, bien que la décision reste neutre en attendant une confirmation plus franche.</w:t>
      </w:r>
    </w:p>
    <w:p>
      <w:pPr>
        <w:spacing w:after="120" w:line="276" w:lineRule="auto"/>
      </w:pPr>
      <w:r>
        <w:t>**Conclusion technique :** Les indicateurs sont globalement partagés entre signaux haussiers (MM, Stochastique) et neutres (Bollinger, RSI), avec un MACD légèrement vendeur. La tendance de fond reste positive, mais le ralentissement du momentum suggère une possible phase de consolidation avant une reprise de la hausse.</w:t>
      </w:r>
    </w:p>
    <w:p>
      <w:pPr>
        <w:spacing w:after="120" w:line="276" w:lineRule="auto"/>
      </w:pPr>
      <w:r>
        <w:t>---</w:t>
      </w:r>
    </w:p>
    <w:p>
      <w:pPr>
        <w:spacing w:after="120" w:line="276" w:lineRule="auto"/>
      </w:pPr>
      <w:r>
        <w:t>### PARTIE 3 : ANALYSE FONDAMENTALE (SECTION CRITIQUE)</w:t>
      </w:r>
    </w:p>
    <w:p>
      <w:pPr>
        <w:spacing w:after="120" w:line="276" w:lineRule="auto"/>
      </w:pPr>
      <w:r>
        <w:t>Les états financiers annuels 2025 de BICC révèlent une banque en excellente santé financière. Le Produit Net Bancaire s'établit à 79,563 milliards FCFA, en croissance de 16,9% par rapport à l'exercice précédent, porté par une marge d'intermédiation solide (62,121 milliards d'intérêts perçus contre 12,334 milliards de charges) et des commissions nettes de 26,333 milliards. Le résultat net atteint 36,520 milliards FCFA, générant un ROE exceptionnel de 30,29% et un ROA de 3,24%, tous deux nettement supérieurs aux normes sectorielles (&gt;15% et &gt;1% respectivement). Le coefficient d'exploitation de 50,83% témoigne d'une excellente maîtrise des charges, tandis que le coût du risque de -12,15% reflète une gestion prudente du portefeuille de crédits (524,439 milliards de créances clientèle financées par 952,872 milliards de dépôts, soit un ratio de transformation de 55%). Les capitaux propres de 120,570 milliards FCFA assurent une autonomie financière de 10,71%, certes modeste, mais la solvabilité générale de 112% et la capacité de remboursement de 0,40 an confirment la robustesse du bilan. Les rapports trimestriels 2025 confirment cette trajectoire : le T3 2025 affiche un PNB cumulé de 58,119 milliards (+16,4%) et un résultat net de 27,402 milliards (+50,8%), avec une marge nette améliorée à 47,1%. Le T1 2026 poursuit cette dynamique avec un PNB de 21,214 milliards (+17,0%) et un résultat net de 10,387 milliards (+29,7%), malgré une contraction des crédits de 4,5% due à des remboursements anticipés. Sur la base de ces performances, on estime que l'exercice 2026 devrait dépasser les 85 milliards de PNB et approcher les 40 milliards de résultat net, confirmant la solidité du modèle économique de BICC.</w:t>
      </w:r>
    </w:p>
    <w:p>
      <w:pPr>
        <w:spacing w:after="120" w:line="276" w:lineRule="auto"/>
      </w:pPr>
      <w:r>
        <w:t>---</w:t>
      </w:r>
    </w:p>
    <w:p>
      <w:pPr>
        <w:spacing w:after="120" w:line="276" w:lineRule="auto"/>
      </w:pPr>
      <w:r>
        <w:t>### PARTIE 4 : CONCLUSION D'INVESTISSEMENT</w:t>
      </w:r>
    </w:p>
    <w:p>
      <w:pPr>
        <w:spacing w:after="120" w:line="276" w:lineRule="auto"/>
      </w:pPr>
      <w:r>
        <w:t>La synthèse globale des analyses fait ressortir une convergence positive entre les fondamentaux et la dynamique boursière. La valorisation (PER 13,2x, P/B 4,01x) est certes exigeante, mais elle se justifie par un ROE de 30,3% et une croissance soutenue du résultat net (+57% en 2024, +50,8% au T3 2025), plaçant BICC parmi les meilleures banques de la zone UEMOA. Le comportement du cours (+17,2% sur 100 jours) avec une volatilité modérée (28,8%) et une distribution platykurtique reflète une progression régulière sans excès spéculatif. Les signaux techniques sont partagés mais globalement positifs, avec une tendance haussière confirmée par les moyennes mobiles, malgré un MACD légèrement vendeur suggérant une possible consolidation à court terme. Les prédictions IA (28 239 FCFA à J+1, 27 214 FCFA à J+10) anticipent un repli technique de 6% sur les deux prochaines semaines, ce qui pourrait offrir un point d'entrée plus attractif. La solidité fondamentale (coefficient d'exploitation de 50,8%, coût du risque maîtrisé, dépôts en croissance de 14,5% au T1 2026) et les perspectives de croissance soutenue justifient une recommandation d'**ACHAT**. Le niveau de confiance est **Élevé** (convergence entre fondamentaux solides et tendance haussière), avec un risque global **Moyen** (valorisation exigeante, baisse des crédits à surveiller). L'horizon d'investissement optimal est le **moyen terme (3-12 mois)**, permettant de capitaliser sur la croissance des résultats tout en absorbant une éventuelle correction technique.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2,174 titres</w:t>
            </w:r>
          </w:p>
        </w:tc>
        <w:tc>
          <w:tcPr>
            <w:tcW w:type="dxa" w:w="2268"/>
            <w:shd w:fill="FFF2CC" w:val="clear"/>
          </w:tcPr>
          <w:p>
            <w:r>
              <w:rPr>
                <w:b/>
                <w:color w:val="503200"/>
                <w:sz w:val="16"/>
              </w:rPr>
              <w:t xml:space="preserve">Cours actuel : </w:t>
            </w:r>
            <w:r>
              <w:rPr>
                <w:color w:val="000000"/>
                <w:sz w:val="17"/>
              </w:rPr>
              <w:t>1,985 FCFA</w:t>
            </w:r>
          </w:p>
          <w:p>
            <w:r>
              <w:rPr>
                <w:b/>
                <w:color w:val="503200"/>
                <w:sz w:val="16"/>
              </w:rPr>
              <w:t xml:space="preserve">Var. 100 jours : </w:t>
            </w:r>
            <w:r>
              <w:rPr>
                <w:b/>
                <w:color w:val="007800"/>
                <w:sz w:val="17"/>
              </w:rPr>
              <w:t>+23.68%</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11.71% (Moyenne) — μ=1,737 FCFA, σ=203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β=0.0941 (Défensif) — Cov=0.000003, Var(idx)=0.000031, ρ=0.017,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2,174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2026-08-18</w:t>
            </w:r>
          </w:p>
        </w:tc>
        <w:tc>
          <w:tcPr>
            <w:tcW w:type="dxa" w:w="1440"/>
            <w:shd w:fill="FAFAFA" w:val="clear"/>
          </w:tcPr>
          <w:p>
            <w:r>
              <w:rPr>
                <w:sz w:val="17"/>
              </w:rPr>
              <w:t>1,899</w:t>
            </w:r>
          </w:p>
        </w:tc>
        <w:tc>
          <w:tcPr>
            <w:tcW w:type="dxa" w:w="1440"/>
            <w:shd w:fill="FAFAFA" w:val="clear"/>
          </w:tcPr>
          <w:p>
            <w:r>
              <w:rPr>
                <w:b/>
                <w:sz w:val="17"/>
              </w:rPr>
              <w:t>1,985</w:t>
            </w:r>
          </w:p>
        </w:tc>
        <w:tc>
          <w:tcPr>
            <w:tcW w:type="dxa" w:w="1440"/>
            <w:shd w:fill="FAFAFA" w:val="clear"/>
          </w:tcPr>
          <w:p>
            <w:r>
              <w:rPr>
                <w:sz w:val="17"/>
              </w:rPr>
              <w:t>2,071</w:t>
            </w:r>
          </w:p>
        </w:tc>
        <w:tc>
          <w:tcPr>
            <w:tcW w:type="dxa" w:w="1440"/>
            <w:shd w:fill="FAFAFA" w:val="clear"/>
          </w:tcPr>
          <w:p>
            <w:r>
              <w:rPr>
                <w:b/>
                <w:color w:val="C00000"/>
                <w:sz w:val="17"/>
              </w:rPr>
              <w:t>-0.0%</w:t>
            </w:r>
          </w:p>
        </w:tc>
      </w:tr>
      <w:tr>
        <w:tc>
          <w:tcPr>
            <w:tcW w:type="dxa" w:w="1440"/>
            <w:shd w:fill="FAFAFA" w:val="clear"/>
          </w:tcPr>
          <w:p>
            <w:r>
              <w:rPr>
                <w:sz w:val="17"/>
              </w:rPr>
              <w:t>J+2  Moyenne</w:t>
            </w:r>
          </w:p>
        </w:tc>
        <w:tc>
          <w:tcPr>
            <w:tcW w:type="dxa" w:w="1440"/>
            <w:shd w:fill="FAFAFA" w:val="clear"/>
          </w:tcPr>
          <w:p>
            <w:r>
              <w:rPr>
                <w:sz w:val="17"/>
              </w:rPr>
              <w:t>2026-08-19</w:t>
            </w:r>
          </w:p>
        </w:tc>
        <w:tc>
          <w:tcPr>
            <w:tcW w:type="dxa" w:w="1440"/>
            <w:shd w:fill="FAFAFA" w:val="clear"/>
          </w:tcPr>
          <w:p>
            <w:r>
              <w:rPr>
                <w:sz w:val="17"/>
              </w:rPr>
              <w:t>1,860</w:t>
            </w:r>
          </w:p>
        </w:tc>
        <w:tc>
          <w:tcPr>
            <w:tcW w:type="dxa" w:w="1440"/>
            <w:shd w:fill="FAFAFA" w:val="clear"/>
          </w:tcPr>
          <w:p>
            <w:r>
              <w:rPr>
                <w:b/>
                <w:sz w:val="17"/>
              </w:rPr>
              <w:t>1,982</w:t>
            </w:r>
          </w:p>
        </w:tc>
        <w:tc>
          <w:tcPr>
            <w:tcW w:type="dxa" w:w="1440"/>
            <w:shd w:fill="FAFAFA" w:val="clear"/>
          </w:tcPr>
          <w:p>
            <w:r>
              <w:rPr>
                <w:sz w:val="17"/>
              </w:rPr>
              <w:t>2,103</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2026-08-20</w:t>
            </w:r>
          </w:p>
        </w:tc>
        <w:tc>
          <w:tcPr>
            <w:tcW w:type="dxa" w:w="1440"/>
            <w:shd w:fill="FAFAFA" w:val="clear"/>
          </w:tcPr>
          <w:p>
            <w:r>
              <w:rPr>
                <w:sz w:val="17"/>
              </w:rPr>
              <w:t>1,831</w:t>
            </w:r>
          </w:p>
        </w:tc>
        <w:tc>
          <w:tcPr>
            <w:tcW w:type="dxa" w:w="1440"/>
            <w:shd w:fill="FAFAFA" w:val="clear"/>
          </w:tcPr>
          <w:p>
            <w:r>
              <w:rPr>
                <w:b/>
                <w:sz w:val="17"/>
              </w:rPr>
              <w:t>1,980</w:t>
            </w:r>
          </w:p>
        </w:tc>
        <w:tc>
          <w:tcPr>
            <w:tcW w:type="dxa" w:w="1440"/>
            <w:shd w:fill="FAFAFA" w:val="clear"/>
          </w:tcPr>
          <w:p>
            <w:r>
              <w:rPr>
                <w:sz w:val="17"/>
              </w:rPr>
              <w:t>2,128</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2026-08-21</w:t>
            </w:r>
          </w:p>
        </w:tc>
        <w:tc>
          <w:tcPr>
            <w:tcW w:type="dxa" w:w="1440"/>
            <w:shd w:fill="FAFAFA" w:val="clear"/>
          </w:tcPr>
          <w:p>
            <w:r>
              <w:rPr>
                <w:sz w:val="17"/>
              </w:rPr>
              <w:t>1,807</w:t>
            </w:r>
          </w:p>
        </w:tc>
        <w:tc>
          <w:tcPr>
            <w:tcW w:type="dxa" w:w="1440"/>
            <w:shd w:fill="FAFAFA" w:val="clear"/>
          </w:tcPr>
          <w:p>
            <w:r>
              <w:rPr>
                <w:b/>
                <w:sz w:val="17"/>
              </w:rPr>
              <w:t>1,978</w:t>
            </w:r>
          </w:p>
        </w:tc>
        <w:tc>
          <w:tcPr>
            <w:tcW w:type="dxa" w:w="1440"/>
            <w:shd w:fill="FAFAFA" w:val="clear"/>
          </w:tcPr>
          <w:p>
            <w:r>
              <w:rPr>
                <w:sz w:val="17"/>
              </w:rPr>
              <w:t>2,149</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2026-08-24</w:t>
            </w:r>
          </w:p>
        </w:tc>
        <w:tc>
          <w:tcPr>
            <w:tcW w:type="dxa" w:w="1440"/>
            <w:shd w:fill="FAFAFA" w:val="clear"/>
          </w:tcPr>
          <w:p>
            <w:r>
              <w:rPr>
                <w:sz w:val="17"/>
              </w:rPr>
              <w:t>1,785</w:t>
            </w:r>
          </w:p>
        </w:tc>
        <w:tc>
          <w:tcPr>
            <w:tcW w:type="dxa" w:w="1440"/>
            <w:shd w:fill="FAFAFA" w:val="clear"/>
          </w:tcPr>
          <w:p>
            <w:r>
              <w:rPr>
                <w:b/>
                <w:sz w:val="17"/>
              </w:rPr>
              <w:t>1,976</w:t>
            </w:r>
          </w:p>
        </w:tc>
        <w:tc>
          <w:tcPr>
            <w:tcW w:type="dxa" w:w="1440"/>
            <w:shd w:fill="FAFAFA" w:val="clear"/>
          </w:tcPr>
          <w:p>
            <w:r>
              <w:rPr>
                <w:sz w:val="17"/>
              </w:rPr>
              <w:t>2,168</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2026-08-25</w:t>
            </w:r>
          </w:p>
        </w:tc>
        <w:tc>
          <w:tcPr>
            <w:tcW w:type="dxa" w:w="1440"/>
            <w:shd w:fill="FAFAFA" w:val="clear"/>
          </w:tcPr>
          <w:p>
            <w:r>
              <w:rPr>
                <w:sz w:val="17"/>
              </w:rPr>
              <w:t>1,766</w:t>
            </w:r>
          </w:p>
        </w:tc>
        <w:tc>
          <w:tcPr>
            <w:tcW w:type="dxa" w:w="1440"/>
            <w:shd w:fill="FAFAFA" w:val="clear"/>
          </w:tcPr>
          <w:p>
            <w:r>
              <w:rPr>
                <w:b/>
                <w:sz w:val="17"/>
              </w:rPr>
              <w:t>1,975</w:t>
            </w:r>
          </w:p>
        </w:tc>
        <w:tc>
          <w:tcPr>
            <w:tcW w:type="dxa" w:w="1440"/>
            <w:shd w:fill="FAFAFA" w:val="clear"/>
          </w:tcPr>
          <w:p>
            <w:r>
              <w:rPr>
                <w:sz w:val="17"/>
              </w:rPr>
              <w:t>2,184</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2026-08-27</w:t>
            </w:r>
          </w:p>
        </w:tc>
        <w:tc>
          <w:tcPr>
            <w:tcW w:type="dxa" w:w="1440"/>
            <w:shd w:fill="FAFAFA" w:val="clear"/>
          </w:tcPr>
          <w:p>
            <w:r>
              <w:rPr>
                <w:sz w:val="17"/>
              </w:rPr>
              <w:t>1,747</w:t>
            </w:r>
          </w:p>
        </w:tc>
        <w:tc>
          <w:tcPr>
            <w:tcW w:type="dxa" w:w="1440"/>
            <w:shd w:fill="FAFAFA" w:val="clear"/>
          </w:tcPr>
          <w:p>
            <w:r>
              <w:rPr>
                <w:b/>
                <w:sz w:val="17"/>
              </w:rPr>
              <w:t>1,973</w:t>
            </w:r>
          </w:p>
        </w:tc>
        <w:tc>
          <w:tcPr>
            <w:tcW w:type="dxa" w:w="1440"/>
            <w:shd w:fill="FAFAFA" w:val="clear"/>
          </w:tcPr>
          <w:p>
            <w:r>
              <w:rPr>
                <w:sz w:val="17"/>
              </w:rPr>
              <w:t>2,199</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2026-08-28</w:t>
            </w:r>
          </w:p>
        </w:tc>
        <w:tc>
          <w:tcPr>
            <w:tcW w:type="dxa" w:w="1440"/>
            <w:shd w:fill="FAFAFA" w:val="clear"/>
          </w:tcPr>
          <w:p>
            <w:r>
              <w:rPr>
                <w:sz w:val="17"/>
              </w:rPr>
              <w:t>1,731</w:t>
            </w:r>
          </w:p>
        </w:tc>
        <w:tc>
          <w:tcPr>
            <w:tcW w:type="dxa" w:w="1440"/>
            <w:shd w:fill="FAFAFA" w:val="clear"/>
          </w:tcPr>
          <w:p>
            <w:r>
              <w:rPr>
                <w:b/>
                <w:sz w:val="17"/>
              </w:rPr>
              <w:t>1,972</w:t>
            </w:r>
          </w:p>
        </w:tc>
        <w:tc>
          <w:tcPr>
            <w:tcW w:type="dxa" w:w="1440"/>
            <w:shd w:fill="FAFAFA" w:val="clear"/>
          </w:tcPr>
          <w:p>
            <w:r>
              <w:rPr>
                <w:sz w:val="17"/>
              </w:rPr>
              <w:t>2,213</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2026-08-31</w:t>
            </w:r>
          </w:p>
        </w:tc>
        <w:tc>
          <w:tcPr>
            <w:tcW w:type="dxa" w:w="1440"/>
            <w:shd w:fill="FAFAFA" w:val="clear"/>
          </w:tcPr>
          <w:p>
            <w:r>
              <w:rPr>
                <w:sz w:val="17"/>
              </w:rPr>
              <w:t>1,715</w:t>
            </w:r>
          </w:p>
        </w:tc>
        <w:tc>
          <w:tcPr>
            <w:tcW w:type="dxa" w:w="1440"/>
            <w:shd w:fill="FAFAFA" w:val="clear"/>
          </w:tcPr>
          <w:p>
            <w:r>
              <w:rPr>
                <w:b/>
                <w:sz w:val="17"/>
              </w:rPr>
              <w:t>1,971</w:t>
            </w:r>
          </w:p>
        </w:tc>
        <w:tc>
          <w:tcPr>
            <w:tcW w:type="dxa" w:w="1440"/>
            <w:shd w:fill="FAFAFA" w:val="clear"/>
          </w:tcPr>
          <w:p>
            <w:r>
              <w:rPr>
                <w:sz w:val="17"/>
              </w:rPr>
              <w:t>2,227</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2026-09-01</w:t>
            </w:r>
          </w:p>
        </w:tc>
        <w:tc>
          <w:tcPr>
            <w:tcW w:type="dxa" w:w="1440"/>
            <w:shd w:fill="FAFAFA" w:val="clear"/>
          </w:tcPr>
          <w:p>
            <w:r>
              <w:rPr>
                <w:sz w:val="17"/>
              </w:rPr>
              <w:t>1,700</w:t>
            </w:r>
          </w:p>
        </w:tc>
        <w:tc>
          <w:tcPr>
            <w:tcW w:type="dxa" w:w="1440"/>
            <w:shd w:fill="FAFAFA" w:val="clear"/>
          </w:tcPr>
          <w:p>
            <w:r>
              <w:rPr>
                <w:b/>
                <w:sz w:val="17"/>
              </w:rPr>
              <w:t>1,970</w:t>
            </w:r>
          </w:p>
        </w:tc>
        <w:tc>
          <w:tcPr>
            <w:tcW w:type="dxa" w:w="1440"/>
            <w:shd w:fill="FAFAFA" w:val="clear"/>
          </w:tcPr>
          <w:p>
            <w:r>
              <w:rPr>
                <w:sz w:val="17"/>
              </w:rPr>
              <w:t>2,239</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13,15 milliards FCFA, un niveau modeste qui la positionne parmi les petites capitalisations de la BRVM, avec un flottant probablement limité. Le BPA de 3 FCFA par action est extrêmement faible, traduisant une capacité bénéficiaire quasi inexistante. Le PER de 589,1x est absolument exorbitant comparé à la moyenne historique de la BRVM (8-12x), indiquant que les investisseurs paient un prix très élevé pour des bénéfices dérisoires, signe d'une spéculation intense ou d'une anticipation de retournement majeur. Le P/B de 0,74x est en revanche intéressant : le marché valorise le titre sous sa valeur comptable, suggérant une décote potentielle sur les actifs. Enfin, l'EV/EBITDA de 24,2x, bien supérieur au seuil de 15x considéré comme exigeant, confirme une valorisation globale très tendue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spectaculaire de +23,68%, avec une légère correction de -0,75% lors de la dernière séance, pour s'établir à 1 985 FCFA. Le titre a évolué dans une fourchette large de 1 300 à 2 100 FCFA, démontrant une forte amplitude de trading. La moyenne de 1 737 FCFA est inférieure à la médiane de 1 700 FCFA, indiquant une distribution légèrement asymétrique avec des valeurs extrêmes à la hausse. L'écart-type de 205 FCFA (CV=11,8%) révèle une dispersion modérée des cours autour de la moyenne. Le kurtosis de -1,286 (platykurtique) signale une distribution aplatie avec peu de pics extrêmes, tandis que le skewness de -0,065 confirme une quasi-symétrie. La volatilité annualisée de 47,9% classe le titre comme très volatil, bien au-delà du seuil de 30% considéré comme élevé, reflétant un risque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1 985 FCFA se positionne au-dessus de la MM20 (1 944,5 FCFA) et de la MM50 (1 920,2 FCFA), configuration haussière classique. La MM20 étant supérieure à la MM50, la tendance de court terme est positive et confirme le momentum acheteur, d'où la décision d'achat.</w:t>
      </w:r>
    </w:p>
    <w:p>
      <w:pPr>
        <w:spacing w:after="120" w:line="276" w:lineRule="auto"/>
      </w:pPr>
      <w:r>
        <w:t>**Bandes de Bollinger** : Le prix évolue entre la borne inférieure (1 848,3 FCFA) et la borne supérieure (2 040,7 FCFA), se situant à 1 985 FCFA, proche de la borne haute. Cette position indique une pression acheteuse soutenue sans atteindre la zone de surachat extrême, justifiant une décision neutre avec un biais haussier.</w:t>
      </w:r>
    </w:p>
    <w:p>
      <w:pPr>
        <w:spacing w:after="120" w:line="276" w:lineRule="auto"/>
      </w:pPr>
      <w:r>
        <w:t>**MACD** : La valeur du MACD (26,5) est supérieure à son signal (20,3), avec un écart positif de 6,3 points. Cette configuration signale un momentum haussier en renforcement, confirmant la dynamique positive du titre et la décision d'achat.</w:t>
      </w:r>
    </w:p>
    <w:p>
      <w:pPr>
        <w:spacing w:after="120" w:line="276" w:lineRule="auto"/>
      </w:pPr>
      <w:r>
        <w:t>**RSI** : À 68,9, le RSI se situe en zone neutre-haute, proche du seuil de surachat de 70. Cette valeur indique une pression acheteuse soutenue mais pas encore excessive, laissant une marge de progression avant une potentielle correction, d'où la décision neutre.</w:t>
      </w:r>
    </w:p>
    <w:p>
      <w:pPr>
        <w:spacing w:after="120" w:line="276" w:lineRule="auto"/>
      </w:pPr>
      <w:r>
        <w:t>**Stochastique** : Le %K (88,0) et le %D (96,0) sont tous deux en zone de surachat, avec un %D supérieur au %K, signalant un épuisement potentiel du mouvement haussier. Cette configuration suggère un risque de retournement à court terme, justifiant la décision de vente.</w:t>
      </w:r>
    </w:p>
    <w:p>
      <w:pPr>
        <w:spacing w:after="120" w:line="276" w:lineRule="auto"/>
      </w:pPr>
      <w:r>
        <w:t>**Conclusion technique** : Les indicateurs sont mitigés avec une majorité de signaux haussiers (MM, MACD) mais des signaux de surachat sur le stochastique et un RSI proche de la zone critique. La tendance de fond reste positive, mais un repli technique est probable à très court terme avant une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 milliards FCFA, en baisse de 6,31% par rapport à 2024 (45,31 milliards), avec un résultat net de seulement 22,3 millions FCFA, soit une marge nette de 0,05%. Le ROE s'établit à 0,13% et le ROA à 0,05%, des niveaux extrêmement faibles qui traduisent une rentabilité anémique. La structure financière montre des capitaux propres solides de 17,77 milliards FCFA (autonomie financière de 36,2%), mais une trésorerie nette négative de -16,69 milliards FCFA et un BFR de 29,37 milliards, avec des délais clients élevés (104 jours) et une durée de stockage de 339 jours, reflétant des tensions de trésorerie. Le rapport T1 2026 (daté du 31/12/2026) indique un CA stable à 11,19 milliards FCFA (-0,12%) mais un résultat net positif de 65,57 millions FCFA, contre une perte de 16,15 millions au T1 2025, soit une amélioration de 506%. Sur la base de ce trimestre, on estime que l'exercice 2026 pourrait générer un résultat net annuel d'environ 260 millions FCFA, soit une nette amélioration par rapport à 2025, portée par la montée en puissance des divisions Équipement et Power. Cependant, la rentabilité reste structurellement faible et dépendante d'éléments exceptionnels, comme souligné dans les rapports 2024 et 2025.</w:t>
      </w:r>
    </w:p>
    <w:p>
      <w:pPr>
        <w:spacing w:after="120" w:line="276" w:lineRule="auto" w:before="240"/>
      </w:pPr>
      <w:r>
        <w:rPr>
          <w:b/>
          <w:color w:val="003366"/>
          <w:sz w:val="24"/>
        </w:rPr>
        <w:t>**PARTIE 4 : CONCLUSION D'INVESTISSEMENT**</w:t>
      </w:r>
    </w:p>
    <w:p>
      <w:pPr>
        <w:spacing w:after="120" w:line="276" w:lineRule="auto"/>
      </w:pPr>
      <w:r>
        <w:t>La valorisation de BNBC est extrêmement exigeante avec un PER de 589x, mais le P/B de 0,74x offre un filet de sécurité comptable. Le comportement du cours montre une tendance haussière de +23,68% sur 100 jours, avec une volatilité très élevée (47,9%) et une distribution platykurtique indiquant un risque de mouvements brusques. Les signaux techniques sont partagés : les MM et le MACD sont haussiers, mais le stochastique en surachat suggère une correction imminente. Les fondamentaux restent fragiles avec une rentabilité quasi nulle en 2025, mais les estimations basées sur le T1 2026 (+506% de résultat net) indiquent une amélioration potentielle. Les prédictions IA prévoient une légère baisse vers 1 976 FCFA d'ici J+10, confirmant le scénario de consolidation technique. La convergence entre la faiblesse des fondamentaux, la valorisation excessive et les signaux techniques mitigés conduit à une recommandation **CONSERVER** avec un niveau de confiance **Moyen** et un risque global **Élevé**. L'horizon d'investissement optimal serait le **moyen terme (3-12 mois)**, en attendant une confirmation de l'amélioration des résultats sur les prochains trimestres.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356.94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5,634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+12.60%</w:t>
            </w:r>
          </w:p>
          <w:p>
            <w:r>
              <w:rPr>
                <w:b/>
                <w:color w:val="503200"/>
                <w:sz w:val="16"/>
              </w:rPr>
              <w:t xml:space="preserve">Plus haut 100j : </w:t>
            </w:r>
            <w:r>
              <w:rPr>
                <w:color w:val="000000"/>
                <w:sz w:val="17"/>
              </w:rPr>
              <w:t>9,420 FCFA</w:t>
            </w:r>
          </w:p>
          <w:p>
            <w:r>
              <w:rPr>
                <w:b/>
                <w:color w:val="503200"/>
                <w:sz w:val="16"/>
              </w:rPr>
              <w:t xml:space="preserve">Plus bas 100j : </w:t>
            </w:r>
            <w:r>
              <w:rPr>
                <w:color w:val="000000"/>
                <w:sz w:val="17"/>
              </w:rPr>
              <w:t>7,295 FCFA</w:t>
            </w:r>
          </w:p>
          <w:p>
            <w:r>
              <w:rPr>
                <w:b/>
                <w:color w:val="503200"/>
                <w:sz w:val="16"/>
              </w:rPr>
              <w:t xml:space="preserve">Volatilité ann. : </w:t>
            </w:r>
            <w:r>
              <w:rPr>
                <w:color w:val="000000"/>
                <w:sz w:val="17"/>
              </w:rPr>
              <w:t>22.5%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6.69% (Moyenne) — μ=8,593 FCFA, σ=575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β=-0.2184 (Contre-cyclique) — Cov=-0.000007, Var(idx)=0.000031, ρ=-0.086,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5,634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σ_j=1.42%/j (Stable) — Vol. annualisée≈22.5%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8,423</w:t>
            </w:r>
          </w:p>
        </w:tc>
        <w:tc>
          <w:tcPr>
            <w:tcW w:type="dxa" w:w="1440"/>
            <w:shd w:fill="FFDCE0" w:val="clear"/>
          </w:tcPr>
          <w:p>
            <w:r>
              <w:rPr>
                <w:b/>
                <w:sz w:val="17"/>
              </w:rPr>
              <w:t>8,533</w:t>
            </w:r>
          </w:p>
        </w:tc>
        <w:tc>
          <w:tcPr>
            <w:tcW w:type="dxa" w:w="1440"/>
            <w:shd w:fill="FFDCE0" w:val="clear"/>
          </w:tcPr>
          <w:p>
            <w:r>
              <w:rPr>
                <w:sz w:val="17"/>
              </w:rPr>
              <w:t>8,643</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8,255</w:t>
            </w:r>
          </w:p>
        </w:tc>
        <w:tc>
          <w:tcPr>
            <w:tcW w:type="dxa" w:w="1440"/>
            <w:shd w:fill="FFDCE0" w:val="clear"/>
          </w:tcPr>
          <w:p>
            <w:r>
              <w:rPr>
                <w:b/>
                <w:sz w:val="17"/>
              </w:rPr>
              <w:t>8,408</w:t>
            </w:r>
          </w:p>
        </w:tc>
        <w:tc>
          <w:tcPr>
            <w:tcW w:type="dxa" w:w="1440"/>
            <w:shd w:fill="FFDCE0" w:val="clear"/>
          </w:tcPr>
          <w:p>
            <w:r>
              <w:rPr>
                <w:sz w:val="17"/>
              </w:rPr>
              <w:t>8,561</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8,103</w:t>
            </w:r>
          </w:p>
        </w:tc>
        <w:tc>
          <w:tcPr>
            <w:tcW w:type="dxa" w:w="1440"/>
            <w:shd w:fill="FFDCE0" w:val="clear"/>
          </w:tcPr>
          <w:p>
            <w:r>
              <w:rPr>
                <w:b/>
                <w:sz w:val="17"/>
              </w:rPr>
              <w:t>8,289</w:t>
            </w:r>
          </w:p>
        </w:tc>
        <w:tc>
          <w:tcPr>
            <w:tcW w:type="dxa" w:w="1440"/>
            <w:shd w:fill="FFDCE0" w:val="clear"/>
          </w:tcPr>
          <w:p>
            <w:r>
              <w:rPr>
                <w:sz w:val="17"/>
              </w:rPr>
              <w:t>8,474</w:t>
            </w:r>
          </w:p>
        </w:tc>
        <w:tc>
          <w:tcPr>
            <w:tcW w:type="dxa" w:w="1440"/>
            <w:shd w:fill="FFDCE0" w:val="clear"/>
          </w:tcPr>
          <w:p>
            <w:r>
              <w:rPr>
                <w:b/>
                <w:color w:val="C00000"/>
                <w:sz w:val="17"/>
              </w:rPr>
              <w:t>-5.8%</w:t>
            </w:r>
          </w:p>
        </w:tc>
      </w:tr>
      <w:tr>
        <w:tc>
          <w:tcPr>
            <w:tcW w:type="dxa" w:w="1440"/>
            <w:shd w:fill="FFDCE0" w:val="clear"/>
          </w:tcPr>
          <w:p>
            <w:r>
              <w:rPr>
                <w:sz w:val="17"/>
              </w:rPr>
              <w:t>J+4  Moyenne</w:t>
            </w:r>
          </w:p>
        </w:tc>
        <w:tc>
          <w:tcPr>
            <w:tcW w:type="dxa" w:w="1440"/>
            <w:shd w:fill="FFDCE0" w:val="clear"/>
          </w:tcPr>
          <w:p>
            <w:r>
              <w:rPr>
                <w:sz w:val="17"/>
              </w:rPr>
              <w:t>2026-08-21</w:t>
            </w:r>
          </w:p>
        </w:tc>
        <w:tc>
          <w:tcPr>
            <w:tcW w:type="dxa" w:w="1440"/>
            <w:shd w:fill="FFDCE0" w:val="clear"/>
          </w:tcPr>
          <w:p>
            <w:r>
              <w:rPr>
                <w:sz w:val="17"/>
              </w:rPr>
              <w:t>7,978</w:t>
            </w:r>
          </w:p>
        </w:tc>
        <w:tc>
          <w:tcPr>
            <w:tcW w:type="dxa" w:w="1440"/>
            <w:shd w:fill="FFDCE0" w:val="clear"/>
          </w:tcPr>
          <w:p>
            <w:r>
              <w:rPr>
                <w:b/>
                <w:sz w:val="17"/>
              </w:rPr>
              <w:t>8,189</w:t>
            </w:r>
          </w:p>
        </w:tc>
        <w:tc>
          <w:tcPr>
            <w:tcW w:type="dxa" w:w="1440"/>
            <w:shd w:fill="FFDCE0" w:val="clear"/>
          </w:tcPr>
          <w:p>
            <w:r>
              <w:rPr>
                <w:sz w:val="17"/>
              </w:rPr>
              <w:t>8,400</w:t>
            </w:r>
          </w:p>
        </w:tc>
        <w:tc>
          <w:tcPr>
            <w:tcW w:type="dxa" w:w="1440"/>
            <w:shd w:fill="FFDCE0" w:val="clear"/>
          </w:tcPr>
          <w:p>
            <w:r>
              <w:rPr>
                <w:b/>
                <w:color w:val="C00000"/>
                <w:sz w:val="17"/>
              </w:rPr>
              <w:t>-6.9%</w:t>
            </w:r>
          </w:p>
        </w:tc>
      </w:tr>
      <w:tr>
        <w:tc>
          <w:tcPr>
            <w:tcW w:type="dxa" w:w="1440"/>
            <w:shd w:fill="FFDCE0" w:val="clear"/>
          </w:tcPr>
          <w:p>
            <w:r>
              <w:rPr>
                <w:sz w:val="17"/>
              </w:rPr>
              <w:t>J+5  Moyenne</w:t>
            </w:r>
          </w:p>
        </w:tc>
        <w:tc>
          <w:tcPr>
            <w:tcW w:type="dxa" w:w="1440"/>
            <w:shd w:fill="FFDCE0" w:val="clear"/>
          </w:tcPr>
          <w:p>
            <w:r>
              <w:rPr>
                <w:sz w:val="17"/>
              </w:rPr>
              <w:t>2026-08-24</w:t>
            </w:r>
          </w:p>
        </w:tc>
        <w:tc>
          <w:tcPr>
            <w:tcW w:type="dxa" w:w="1440"/>
            <w:shd w:fill="FFDCE0" w:val="clear"/>
          </w:tcPr>
          <w:p>
            <w:r>
              <w:rPr>
                <w:sz w:val="17"/>
              </w:rPr>
              <w:t>7,867</w:t>
            </w:r>
          </w:p>
        </w:tc>
        <w:tc>
          <w:tcPr>
            <w:tcW w:type="dxa" w:w="1440"/>
            <w:shd w:fill="FFDCE0" w:val="clear"/>
          </w:tcPr>
          <w:p>
            <w:r>
              <w:rPr>
                <w:b/>
                <w:sz w:val="17"/>
              </w:rPr>
              <w:t>8,100</w:t>
            </w:r>
          </w:p>
        </w:tc>
        <w:tc>
          <w:tcPr>
            <w:tcW w:type="dxa" w:w="1440"/>
            <w:shd w:fill="FFDCE0" w:val="clear"/>
          </w:tcPr>
          <w:p>
            <w:r>
              <w:rPr>
                <w:sz w:val="17"/>
              </w:rPr>
              <w:t>8,334</w:t>
            </w:r>
          </w:p>
        </w:tc>
        <w:tc>
          <w:tcPr>
            <w:tcW w:type="dxa" w:w="1440"/>
            <w:shd w:fill="FFDCE0" w:val="clear"/>
          </w:tcPr>
          <w:p>
            <w:r>
              <w:rPr>
                <w:b/>
                <w:color w:val="C00000"/>
                <w:sz w:val="17"/>
              </w:rPr>
              <w:t>-8.0%</w:t>
            </w:r>
          </w:p>
        </w:tc>
      </w:tr>
      <w:tr>
        <w:tc>
          <w:tcPr>
            <w:tcW w:type="dxa" w:w="1440"/>
            <w:shd w:fill="FFDCE0" w:val="clear"/>
          </w:tcPr>
          <w:p>
            <w:r>
              <w:rPr>
                <w:sz w:val="17"/>
              </w:rPr>
              <w:t>J+6  Moyenne</w:t>
            </w:r>
          </w:p>
        </w:tc>
        <w:tc>
          <w:tcPr>
            <w:tcW w:type="dxa" w:w="1440"/>
            <w:shd w:fill="FFDCE0" w:val="clear"/>
          </w:tcPr>
          <w:p>
            <w:r>
              <w:rPr>
                <w:sz w:val="17"/>
              </w:rPr>
              <w:t>2026-08-25</w:t>
            </w:r>
          </w:p>
        </w:tc>
        <w:tc>
          <w:tcPr>
            <w:tcW w:type="dxa" w:w="1440"/>
            <w:shd w:fill="FFDCE0" w:val="clear"/>
          </w:tcPr>
          <w:p>
            <w:r>
              <w:rPr>
                <w:sz w:val="17"/>
              </w:rPr>
              <w:t>7,764</w:t>
            </w:r>
          </w:p>
        </w:tc>
        <w:tc>
          <w:tcPr>
            <w:tcW w:type="dxa" w:w="1440"/>
            <w:shd w:fill="FFDCE0" w:val="clear"/>
          </w:tcPr>
          <w:p>
            <w:r>
              <w:rPr>
                <w:b/>
                <w:sz w:val="17"/>
              </w:rPr>
              <w:t>8,018</w:t>
            </w:r>
          </w:p>
        </w:tc>
        <w:tc>
          <w:tcPr>
            <w:tcW w:type="dxa" w:w="1440"/>
            <w:shd w:fill="FFDCE0" w:val="clear"/>
          </w:tcPr>
          <w:p>
            <w:r>
              <w:rPr>
                <w:sz w:val="17"/>
              </w:rPr>
              <w:t>8,271</w:t>
            </w:r>
          </w:p>
        </w:tc>
        <w:tc>
          <w:tcPr>
            <w:tcW w:type="dxa" w:w="1440"/>
            <w:shd w:fill="FFDCE0" w:val="clear"/>
          </w:tcPr>
          <w:p>
            <w:r>
              <w:rPr>
                <w:b/>
                <w:color w:val="C00000"/>
                <w:sz w:val="17"/>
              </w:rPr>
              <w:t>-8.9%</w:t>
            </w:r>
          </w:p>
        </w:tc>
      </w:tr>
      <w:tr>
        <w:tc>
          <w:tcPr>
            <w:tcW w:type="dxa" w:w="1440"/>
            <w:shd w:fill="FFDCE0" w:val="clear"/>
          </w:tcPr>
          <w:p>
            <w:r>
              <w:rPr>
                <w:sz w:val="17"/>
              </w:rPr>
              <w:t>J+7  Moyenne</w:t>
            </w:r>
          </w:p>
        </w:tc>
        <w:tc>
          <w:tcPr>
            <w:tcW w:type="dxa" w:w="1440"/>
            <w:shd w:fill="FFDCE0" w:val="clear"/>
          </w:tcPr>
          <w:p>
            <w:r>
              <w:rPr>
                <w:sz w:val="17"/>
              </w:rPr>
              <w:t>2026-08-27</w:t>
            </w:r>
          </w:p>
        </w:tc>
        <w:tc>
          <w:tcPr>
            <w:tcW w:type="dxa" w:w="1440"/>
            <w:shd w:fill="FFDCE0" w:val="clear"/>
          </w:tcPr>
          <w:p>
            <w:r>
              <w:rPr>
                <w:sz w:val="17"/>
              </w:rPr>
              <w:t>7,669</w:t>
            </w:r>
          </w:p>
        </w:tc>
        <w:tc>
          <w:tcPr>
            <w:tcW w:type="dxa" w:w="1440"/>
            <w:shd w:fill="FFDCE0" w:val="clear"/>
          </w:tcPr>
          <w:p>
            <w:r>
              <w:rPr>
                <w:b/>
                <w:sz w:val="17"/>
              </w:rPr>
              <w:t>7,939</w:t>
            </w:r>
          </w:p>
        </w:tc>
        <w:tc>
          <w:tcPr>
            <w:tcW w:type="dxa" w:w="1440"/>
            <w:shd w:fill="FFDCE0" w:val="clear"/>
          </w:tcPr>
          <w:p>
            <w:r>
              <w:rPr>
                <w:sz w:val="17"/>
              </w:rPr>
              <w:t>8,210</w:t>
            </w:r>
          </w:p>
        </w:tc>
        <w:tc>
          <w:tcPr>
            <w:tcW w:type="dxa" w:w="1440"/>
            <w:shd w:fill="FFDCE0" w:val="clear"/>
          </w:tcPr>
          <w:p>
            <w:r>
              <w:rPr>
                <w:b/>
                <w:color w:val="C00000"/>
                <w:sz w:val="17"/>
              </w:rPr>
              <w:t>-9.8%</w:t>
            </w:r>
          </w:p>
        </w:tc>
      </w:tr>
      <w:tr>
        <w:tc>
          <w:tcPr>
            <w:tcW w:type="dxa" w:w="1440"/>
            <w:shd w:fill="FFDCE0" w:val="clear"/>
          </w:tcPr>
          <w:p>
            <w:r>
              <w:rPr>
                <w:sz w:val="17"/>
              </w:rPr>
              <w:t>J+8  Moyenne</w:t>
            </w:r>
          </w:p>
        </w:tc>
        <w:tc>
          <w:tcPr>
            <w:tcW w:type="dxa" w:w="1440"/>
            <w:shd w:fill="FFDCE0" w:val="clear"/>
          </w:tcPr>
          <w:p>
            <w:r>
              <w:rPr>
                <w:sz w:val="17"/>
              </w:rPr>
              <w:t>2026-08-28</w:t>
            </w:r>
          </w:p>
        </w:tc>
        <w:tc>
          <w:tcPr>
            <w:tcW w:type="dxa" w:w="1440"/>
            <w:shd w:fill="FFDCE0" w:val="clear"/>
          </w:tcPr>
          <w:p>
            <w:r>
              <w:rPr>
                <w:sz w:val="17"/>
              </w:rPr>
              <w:t>7,578</w:t>
            </w:r>
          </w:p>
        </w:tc>
        <w:tc>
          <w:tcPr>
            <w:tcW w:type="dxa" w:w="1440"/>
            <w:shd w:fill="FFDCE0" w:val="clear"/>
          </w:tcPr>
          <w:p>
            <w:r>
              <w:rPr>
                <w:b/>
                <w:sz w:val="17"/>
              </w:rPr>
              <w:t>7,865</w:t>
            </w:r>
          </w:p>
        </w:tc>
        <w:tc>
          <w:tcPr>
            <w:tcW w:type="dxa" w:w="1440"/>
            <w:shd w:fill="FFDCE0" w:val="clear"/>
          </w:tcPr>
          <w:p>
            <w:r>
              <w:rPr>
                <w:sz w:val="17"/>
              </w:rPr>
              <w:t>8,152</w:t>
            </w:r>
          </w:p>
        </w:tc>
        <w:tc>
          <w:tcPr>
            <w:tcW w:type="dxa" w:w="1440"/>
            <w:shd w:fill="FFDCE0" w:val="clear"/>
          </w:tcPr>
          <w:p>
            <w:r>
              <w:rPr>
                <w:b/>
                <w:color w:val="C00000"/>
                <w:sz w:val="17"/>
              </w:rPr>
              <w:t>-10.6%</w:t>
            </w:r>
          </w:p>
        </w:tc>
      </w:tr>
      <w:tr>
        <w:tc>
          <w:tcPr>
            <w:tcW w:type="dxa" w:w="1440"/>
            <w:shd w:fill="FFDCE0" w:val="clear"/>
          </w:tcPr>
          <w:p>
            <w:r>
              <w:rPr>
                <w:sz w:val="17"/>
              </w:rPr>
              <w:t>J+9  Moyenne</w:t>
            </w:r>
          </w:p>
        </w:tc>
        <w:tc>
          <w:tcPr>
            <w:tcW w:type="dxa" w:w="1440"/>
            <w:shd w:fill="FFDCE0" w:val="clear"/>
          </w:tcPr>
          <w:p>
            <w:r>
              <w:rPr>
                <w:sz w:val="17"/>
              </w:rPr>
              <w:t>2026-08-31</w:t>
            </w:r>
          </w:p>
        </w:tc>
        <w:tc>
          <w:tcPr>
            <w:tcW w:type="dxa" w:w="1440"/>
            <w:shd w:fill="FFDCE0" w:val="clear"/>
          </w:tcPr>
          <w:p>
            <w:r>
              <w:rPr>
                <w:sz w:val="17"/>
              </w:rPr>
              <w:t>7,493</w:t>
            </w:r>
          </w:p>
        </w:tc>
        <w:tc>
          <w:tcPr>
            <w:tcW w:type="dxa" w:w="1440"/>
            <w:shd w:fill="FFDCE0" w:val="clear"/>
          </w:tcPr>
          <w:p>
            <w:r>
              <w:rPr>
                <w:b/>
                <w:sz w:val="17"/>
              </w:rPr>
              <w:t>7,795</w:t>
            </w:r>
          </w:p>
        </w:tc>
        <w:tc>
          <w:tcPr>
            <w:tcW w:type="dxa" w:w="1440"/>
            <w:shd w:fill="FFDCE0" w:val="clear"/>
          </w:tcPr>
          <w:p>
            <w:r>
              <w:rPr>
                <w:sz w:val="17"/>
              </w:rPr>
              <w:t>8,096</w:t>
            </w:r>
          </w:p>
        </w:tc>
        <w:tc>
          <w:tcPr>
            <w:tcW w:type="dxa" w:w="1440"/>
            <w:shd w:fill="FFDCE0" w:val="clear"/>
          </w:tcPr>
          <w:p>
            <w:r>
              <w:rPr>
                <w:b/>
                <w:color w:val="C00000"/>
                <w:sz w:val="17"/>
              </w:rPr>
              <w:t>-11.4%</w:t>
            </w:r>
          </w:p>
        </w:tc>
      </w:tr>
      <w:tr>
        <w:tc>
          <w:tcPr>
            <w:tcW w:type="dxa" w:w="1440"/>
            <w:shd w:fill="FFDCE0" w:val="clear"/>
          </w:tcPr>
          <w:p>
            <w:r>
              <w:rPr>
                <w:sz w:val="17"/>
              </w:rPr>
              <w:t>J+10  Moyenne</w:t>
            </w:r>
          </w:p>
        </w:tc>
        <w:tc>
          <w:tcPr>
            <w:tcW w:type="dxa" w:w="1440"/>
            <w:shd w:fill="FFDCE0" w:val="clear"/>
          </w:tcPr>
          <w:p>
            <w:r>
              <w:rPr>
                <w:sz w:val="17"/>
              </w:rPr>
              <w:t>2026-09-01</w:t>
            </w:r>
          </w:p>
        </w:tc>
        <w:tc>
          <w:tcPr>
            <w:tcW w:type="dxa" w:w="1440"/>
            <w:shd w:fill="FFDCE0" w:val="clear"/>
          </w:tcPr>
          <w:p>
            <w:r>
              <w:rPr>
                <w:sz w:val="17"/>
              </w:rPr>
              <w:t>7,412</w:t>
            </w:r>
          </w:p>
        </w:tc>
        <w:tc>
          <w:tcPr>
            <w:tcW w:type="dxa" w:w="1440"/>
            <w:shd w:fill="FFDCE0" w:val="clear"/>
          </w:tcPr>
          <w:p>
            <w:r>
              <w:rPr>
                <w:b/>
                <w:sz w:val="17"/>
              </w:rPr>
              <w:t>7,728</w:t>
            </w:r>
          </w:p>
        </w:tc>
        <w:tc>
          <w:tcPr>
            <w:tcW w:type="dxa" w:w="1440"/>
            <w:shd w:fill="FFDCE0" w:val="clear"/>
          </w:tcPr>
          <w:p>
            <w:r>
              <w:rPr>
                <w:sz w:val="17"/>
              </w:rPr>
              <w:t>8,043</w:t>
            </w:r>
          </w:p>
        </w:tc>
        <w:tc>
          <w:tcPr>
            <w:tcW w:type="dxa" w:w="1440"/>
            <w:shd w:fill="FFDCE0" w:val="clear"/>
          </w:tcPr>
          <w:p>
            <w:r>
              <w:rPr>
                <w:b/>
                <w:color w:val="C00000"/>
                <w:sz w:val="17"/>
              </w:rPr>
              <w:t>-12.2%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356,94 milliards FCFA, ce qui en fait une valeur de première ligne sur la BRVM, représentant un poids significatif dans l'indice bancaire régional. Avec un BPA de 496 FCFA, chaque action génère un bénéfice confortable, justifiant un PER de 17,8x. Ce niveau est nettement supérieur à la moyenne historique de la BRVM (8-12x), indiquant que le marché valorise déjà une prime de croissance et de qualité pour cette banque. Le P/B de 3,04x confirme cette prime, le marché payant plus de trois fois la valeur comptable des actifs, ce qui est typique des valeurs bancaires jugées solides et rentables. Enfin, l'EV/EBITDA de 18,6x est exigeant, signifiant que la valeur totale de l'entreprise (capitalisation + dette nette) est élevée par rapport à sa capacité opérationnelle, ce qui laisse peu de marge d'erreur pour des déceptions futures.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totale de +12,60%, avec une dernière séance en hausse de +1,15% à 8 800 FCFA. Le titre a évolué dans une fourchette de 7 295 FCFA (plus bas) à 9 420 FCFA (plus haut), démontrant une amplitude de trading de près de 29%, ce qui traduit une volatilité intra-période notable. La moyenne du cours sur la période est de 8 593 FCFA, légèrement inférieure à la médiane de 8 732 FCFA, indiquant une asymétrie négative (skewness de -0,865) : les journées de forte hausse ont été moins fréquentes mais plus marquées que les baisses. L'écart-type de 578 FCFA (CV=6,7%) montre une dispersion modérée autour de la moyenne. Le kurtosis de -0,199 (mésokurtique) suggère une distribution proche de la normale, sans risque de pics extrêmes. La volatilité annualisée de 22,5% classe le titre dans une zone de risque modéré, cohérente avec une valeur bancaire de cette envergure.</w:t>
      </w:r>
    </w:p>
    <w:p>
      <w:pPr>
        <w:spacing w:after="120" w:line="276" w:lineRule="auto" w:before="240"/>
      </w:pPr>
      <w:r>
        <w:rPr>
          <w:b/>
          <w:color w:val="003366"/>
          <w:sz w:val="24"/>
        </w:rPr>
        <w:t>**PARTIE 2 : ANALYSE TECHNIQUE DÉTAILLÉE**</w:t>
      </w:r>
    </w:p>
    <w:p>
      <w:pPr>
        <w:spacing w:after="120" w:line="276" w:lineRule="auto"/>
      </w:pPr>
      <w:r>
        <w:t>**Moyennes Mobiles** : La MM20 (8 665,5 FCFA) est inférieure à la MM50 (8 794,6 FCFA), et le cours actuel (8 800 FCFA) se situe au-dessus de la MM20 mais sous la MM50. Cette configuration indique une tendance de court terme positive mais un momentum de moyen terme encore incertain. La décision de "Vente" est justifiée par le fait que le cours n'a pas encore franchi la MM50, signalant une résistance technique à ce niveau.</w:t>
      </w:r>
    </w:p>
    <w:p>
      <w:pPr>
        <w:spacing w:after="120" w:line="276" w:lineRule="auto"/>
      </w:pPr>
      <w:r>
        <w:t>**Bandes de Bollinger** : Le cours (8 800 FCFA) est très proche de la borne supérieure (8 798,7 FCFA), indiquant une pression acheteuse récente. La largeur des bandes (8532,3 à 8798,7) reflète une volatilité modérée. La décision de "Vente" s'explique par le fait que le titre touche la borne supérieure, ce qui statistiquement augmente la probabilité d'un repli technique à court terme.</w:t>
      </w:r>
    </w:p>
    <w:p>
      <w:pPr>
        <w:spacing w:after="120" w:line="276" w:lineRule="auto"/>
      </w:pPr>
      <w:r>
        <w:t>**MACD** : La valeur MACD (-26,9) est supérieure au signal (-47,7), avec les deux en territoire négatif. Cette configuration montre un momentum baissier qui se résorbe progressivement, avec un croisement haussier en formation. La décision "Achat" est justifiée par ce croisement potentiel, précurseur d'un retournement de tendance.</w:t>
      </w:r>
    </w:p>
    <w:p>
      <w:pPr>
        <w:spacing w:after="120" w:line="276" w:lineRule="auto"/>
      </w:pPr>
      <w:r>
        <w:t>**RSI** : Le RSI à 76,8 est en zone de surachat (&gt;70), signalant que le titre est techniquement surévalué à court terme. La décision "Vente" est cohérente avec cette lecture, car un RSI aussi élevé précède souvent une consolidation ou un repli.</w:t>
      </w:r>
    </w:p>
    <w:p>
      <w:pPr>
        <w:spacing w:after="120" w:line="276" w:lineRule="auto"/>
      </w:pPr>
      <w:r>
        <w:t>**Stochastique** : Le %K (100,0) et le %D (91,7) sont tous deux en zone de surachat extrême, avec %K au maximum. Cette configuration indique un épuisement potentiel de la dynamique haussière. La décision "Vente" est justifiée par le risque élevé de retournement.</w:t>
      </w:r>
    </w:p>
    <w:p>
      <w:pPr>
        <w:spacing w:after="120" w:line="276" w:lineRule="auto"/>
      </w:pPr>
      <w:r>
        <w:t>**Conclusion technique** : Les indicateurs sont majoritairement baissiers à court terme (MM, Bollinger, RSI, Stochastique), à l'exception du MACD qui montre un début de momentum haussier. Cette divergence suggère une phase de consolidation probable avant une reprise plus durable. Le titre est techniquement suracheté et pourrait corriger vers les 8 500-8 600 FCFA avant de poursuivre sa tendance de fond.</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BOAB révèlent une banque performante avec un PNB de 51,274 milliards FCFA et un résultat net de 20,107 milliards FCFA. La rentabilité est excellente avec un ROE de 17,11% et un ROA de 2,08%, témoignant d'une utilisation efficace des capitaux propres et des actifs. Le coefficient d'exploitation de 49,53% est remarquable, bien en dessous du seuil de 60% considéré comme efficace, démontrant une excellente maîtrise des charges. Le coût du risque de 22,50% (provisions/charges financières) est élevé, signalant une dégradation de la qualité du portefeuille de crédit, mais reste gérable. Le ratio dépôts/crédits est sain : 711,642 milliards de dépôts pour 391,724 milliards de créances, indiquant une transformation prudente. Les rapports trimestriels 2025 confirment cette dynamique : le T1 2025 montre un PNB de 11,081 milliards (+1,7%) mais un résultat net en baisse de 8,2% à 4,446 milliards, pénalisé par le coût du risque. Le S1 2025 affiche un PNB de 24,556 milliards (+5,91%) et un résultat net de 11,012 milliards (+0,75%). Le T3 2025 est plus encourageant avec un PNB de 37,065 milliards (+9%) et un résultat net de 15,880 milliards (+13%), suggérant une amélioration en fin d'année. Sur la base de ces tendances, on estime que l'exercice 2025 devrait clôturer avec un PNB autour de 51-52 milliards et un résultat net proche de 20 milliards, conforme aux données annuelles fournies. Le rapport T1 2026 (PNB +11% à 12,329 milliards, résultat net +1% à 4,502 milliards) confirme la poursuite de la croissance des revenus, mais avec une pression sur la rentabilité nette. La banque est fondamentalement solide, avec une autonomie financière de 12,18% (en dessous du seuil de 30% recommandé, mais typique des banques) et une solvabilité générale de 113,87%, indiquant une capacité à honorer ses dettes.</w:t>
      </w:r>
    </w:p>
    <w:p>
      <w:pPr>
        <w:spacing w:after="120" w:line="276" w:lineRule="auto" w:before="240"/>
      </w:pPr>
      <w:r>
        <w:rPr>
          <w:b/>
          <w:color w:val="003366"/>
          <w:sz w:val="24"/>
        </w:rPr>
        <w:t>**PARTIE 4 : CONCLUSION D'INVESTISSEMENT**</w:t>
      </w:r>
    </w:p>
    <w:p>
      <w:pPr>
        <w:spacing w:after="120" w:line="276" w:lineRule="auto"/>
      </w:pPr>
      <w:r>
        <w:t>La valorisation de BOAB (PER 17,8x, P/B 3,04x, EV/EBITDA 18,6x) est exigeante, le marché intégrant déjà une prime de qualité et de croissance. Le comportement du cours sur 100 jours (+12,6%) montre une tendance haussière solide, mais les statistiques (skewness négatif, volatilité de 22,5%) suggèrent des corrections possibles. Les signaux techniques sont majoritairement baissiers à court terme (RSI surachat, Stochastique extrême, prix sous MM50), indiquant un risque de consolidation. Les fondamentaux, eux, sont excellents : ROE de 17,11%, coefficient d'exploitation de 49,53%, et croissance du PNB soutenue (+10,2% en 2025), avec des perspectives positives pour 2026. Les prédictions IA (8 533 FCFA à J+1, puis baisse progressive à 8 100 FCFA à J+10) confirment l'anticipation d'un repli technique à court terme, en cohérence avec les signaux de surachat. La divergence entre la solidité fondamentale et les signaux techniques suggère une stratégie d'achat sur repli. **Recommandation finale : ACHAT** sur les niveaux de 8 100-8 300 FCFA, avec un niveau de confiance **Moyen** et un risque global **Moyen**. L'horizon d'investissement optimal est le **moyen terme (3-12 mois)**, permettant d'absorber la correction technique attendue et de bénéficier de la poursuite de la croissance des bénéfices.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321.20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5,948 titres</w:t>
            </w:r>
          </w:p>
        </w:tc>
        <w:tc>
          <w:tcPr>
            <w:tcW w:type="dxa" w:w="2268"/>
            <w:shd w:fill="FFF2CC" w:val="clear"/>
          </w:tcPr>
          <w:p>
            <w:r>
              <w:rPr>
                <w:b/>
                <w:color w:val="503200"/>
                <w:sz w:val="16"/>
              </w:rPr>
              <w:t xml:space="preserve">Cours actuel : </w:t>
            </w:r>
            <w:r>
              <w:rPr>
                <w:color w:val="000000"/>
                <w:sz w:val="17"/>
              </w:rPr>
              <w:t>7,300 FCFA</w:t>
            </w:r>
          </w:p>
          <w:p>
            <w:r>
              <w:rPr>
                <w:b/>
                <w:color w:val="503200"/>
                <w:sz w:val="16"/>
              </w:rPr>
              <w:t xml:space="preserve">Var. 100 jours : </w:t>
            </w:r>
            <w:r>
              <w:rPr>
                <w:b/>
                <w:color w:val="007800"/>
                <w:sz w:val="17"/>
              </w:rPr>
              <w:t>+35.19%</w:t>
            </w:r>
          </w:p>
          <w:p>
            <w:r>
              <w:rPr>
                <w:b/>
                <w:color w:val="503200"/>
                <w:sz w:val="16"/>
              </w:rPr>
              <w:t xml:space="preserve">Plus haut 100j : </w:t>
            </w:r>
            <w:r>
              <w:rPr>
                <w:color w:val="000000"/>
                <w:sz w:val="17"/>
              </w:rPr>
              <w:t>7,350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11.49% (Moyenne) — μ=5,945 FCFA, σ=683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β=0.2810 (Défensif) — Cov=0.000009, Var(idx)=0.000031, ρ=0.087,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5,948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6,844</w:t>
            </w:r>
          </w:p>
        </w:tc>
        <w:tc>
          <w:tcPr>
            <w:tcW w:type="dxa" w:w="1440"/>
            <w:shd w:fill="FFDCE0" w:val="clear"/>
          </w:tcPr>
          <w:p>
            <w:r>
              <w:rPr>
                <w:b/>
                <w:sz w:val="17"/>
              </w:rPr>
              <w:t>7,129</w:t>
            </w:r>
          </w:p>
        </w:tc>
        <w:tc>
          <w:tcPr>
            <w:tcW w:type="dxa" w:w="1440"/>
            <w:shd w:fill="FFDCE0" w:val="clear"/>
          </w:tcPr>
          <w:p>
            <w:r>
              <w:rPr>
                <w:sz w:val="17"/>
              </w:rPr>
              <w:t>7,414</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6,628</w:t>
            </w:r>
          </w:p>
        </w:tc>
        <w:tc>
          <w:tcPr>
            <w:tcW w:type="dxa" w:w="1440"/>
            <w:shd w:fill="FFDCE0" w:val="clear"/>
          </w:tcPr>
          <w:p>
            <w:r>
              <w:rPr>
                <w:b/>
                <w:sz w:val="17"/>
              </w:rPr>
              <w:t>7,025</w:t>
            </w:r>
          </w:p>
        </w:tc>
        <w:tc>
          <w:tcPr>
            <w:tcW w:type="dxa" w:w="1440"/>
            <w:shd w:fill="FFDCE0" w:val="clear"/>
          </w:tcPr>
          <w:p>
            <w:r>
              <w:rPr>
                <w:sz w:val="17"/>
              </w:rPr>
              <w:t>7,422</w:t>
            </w:r>
          </w:p>
        </w:tc>
        <w:tc>
          <w:tcPr>
            <w:tcW w:type="dxa" w:w="1440"/>
            <w:shd w:fill="FFDCE0" w:val="clear"/>
          </w:tcPr>
          <w:p>
            <w:r>
              <w:rPr>
                <w:b/>
                <w:color w:val="C00000"/>
                <w:sz w:val="17"/>
              </w:rPr>
              <w:t>-3.8%</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6,450</w:t>
            </w:r>
          </w:p>
        </w:tc>
        <w:tc>
          <w:tcPr>
            <w:tcW w:type="dxa" w:w="1440"/>
            <w:shd w:fill="FFDCE0" w:val="clear"/>
          </w:tcPr>
          <w:p>
            <w:r>
              <w:rPr>
                <w:b/>
                <w:sz w:val="17"/>
              </w:rPr>
              <w:t>6,930</w:t>
            </w:r>
          </w:p>
        </w:tc>
        <w:tc>
          <w:tcPr>
            <w:tcW w:type="dxa" w:w="1440"/>
            <w:shd w:fill="FFDCE0" w:val="clear"/>
          </w:tcPr>
          <w:p>
            <w:r>
              <w:rPr>
                <w:sz w:val="17"/>
              </w:rPr>
              <w:t>7,410</w:t>
            </w:r>
          </w:p>
        </w:tc>
        <w:tc>
          <w:tcPr>
            <w:tcW w:type="dxa" w:w="1440"/>
            <w:shd w:fill="FFDCE0" w:val="clear"/>
          </w:tcPr>
          <w:p>
            <w:r>
              <w:rPr>
                <w:b/>
                <w:color w:val="C00000"/>
                <w:sz w:val="17"/>
              </w:rPr>
              <w:t>-5.1%</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6,306</w:t>
            </w:r>
          </w:p>
        </w:tc>
        <w:tc>
          <w:tcPr>
            <w:tcW w:type="dxa" w:w="1440"/>
            <w:shd w:fill="FFDCE0" w:val="clear"/>
          </w:tcPr>
          <w:p>
            <w:r>
              <w:rPr>
                <w:b/>
                <w:sz w:val="17"/>
              </w:rPr>
              <w:t>6,854</w:t>
            </w:r>
          </w:p>
        </w:tc>
        <w:tc>
          <w:tcPr>
            <w:tcW w:type="dxa" w:w="1440"/>
            <w:shd w:fill="FFDCE0" w:val="clear"/>
          </w:tcPr>
          <w:p>
            <w:r>
              <w:rPr>
                <w:sz w:val="17"/>
              </w:rPr>
              <w:t>7,402</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6,182</w:t>
            </w:r>
          </w:p>
        </w:tc>
        <w:tc>
          <w:tcPr>
            <w:tcW w:type="dxa" w:w="1440"/>
            <w:shd w:fill="FFDCE0" w:val="clear"/>
          </w:tcPr>
          <w:p>
            <w:r>
              <w:rPr>
                <w:b/>
                <w:sz w:val="17"/>
              </w:rPr>
              <w:t>6,789</w:t>
            </w:r>
          </w:p>
        </w:tc>
        <w:tc>
          <w:tcPr>
            <w:tcW w:type="dxa" w:w="1440"/>
            <w:shd w:fill="FFDCE0" w:val="clear"/>
          </w:tcPr>
          <w:p>
            <w:r>
              <w:rPr>
                <w:sz w:val="17"/>
              </w:rPr>
              <w:t>7,396</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6,071</w:t>
            </w:r>
          </w:p>
        </w:tc>
        <w:tc>
          <w:tcPr>
            <w:tcW w:type="dxa" w:w="1440"/>
            <w:shd w:fill="FFDCE0" w:val="clear"/>
          </w:tcPr>
          <w:p>
            <w:r>
              <w:rPr>
                <w:b/>
                <w:sz w:val="17"/>
              </w:rPr>
              <w:t>6,731</w:t>
            </w:r>
          </w:p>
        </w:tc>
        <w:tc>
          <w:tcPr>
            <w:tcW w:type="dxa" w:w="1440"/>
            <w:shd w:fill="FFDCE0" w:val="clear"/>
          </w:tcPr>
          <w:p>
            <w:r>
              <w:rPr>
                <w:sz w:val="17"/>
              </w:rPr>
              <w:t>7,390</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5,969</w:t>
            </w:r>
          </w:p>
        </w:tc>
        <w:tc>
          <w:tcPr>
            <w:tcW w:type="dxa" w:w="1440"/>
            <w:shd w:fill="FFDCE0" w:val="clear"/>
          </w:tcPr>
          <w:p>
            <w:r>
              <w:rPr>
                <w:b/>
                <w:sz w:val="17"/>
              </w:rPr>
              <w:t>6,676</w:t>
            </w:r>
          </w:p>
        </w:tc>
        <w:tc>
          <w:tcPr>
            <w:tcW w:type="dxa" w:w="1440"/>
            <w:shd w:fill="FFDCE0" w:val="clear"/>
          </w:tcPr>
          <w:p>
            <w:r>
              <w:rPr>
                <w:sz w:val="17"/>
              </w:rPr>
              <w:t>7,382</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5,874</w:t>
            </w:r>
          </w:p>
        </w:tc>
        <w:tc>
          <w:tcPr>
            <w:tcW w:type="dxa" w:w="1440"/>
            <w:shd w:fill="FFDCE0" w:val="clear"/>
          </w:tcPr>
          <w:p>
            <w:r>
              <w:rPr>
                <w:b/>
                <w:sz w:val="17"/>
              </w:rPr>
              <w:t>6,623</w:t>
            </w:r>
          </w:p>
        </w:tc>
        <w:tc>
          <w:tcPr>
            <w:tcW w:type="dxa" w:w="1440"/>
            <w:shd w:fill="FFDCE0" w:val="clear"/>
          </w:tcPr>
          <w:p>
            <w:r>
              <w:rPr>
                <w:sz w:val="17"/>
              </w:rPr>
              <w:t>7,372</w:t>
            </w:r>
          </w:p>
        </w:tc>
        <w:tc>
          <w:tcPr>
            <w:tcW w:type="dxa" w:w="1440"/>
            <w:shd w:fill="FFDCE0" w:val="clear"/>
          </w:tcPr>
          <w:p>
            <w:r>
              <w:rPr>
                <w:b/>
                <w:color w:val="C00000"/>
                <w:sz w:val="17"/>
              </w:rPr>
              <w:t>-9.3%</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5,784</w:t>
            </w:r>
          </w:p>
        </w:tc>
        <w:tc>
          <w:tcPr>
            <w:tcW w:type="dxa" w:w="1440"/>
            <w:shd w:fill="FFDCE0" w:val="clear"/>
          </w:tcPr>
          <w:p>
            <w:r>
              <w:rPr>
                <w:b/>
                <w:sz w:val="17"/>
              </w:rPr>
              <w:t>6,573</w:t>
            </w:r>
          </w:p>
        </w:tc>
        <w:tc>
          <w:tcPr>
            <w:tcW w:type="dxa" w:w="1440"/>
            <w:shd w:fill="FFDCE0" w:val="clear"/>
          </w:tcPr>
          <w:p>
            <w:r>
              <w:rPr>
                <w:sz w:val="17"/>
              </w:rPr>
              <w:t>7,361</w:t>
            </w:r>
          </w:p>
        </w:tc>
        <w:tc>
          <w:tcPr>
            <w:tcW w:type="dxa" w:w="1440"/>
            <w:shd w:fill="FFDCE0" w:val="clear"/>
          </w:tcPr>
          <w:p>
            <w:r>
              <w:rPr>
                <w:b/>
                <w:color w:val="C00000"/>
                <w:sz w:val="17"/>
              </w:rPr>
              <w:t>-10.0%</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5,699</w:t>
            </w:r>
          </w:p>
        </w:tc>
        <w:tc>
          <w:tcPr>
            <w:tcW w:type="dxa" w:w="1440"/>
            <w:shd w:fill="FFDCE0" w:val="clear"/>
          </w:tcPr>
          <w:p>
            <w:r>
              <w:rPr>
                <w:b/>
                <w:sz w:val="17"/>
              </w:rPr>
              <w:t>6,524</w:t>
            </w:r>
          </w:p>
        </w:tc>
        <w:tc>
          <w:tcPr>
            <w:tcW w:type="dxa" w:w="1440"/>
            <w:shd w:fill="FFDCE0" w:val="clear"/>
          </w:tcPr>
          <w:p>
            <w:r>
              <w:rPr>
                <w:sz w:val="17"/>
              </w:rPr>
              <w:t>7,349</w:t>
            </w:r>
          </w:p>
        </w:tc>
        <w:tc>
          <w:tcPr>
            <w:tcW w:type="dxa" w:w="1440"/>
            <w:shd w:fill="FFDCE0" w:val="clear"/>
          </w:tcPr>
          <w:p>
            <w:r>
              <w:rPr>
                <w:b/>
                <w:color w:val="C00000"/>
                <w:sz w:val="17"/>
              </w:rPr>
              <w:t>-10.6%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BOABF s'établit à 321,20 milliards FCFA, ce qui en fait une valeur de première importance sur la BRVM, reflétant la confiance des investisseurs dans l'une des principales banques de l'UEMOA. Avec un BPA de 438 FCFA, chaque action génère un bénéfice substantiel, justifiant un PER de 16,7x. Ce ratio est nettement supérieur à la moyenne historique de la BRVM (8-12x), indiquant que le marché valorise généreusement la banque, probablement en anticipation d'une croissance future ou d'une prime de liquidité. Le P/B de 2,54x confirme cette prime, le marché valorisant la société à plus de 2,5 fois ses capitaux propres, ce qui est typique pour une entreprise à forte croissance ou à forte rentabilité attendue. Enfin, l'EV/EBITDA de 7,1x, dans la fourchette raisonnable de 5-10x, suggère que la valorisation globale de l'entreprise par rapport à sa capacité opérationnelle reste mesurée, malgré les ratios précédents plus élevés.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BOABF a connu une progression spectaculaire de +35,19%, avec une dernière séance en hausse de +2,82% à 7 300 FCFA, démontrant un momentum haussier très fort. Le cours a évolué dans une fourchette large de 5 235 FCFA (plus bas) à 7 350 FCFA (plus haut), soit une amplitude de plus de 40%, indiquant une volatilité et un intérêt marqués pour le titre. La moyenne du cours sur la période est de 5 945 FCFA, tandis que la médiane est de 5 600 FCFA ; cet écart significatif (moyenne &gt; médiane) confirme une distribution asymétrique positive (skewness de 1,098), signifiant que le titre a passé plus de temps sous sa moyenne, mais a connu de fortes poussées haussières récentes. L'écart-type de 687 FCFA (CV de 11,5%) montre une dispersion modérée des prix autour de la moyenne. Le kurtosis de -0,521 (mésokurtique) indique une distribution proche de la normale, sans risque de variations extrêmes plus élevé que la normale. La volatilité annualisée de 28,6% classe le titre dans la catégorie "modérée à élevée", ce qui est cohérent avec la forte tendance haussière observée.</w:t>
      </w:r>
    </w:p>
    <w:p>
      <w:pPr>
        <w:spacing w:after="120" w:line="276" w:lineRule="auto" w:before="240"/>
      </w:pPr>
      <w:r>
        <w:rPr>
          <w:b/>
          <w:color w:val="003366"/>
          <w:sz w:val="24"/>
        </w:rPr>
        <w:t>**PARTIE 2 : ANALYSE TECHNIQUE DÉTAILLÉE**</w:t>
      </w:r>
    </w:p>
    <w:p>
      <w:pPr>
        <w:spacing w:after="120" w:line="276" w:lineRule="auto"/>
      </w:pPr>
      <w:r>
        <w:t>**Moyennes Mobiles**: La MM20 à 7 155 FCFA et la MM50 à 6 380 FCFA sont toutes deux inférieures au cours actuel de 7 300 FCFA, avec une MM20 nettement au-dessus de la MM50. Cette configuration en "courbe ascendante" est un signal haussier classique, confirmant la tendance de fond positive. La décision d'achat est justifiée par la position du prix au-dessus de ces moyennes, indiquant que la tendance de court et moyen terme est résolument haussière.</w:t>
      </w:r>
    </w:p>
    <w:p>
      <w:pPr>
        <w:spacing w:after="120" w:line="276" w:lineRule="auto"/>
      </w:pPr>
      <w:r>
        <w:t>**Bandes de Bollinger**: Le cours à 7 300 FCFA se situe près de la borne supérieure (7 374,59 FCFA), ce qui indique que le titre est dans la partie haute de son canal de volatilité. Cette position suggère une pression acheteuse soutenue, mais aussi que le titre pourrait être temporairement suracheté à très court terme. La décision "Neutre" est prudente, car un retour vers la moyenne (borne inférieure à 6 935 FCFA) est possible en cas de consolidation.</w:t>
      </w:r>
    </w:p>
    <w:p>
      <w:pPr>
        <w:spacing w:after="120" w:line="276" w:lineRule="auto"/>
      </w:pPr>
      <w:r>
        <w:t>**MACD**: La valeur du MACD (221,709) est positive mais inférieure à son signal (271,448), ce qui crée une divergence baissière à court terme. Bien que le momentum reste positif, ce croisement indique un ralentissement de la dynamique haussière. La décision de "Vente" est un signal précoce de possible correction ou de consolidation, à surveiller de près.</w:t>
      </w:r>
    </w:p>
    <w:p>
      <w:pPr>
        <w:spacing w:after="120" w:line="276" w:lineRule="auto"/>
      </w:pPr>
      <w:r>
        <w:t>**RSI**: Le RSI à 70,202 est en zone de surachat (au-delà de 70), ce qui signale que le titre a été fortement acheté et pourrait être vulnérable à un repli technique. La décision de "Vente" est cohérente avec cette lecture, suggérant que les acheteurs pourraient être épuisés à court terme.</w:t>
      </w:r>
    </w:p>
    <w:p>
      <w:pPr>
        <w:spacing w:after="120" w:line="276" w:lineRule="auto"/>
      </w:pPr>
      <w:r>
        <w:t>**Stochastique**: Le %K à 80,0 est élevé et nettement au-dessus du %D à 56,296, indiquant une forte dynamique haussière. Cependant, le %K en zone de surachat (&gt;80) suggère que le mouvement pourrait être proche de son terme. La décision "Neutre" est justifiée par ce croisement haussier mais en territoire de surachat.</w:t>
      </w:r>
    </w:p>
    <w:p>
      <w:pPr>
        <w:spacing w:after="120" w:line="276" w:lineRule="auto"/>
      </w:pPr>
      <w:r>
        <w:t>**Conclusion technique**: La tendance de fond est clairement haussière, confirmée par les moyennes mobiles et le stochastique. Cependant, les indicateurs de momentum (RSI, MACD) signalent une possible fatigue à court terme, avec un titre en zone de surachat. Le scénario le plus probable est une poursuite de la tendance après une phase de consolidation ou de léger repli.</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BOABF révèlent une banque de taille significative avec un total de bilan de 1 148,675 milliards FCFA et un Produit Net Bancaire (PNB) de 57,820 milliards FCFA. Le résultat net de l'exercice s'établit à 19,252 milliards FCFA, portant la marge nette à 33,3% et le ROE à un niveau excellent de 15,22%, tandis que le ROA ressort à 1,68%. La banque démontre une excellente efficacité opérationnelle avec un coefficient d'exploitation de 47,19%, bien en dessous du seuil de 60% considéré comme sain. Cependant, le coût du risque, représentant 33,9% des charges financières, est élevé, signalant une dégradation de la qualité du portefeuille de crédits. Les dépôts clientèle (877,822 milliards FCFA) financent largement les crédits à la clientèle (474,064 milliards FCFA), indiquant une transformation saine. Les rapports trimestriels de 2025 confirment une tendance préoccupante : le T1 2025 (PNB +2,3%, RN -16,6%), le S1 2025 (PNB +1,4%, RN -46,5%) et le 9M 2025 (PNB +0,85%, RN -27,7%) montrent une stagnation de l'activité et une chute de la rentabilité due à une explosion du coût du risque. Le rapport du T1 2026 (PNB -10,75%, RN -13%) indique une poursuite de la dégradation. On estime que l'exercice 2026 pourrait voir un PNB en léger recul et un résultat net sous pression, malgré une collecte de dépôts dynamique.</w:t>
      </w:r>
    </w:p>
    <w:p>
      <w:pPr>
        <w:spacing w:after="120" w:line="276" w:lineRule="auto" w:before="240"/>
      </w:pPr>
      <w:r>
        <w:rPr>
          <w:b/>
          <w:color w:val="003366"/>
          <w:sz w:val="24"/>
        </w:rPr>
        <w:t>**PARTIE 4 : CONCLUSION D'INVESTISSEMENT**</w:t>
      </w:r>
    </w:p>
    <w:p>
      <w:pPr>
        <w:spacing w:after="120" w:line="276" w:lineRule="auto"/>
      </w:pPr>
      <w:r>
        <w:t>La valorisation de BOABF (PER 16,7x, P/B 2,54x) est exigeante, reflétant une prime de croissance qui semble difficile à justifier au vu des fondamentaux récents. Le comportement du cours, avec une hausse de +35% et une volatilité de 28,6%, montre un fort enthousiasme du marché, mais les statistiques (skewness positif) suggèrent que cette hausse est récente et potentiellement fragile. Les signaux techniques sont mitigés : la tendance de fond (MM) est haussière, mais les indicateurs de momentum (RSI, MACD) sont en zone de surachat, signalant un risque de correction. Les fondamentaux sont sous pression, avec une rentabilité en chute libre (-46,5% au S1 2025) due à un coût du risque élevé, et une activité atone. Les prédictions IA pour les 10 prochains jours (baisse de 7 300 à 6 789 FCFA) confirment ce scénario de correction technique. En synthèse, la convergence des signaux techniques de court terme et des fondamentaux dégradés, malgré une tendance de fond positive, suggère une prudence. **Recommandation : CONSERVER**. Le niveau de confiance est **Moyen** et le risque global est **Élevé**. L'horizon d'investissement optimal serait le **moyen terme (3-12 mois)**, en attendant une stabilisation du coût du risque et une confirmation du redressement de la rentabilité avant d'envisager un renforcement de la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536.00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13,990 titres</w:t>
            </w:r>
          </w:p>
        </w:tc>
        <w:tc>
          <w:tcPr>
            <w:tcW w:type="dxa" w:w="2268"/>
            <w:shd w:fill="FFF2CC" w:val="clear"/>
          </w:tcPr>
          <w:p>
            <w:r>
              <w:rPr>
                <w:b/>
                <w:color w:val="503200"/>
                <w:sz w:val="16"/>
              </w:rPr>
              <w:t xml:space="preserve">Cours actuel : </w:t>
            </w:r>
            <w:r>
              <w:rPr>
                <w:color w:val="000000"/>
                <w:sz w:val="17"/>
              </w:rPr>
              <w:t>13,400 FCFA</w:t>
            </w:r>
          </w:p>
          <w:p>
            <w:r>
              <w:rPr>
                <w:b/>
                <w:color w:val="503200"/>
                <w:sz w:val="16"/>
              </w:rPr>
              <w:t xml:space="preserve">Var. 100 jours : </w:t>
            </w:r>
            <w:r>
              <w:rPr>
                <w:b/>
                <w:color w:val="007800"/>
                <w:sz w:val="17"/>
              </w:rPr>
              <w:t>+52.45%</w:t>
            </w:r>
          </w:p>
          <w:p>
            <w:r>
              <w:rPr>
                <w:b/>
                <w:color w:val="503200"/>
                <w:sz w:val="16"/>
              </w:rPr>
              <w:t xml:space="preserve">Plus haut 100j : </w:t>
            </w:r>
            <w:r>
              <w:rPr>
                <w:color w:val="000000"/>
                <w:sz w:val="17"/>
              </w:rPr>
              <w:t>13,400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17.1/100 → Faible</w:t>
      </w:r>
    </w:p>
    <w:p>
      <w:pPr>
        <w:spacing w:before="40" w:after="80"/>
      </w:pPr>
      <w:r>
        <w:rPr>
          <w:rFonts w:ascii="Courier New" w:hAnsi="Courier New"/>
          <w:color w:val="006400"/>
          <w:sz w:val="18"/>
        </w:rPr>
        <w:t>███░░░░░░░░░░░░░░░░░  17.1/100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11.75% (Moyenne) — μ=9,365 FCFA, σ=1,101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β=0.5782 (Défensif) — Cov=0.000018, Var(idx)=0.000031, ρ=0.179,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13,990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12,171</w:t>
            </w:r>
          </w:p>
        </w:tc>
        <w:tc>
          <w:tcPr>
            <w:tcW w:type="dxa" w:w="1440"/>
            <w:shd w:fill="FFDCE0" w:val="clear"/>
          </w:tcPr>
          <w:p>
            <w:r>
              <w:rPr>
                <w:b/>
                <w:sz w:val="17"/>
              </w:rPr>
              <w:t>12,570</w:t>
            </w:r>
          </w:p>
        </w:tc>
        <w:tc>
          <w:tcPr>
            <w:tcW w:type="dxa" w:w="1440"/>
            <w:shd w:fill="FFDCE0" w:val="clear"/>
          </w:tcPr>
          <w:p>
            <w:r>
              <w:rPr>
                <w:sz w:val="17"/>
              </w:rPr>
              <w:t>12,968</w:t>
            </w:r>
          </w:p>
        </w:tc>
        <w:tc>
          <w:tcPr>
            <w:tcW w:type="dxa" w:w="1440"/>
            <w:shd w:fill="FFDCE0" w:val="clear"/>
          </w:tcPr>
          <w:p>
            <w:r>
              <w:rPr>
                <w:b/>
                <w:color w:val="C00000"/>
                <w:sz w:val="17"/>
              </w:rPr>
              <w:t>-6.2%</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11,486</w:t>
            </w:r>
          </w:p>
        </w:tc>
        <w:tc>
          <w:tcPr>
            <w:tcW w:type="dxa" w:w="1440"/>
            <w:shd w:fill="FFDCE0" w:val="clear"/>
          </w:tcPr>
          <w:p>
            <w:r>
              <w:rPr>
                <w:b/>
                <w:sz w:val="17"/>
              </w:rPr>
              <w:t>12,025</w:t>
            </w:r>
          </w:p>
        </w:tc>
        <w:tc>
          <w:tcPr>
            <w:tcW w:type="dxa" w:w="1440"/>
            <w:shd w:fill="FFDCE0" w:val="clear"/>
          </w:tcPr>
          <w:p>
            <w:r>
              <w:rPr>
                <w:sz w:val="17"/>
              </w:rPr>
              <w:t>12,564</w:t>
            </w:r>
          </w:p>
        </w:tc>
        <w:tc>
          <w:tcPr>
            <w:tcW w:type="dxa" w:w="1440"/>
            <w:shd w:fill="FFDCE0" w:val="clear"/>
          </w:tcPr>
          <w:p>
            <w:r>
              <w:rPr>
                <w:b/>
                <w:color w:val="C00000"/>
                <w:sz w:val="17"/>
              </w:rPr>
              <w:t>-10.3%</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10,799</w:t>
            </w:r>
          </w:p>
        </w:tc>
        <w:tc>
          <w:tcPr>
            <w:tcW w:type="dxa" w:w="1440"/>
            <w:shd w:fill="FFDCE0" w:val="clear"/>
          </w:tcPr>
          <w:p>
            <w:r>
              <w:rPr>
                <w:b/>
                <w:sz w:val="17"/>
              </w:rPr>
              <w:t>11,426</w:t>
            </w:r>
          </w:p>
        </w:tc>
        <w:tc>
          <w:tcPr>
            <w:tcW w:type="dxa" w:w="1440"/>
            <w:shd w:fill="FFDCE0" w:val="clear"/>
          </w:tcPr>
          <w:p>
            <w:r>
              <w:rPr>
                <w:sz w:val="17"/>
              </w:rPr>
              <w:t>12,053</w:t>
            </w:r>
          </w:p>
        </w:tc>
        <w:tc>
          <w:tcPr>
            <w:tcW w:type="dxa" w:w="1440"/>
            <w:shd w:fill="FFDCE0" w:val="clear"/>
          </w:tcPr>
          <w:p>
            <w:r>
              <w:rPr>
                <w:b/>
                <w:color w:val="C00000"/>
                <w:sz w:val="17"/>
              </w:rPr>
              <w:t>-14.7%</w:t>
            </w:r>
          </w:p>
        </w:tc>
      </w:tr>
      <w:tr>
        <w:tc>
          <w:tcPr>
            <w:tcW w:type="dxa" w:w="1440"/>
            <w:shd w:fill="FFDCE0" w:val="clear"/>
          </w:tcPr>
          <w:p>
            <w:r>
              <w:rPr>
                <w:sz w:val="17"/>
              </w:rPr>
              <w:t>J+4  Moyenne</w:t>
            </w:r>
          </w:p>
        </w:tc>
        <w:tc>
          <w:tcPr>
            <w:tcW w:type="dxa" w:w="1440"/>
            <w:shd w:fill="FFDCE0" w:val="clear"/>
          </w:tcPr>
          <w:p>
            <w:r>
              <w:rPr>
                <w:sz w:val="17"/>
              </w:rPr>
              <w:t>2026-08-21</w:t>
            </w:r>
          </w:p>
        </w:tc>
        <w:tc>
          <w:tcPr>
            <w:tcW w:type="dxa" w:w="1440"/>
            <w:shd w:fill="FFDCE0" w:val="clear"/>
          </w:tcPr>
          <w:p>
            <w:r>
              <w:rPr>
                <w:sz w:val="17"/>
              </w:rPr>
              <w:t>10,207</w:t>
            </w:r>
          </w:p>
        </w:tc>
        <w:tc>
          <w:tcPr>
            <w:tcW w:type="dxa" w:w="1440"/>
            <w:shd w:fill="FFDCE0" w:val="clear"/>
          </w:tcPr>
          <w:p>
            <w:r>
              <w:rPr>
                <w:b/>
                <w:sz w:val="17"/>
              </w:rPr>
              <w:t>10,898</w:t>
            </w:r>
          </w:p>
        </w:tc>
        <w:tc>
          <w:tcPr>
            <w:tcW w:type="dxa" w:w="1440"/>
            <w:shd w:fill="FFDCE0" w:val="clear"/>
          </w:tcPr>
          <w:p>
            <w:r>
              <w:rPr>
                <w:sz w:val="17"/>
              </w:rPr>
              <w:t>11,589</w:t>
            </w:r>
          </w:p>
        </w:tc>
        <w:tc>
          <w:tcPr>
            <w:tcW w:type="dxa" w:w="1440"/>
            <w:shd w:fill="FFDCE0" w:val="clear"/>
          </w:tcPr>
          <w:p>
            <w:r>
              <w:rPr>
                <w:b/>
                <w:color w:val="C00000"/>
                <w:sz w:val="17"/>
              </w:rPr>
              <w:t>-18.7%</w:t>
            </w:r>
          </w:p>
        </w:tc>
      </w:tr>
      <w:tr>
        <w:tc>
          <w:tcPr>
            <w:tcW w:type="dxa" w:w="1440"/>
            <w:shd w:fill="FFDCE0" w:val="clear"/>
          </w:tcPr>
          <w:p>
            <w:r>
              <w:rPr>
                <w:sz w:val="17"/>
              </w:rPr>
              <w:t>J+5  Moyenne</w:t>
            </w:r>
          </w:p>
        </w:tc>
        <w:tc>
          <w:tcPr>
            <w:tcW w:type="dxa" w:w="1440"/>
            <w:shd w:fill="FFDCE0" w:val="clear"/>
          </w:tcPr>
          <w:p>
            <w:r>
              <w:rPr>
                <w:sz w:val="17"/>
              </w:rPr>
              <w:t>2026-08-24</w:t>
            </w:r>
          </w:p>
        </w:tc>
        <w:tc>
          <w:tcPr>
            <w:tcW w:type="dxa" w:w="1440"/>
            <w:shd w:fill="FFDCE0" w:val="clear"/>
          </w:tcPr>
          <w:p>
            <w:r>
              <w:rPr>
                <w:sz w:val="17"/>
              </w:rPr>
              <w:t>9,705</w:t>
            </w:r>
          </w:p>
        </w:tc>
        <w:tc>
          <w:tcPr>
            <w:tcW w:type="dxa" w:w="1440"/>
            <w:shd w:fill="FFDCE0" w:val="clear"/>
          </w:tcPr>
          <w:p>
            <w:r>
              <w:rPr>
                <w:b/>
                <w:sz w:val="17"/>
              </w:rPr>
              <w:t>10,445</w:t>
            </w:r>
          </w:p>
        </w:tc>
        <w:tc>
          <w:tcPr>
            <w:tcW w:type="dxa" w:w="1440"/>
            <w:shd w:fill="FFDCE0" w:val="clear"/>
          </w:tcPr>
          <w:p>
            <w:r>
              <w:rPr>
                <w:sz w:val="17"/>
              </w:rPr>
              <w:t>11,185</w:t>
            </w:r>
          </w:p>
        </w:tc>
        <w:tc>
          <w:tcPr>
            <w:tcW w:type="dxa" w:w="1440"/>
            <w:shd w:fill="FFDCE0" w:val="clear"/>
          </w:tcPr>
          <w:p>
            <w:r>
              <w:rPr>
                <w:b/>
                <w:color w:val="C00000"/>
                <w:sz w:val="17"/>
              </w:rPr>
              <w:t>-22.0%</w:t>
            </w:r>
          </w:p>
        </w:tc>
      </w:tr>
      <w:tr>
        <w:tc>
          <w:tcPr>
            <w:tcW w:type="dxa" w:w="1440"/>
            <w:shd w:fill="FFDCE0" w:val="clear"/>
          </w:tcPr>
          <w:p>
            <w:r>
              <w:rPr>
                <w:sz w:val="17"/>
              </w:rPr>
              <w:t>J+6  Moyenne</w:t>
            </w:r>
          </w:p>
        </w:tc>
        <w:tc>
          <w:tcPr>
            <w:tcW w:type="dxa" w:w="1440"/>
            <w:shd w:fill="FFDCE0" w:val="clear"/>
          </w:tcPr>
          <w:p>
            <w:r>
              <w:rPr>
                <w:sz w:val="17"/>
              </w:rPr>
              <w:t>2026-08-25</w:t>
            </w:r>
          </w:p>
        </w:tc>
        <w:tc>
          <w:tcPr>
            <w:tcW w:type="dxa" w:w="1440"/>
            <w:shd w:fill="FFDCE0" w:val="clear"/>
          </w:tcPr>
          <w:p>
            <w:r>
              <w:rPr>
                <w:sz w:val="17"/>
              </w:rPr>
              <w:t>9,278</w:t>
            </w:r>
          </w:p>
        </w:tc>
        <w:tc>
          <w:tcPr>
            <w:tcW w:type="dxa" w:w="1440"/>
            <w:shd w:fill="FFDCE0" w:val="clear"/>
          </w:tcPr>
          <w:p>
            <w:r>
              <w:rPr>
                <w:b/>
                <w:sz w:val="17"/>
              </w:rPr>
              <w:t>10,059</w:t>
            </w:r>
          </w:p>
        </w:tc>
        <w:tc>
          <w:tcPr>
            <w:tcW w:type="dxa" w:w="1440"/>
            <w:shd w:fill="FFDCE0" w:val="clear"/>
          </w:tcPr>
          <w:p>
            <w:r>
              <w:rPr>
                <w:sz w:val="17"/>
              </w:rPr>
              <w:t>10,840</w:t>
            </w:r>
          </w:p>
        </w:tc>
        <w:tc>
          <w:tcPr>
            <w:tcW w:type="dxa" w:w="1440"/>
            <w:shd w:fill="FFDCE0" w:val="clear"/>
          </w:tcPr>
          <w:p>
            <w:r>
              <w:rPr>
                <w:b/>
                <w:color w:val="C00000"/>
                <w:sz w:val="17"/>
              </w:rPr>
              <w:t>-24.9%</w:t>
            </w:r>
          </w:p>
        </w:tc>
      </w:tr>
      <w:tr>
        <w:tc>
          <w:tcPr>
            <w:tcW w:type="dxa" w:w="1440"/>
            <w:shd w:fill="FFDCE0" w:val="clear"/>
          </w:tcPr>
          <w:p>
            <w:r>
              <w:rPr>
                <w:sz w:val="17"/>
              </w:rPr>
              <w:t>J+7  Moyenne</w:t>
            </w:r>
          </w:p>
        </w:tc>
        <w:tc>
          <w:tcPr>
            <w:tcW w:type="dxa" w:w="1440"/>
            <w:shd w:fill="FFDCE0" w:val="clear"/>
          </w:tcPr>
          <w:p>
            <w:r>
              <w:rPr>
                <w:sz w:val="17"/>
              </w:rPr>
              <w:t>2026-08-27</w:t>
            </w:r>
          </w:p>
        </w:tc>
        <w:tc>
          <w:tcPr>
            <w:tcW w:type="dxa" w:w="1440"/>
            <w:shd w:fill="FFDCE0" w:val="clear"/>
          </w:tcPr>
          <w:p>
            <w:r>
              <w:rPr>
                <w:sz w:val="17"/>
              </w:rPr>
              <w:t>8,912</w:t>
            </w:r>
          </w:p>
        </w:tc>
        <w:tc>
          <w:tcPr>
            <w:tcW w:type="dxa" w:w="1440"/>
            <w:shd w:fill="FFDCE0" w:val="clear"/>
          </w:tcPr>
          <w:p>
            <w:r>
              <w:rPr>
                <w:b/>
                <w:sz w:val="17"/>
              </w:rPr>
              <w:t>9,727</w:t>
            </w:r>
          </w:p>
        </w:tc>
        <w:tc>
          <w:tcPr>
            <w:tcW w:type="dxa" w:w="1440"/>
            <w:shd w:fill="FFDCE0" w:val="clear"/>
          </w:tcPr>
          <w:p>
            <w:r>
              <w:rPr>
                <w:sz w:val="17"/>
              </w:rPr>
              <w:t>10,543</w:t>
            </w:r>
          </w:p>
        </w:tc>
        <w:tc>
          <w:tcPr>
            <w:tcW w:type="dxa" w:w="1440"/>
            <w:shd w:fill="FFDCE0" w:val="clear"/>
          </w:tcPr>
          <w:p>
            <w:r>
              <w:rPr>
                <w:b/>
                <w:color w:val="C00000"/>
                <w:sz w:val="17"/>
              </w:rPr>
              <w:t>-27.4%</w:t>
            </w:r>
          </w:p>
        </w:tc>
      </w:tr>
      <w:tr>
        <w:tc>
          <w:tcPr>
            <w:tcW w:type="dxa" w:w="1440"/>
            <w:shd w:fill="FFDCE0" w:val="clear"/>
          </w:tcPr>
          <w:p>
            <w:r>
              <w:rPr>
                <w:sz w:val="17"/>
              </w:rPr>
              <w:t>J+8  Moyenne</w:t>
            </w:r>
          </w:p>
        </w:tc>
        <w:tc>
          <w:tcPr>
            <w:tcW w:type="dxa" w:w="1440"/>
            <w:shd w:fill="FFDCE0" w:val="clear"/>
          </w:tcPr>
          <w:p>
            <w:r>
              <w:rPr>
                <w:sz w:val="17"/>
              </w:rPr>
              <w:t>2026-08-28</w:t>
            </w:r>
          </w:p>
        </w:tc>
        <w:tc>
          <w:tcPr>
            <w:tcW w:type="dxa" w:w="1440"/>
            <w:shd w:fill="FFDCE0" w:val="clear"/>
          </w:tcPr>
          <w:p>
            <w:r>
              <w:rPr>
                <w:sz w:val="17"/>
              </w:rPr>
              <w:t>8,594</w:t>
            </w:r>
          </w:p>
        </w:tc>
        <w:tc>
          <w:tcPr>
            <w:tcW w:type="dxa" w:w="1440"/>
            <w:shd w:fill="FFDCE0" w:val="clear"/>
          </w:tcPr>
          <w:p>
            <w:r>
              <w:rPr>
                <w:b/>
                <w:sz w:val="17"/>
              </w:rPr>
              <w:t>9,440</w:t>
            </w:r>
          </w:p>
        </w:tc>
        <w:tc>
          <w:tcPr>
            <w:tcW w:type="dxa" w:w="1440"/>
            <w:shd w:fill="FFDCE0" w:val="clear"/>
          </w:tcPr>
          <w:p>
            <w:r>
              <w:rPr>
                <w:sz w:val="17"/>
              </w:rPr>
              <w:t>10,287</w:t>
            </w:r>
          </w:p>
        </w:tc>
        <w:tc>
          <w:tcPr>
            <w:tcW w:type="dxa" w:w="1440"/>
            <w:shd w:fill="FFDCE0" w:val="clear"/>
          </w:tcPr>
          <w:p>
            <w:r>
              <w:rPr>
                <w:b/>
                <w:color w:val="C00000"/>
                <w:sz w:val="17"/>
              </w:rPr>
              <w:t>-29.5%</w:t>
            </w:r>
          </w:p>
        </w:tc>
      </w:tr>
      <w:tr>
        <w:tc>
          <w:tcPr>
            <w:tcW w:type="dxa" w:w="1440"/>
            <w:shd w:fill="FFDCE0" w:val="clear"/>
          </w:tcPr>
          <w:p>
            <w:r>
              <w:rPr>
                <w:sz w:val="17"/>
              </w:rPr>
              <w:t>J+9  Moyenne</w:t>
            </w:r>
          </w:p>
        </w:tc>
        <w:tc>
          <w:tcPr>
            <w:tcW w:type="dxa" w:w="1440"/>
            <w:shd w:fill="FFDCE0" w:val="clear"/>
          </w:tcPr>
          <w:p>
            <w:r>
              <w:rPr>
                <w:sz w:val="17"/>
              </w:rPr>
              <w:t>2026-08-31</w:t>
            </w:r>
          </w:p>
        </w:tc>
        <w:tc>
          <w:tcPr>
            <w:tcW w:type="dxa" w:w="1440"/>
            <w:shd w:fill="FFDCE0" w:val="clear"/>
          </w:tcPr>
          <w:p>
            <w:r>
              <w:rPr>
                <w:sz w:val="17"/>
              </w:rPr>
              <w:t>8,317</w:t>
            </w:r>
          </w:p>
        </w:tc>
        <w:tc>
          <w:tcPr>
            <w:tcW w:type="dxa" w:w="1440"/>
            <w:shd w:fill="FFDCE0" w:val="clear"/>
          </w:tcPr>
          <w:p>
            <w:r>
              <w:rPr>
                <w:b/>
                <w:sz w:val="17"/>
              </w:rPr>
              <w:t>9,190</w:t>
            </w:r>
          </w:p>
        </w:tc>
        <w:tc>
          <w:tcPr>
            <w:tcW w:type="dxa" w:w="1440"/>
            <w:shd w:fill="FFDCE0" w:val="clear"/>
          </w:tcPr>
          <w:p>
            <w:r>
              <w:rPr>
                <w:sz w:val="17"/>
              </w:rPr>
              <w:t>10,064</w:t>
            </w:r>
          </w:p>
        </w:tc>
        <w:tc>
          <w:tcPr>
            <w:tcW w:type="dxa" w:w="1440"/>
            <w:shd w:fill="FFDCE0" w:val="clear"/>
          </w:tcPr>
          <w:p>
            <w:r>
              <w:rPr>
                <w:b/>
                <w:color w:val="C00000"/>
                <w:sz w:val="17"/>
              </w:rPr>
              <w:t>-31.4%</w:t>
            </w:r>
          </w:p>
        </w:tc>
      </w:tr>
      <w:tr>
        <w:tc>
          <w:tcPr>
            <w:tcW w:type="dxa" w:w="1440"/>
            <w:shd w:fill="FFDCE0" w:val="clear"/>
          </w:tcPr>
          <w:p>
            <w:r>
              <w:rPr>
                <w:sz w:val="17"/>
              </w:rPr>
              <w:t>J+10  Moyenne</w:t>
            </w:r>
          </w:p>
        </w:tc>
        <w:tc>
          <w:tcPr>
            <w:tcW w:type="dxa" w:w="1440"/>
            <w:shd w:fill="FFDCE0" w:val="clear"/>
          </w:tcPr>
          <w:p>
            <w:r>
              <w:rPr>
                <w:sz w:val="17"/>
              </w:rPr>
              <w:t>2026-09-01</w:t>
            </w:r>
          </w:p>
        </w:tc>
        <w:tc>
          <w:tcPr>
            <w:tcW w:type="dxa" w:w="1440"/>
            <w:shd w:fill="FFDCE0" w:val="clear"/>
          </w:tcPr>
          <w:p>
            <w:r>
              <w:rPr>
                <w:sz w:val="17"/>
              </w:rPr>
              <w:t>8,072</w:t>
            </w:r>
          </w:p>
        </w:tc>
        <w:tc>
          <w:tcPr>
            <w:tcW w:type="dxa" w:w="1440"/>
            <w:shd w:fill="FFDCE0" w:val="clear"/>
          </w:tcPr>
          <w:p>
            <w:r>
              <w:rPr>
                <w:b/>
                <w:sz w:val="17"/>
              </w:rPr>
              <w:t>8,970</w:t>
            </w:r>
          </w:p>
        </w:tc>
        <w:tc>
          <w:tcPr>
            <w:tcW w:type="dxa" w:w="1440"/>
            <w:shd w:fill="FFDCE0" w:val="clear"/>
          </w:tcPr>
          <w:p>
            <w:r>
              <w:rPr>
                <w:sz w:val="17"/>
              </w:rPr>
              <w:t>9,869</w:t>
            </w:r>
          </w:p>
        </w:tc>
        <w:tc>
          <w:tcPr>
            <w:tcW w:type="dxa" w:w="1440"/>
            <w:shd w:fill="FFDCE0" w:val="clear"/>
          </w:tcPr>
          <w:p>
            <w:r>
              <w:rPr>
                <w:b/>
                <w:color w:val="C00000"/>
                <w:sz w:val="17"/>
              </w:rPr>
              <w:t>-33.1%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Absolument. Voici un rapport d'analyse professionnel structuré pour l'action BOAC,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536 milliards FCFA positionne BOAC comme une valeur de premier plan sur la BRVM. Avec un BPA de 888 FCFA, le PER de 15,1x se situe nettement au-dessus de la moyenne historique du marché (8-12x), indiquant que les investisseurs paient une prime pour la qualité perçue de la banque. Cette prime est encore plus marquée sur le P/B de 4,21x, qui valorise fortement les capitaux propres, et surtout sur l'EV/EBITDA de 28,1x, un niveau très exigeant qui reflète des anticipations de croissance élevées. Ces ratios suggèrent que le marché intègre déjà une performance future solide, laissant peu de marge d'erreur.</w:t>
      </w:r>
    </w:p>
    <w:p>
      <w:pPr>
        <w:spacing w:after="120" w:line="276" w:lineRule="auto"/>
      </w:pPr>
      <w:r>
        <w:t>### **PARTIE 1 : ANALYSE DU COURS — STATISTIQUES ET ÉVOLUTION (100 derniers jours)**</w:t>
      </w:r>
    </w:p>
    <w:p>
      <w:pPr>
        <w:spacing w:after="120" w:line="276" w:lineRule="auto"/>
      </w:pPr>
      <w:r>
        <w:t>Sur les 100 derniers jours, le titre BOAC a connu une progression spectaculaire de +52,45%, avec une accélération notable lors de la dernière séance (+3,88%), clôturant à son plus haut historique de 13 400 FCFA. Cette tendance haussière est confirmée par la moyenne (9 365 FCFA) qui est supérieure à la médiane (8 908 FCFA), signe d'une asymétrie positive (skewness de 1,783) où les fortes hausses récentes tirent la moyenne vers le haut. L'écart-type de 1 106 FCFA (CV de 11,8%) indique une dispersion modérée, mais le kurtosis élevé (2,570) signale un risque de mouvements extrêmes. La volatilité annualisée de 28,6% est élevée, reflétant un titre dynamique mais risqué, dont le cours a évolué dans une large fourchette de 8 100 à 13 400 FCFA.</w:t>
      </w:r>
    </w:p>
    <w:p>
      <w:pPr>
        <w:spacing w:after="120" w:line="276" w:lineRule="auto"/>
      </w:pPr>
      <w:r>
        <w:t>### **PARTIE 2 : ANALYSE TECHNIQUE DÉTAILLÉE**</w:t>
      </w:r>
    </w:p>
    <w:p>
      <w:pPr>
        <w:spacing w:after="120" w:line="276" w:lineRule="auto"/>
      </w:pPr>
      <w:r>
        <w:t>- **Moyennes Mobiles**: Le cours actuel (13 400 FCFA) est nettement au-dessus de la MM20 (11 259 FCFA) et de la MM50 (10 057 FCFA). Cette configuration haussière, où le prix est soutenu par les moyennes mobiles courtes et longues, confirme la force de la tendance et justifie la décision d'**Achat**.</w:t>
      </w:r>
    </w:p>
    <w:p>
      <w:pPr>
        <w:spacing w:after="120" w:line="276" w:lineRule="auto"/>
      </w:pPr>
      <w:r>
        <w:t>- **Bandes de Bollinger**: Le prix est collé à la borne supérieure (13 343 FCFA), ce qui témoigne d'une pression acheteuse extrême. Cette situation, couplée à l'écartement des bandes, signale une volatilité accrue et des conditions de surachat. La décision de **Vente** est donc une alerte classique de retour à la moyenne.</w:t>
      </w:r>
    </w:p>
    <w:p>
      <w:pPr>
        <w:spacing w:after="120" w:line="276" w:lineRule="auto"/>
      </w:pPr>
      <w:r>
        <w:t>- **MACD**: Le MACD (832,30) est nettement au-dessus de sa ligne de signal (654,36), indiquant un momentum haussier très fort. La divergence positive et l'écart croissant entre les deux lignes confirment la dynamique ascendante, justifiant la décision d'**Achat**.</w:t>
      </w:r>
    </w:p>
    <w:p>
      <w:pPr>
        <w:spacing w:after="120" w:line="276" w:lineRule="auto"/>
      </w:pPr>
      <w:r>
        <w:t>- **RSI**: Avec une valeur de 88,37, le RSI est profondément en zone de surachat (au-delà de 70). Cela signale que le titre est survendu à la hausse et qu'une correction technique est statistiquement probable à court terme. La décision de **Vente** est donc pertinente pour anticiper un repli.</w:t>
      </w:r>
    </w:p>
    <w:p>
      <w:pPr>
        <w:spacing w:after="120" w:line="276" w:lineRule="auto"/>
      </w:pPr>
      <w:r>
        <w:t>- **Stochastique**: Les valeurs %K et %D sont toutes deux à 100, leur niveau maximal. Ceci est un signal extrême de surachat, indiquant que le mouvement haussier est arrivé à son paroxysme. La décision de **Vente** est un avertissement fort sur la probabilité d'un retournement imminent.</w:t>
      </w:r>
    </w:p>
    <w:p>
      <w:pPr>
        <w:spacing w:after="120" w:line="276" w:lineRule="auto"/>
      </w:pPr>
      <w:r>
        <w:t>**Conclusion technique** : Les indicateurs de tendance (MM, MACD) sont résolument haussiers, mais tous les oscillateurs de momentum (RSI, Stochastique, Bandes de Bollinger) crient au surachat extrême. Cette divergence classique suggère que la tendance de fond reste positive, mais qu'une consolidation ou une correction technique est très probable à très court terme avant une éventuelle reprise de la hausse.</w:t>
      </w:r>
    </w:p>
    <w:p>
      <w:pPr>
        <w:spacing w:after="120" w:line="276" w:lineRule="auto"/>
      </w:pPr>
      <w:r>
        <w:t>### **PARTIE 3 : ANALYSE FONDAMENTALE (SECTION CRITIQUE)**</w:t>
      </w:r>
    </w:p>
    <w:p>
      <w:pPr>
        <w:spacing w:after="120" w:line="276" w:lineRule="auto"/>
      </w:pPr>
      <w:r>
        <w:t>En 2025, les données financières annuelles de BOAC font état d'un Produit Net Bancaire (PNB) de 73,545 milliards FCFA et d'un résultat net de 35,540 milliards FCFA. La banque affiche une rentabilité exceptionnelle avec un ROE de 27,91% et un ROA de 3,22%, démontrant une excellente capacité à générer du profit sur ses fonds propres et ses actifs. Son coefficient d'exploitation de 36,70% est excellent, signe d'une grande maîtrise des coûts. Cependant, le coût du risque de 6,67% reste un point de vigilance. Les rapports trimestriels de 2025 montrent une décélération : le rapport du T1 (PNB 18,39 Mds, +4,93%) et du S1 (PNB 36,21 Mds, -0,35%) indiquent un net ralentissement par rapport à l'exercice 2024 qui affichait une croissance de 19,6%. Le rapport du 3e trimestre confirme cette stagnation (PNB 53,49 Mds, +0,23%). Sur la base de ces tendances, on estime que l'exercice 2025 pourrait voir son PNB stagner autour de 73-74 milliards FCFA, avec un résultat net potentiellement en légère baisse par rapport à 2024, malgré un excellent T1 porté par une baisse des provisions. La solidité financière reste néanmoins indéniable, avec des dépôts en hausse et des objectifs stratégiques triennaux ambitieux.</w:t>
      </w:r>
    </w:p>
    <w:p>
      <w:pPr>
        <w:spacing w:after="120" w:line="276" w:lineRule="auto"/>
      </w:pPr>
      <w:r>
        <w:t>### **PARTIE 4 : CONCLUSION D'INVESTISSEMENT**</w:t>
      </w:r>
    </w:p>
    <w:p>
      <w:pPr>
        <w:spacing w:after="120" w:line="276" w:lineRule="auto"/>
      </w:pPr>
      <w:r>
        <w:t>La valorisation actuelle de BOAC (PER 15,1x, P/B 4,21x) est exigeante et intègre des perspectives de croissance qui ne se matérialisent pas encore dans les rapports trimestriels de 2025, marqués par une stagnation du PNB. Le comportement du cours, avec une hausse de +52% et des statistiques montrant une asymétrie positive, est extrêmement haussier, mais les signaux techniques sont unanimes sur un état de surachat sévère (RSI 88, Stochastique 100), annonçant une correction probable. Les fondamentaux de la banque sont solides (ROE &gt;27%, coefficient d'exploitation bas), mais la dynamique de croissance s'essouffle. Les prédictions IA, qui anticipent une chute du cours à 10 445 FCFA sous 10 jours, confirment fortement le scénario d'un repli technique. En synthèse, la convergence entre les signaux techniques de surachat et les prédictions IA, contrastant avec une valorisation tendue et des fondamentaux en ralentissement, conduit à une recommandation de **VENTE** à court terme. Le niveau de confiance est **Élevé** et le risque global est **Élevé**. L'horizon d'investissement optimal serait de **court terme (&lt;3 mois)** pour profiter d'un éventuel point d'entrée après la correction, avant de réévaluer la valeur sur des bases plus solides.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169.78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6,325 titres</w:t>
            </w:r>
          </w:p>
        </w:tc>
        <w:tc>
          <w:tcPr>
            <w:tcW w:type="dxa" w:w="2268"/>
            <w:shd w:fill="FFF2CC" w:val="clear"/>
          </w:tcPr>
          <w:p>
            <w:r>
              <w:rPr>
                <w:b/>
                <w:color w:val="503200"/>
                <w:sz w:val="16"/>
              </w:rPr>
              <w:t xml:space="preserve">Cours actuel : </w:t>
            </w:r>
            <w:r>
              <w:rPr>
                <w:color w:val="000000"/>
                <w:sz w:val="17"/>
              </w:rPr>
              <w:t>6,185 FCFA</w:t>
            </w:r>
          </w:p>
          <w:p>
            <w:r>
              <w:rPr>
                <w:b/>
                <w:color w:val="503200"/>
                <w:sz w:val="16"/>
              </w:rPr>
              <w:t xml:space="preserve">Var. 100 jours : </w:t>
            </w:r>
            <w:r>
              <w:rPr>
                <w:b/>
                <w:color w:val="007800"/>
                <w:sz w:val="17"/>
              </w:rPr>
              <w:t>+29.12%</w:t>
            </w:r>
          </w:p>
          <w:p>
            <w:r>
              <w:rPr>
                <w:b/>
                <w:color w:val="503200"/>
                <w:sz w:val="16"/>
              </w:rPr>
              <w:t xml:space="preserve">Plus haut 100j : </w:t>
            </w:r>
            <w:r>
              <w:rPr>
                <w:color w:val="000000"/>
                <w:sz w:val="17"/>
              </w:rPr>
              <w:t>6,185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9.34% (Moyenne) — μ=5,003 FCFA, σ=467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β=0.3764 (Défensif) — Cov=0.000012, Var(idx)=0.000031, ρ=0.105,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6,325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σ_j=2.00%/j (Stable) — Vol. annualisée≈31.8%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5,902</w:t>
            </w:r>
          </w:p>
        </w:tc>
        <w:tc>
          <w:tcPr>
            <w:tcW w:type="dxa" w:w="1440"/>
            <w:shd w:fill="FAFAFA" w:val="clear"/>
          </w:tcPr>
          <w:p>
            <w:r>
              <w:rPr>
                <w:b/>
                <w:sz w:val="17"/>
              </w:rPr>
              <w:t>6,101</w:t>
            </w:r>
          </w:p>
        </w:tc>
        <w:tc>
          <w:tcPr>
            <w:tcW w:type="dxa" w:w="1440"/>
            <w:shd w:fill="FAFAFA" w:val="clear"/>
          </w:tcPr>
          <w:p>
            <w:r>
              <w:rPr>
                <w:sz w:val="17"/>
              </w:rPr>
              <w:t>6,301</w:t>
            </w:r>
          </w:p>
        </w:tc>
        <w:tc>
          <w:tcPr>
            <w:tcW w:type="dxa" w:w="1440"/>
            <w:shd w:fill="FAFAFA" w:val="clear"/>
          </w:tcPr>
          <w:p>
            <w:r>
              <w:rPr>
                <w:b/>
                <w:color w:val="C00000"/>
                <w:sz w:val="17"/>
              </w:rPr>
              <w:t>-1.4%</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5,698</w:t>
            </w:r>
          </w:p>
        </w:tc>
        <w:tc>
          <w:tcPr>
            <w:tcW w:type="dxa" w:w="1440"/>
            <w:shd w:fill="FFDCE0" w:val="clear"/>
          </w:tcPr>
          <w:p>
            <w:r>
              <w:rPr>
                <w:b/>
                <w:sz w:val="17"/>
              </w:rPr>
              <w:t>5,974</w:t>
            </w:r>
          </w:p>
        </w:tc>
        <w:tc>
          <w:tcPr>
            <w:tcW w:type="dxa" w:w="1440"/>
            <w:shd w:fill="FFDCE0" w:val="clear"/>
          </w:tcPr>
          <w:p>
            <w:r>
              <w:rPr>
                <w:sz w:val="17"/>
              </w:rPr>
              <w:t>6,250</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5,520</w:t>
            </w:r>
          </w:p>
        </w:tc>
        <w:tc>
          <w:tcPr>
            <w:tcW w:type="dxa" w:w="1440"/>
            <w:shd w:fill="FFDCE0" w:val="clear"/>
          </w:tcPr>
          <w:p>
            <w:r>
              <w:rPr>
                <w:b/>
                <w:sz w:val="17"/>
              </w:rPr>
              <w:t>5,851</w:t>
            </w:r>
          </w:p>
        </w:tc>
        <w:tc>
          <w:tcPr>
            <w:tcW w:type="dxa" w:w="1440"/>
            <w:shd w:fill="FFDCE0" w:val="clear"/>
          </w:tcPr>
          <w:p>
            <w:r>
              <w:rPr>
                <w:sz w:val="17"/>
              </w:rPr>
              <w:t>6,182</w:t>
            </w:r>
          </w:p>
        </w:tc>
        <w:tc>
          <w:tcPr>
            <w:tcW w:type="dxa" w:w="1440"/>
            <w:shd w:fill="FFDCE0" w:val="clear"/>
          </w:tcPr>
          <w:p>
            <w:r>
              <w:rPr>
                <w:b/>
                <w:color w:val="C00000"/>
                <w:sz w:val="17"/>
              </w:rPr>
              <w:t>-5.4%</w:t>
            </w:r>
          </w:p>
        </w:tc>
      </w:tr>
      <w:tr>
        <w:tc>
          <w:tcPr>
            <w:tcW w:type="dxa" w:w="1440"/>
            <w:shd w:fill="FFDCE0" w:val="clear"/>
          </w:tcPr>
          <w:p>
            <w:r>
              <w:rPr>
                <w:sz w:val="17"/>
              </w:rPr>
              <w:t>J+4  Moyenne</w:t>
            </w:r>
          </w:p>
        </w:tc>
        <w:tc>
          <w:tcPr>
            <w:tcW w:type="dxa" w:w="1440"/>
            <w:shd w:fill="FFDCE0" w:val="clear"/>
          </w:tcPr>
          <w:p>
            <w:r>
              <w:rPr>
                <w:sz w:val="17"/>
              </w:rPr>
              <w:t>2026-08-21</w:t>
            </w:r>
          </w:p>
        </w:tc>
        <w:tc>
          <w:tcPr>
            <w:tcW w:type="dxa" w:w="1440"/>
            <w:shd w:fill="FFDCE0" w:val="clear"/>
          </w:tcPr>
          <w:p>
            <w:r>
              <w:rPr>
                <w:sz w:val="17"/>
              </w:rPr>
              <w:t>5,371</w:t>
            </w:r>
          </w:p>
        </w:tc>
        <w:tc>
          <w:tcPr>
            <w:tcW w:type="dxa" w:w="1440"/>
            <w:shd w:fill="FFDCE0" w:val="clear"/>
          </w:tcPr>
          <w:p>
            <w:r>
              <w:rPr>
                <w:b/>
                <w:sz w:val="17"/>
              </w:rPr>
              <w:t>5,747</w:t>
            </w:r>
          </w:p>
        </w:tc>
        <w:tc>
          <w:tcPr>
            <w:tcW w:type="dxa" w:w="1440"/>
            <w:shd w:fill="FFDCE0" w:val="clear"/>
          </w:tcPr>
          <w:p>
            <w:r>
              <w:rPr>
                <w:sz w:val="17"/>
              </w:rPr>
              <w:t>6,122</w:t>
            </w:r>
          </w:p>
        </w:tc>
        <w:tc>
          <w:tcPr>
            <w:tcW w:type="dxa" w:w="1440"/>
            <w:shd w:fill="FFDCE0" w:val="clear"/>
          </w:tcPr>
          <w:p>
            <w:r>
              <w:rPr>
                <w:b/>
                <w:color w:val="C00000"/>
                <w:sz w:val="17"/>
              </w:rPr>
              <w:t>-7.1%</w:t>
            </w:r>
          </w:p>
        </w:tc>
      </w:tr>
      <w:tr>
        <w:tc>
          <w:tcPr>
            <w:tcW w:type="dxa" w:w="1440"/>
            <w:shd w:fill="FFDCE0" w:val="clear"/>
          </w:tcPr>
          <w:p>
            <w:r>
              <w:rPr>
                <w:sz w:val="17"/>
              </w:rPr>
              <w:t>J+5  Moyenne</w:t>
            </w:r>
          </w:p>
        </w:tc>
        <w:tc>
          <w:tcPr>
            <w:tcW w:type="dxa" w:w="1440"/>
            <w:shd w:fill="FFDCE0" w:val="clear"/>
          </w:tcPr>
          <w:p>
            <w:r>
              <w:rPr>
                <w:sz w:val="17"/>
              </w:rPr>
              <w:t>2026-08-24</w:t>
            </w:r>
          </w:p>
        </w:tc>
        <w:tc>
          <w:tcPr>
            <w:tcW w:type="dxa" w:w="1440"/>
            <w:shd w:fill="FFDCE0" w:val="clear"/>
          </w:tcPr>
          <w:p>
            <w:r>
              <w:rPr>
                <w:sz w:val="17"/>
              </w:rPr>
              <w:t>5,244</w:t>
            </w:r>
          </w:p>
        </w:tc>
        <w:tc>
          <w:tcPr>
            <w:tcW w:type="dxa" w:w="1440"/>
            <w:shd w:fill="FFDCE0" w:val="clear"/>
          </w:tcPr>
          <w:p>
            <w:r>
              <w:rPr>
                <w:b/>
                <w:sz w:val="17"/>
              </w:rPr>
              <w:t>5,657</w:t>
            </w:r>
          </w:p>
        </w:tc>
        <w:tc>
          <w:tcPr>
            <w:tcW w:type="dxa" w:w="1440"/>
            <w:shd w:fill="FFDCE0" w:val="clear"/>
          </w:tcPr>
          <w:p>
            <w:r>
              <w:rPr>
                <w:sz w:val="17"/>
              </w:rPr>
              <w:t>6,070</w:t>
            </w:r>
          </w:p>
        </w:tc>
        <w:tc>
          <w:tcPr>
            <w:tcW w:type="dxa" w:w="1440"/>
            <w:shd w:fill="FFDCE0" w:val="clear"/>
          </w:tcPr>
          <w:p>
            <w:r>
              <w:rPr>
                <w:b/>
                <w:color w:val="C00000"/>
                <w:sz w:val="17"/>
              </w:rPr>
              <w:t>-8.5%</w:t>
            </w:r>
          </w:p>
        </w:tc>
      </w:tr>
      <w:tr>
        <w:tc>
          <w:tcPr>
            <w:tcW w:type="dxa" w:w="1440"/>
            <w:shd w:fill="FFDCE0" w:val="clear"/>
          </w:tcPr>
          <w:p>
            <w:r>
              <w:rPr>
                <w:sz w:val="17"/>
              </w:rPr>
              <w:t>J+6  Moyenne</w:t>
            </w:r>
          </w:p>
        </w:tc>
        <w:tc>
          <w:tcPr>
            <w:tcW w:type="dxa" w:w="1440"/>
            <w:shd w:fill="FFDCE0" w:val="clear"/>
          </w:tcPr>
          <w:p>
            <w:r>
              <w:rPr>
                <w:sz w:val="17"/>
              </w:rPr>
              <w:t>2026-08-25</w:t>
            </w:r>
          </w:p>
        </w:tc>
        <w:tc>
          <w:tcPr>
            <w:tcW w:type="dxa" w:w="1440"/>
            <w:shd w:fill="FFDCE0" w:val="clear"/>
          </w:tcPr>
          <w:p>
            <w:r>
              <w:rPr>
                <w:sz w:val="17"/>
              </w:rPr>
              <w:t>5,131</w:t>
            </w:r>
          </w:p>
        </w:tc>
        <w:tc>
          <w:tcPr>
            <w:tcW w:type="dxa" w:w="1440"/>
            <w:shd w:fill="FFDCE0" w:val="clear"/>
          </w:tcPr>
          <w:p>
            <w:r>
              <w:rPr>
                <w:b/>
                <w:sz w:val="17"/>
              </w:rPr>
              <w:t>5,577</w:t>
            </w:r>
          </w:p>
        </w:tc>
        <w:tc>
          <w:tcPr>
            <w:tcW w:type="dxa" w:w="1440"/>
            <w:shd w:fill="FFDCE0" w:val="clear"/>
          </w:tcPr>
          <w:p>
            <w:r>
              <w:rPr>
                <w:sz w:val="17"/>
              </w:rPr>
              <w:t>6,024</w:t>
            </w:r>
          </w:p>
        </w:tc>
        <w:tc>
          <w:tcPr>
            <w:tcW w:type="dxa" w:w="1440"/>
            <w:shd w:fill="FFDCE0" w:val="clear"/>
          </w:tcPr>
          <w:p>
            <w:r>
              <w:rPr>
                <w:b/>
                <w:color w:val="C00000"/>
                <w:sz w:val="17"/>
              </w:rPr>
              <w:t>-9.8%</w:t>
            </w:r>
          </w:p>
        </w:tc>
      </w:tr>
      <w:tr>
        <w:tc>
          <w:tcPr>
            <w:tcW w:type="dxa" w:w="1440"/>
            <w:shd w:fill="FFDCE0" w:val="clear"/>
          </w:tcPr>
          <w:p>
            <w:r>
              <w:rPr>
                <w:sz w:val="17"/>
              </w:rPr>
              <w:t>J+7  Moyenne</w:t>
            </w:r>
          </w:p>
        </w:tc>
        <w:tc>
          <w:tcPr>
            <w:tcW w:type="dxa" w:w="1440"/>
            <w:shd w:fill="FFDCE0" w:val="clear"/>
          </w:tcPr>
          <w:p>
            <w:r>
              <w:rPr>
                <w:sz w:val="17"/>
              </w:rPr>
              <w:t>2026-08-27</w:t>
            </w:r>
          </w:p>
        </w:tc>
        <w:tc>
          <w:tcPr>
            <w:tcW w:type="dxa" w:w="1440"/>
            <w:shd w:fill="FFDCE0" w:val="clear"/>
          </w:tcPr>
          <w:p>
            <w:r>
              <w:rPr>
                <w:sz w:val="17"/>
              </w:rPr>
              <w:t>5,028</w:t>
            </w:r>
          </w:p>
        </w:tc>
        <w:tc>
          <w:tcPr>
            <w:tcW w:type="dxa" w:w="1440"/>
            <w:shd w:fill="FFDCE0" w:val="clear"/>
          </w:tcPr>
          <w:p>
            <w:r>
              <w:rPr>
                <w:b/>
                <w:sz w:val="17"/>
              </w:rPr>
              <w:t>5,504</w:t>
            </w:r>
          </w:p>
        </w:tc>
        <w:tc>
          <w:tcPr>
            <w:tcW w:type="dxa" w:w="1440"/>
            <w:shd w:fill="FFDCE0" w:val="clear"/>
          </w:tcPr>
          <w:p>
            <w:r>
              <w:rPr>
                <w:sz w:val="17"/>
              </w:rPr>
              <w:t>5,980</w:t>
            </w:r>
          </w:p>
        </w:tc>
        <w:tc>
          <w:tcPr>
            <w:tcW w:type="dxa" w:w="1440"/>
            <w:shd w:fill="FFDCE0" w:val="clear"/>
          </w:tcPr>
          <w:p>
            <w:r>
              <w:rPr>
                <w:b/>
                <w:color w:val="C00000"/>
                <w:sz w:val="17"/>
              </w:rPr>
              <w:t>-11.0%</w:t>
            </w:r>
          </w:p>
        </w:tc>
      </w:tr>
      <w:tr>
        <w:tc>
          <w:tcPr>
            <w:tcW w:type="dxa" w:w="1440"/>
            <w:shd w:fill="FFDCE0" w:val="clear"/>
          </w:tcPr>
          <w:p>
            <w:r>
              <w:rPr>
                <w:sz w:val="17"/>
              </w:rPr>
              <w:t>J+8  Moyenne</w:t>
            </w:r>
          </w:p>
        </w:tc>
        <w:tc>
          <w:tcPr>
            <w:tcW w:type="dxa" w:w="1440"/>
            <w:shd w:fill="FFDCE0" w:val="clear"/>
          </w:tcPr>
          <w:p>
            <w:r>
              <w:rPr>
                <w:sz w:val="17"/>
              </w:rPr>
              <w:t>2026-08-28</w:t>
            </w:r>
          </w:p>
        </w:tc>
        <w:tc>
          <w:tcPr>
            <w:tcW w:type="dxa" w:w="1440"/>
            <w:shd w:fill="FFDCE0" w:val="clear"/>
          </w:tcPr>
          <w:p>
            <w:r>
              <w:rPr>
                <w:sz w:val="17"/>
              </w:rPr>
              <w:t>4,933</w:t>
            </w:r>
          </w:p>
        </w:tc>
        <w:tc>
          <w:tcPr>
            <w:tcW w:type="dxa" w:w="1440"/>
            <w:shd w:fill="FFDCE0" w:val="clear"/>
          </w:tcPr>
          <w:p>
            <w:r>
              <w:rPr>
                <w:b/>
                <w:sz w:val="17"/>
              </w:rPr>
              <w:t>5,435</w:t>
            </w:r>
          </w:p>
        </w:tc>
        <w:tc>
          <w:tcPr>
            <w:tcW w:type="dxa" w:w="1440"/>
            <w:shd w:fill="FFDCE0" w:val="clear"/>
          </w:tcPr>
          <w:p>
            <w:r>
              <w:rPr>
                <w:sz w:val="17"/>
              </w:rPr>
              <w:t>5,938</w:t>
            </w:r>
          </w:p>
        </w:tc>
        <w:tc>
          <w:tcPr>
            <w:tcW w:type="dxa" w:w="1440"/>
            <w:shd w:fill="FFDCE0" w:val="clear"/>
          </w:tcPr>
          <w:p>
            <w:r>
              <w:rPr>
                <w:b/>
                <w:color w:val="C00000"/>
                <w:sz w:val="17"/>
              </w:rPr>
              <w:t>-12.1%</w:t>
            </w:r>
          </w:p>
        </w:tc>
      </w:tr>
      <w:tr>
        <w:tc>
          <w:tcPr>
            <w:tcW w:type="dxa" w:w="1440"/>
            <w:shd w:fill="FFDCE0" w:val="clear"/>
          </w:tcPr>
          <w:p>
            <w:r>
              <w:rPr>
                <w:sz w:val="17"/>
              </w:rPr>
              <w:t>J+9  Moyenne</w:t>
            </w:r>
          </w:p>
        </w:tc>
        <w:tc>
          <w:tcPr>
            <w:tcW w:type="dxa" w:w="1440"/>
            <w:shd w:fill="FFDCE0" w:val="clear"/>
          </w:tcPr>
          <w:p>
            <w:r>
              <w:rPr>
                <w:sz w:val="17"/>
              </w:rPr>
              <w:t>2026-08-31</w:t>
            </w:r>
          </w:p>
        </w:tc>
        <w:tc>
          <w:tcPr>
            <w:tcW w:type="dxa" w:w="1440"/>
            <w:shd w:fill="FFDCE0" w:val="clear"/>
          </w:tcPr>
          <w:p>
            <w:r>
              <w:rPr>
                <w:sz w:val="17"/>
              </w:rPr>
              <w:t>4,844</w:t>
            </w:r>
          </w:p>
        </w:tc>
        <w:tc>
          <w:tcPr>
            <w:tcW w:type="dxa" w:w="1440"/>
            <w:shd w:fill="FFDCE0" w:val="clear"/>
          </w:tcPr>
          <w:p>
            <w:r>
              <w:rPr>
                <w:b/>
                <w:sz w:val="17"/>
              </w:rPr>
              <w:t>5,371</w:t>
            </w:r>
          </w:p>
        </w:tc>
        <w:tc>
          <w:tcPr>
            <w:tcW w:type="dxa" w:w="1440"/>
            <w:shd w:fill="FFDCE0" w:val="clear"/>
          </w:tcPr>
          <w:p>
            <w:r>
              <w:rPr>
                <w:sz w:val="17"/>
              </w:rPr>
              <w:t>5,897</w:t>
            </w:r>
          </w:p>
        </w:tc>
        <w:tc>
          <w:tcPr>
            <w:tcW w:type="dxa" w:w="1440"/>
            <w:shd w:fill="FFDCE0" w:val="clear"/>
          </w:tcPr>
          <w:p>
            <w:r>
              <w:rPr>
                <w:b/>
                <w:color w:val="C00000"/>
                <w:sz w:val="17"/>
              </w:rPr>
              <w:t>-13.2%</w:t>
            </w:r>
          </w:p>
        </w:tc>
      </w:tr>
      <w:tr>
        <w:tc>
          <w:tcPr>
            <w:tcW w:type="dxa" w:w="1440"/>
            <w:shd w:fill="FFDCE0" w:val="clear"/>
          </w:tcPr>
          <w:p>
            <w:r>
              <w:rPr>
                <w:sz w:val="17"/>
              </w:rPr>
              <w:t>J+10  Moyenne</w:t>
            </w:r>
          </w:p>
        </w:tc>
        <w:tc>
          <w:tcPr>
            <w:tcW w:type="dxa" w:w="1440"/>
            <w:shd w:fill="FFDCE0" w:val="clear"/>
          </w:tcPr>
          <w:p>
            <w:r>
              <w:rPr>
                <w:sz w:val="17"/>
              </w:rPr>
              <w:t>2026-09-01</w:t>
            </w:r>
          </w:p>
        </w:tc>
        <w:tc>
          <w:tcPr>
            <w:tcW w:type="dxa" w:w="1440"/>
            <w:shd w:fill="FFDCE0" w:val="clear"/>
          </w:tcPr>
          <w:p>
            <w:r>
              <w:rPr>
                <w:sz w:val="17"/>
              </w:rPr>
              <w:t>4,761</w:t>
            </w:r>
          </w:p>
        </w:tc>
        <w:tc>
          <w:tcPr>
            <w:tcW w:type="dxa" w:w="1440"/>
            <w:shd w:fill="FFDCE0" w:val="clear"/>
          </w:tcPr>
          <w:p>
            <w:r>
              <w:rPr>
                <w:b/>
                <w:sz w:val="17"/>
              </w:rPr>
              <w:t>5,310</w:t>
            </w:r>
          </w:p>
        </w:tc>
        <w:tc>
          <w:tcPr>
            <w:tcW w:type="dxa" w:w="1440"/>
            <w:shd w:fill="FFDCE0" w:val="clear"/>
          </w:tcPr>
          <w:p>
            <w:r>
              <w:rPr>
                <w:sz w:val="17"/>
              </w:rPr>
              <w:t>5,859</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w:t>
        <w:br/>
        <w:t>**Date de l'analyse : 17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169,78 milliards FCFA, ce qui positionne la banque parmi les valeurs moyennes du compartiment financier de la BRVM. Avec un BPA de 404 FCFA, le titre se négocie à un PER de 15,3x, nettement supérieur à la moyenne historique du marché (8-12x), indiquant que les investisseurs paient une prime substantielle pour la croissance anticipée de la banque. Le P/B de 3,41x confirme cette prime, le marché valorisant le titre à plus de trois fois sa valeur comptable, ce qui reflète une forte confiance dans la création de valeur future. L'EV/EBITDA de 7,9x reste dans une zone raisonnable (5-10x), suggérant que la valorisation globale de l'entreprise, bien que soutenue, n'est pas excessive par rapport à sa capacité opérationnelle. Cette combinaison de ratios indique un titre qui a déjà intégré des perspectives de croissance solides, laissant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BOAM a enregistré une progression spectaculaire de +29,12%, clôturant à 6 185 FCFA, son plus haut niveau de la période, avec une dernière séance en hausse de +0,57%. Le titre a évolué dans une fourchette de 1 760 FCFA, entre un plus bas de 4 425 FCFA et ce sommet historique. La moyenne du cours sur la période (5 003 FCFA) est nettement inférieure à la médiane (4 758 FCFA), et l'asymétrie positive (skewness de 0,897) confirme que le titre a passé la majorité du temps sous sa moyenne avant d'effectuer une remontée rapide récente. L'écart-type de 470 FCFA (CV de 9,4%) indique une dispersion modérée, tandis que le kurtosis de -0,502 (mésokurtique) suggère une distribution des rendements proche de la normale, sans risque de pics extrêmes particuliers. La volatilité annualisée de 31,8% classe le titre dans la catégorie des valeurs à forte volatilité, reflétant un momentum haussier puissant mais potentiellement instable.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6 185 FCFA se situe nettement au-dessus de la MM20 (5 732,75 FCFA) et de la MM50 (5 271,2 FCFA), avec un écart de +7,9% et +17,3% respectivement. Cette configuration haussière, où le prix évolue au-dessus des deux moyennes, confirme une tendance de fond solide. La décision d'achat est justifiée par la vigueur du mouvement, bien que l'écart important avec la MM20 suggère une possible consolidation à court terme.</w:t>
      </w:r>
    </w:p>
    <w:p>
      <w:pPr>
        <w:spacing w:after="120" w:line="276" w:lineRule="auto"/>
      </w:pPr>
      <w:r>
        <w:t>**Bandes de Bollinger** : Le prix à 6 185 FCFA touche la borne supérieure (6 180,46 FCFA), signalant une condition de surachat extrême. Le titre évolue à la limite supérieure de l'enveloppe de volatilité, indiquant que le mouvement haussier est arrivé à un point de tension maximal. La décision de vente est pertinente ici, car une correction vers la moyenne des bandes (5 732 FCFA) est statistiquement probable.</w:t>
      </w:r>
    </w:p>
    <w:p>
      <w:pPr>
        <w:spacing w:after="120" w:line="276" w:lineRule="auto"/>
      </w:pPr>
      <w:r>
        <w:t>**MACD** : Le MACD (210,607) est nettement au-dessus de sa ligne de signal (174,638), avec un écart positif de 35,97 points. Cette divergence positive confirme un momentum haussier robuste et une accélération de la tendance. La décision d'achat est justifiée par la vigueur du croisement haussier, bien que l'amplitude de l'écart puisse indiquer une maturité du mouvement.</w:t>
      </w:r>
    </w:p>
    <w:p>
      <w:pPr>
        <w:spacing w:after="120" w:line="276" w:lineRule="auto"/>
      </w:pPr>
      <w:r>
        <w:t>**RSI** : À 90,73, le RSI est profondément en zone de surachat (au-delà de 70), signalant une pression acheteuse extrême et une probable exhaustion du mouvement haussier à court terme. Cette valeur est exceptionnellement élevée et suggère que le titre est techniquement surchauffé, justifiant la décision de vente. Un retour vers la zone neutre (50-60) serait sain.</w:t>
      </w:r>
    </w:p>
    <w:p>
      <w:pPr>
        <w:spacing w:after="120" w:line="276" w:lineRule="auto"/>
      </w:pPr>
      <w:r>
        <w:t>**Stochastique** : Le %K et le %D sont tous deux à 100, un niveau extrême de surachat qui indique que le titre clôture systématiquement au plus haut de sa fourchette récente. Cette configuration, bien que reflétant une force exceptionnelle, est intenable à long terme et précède généralement une consolidation. La décision de vente est justifiée par ce niveau extrême.</w:t>
      </w:r>
    </w:p>
    <w:p>
      <w:pPr>
        <w:spacing w:after="120" w:line="276" w:lineRule="auto"/>
      </w:pPr>
      <w:r>
        <w:t>**Conclusion technique** : Les indicateurs de tendance (MM, MACD) confirment un mouvement haussier puissant, mais les oscillateurs (RSI, Stochastique) et les bandes de Bollinger signalent un surachat extrême. Cette divergence entre la tendance et les conditions de marché suggère une probabilité élevée de consolidation ou de correction à court terme, bien que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En 2025, BOAM affiche des fondamentaux solides avec un Produit Net Bancaire de 37,996 milliards FCFA et un résultat net de 11,081 milliards FCFA, soit une marge nette exceptionnelle de 29,16%. La rentabilité des fonds propres (ROE) atteint 22,24%, nettement au-dessus du seuil d'excellence de 15%, et le ROA de 1,87% témoigne d'une utilisation efficace des actifs. Le coefficient d'exploitation de 63,14% reste légèrement au-dessus de la barre des 60%, indiquant une efficacité opérationnelle perfectible. Le coût du risque de 43,39% est préoccupant, reflétant un risque de crédit significatif dans le portefeuille. La structure financière montre une dépendance élevée aux dettes (91,6% du bilan) avec une autonomie financière faible (8,4%), mais la solvabilité générale de 109,16% et la capacité de remboursement de 1,79 an rassurent sur la solidité. Les rapports trimestriels 2025 confirment cette trajectoire positive : le T1 affichait un résultat net en hausse de 91,2% (3,021 Mds), le S1 une progression de 28,8% (6,21 Mds), et le T3 une croissance de 26,2% (9,16 Mds). Le PNB a progressé de 5,8% sur neuf mois, porté par l'amélioration de la marge d'intérêt et des commissions. La collecte de dépôts reste dynamique (+9,2% depuis fin 2024), mais la contraction du portefeuille de crédits (-8,6%) limite le potentiel de croissance. Les états financiers certifiés 2024 montraient déjà une amélioration notable avec un résultat net de 9,12 milliards (+57,9%), confirmant la tendance haussière de la rentabilité. La banque démontre une résilience remarquable dans un environnement malien difficile, avec une gestion rigoureuse des coûts et des risques.</w:t>
      </w:r>
    </w:p>
    <w:p>
      <w:pPr>
        <w:spacing w:after="120" w:line="276" w:lineRule="auto"/>
      </w:pPr>
      <w:r>
        <w:t>---</w:t>
      </w:r>
    </w:p>
    <w:p>
      <w:pPr>
        <w:spacing w:after="120" w:line="276" w:lineRule="auto"/>
      </w:pPr>
      <w:r>
        <w:t>### PARTIE 4 : CONCLUSION D'INVESTISSEMENT</w:t>
      </w:r>
    </w:p>
    <w:p>
      <w:pPr>
        <w:spacing w:after="120" w:line="276" w:lineRule="auto"/>
      </w:pPr>
      <w:r>
        <w:t>La valorisation de BOAM (PER 15,3x, P/B 3,41x) intègre déjà des attentes de croissance élevées, laissant peu de marge de sécurité pour l'investisseur. Le comportement du cours sur 100 jours (+29,12%) avec une volatilité élevée (31,8%) et une asymétrie positive reflète un momentum haussier puissant mais potentiellement fragile. Les signaux techniques sont contradictoires : la tendance (MM, MACD) reste positive, mais les oscillateurs (RSI à 90,7, Stochastique à 100) et les bandes de Bollinger signalent un surachat extrême, suggérant une correction imminente. Les fondamentaux sont solides avec un ROE de 22,24%, un résultat net en forte croissance (+26,2% sur 9 mois) et une gestion prudente des risques, mais le coût du risque élevé et la dépendance aux dettes constituent des points de vigilance. Les prédictions IA projetant une baisse progressive vers 5 657 FCFA sur 10 jours (-8,5%) confirment l'analyse technique d'une consolidation attendue. La convergence entre le surachat technique et la prédiction IA suggère une correction à court terme, mais la solidité fondamentale et la tendance de fond plaident pour une poursuite haussière à moyen terme. **Recommandation : CONSERVER**, avec un niveau de confiance Moyen et un risque global Élevé. L'horizon optimal serait moyen terme (3-12 mois), en attendant une correction technique pour renforcer les positions.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107.12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10,277 titres</w:t>
            </w:r>
          </w:p>
        </w:tc>
        <w:tc>
          <w:tcPr>
            <w:tcW w:type="dxa" w:w="2268"/>
            <w:shd w:fill="FFF2CC" w:val="clear"/>
          </w:tcPr>
          <w:p>
            <w:r>
              <w:rPr>
                <w:b/>
                <w:color w:val="503200"/>
                <w:sz w:val="16"/>
              </w:rPr>
              <w:t xml:space="preserve">Cours actuel : </w:t>
            </w:r>
            <w:r>
              <w:rPr>
                <w:color w:val="000000"/>
                <w:sz w:val="17"/>
              </w:rPr>
              <w:t>5,150 FCFA</w:t>
            </w:r>
          </w:p>
          <w:p>
            <w:r>
              <w:rPr>
                <w:b/>
                <w:color w:val="503200"/>
                <w:sz w:val="16"/>
              </w:rPr>
              <w:t xml:space="preserve">Var. 100 jours : </w:t>
            </w:r>
            <w:r>
              <w:rPr>
                <w:b/>
                <w:color w:val="007800"/>
                <w:sz w:val="17"/>
              </w:rPr>
              <w:t>+109.35%</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2,460 FCFA</w:t>
            </w:r>
          </w:p>
          <w:p>
            <w:r>
              <w:rPr>
                <w:b/>
                <w:color w:val="503200"/>
                <w:sz w:val="16"/>
              </w:rPr>
              <w:t xml:space="preserve">Volatilité ann. : </w:t>
            </w:r>
            <w:r>
              <w:rPr>
                <w:color w:val="000000"/>
                <w:sz w:val="17"/>
              </w:rPr>
              <w:t>40.3%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21.84% (Élevée) — μ=3,931 FCFA, σ=859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β=0.0528 (Défensif) — Cov=0.000002, Var(idx)=0.000031, ρ=0.012,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10,277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4,885</w:t>
            </w:r>
          </w:p>
        </w:tc>
        <w:tc>
          <w:tcPr>
            <w:tcW w:type="dxa" w:w="1440"/>
            <w:shd w:fill="FAFAFA" w:val="clear"/>
          </w:tcPr>
          <w:p>
            <w:r>
              <w:rPr>
                <w:b/>
                <w:sz w:val="17"/>
              </w:rPr>
              <w:t>5,114</w:t>
            </w:r>
          </w:p>
        </w:tc>
        <w:tc>
          <w:tcPr>
            <w:tcW w:type="dxa" w:w="1440"/>
            <w:shd w:fill="FAFAFA" w:val="clear"/>
          </w:tcPr>
          <w:p>
            <w:r>
              <w:rPr>
                <w:sz w:val="17"/>
              </w:rPr>
              <w:t>5,344</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4,786</w:t>
            </w:r>
          </w:p>
        </w:tc>
        <w:tc>
          <w:tcPr>
            <w:tcW w:type="dxa" w:w="1440"/>
            <w:shd w:fill="FAFAFA" w:val="clear"/>
          </w:tcPr>
          <w:p>
            <w:r>
              <w:rPr>
                <w:b/>
                <w:sz w:val="17"/>
              </w:rPr>
              <w:t>5,110</w:t>
            </w:r>
          </w:p>
        </w:tc>
        <w:tc>
          <w:tcPr>
            <w:tcW w:type="dxa" w:w="1440"/>
            <w:shd w:fill="FAFAFA" w:val="clear"/>
          </w:tcPr>
          <w:p>
            <w:r>
              <w:rPr>
                <w:sz w:val="17"/>
              </w:rPr>
              <w:t>5,435</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2026-08-20</w:t>
            </w:r>
          </w:p>
        </w:tc>
        <w:tc>
          <w:tcPr>
            <w:tcW w:type="dxa" w:w="1440"/>
            <w:shd w:fill="FAFAFA" w:val="clear"/>
          </w:tcPr>
          <w:p>
            <w:r>
              <w:rPr>
                <w:sz w:val="17"/>
              </w:rPr>
              <w:t>4,705</w:t>
            </w:r>
          </w:p>
        </w:tc>
        <w:tc>
          <w:tcPr>
            <w:tcW w:type="dxa" w:w="1440"/>
            <w:shd w:fill="FAFAFA" w:val="clear"/>
          </w:tcPr>
          <w:p>
            <w:r>
              <w:rPr>
                <w:b/>
                <w:sz w:val="17"/>
              </w:rPr>
              <w:t>5,102</w:t>
            </w:r>
          </w:p>
        </w:tc>
        <w:tc>
          <w:tcPr>
            <w:tcW w:type="dxa" w:w="1440"/>
            <w:shd w:fill="FAFAFA" w:val="clear"/>
          </w:tcPr>
          <w:p>
            <w:r>
              <w:rPr>
                <w:sz w:val="17"/>
              </w:rPr>
              <w:t>5,498</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2026-08-21</w:t>
            </w:r>
          </w:p>
        </w:tc>
        <w:tc>
          <w:tcPr>
            <w:tcW w:type="dxa" w:w="1440"/>
            <w:shd w:fill="FAFAFA" w:val="clear"/>
          </w:tcPr>
          <w:p>
            <w:r>
              <w:rPr>
                <w:sz w:val="17"/>
              </w:rPr>
              <w:t>4,635</w:t>
            </w:r>
          </w:p>
        </w:tc>
        <w:tc>
          <w:tcPr>
            <w:tcW w:type="dxa" w:w="1440"/>
            <w:shd w:fill="FAFAFA" w:val="clear"/>
          </w:tcPr>
          <w:p>
            <w:r>
              <w:rPr>
                <w:b/>
                <w:sz w:val="17"/>
              </w:rPr>
              <w:t>5,092</w:t>
            </w:r>
          </w:p>
        </w:tc>
        <w:tc>
          <w:tcPr>
            <w:tcW w:type="dxa" w:w="1440"/>
            <w:shd w:fill="FAFAFA" w:val="clear"/>
          </w:tcPr>
          <w:p>
            <w:r>
              <w:rPr>
                <w:sz w:val="17"/>
              </w:rPr>
              <w:t>5,549</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2026-08-24</w:t>
            </w:r>
          </w:p>
        </w:tc>
        <w:tc>
          <w:tcPr>
            <w:tcW w:type="dxa" w:w="1440"/>
            <w:shd w:fill="FAFAFA" w:val="clear"/>
          </w:tcPr>
          <w:p>
            <w:r>
              <w:rPr>
                <w:sz w:val="17"/>
              </w:rPr>
              <w:t>4,573</w:t>
            </w:r>
          </w:p>
        </w:tc>
        <w:tc>
          <w:tcPr>
            <w:tcW w:type="dxa" w:w="1440"/>
            <w:shd w:fill="FAFAFA" w:val="clear"/>
          </w:tcPr>
          <w:p>
            <w:r>
              <w:rPr>
                <w:b/>
                <w:sz w:val="17"/>
              </w:rPr>
              <w:t>5,083</w:t>
            </w:r>
          </w:p>
        </w:tc>
        <w:tc>
          <w:tcPr>
            <w:tcW w:type="dxa" w:w="1440"/>
            <w:shd w:fill="FAFAFA" w:val="clear"/>
          </w:tcPr>
          <w:p>
            <w:r>
              <w:rPr>
                <w:sz w:val="17"/>
              </w:rPr>
              <w:t>5,593</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2026-08-25</w:t>
            </w:r>
          </w:p>
        </w:tc>
        <w:tc>
          <w:tcPr>
            <w:tcW w:type="dxa" w:w="1440"/>
            <w:shd w:fill="FAFAFA" w:val="clear"/>
          </w:tcPr>
          <w:p>
            <w:r>
              <w:rPr>
                <w:sz w:val="17"/>
              </w:rPr>
              <w:t>4,516</w:t>
            </w:r>
          </w:p>
        </w:tc>
        <w:tc>
          <w:tcPr>
            <w:tcW w:type="dxa" w:w="1440"/>
            <w:shd w:fill="FAFAFA" w:val="clear"/>
          </w:tcPr>
          <w:p>
            <w:r>
              <w:rPr>
                <w:b/>
                <w:sz w:val="17"/>
              </w:rPr>
              <w:t>5,074</w:t>
            </w:r>
          </w:p>
        </w:tc>
        <w:tc>
          <w:tcPr>
            <w:tcW w:type="dxa" w:w="1440"/>
            <w:shd w:fill="FAFAFA" w:val="clear"/>
          </w:tcPr>
          <w:p>
            <w:r>
              <w:rPr>
                <w:sz w:val="17"/>
              </w:rPr>
              <w:t>5,631</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2026-08-27</w:t>
            </w:r>
          </w:p>
        </w:tc>
        <w:tc>
          <w:tcPr>
            <w:tcW w:type="dxa" w:w="1440"/>
            <w:shd w:fill="FAFAFA" w:val="clear"/>
          </w:tcPr>
          <w:p>
            <w:r>
              <w:rPr>
                <w:sz w:val="17"/>
              </w:rPr>
              <w:t>4,463</w:t>
            </w:r>
          </w:p>
        </w:tc>
        <w:tc>
          <w:tcPr>
            <w:tcW w:type="dxa" w:w="1440"/>
            <w:shd w:fill="FAFAFA" w:val="clear"/>
          </w:tcPr>
          <w:p>
            <w:r>
              <w:rPr>
                <w:b/>
                <w:sz w:val="17"/>
              </w:rPr>
              <w:t>5,065</w:t>
            </w:r>
          </w:p>
        </w:tc>
        <w:tc>
          <w:tcPr>
            <w:tcW w:type="dxa" w:w="1440"/>
            <w:shd w:fill="FAFAFA" w:val="clear"/>
          </w:tcPr>
          <w:p>
            <w:r>
              <w:rPr>
                <w:sz w:val="17"/>
              </w:rPr>
              <w:t>5,666</w:t>
            </w:r>
          </w:p>
        </w:tc>
        <w:tc>
          <w:tcPr>
            <w:tcW w:type="dxa" w:w="1440"/>
            <w:shd w:fill="FAFAFA" w:val="clear"/>
          </w:tcPr>
          <w:p>
            <w:r>
              <w:rPr>
                <w:b/>
                <w:color w:val="C00000"/>
                <w:sz w:val="17"/>
              </w:rPr>
              <w:t>-1.7%</w:t>
            </w:r>
          </w:p>
        </w:tc>
      </w:tr>
      <w:tr>
        <w:tc>
          <w:tcPr>
            <w:tcW w:type="dxa" w:w="1440"/>
            <w:shd w:fill="FAFAFA" w:val="clear"/>
          </w:tcPr>
          <w:p>
            <w:r>
              <w:rPr>
                <w:sz w:val="17"/>
              </w:rPr>
              <w:t>J+8  ⭐</w:t>
            </w:r>
          </w:p>
        </w:tc>
        <w:tc>
          <w:tcPr>
            <w:tcW w:type="dxa" w:w="1440"/>
            <w:shd w:fill="FAFAFA" w:val="clear"/>
          </w:tcPr>
          <w:p>
            <w:r>
              <w:rPr>
                <w:sz w:val="17"/>
              </w:rPr>
              <w:t>2026-08-28</w:t>
            </w:r>
          </w:p>
        </w:tc>
        <w:tc>
          <w:tcPr>
            <w:tcW w:type="dxa" w:w="1440"/>
            <w:shd w:fill="FAFAFA" w:val="clear"/>
          </w:tcPr>
          <w:p>
            <w:r>
              <w:rPr>
                <w:sz w:val="17"/>
              </w:rPr>
              <w:t>4,414</w:t>
            </w:r>
          </w:p>
        </w:tc>
        <w:tc>
          <w:tcPr>
            <w:tcW w:type="dxa" w:w="1440"/>
            <w:shd w:fill="FAFAFA" w:val="clear"/>
          </w:tcPr>
          <w:p>
            <w:r>
              <w:rPr>
                <w:b/>
                <w:sz w:val="17"/>
              </w:rPr>
              <w:t>5,056</w:t>
            </w:r>
          </w:p>
        </w:tc>
        <w:tc>
          <w:tcPr>
            <w:tcW w:type="dxa" w:w="1440"/>
            <w:shd w:fill="FAFAFA" w:val="clear"/>
          </w:tcPr>
          <w:p>
            <w:r>
              <w:rPr>
                <w:sz w:val="17"/>
              </w:rPr>
              <w:t>5,697</w:t>
            </w:r>
          </w:p>
        </w:tc>
        <w:tc>
          <w:tcPr>
            <w:tcW w:type="dxa" w:w="1440"/>
            <w:shd w:fill="FAFAFA" w:val="clear"/>
          </w:tcPr>
          <w:p>
            <w:r>
              <w:rPr>
                <w:b/>
                <w:color w:val="C00000"/>
                <w:sz w:val="17"/>
              </w:rPr>
              <w:t>-1.8%</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4,368</w:t>
            </w:r>
          </w:p>
        </w:tc>
        <w:tc>
          <w:tcPr>
            <w:tcW w:type="dxa" w:w="1440"/>
            <w:shd w:fill="FFDCE0" w:val="clear"/>
          </w:tcPr>
          <w:p>
            <w:r>
              <w:rPr>
                <w:b/>
                <w:sz w:val="17"/>
              </w:rPr>
              <w:t>5,047</w:t>
            </w:r>
          </w:p>
        </w:tc>
        <w:tc>
          <w:tcPr>
            <w:tcW w:type="dxa" w:w="1440"/>
            <w:shd w:fill="FFDCE0" w:val="clear"/>
          </w:tcPr>
          <w:p>
            <w:r>
              <w:rPr>
                <w:sz w:val="17"/>
              </w:rPr>
              <w:t>5,726</w:t>
            </w:r>
          </w:p>
        </w:tc>
        <w:tc>
          <w:tcPr>
            <w:tcW w:type="dxa" w:w="1440"/>
            <w:shd w:fill="FFDCE0" w:val="clear"/>
          </w:tcPr>
          <w:p>
            <w:r>
              <w:rPr>
                <w:b/>
                <w:color w:val="C00000"/>
                <w:sz w:val="17"/>
              </w:rPr>
              <w:t>-2.0%</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4,323</w:t>
            </w:r>
          </w:p>
        </w:tc>
        <w:tc>
          <w:tcPr>
            <w:tcW w:type="dxa" w:w="1440"/>
            <w:shd w:fill="FFDCE0" w:val="clear"/>
          </w:tcPr>
          <w:p>
            <w:r>
              <w:rPr>
                <w:b/>
                <w:sz w:val="17"/>
              </w:rPr>
              <w:t>5,038</w:t>
            </w:r>
          </w:p>
        </w:tc>
        <w:tc>
          <w:tcPr>
            <w:tcW w:type="dxa" w:w="1440"/>
            <w:shd w:fill="FFDCE0" w:val="clear"/>
          </w:tcPr>
          <w:p>
            <w:r>
              <w:rPr>
                <w:sz w:val="17"/>
              </w:rPr>
              <w:t>5,753</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107,12 milliards FCFA, un niveau significatif sur la BRVM qui positionne le titre parmi les valeurs moyennes du marché. Le BPA de 20 FCFA par action est extrêmement faible, ce qui explique un PER de 261,9x, très largement au-dessus de la moyenne BRVM (8-12x), indiquant une valorisation extrêmement exigeante où les investisseurs paient un prix très élevé pour des bénéfices quasi inexistants. Le P/B de 2,97x montre que le marché valorise la banque près de 3 fois sa valeur comptable, ce qui reflète une prime de croissance accordée malgré des fondamentaux dégradés. Enfin, l'EV/EBITDA de 39,7x, très supérieur au seuil de 15x considéré comme exigeant, confirme que la valeur totale de l'entreprise est très élevée par rapport à sa capacité opérationnelle réelle, signalant une surévaluation potentielle du titre.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BOAN a enregistré une variation totale spectaculaire de +109,35%, passant d'un plus bas de 2 460 FCFA à un plus haut de 5 400 FCFA, avec un cours actuel de 5 150 FCFA et une légère progression de +0,59% lors de la dernière séance. La moyenne du cours sur la période est de 3 931 FCFA, inférieure à la médiane de 3 730 FCFA, indiquant une distribution légèrement asymétrique avec des valeurs extrêmes hautes qui tirent la moyenne vers le haut. L'écart-type de 863 FCFA, représentant un coefficient de variation de 22%, témoigne d'une dispersion modérée du cours autour de sa moyenne. Le kurtosis de -0,973 indique une distribution mésokurtique proche de la normale, sans risque de pics extrêmes, tandis que le skewness de 0,278 confirme une symétrie relative de la distribution. La volatilité annualisée de 40,3% classe le titre comme très volatil, bien au-dessus du seuil de 30%, ce qui implique un risque élevé pour les investisseurs malgré la tendance fortement haussière observée sur la période.</w:t>
      </w:r>
    </w:p>
    <w:p>
      <w:pPr>
        <w:spacing w:after="120" w:line="276" w:lineRule="auto" w:before="240"/>
      </w:pPr>
      <w:r>
        <w:rPr>
          <w:b/>
          <w:color w:val="003366"/>
          <w:sz w:val="24"/>
        </w:rPr>
        <w:t>**PARTIE 2 : ANALYSE TECHNIQUE DÉTAILLÉE**</w:t>
      </w:r>
    </w:p>
    <w:p>
      <w:pPr>
        <w:spacing w:after="120" w:line="276" w:lineRule="auto"/>
      </w:pPr>
      <w:r>
        <w:t>**Moyennes Mobiles** : La MM20 à 5 214,5 FCFA et la MM50 à 4 600,1 FCFA sont toutes deux inférieures au cours actuel de 5 150 FCFA pour la MM50 mais légèrement supérieures pour la MM20, indiquant une consolidation récente après une forte hausse. La décision d'achat est justifiée par la tendance haussière de moyen terme, le cours se maintenant au-dessus de la MM50, bien que le léger croisement sous la MM20 suggère une pause dans le mouvement haussier.</w:t>
      </w:r>
    </w:p>
    <w:p>
      <w:pPr>
        <w:spacing w:after="120" w:line="276" w:lineRule="auto"/>
      </w:pPr>
      <w:r>
        <w:t>**Bandes de Bollinger** : Le cours à 5 150 FCFA se situe entre la borne inférieure à 5 013,243 FCFA et la borne supérieure à 5 415,757 FCFA, proche de la partie médiane-basse de l'intervalle. La décision neutre s'explique par une volatilité modérée avec un cours qui n'est ni en situation de surachat ni de survente, laissant place à une évolution dans les deux sens.</w:t>
      </w:r>
    </w:p>
    <w:p>
      <w:pPr>
        <w:spacing w:after="120" w:line="276" w:lineRule="auto"/>
      </w:pPr>
      <w:r>
        <w:t>**MACD** : La valeur MACD à 126,162 est inférieure au signal à 185,325, indiquant un momentum baissier à court terme malgré la tendance haussière de fond. La décision de vente est justifiée par cette divergence négative qui suggère un ralentissement de la dynamique haussière et un possible retournement à venir.</w:t>
      </w:r>
    </w:p>
    <w:p>
      <w:pPr>
        <w:spacing w:after="120" w:line="276" w:lineRule="auto"/>
      </w:pPr>
      <w:r>
        <w:t>**RSI** : Le RSI à 43,333 se situe dans la zone neutre (30-70), indiquant un équilibre entre les forces acheteuses et vendeuses. La décision neutre est cohérente avec cette valeur qui ne montre ni surachat ni survente, laissant le marché dans une position d'attente.</w:t>
      </w:r>
    </w:p>
    <w:p>
      <w:pPr>
        <w:spacing w:after="120" w:line="276" w:lineRule="auto"/>
      </w:pPr>
      <w:r>
        <w:t>**Stochastique** : Le %K à 23,077 et le %D à 14,872 sont tous deux en zone de survente (&lt;30), avec un %K au-dessus du %D suggérant un début de retournement haussier potentiel. La décision neutre reflète toutefois une prudence, le croisement n'étant pas encore confirmé.</w:t>
      </w:r>
    </w:p>
    <w:p>
      <w:pPr>
        <w:spacing w:after="120" w:line="276" w:lineRule="auto"/>
      </w:pPr>
      <w:r>
        <w:t>**Conclusion technique** : Les indicateurs techniques montrent un tableau contrasté avec des signaux mixtes : les moyennes mobiles restent haussières à moyen terme, mais le MACD et le RSI indiquent une perte de momentum à court terme. La configuration suggère une phase de consolidation après la forte hausse, avec un risque de correction si le cours casse la borne inférieure des bandes de Bollinger à 5 013 FCFA.</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montrent que BOAN a réalisé un PNB de 21,125 milliards FCFA, en légère baisse de 1,2% par rapport à 2024 (21,380 milliards FCFA), avec un résultat net de seulement 409 millions FCFA, en chute vertigineuse de 91,8% par rapport aux 5,002 milliards FCFA de 2024. Le coefficient d'exploitation de 74,37% est très élevé, bien au-dessus du seuil de 60% considéré comme efficace pour une banque, indiquant une mauvaise maîtrise des charges opérationnelles. Le coût du risque à 67,30% est particulièrement préoccupant, reflétant un portefeuille de crédits fortement dégradé avec un taux de créances en souffrance de 24% contre 12% en moyenne UEMOA. La rentabilité est effondrée avec un ROE de 1,13% et un ROA de 0,14%, très loin des standards de 15% et 1% respectivement. Le ratio dépôts/crédits est sain à 183,280 milliards FCFA de dépôts pour 128,447 milliards FCFA de crédits, mais la contraction des crédits de 20,9% reflète une politique prudente de réduction des risques. Selon les rapports trimestriels, le T1 2025 montrait déjà une chute du PNB de 16,3% et du résultat net de 50,2%, le S1 2025 une baisse de 4,1% du PNB et de 25,2% du résultat net, et le T3 2025 une quasi-stabilité du PNB (-1,8%) mais une chute de 33,1% du résultat net. Le rapport T1 2026 (daté de 2026) indique une forte amélioration avec un résultat net en hausse de 28,9% à 1 467,3 millions FCFA et un PNB en progression de 7,9% à 5 170 millions FCFA, avec un coefficient d'exploitation amélioré à 56,2%, suggérant un début de redressement. Les perspectives 2026 prévoient un PNB en hausse de 6,4% et un résultat avant impôt en multiplication par 6, mais la banque ne distribue aucun dividende depuis 2023, ce qui pénalise les actionnaires en quête de revenus.</w:t>
      </w:r>
    </w:p>
    <w:p>
      <w:pPr>
        <w:spacing w:after="120" w:line="276" w:lineRule="auto" w:before="240"/>
      </w:pPr>
      <w:r>
        <w:rPr>
          <w:b/>
          <w:color w:val="003366"/>
          <w:sz w:val="24"/>
        </w:rPr>
        <w:t>**PARTIE 4 : CONCLUSION D'INVESTISSEMENT**</w:t>
      </w:r>
    </w:p>
    <w:p>
      <w:pPr>
        <w:spacing w:after="120" w:line="276" w:lineRule="auto"/>
      </w:pPr>
      <w:r>
        <w:t>La valorisation de BOAN apparaît très surévaluée avec un PER de 261,9x et un EV/EBITDA de 39,7x, reflétant des bénéfices extrêmement faibles par rapport au prix du titre, tandis que le comportement du cours montre une hausse spectaculaire de 109,35% sur 100 jours avec une volatilité élevée de 40,3%, suggérant un enthousiasme spéculatif. Les signaux techniques sont mitigés avec des moyennes mobiles haussières mais un MACD vendeur et un RSI neutre, indiquant une consolidation après la forte progression. Les fondamentaux sont préoccupants avec un effondrement de la rentabilité en 2025 (ROE à 1,13%), un coût du risque élevé et un coefficient d'exploitation dégradé, bien que le T1 2026 montre des signes encourageants de redressement. Les prédictions IA pour les 10 prochains jours indiquent une légère baisse de 5 114 à 5 083 FCFA, confirmant la phase de consolidation. La convergence entre la surévaluation, les signaux techniques mitigés et les fondamentaux encore fragiles, malgré les perspectives de reprise, conduit à une recommandation de **CONSERVER** avec un niveau de confiance **Moyen** et un risque global **Élevé**. L'horizon d'investissement optimal serait le **moyen terme (3-12 mois)** pour observer la confirmation du redressement engagé au T1 2026, en surveillant l'évolution du coût du risque et la capacité de la banque à retrouver une rentabilité satisfaisante.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280.80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9,256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+13.21%</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6,400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5.38% (Moyenne) — μ=7,300 FCFA, σ=393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β=0.6058 (Défensif) — Cov=0.000019, Var(idx)=0.000031, ρ=0.220,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7,425</w:t>
            </w:r>
          </w:p>
        </w:tc>
        <w:tc>
          <w:tcPr>
            <w:tcW w:type="dxa" w:w="1440"/>
            <w:shd w:fill="FFDCE0" w:val="clear"/>
          </w:tcPr>
          <w:p>
            <w:r>
              <w:rPr>
                <w:b/>
                <w:sz w:val="17"/>
              </w:rPr>
              <w:t>7,597</w:t>
            </w:r>
          </w:p>
        </w:tc>
        <w:tc>
          <w:tcPr>
            <w:tcW w:type="dxa" w:w="1440"/>
            <w:shd w:fill="FFDCE0" w:val="clear"/>
          </w:tcPr>
          <w:p>
            <w:r>
              <w:rPr>
                <w:sz w:val="17"/>
              </w:rPr>
              <w:t>7,770</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7,245</w:t>
            </w:r>
          </w:p>
        </w:tc>
        <w:tc>
          <w:tcPr>
            <w:tcW w:type="dxa" w:w="1440"/>
            <w:shd w:fill="FFDCE0" w:val="clear"/>
          </w:tcPr>
          <w:p>
            <w:r>
              <w:rPr>
                <w:b/>
                <w:sz w:val="17"/>
              </w:rPr>
              <w:t>7,485</w:t>
            </w:r>
          </w:p>
        </w:tc>
        <w:tc>
          <w:tcPr>
            <w:tcW w:type="dxa" w:w="1440"/>
            <w:shd w:fill="FFDCE0" w:val="clear"/>
          </w:tcPr>
          <w:p>
            <w:r>
              <w:rPr>
                <w:sz w:val="17"/>
              </w:rPr>
              <w:t>7,725</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7,081</w:t>
            </w:r>
          </w:p>
        </w:tc>
        <w:tc>
          <w:tcPr>
            <w:tcW w:type="dxa" w:w="1440"/>
            <w:shd w:fill="FFDCE0" w:val="clear"/>
          </w:tcPr>
          <w:p>
            <w:r>
              <w:rPr>
                <w:b/>
                <w:sz w:val="17"/>
              </w:rPr>
              <w:t>7,371</w:t>
            </w:r>
          </w:p>
        </w:tc>
        <w:tc>
          <w:tcPr>
            <w:tcW w:type="dxa" w:w="1440"/>
            <w:shd w:fill="FFDCE0" w:val="clear"/>
          </w:tcPr>
          <w:p>
            <w:r>
              <w:rPr>
                <w:sz w:val="17"/>
              </w:rPr>
              <w:t>7,661</w:t>
            </w:r>
          </w:p>
        </w:tc>
        <w:tc>
          <w:tcPr>
            <w:tcW w:type="dxa" w:w="1440"/>
            <w:shd w:fill="FFDCE0" w:val="clear"/>
          </w:tcPr>
          <w:p>
            <w:r>
              <w:rPr>
                <w:b/>
                <w:color w:val="C00000"/>
                <w:sz w:val="17"/>
              </w:rPr>
              <w:t>-5.5%</w:t>
            </w:r>
          </w:p>
        </w:tc>
      </w:tr>
      <w:tr>
        <w:tc>
          <w:tcPr>
            <w:tcW w:type="dxa" w:w="1440"/>
            <w:shd w:fill="FFDCE0" w:val="clear"/>
          </w:tcPr>
          <w:p>
            <w:r>
              <w:rPr>
                <w:sz w:val="17"/>
              </w:rPr>
              <w:t>J+4  Moyenne</w:t>
            </w:r>
          </w:p>
        </w:tc>
        <w:tc>
          <w:tcPr>
            <w:tcW w:type="dxa" w:w="1440"/>
            <w:shd w:fill="FFDCE0" w:val="clear"/>
          </w:tcPr>
          <w:p>
            <w:r>
              <w:rPr>
                <w:sz w:val="17"/>
              </w:rPr>
              <w:t>2026-08-21</w:t>
            </w:r>
          </w:p>
        </w:tc>
        <w:tc>
          <w:tcPr>
            <w:tcW w:type="dxa" w:w="1440"/>
            <w:shd w:fill="FFDCE0" w:val="clear"/>
          </w:tcPr>
          <w:p>
            <w:r>
              <w:rPr>
                <w:sz w:val="17"/>
              </w:rPr>
              <w:t>6,938</w:t>
            </w:r>
          </w:p>
        </w:tc>
        <w:tc>
          <w:tcPr>
            <w:tcW w:type="dxa" w:w="1440"/>
            <w:shd w:fill="FFDCE0" w:val="clear"/>
          </w:tcPr>
          <w:p>
            <w:r>
              <w:rPr>
                <w:b/>
                <w:sz w:val="17"/>
              </w:rPr>
              <w:t>7,267</w:t>
            </w:r>
          </w:p>
        </w:tc>
        <w:tc>
          <w:tcPr>
            <w:tcW w:type="dxa" w:w="1440"/>
            <w:shd w:fill="FFDCE0" w:val="clear"/>
          </w:tcPr>
          <w:p>
            <w:r>
              <w:rPr>
                <w:sz w:val="17"/>
              </w:rPr>
              <w:t>7,597</w:t>
            </w:r>
          </w:p>
        </w:tc>
        <w:tc>
          <w:tcPr>
            <w:tcW w:type="dxa" w:w="1440"/>
            <w:shd w:fill="FFDCE0" w:val="clear"/>
          </w:tcPr>
          <w:p>
            <w:r>
              <w:rPr>
                <w:b/>
                <w:color w:val="C00000"/>
                <w:sz w:val="17"/>
              </w:rPr>
              <w:t>-6.8%</w:t>
            </w:r>
          </w:p>
        </w:tc>
      </w:tr>
      <w:tr>
        <w:tc>
          <w:tcPr>
            <w:tcW w:type="dxa" w:w="1440"/>
            <w:shd w:fill="FFDCE0" w:val="clear"/>
          </w:tcPr>
          <w:p>
            <w:r>
              <w:rPr>
                <w:sz w:val="17"/>
              </w:rPr>
              <w:t>J+5  Moyenne</w:t>
            </w:r>
          </w:p>
        </w:tc>
        <w:tc>
          <w:tcPr>
            <w:tcW w:type="dxa" w:w="1440"/>
            <w:shd w:fill="FFDCE0" w:val="clear"/>
          </w:tcPr>
          <w:p>
            <w:r>
              <w:rPr>
                <w:sz w:val="17"/>
              </w:rPr>
              <w:t>2026-08-24</w:t>
            </w:r>
          </w:p>
        </w:tc>
        <w:tc>
          <w:tcPr>
            <w:tcW w:type="dxa" w:w="1440"/>
            <w:shd w:fill="FFDCE0" w:val="clear"/>
          </w:tcPr>
          <w:p>
            <w:r>
              <w:rPr>
                <w:sz w:val="17"/>
              </w:rPr>
              <w:t>6,807</w:t>
            </w:r>
          </w:p>
        </w:tc>
        <w:tc>
          <w:tcPr>
            <w:tcW w:type="dxa" w:w="1440"/>
            <w:shd w:fill="FFDCE0" w:val="clear"/>
          </w:tcPr>
          <w:p>
            <w:r>
              <w:rPr>
                <w:b/>
                <w:sz w:val="17"/>
              </w:rPr>
              <w:t>7,171</w:t>
            </w:r>
          </w:p>
        </w:tc>
        <w:tc>
          <w:tcPr>
            <w:tcW w:type="dxa" w:w="1440"/>
            <w:shd w:fill="FFDCE0" w:val="clear"/>
          </w:tcPr>
          <w:p>
            <w:r>
              <w:rPr>
                <w:sz w:val="17"/>
              </w:rPr>
              <w:t>7,535</w:t>
            </w:r>
          </w:p>
        </w:tc>
        <w:tc>
          <w:tcPr>
            <w:tcW w:type="dxa" w:w="1440"/>
            <w:shd w:fill="FFDCE0" w:val="clear"/>
          </w:tcPr>
          <w:p>
            <w:r>
              <w:rPr>
                <w:b/>
                <w:color w:val="C00000"/>
                <w:sz w:val="17"/>
              </w:rPr>
              <w:t>-8.1%</w:t>
            </w:r>
          </w:p>
        </w:tc>
      </w:tr>
      <w:tr>
        <w:tc>
          <w:tcPr>
            <w:tcW w:type="dxa" w:w="1440"/>
            <w:shd w:fill="FFDCE0" w:val="clear"/>
          </w:tcPr>
          <w:p>
            <w:r>
              <w:rPr>
                <w:sz w:val="17"/>
              </w:rPr>
              <w:t>J+6  Moyenne</w:t>
            </w:r>
          </w:p>
        </w:tc>
        <w:tc>
          <w:tcPr>
            <w:tcW w:type="dxa" w:w="1440"/>
            <w:shd w:fill="FFDCE0" w:val="clear"/>
          </w:tcPr>
          <w:p>
            <w:r>
              <w:rPr>
                <w:sz w:val="17"/>
              </w:rPr>
              <w:t>2026-08-25</w:t>
            </w:r>
          </w:p>
        </w:tc>
        <w:tc>
          <w:tcPr>
            <w:tcW w:type="dxa" w:w="1440"/>
            <w:shd w:fill="FFDCE0" w:val="clear"/>
          </w:tcPr>
          <w:p>
            <w:r>
              <w:rPr>
                <w:sz w:val="17"/>
              </w:rPr>
              <w:t>6,686</w:t>
            </w:r>
          </w:p>
        </w:tc>
        <w:tc>
          <w:tcPr>
            <w:tcW w:type="dxa" w:w="1440"/>
            <w:shd w:fill="FFDCE0" w:val="clear"/>
          </w:tcPr>
          <w:p>
            <w:r>
              <w:rPr>
                <w:b/>
                <w:sz w:val="17"/>
              </w:rPr>
              <w:t>7,079</w:t>
            </w:r>
          </w:p>
        </w:tc>
        <w:tc>
          <w:tcPr>
            <w:tcW w:type="dxa" w:w="1440"/>
            <w:shd w:fill="FFDCE0" w:val="clear"/>
          </w:tcPr>
          <w:p>
            <w:r>
              <w:rPr>
                <w:sz w:val="17"/>
              </w:rPr>
              <w:t>7,473</w:t>
            </w:r>
          </w:p>
        </w:tc>
        <w:tc>
          <w:tcPr>
            <w:tcW w:type="dxa" w:w="1440"/>
            <w:shd w:fill="FFDCE0" w:val="clear"/>
          </w:tcPr>
          <w:p>
            <w:r>
              <w:rPr>
                <w:b/>
                <w:color w:val="C00000"/>
                <w:sz w:val="17"/>
              </w:rPr>
              <w:t>-9.2%</w:t>
            </w:r>
          </w:p>
        </w:tc>
      </w:tr>
      <w:tr>
        <w:tc>
          <w:tcPr>
            <w:tcW w:type="dxa" w:w="1440"/>
            <w:shd w:fill="FFDCE0" w:val="clear"/>
          </w:tcPr>
          <w:p>
            <w:r>
              <w:rPr>
                <w:sz w:val="17"/>
              </w:rPr>
              <w:t>J+7  Moyenne</w:t>
            </w:r>
          </w:p>
        </w:tc>
        <w:tc>
          <w:tcPr>
            <w:tcW w:type="dxa" w:w="1440"/>
            <w:shd w:fill="FFDCE0" w:val="clear"/>
          </w:tcPr>
          <w:p>
            <w:r>
              <w:rPr>
                <w:sz w:val="17"/>
              </w:rPr>
              <w:t>2026-08-27</w:t>
            </w:r>
          </w:p>
        </w:tc>
        <w:tc>
          <w:tcPr>
            <w:tcW w:type="dxa" w:w="1440"/>
            <w:shd w:fill="FFDCE0" w:val="clear"/>
          </w:tcPr>
          <w:p>
            <w:r>
              <w:rPr>
                <w:sz w:val="17"/>
              </w:rPr>
              <w:t>6,573</w:t>
            </w:r>
          </w:p>
        </w:tc>
        <w:tc>
          <w:tcPr>
            <w:tcW w:type="dxa" w:w="1440"/>
            <w:shd w:fill="FFDCE0" w:val="clear"/>
          </w:tcPr>
          <w:p>
            <w:r>
              <w:rPr>
                <w:b/>
                <w:sz w:val="17"/>
              </w:rPr>
              <w:t>6,992</w:t>
            </w:r>
          </w:p>
        </w:tc>
        <w:tc>
          <w:tcPr>
            <w:tcW w:type="dxa" w:w="1440"/>
            <w:shd w:fill="FFDCE0" w:val="clear"/>
          </w:tcPr>
          <w:p>
            <w:r>
              <w:rPr>
                <w:sz w:val="17"/>
              </w:rPr>
              <w:t>7,412</w:t>
            </w:r>
          </w:p>
        </w:tc>
        <w:tc>
          <w:tcPr>
            <w:tcW w:type="dxa" w:w="1440"/>
            <w:shd w:fill="FFDCE0" w:val="clear"/>
          </w:tcPr>
          <w:p>
            <w:r>
              <w:rPr>
                <w:b/>
                <w:color w:val="C00000"/>
                <w:sz w:val="17"/>
              </w:rPr>
              <w:t>-10.4%</w:t>
            </w:r>
          </w:p>
        </w:tc>
      </w:tr>
      <w:tr>
        <w:tc>
          <w:tcPr>
            <w:tcW w:type="dxa" w:w="1440"/>
            <w:shd w:fill="FFDCE0" w:val="clear"/>
          </w:tcPr>
          <w:p>
            <w:r>
              <w:rPr>
                <w:sz w:val="17"/>
              </w:rPr>
              <w:t>J+8  Moyenne</w:t>
            </w:r>
          </w:p>
        </w:tc>
        <w:tc>
          <w:tcPr>
            <w:tcW w:type="dxa" w:w="1440"/>
            <w:shd w:fill="FFDCE0" w:val="clear"/>
          </w:tcPr>
          <w:p>
            <w:r>
              <w:rPr>
                <w:sz w:val="17"/>
              </w:rPr>
              <w:t>2026-08-28</w:t>
            </w:r>
          </w:p>
        </w:tc>
        <w:tc>
          <w:tcPr>
            <w:tcW w:type="dxa" w:w="1440"/>
            <w:shd w:fill="FFDCE0" w:val="clear"/>
          </w:tcPr>
          <w:p>
            <w:r>
              <w:rPr>
                <w:sz w:val="17"/>
              </w:rPr>
              <w:t>6,466</w:t>
            </w:r>
          </w:p>
        </w:tc>
        <w:tc>
          <w:tcPr>
            <w:tcW w:type="dxa" w:w="1440"/>
            <w:shd w:fill="FFDCE0" w:val="clear"/>
          </w:tcPr>
          <w:p>
            <w:r>
              <w:rPr>
                <w:b/>
                <w:sz w:val="17"/>
              </w:rPr>
              <w:t>6,910</w:t>
            </w:r>
          </w:p>
        </w:tc>
        <w:tc>
          <w:tcPr>
            <w:tcW w:type="dxa" w:w="1440"/>
            <w:shd w:fill="FFDCE0" w:val="clear"/>
          </w:tcPr>
          <w:p>
            <w:r>
              <w:rPr>
                <w:sz w:val="17"/>
              </w:rPr>
              <w:t>7,354</w:t>
            </w:r>
          </w:p>
        </w:tc>
        <w:tc>
          <w:tcPr>
            <w:tcW w:type="dxa" w:w="1440"/>
            <w:shd w:fill="FFDCE0" w:val="clear"/>
          </w:tcPr>
          <w:p>
            <w:r>
              <w:rPr>
                <w:b/>
                <w:color w:val="C00000"/>
                <w:sz w:val="17"/>
              </w:rPr>
              <w:t>-11.4%</w:t>
            </w:r>
          </w:p>
        </w:tc>
      </w:tr>
      <w:tr>
        <w:tc>
          <w:tcPr>
            <w:tcW w:type="dxa" w:w="1440"/>
            <w:shd w:fill="FFDCE0" w:val="clear"/>
          </w:tcPr>
          <w:p>
            <w:r>
              <w:rPr>
                <w:sz w:val="17"/>
              </w:rPr>
              <w:t>J+9  Moyenne</w:t>
            </w:r>
          </w:p>
        </w:tc>
        <w:tc>
          <w:tcPr>
            <w:tcW w:type="dxa" w:w="1440"/>
            <w:shd w:fill="FFDCE0" w:val="clear"/>
          </w:tcPr>
          <w:p>
            <w:r>
              <w:rPr>
                <w:sz w:val="17"/>
              </w:rPr>
              <w:t>2026-08-31</w:t>
            </w:r>
          </w:p>
        </w:tc>
        <w:tc>
          <w:tcPr>
            <w:tcW w:type="dxa" w:w="1440"/>
            <w:shd w:fill="FFDCE0" w:val="clear"/>
          </w:tcPr>
          <w:p>
            <w:r>
              <w:rPr>
                <w:sz w:val="17"/>
              </w:rPr>
              <w:t>6,367</w:t>
            </w:r>
          </w:p>
        </w:tc>
        <w:tc>
          <w:tcPr>
            <w:tcW w:type="dxa" w:w="1440"/>
            <w:shd w:fill="FFDCE0" w:val="clear"/>
          </w:tcPr>
          <w:p>
            <w:r>
              <w:rPr>
                <w:b/>
                <w:sz w:val="17"/>
              </w:rPr>
              <w:t>6,832</w:t>
            </w:r>
          </w:p>
        </w:tc>
        <w:tc>
          <w:tcPr>
            <w:tcW w:type="dxa" w:w="1440"/>
            <w:shd w:fill="FFDCE0" w:val="clear"/>
          </w:tcPr>
          <w:p>
            <w:r>
              <w:rPr>
                <w:sz w:val="17"/>
              </w:rPr>
              <w:t>7,297</w:t>
            </w:r>
          </w:p>
        </w:tc>
        <w:tc>
          <w:tcPr>
            <w:tcW w:type="dxa" w:w="1440"/>
            <w:shd w:fill="FFDCE0" w:val="clear"/>
          </w:tcPr>
          <w:p>
            <w:r>
              <w:rPr>
                <w:b/>
                <w:color w:val="C00000"/>
                <w:sz w:val="17"/>
              </w:rPr>
              <w:t>-12.4%</w:t>
            </w:r>
          </w:p>
        </w:tc>
      </w:tr>
      <w:tr>
        <w:tc>
          <w:tcPr>
            <w:tcW w:type="dxa" w:w="1440"/>
            <w:shd w:fill="FFDCE0" w:val="clear"/>
          </w:tcPr>
          <w:p>
            <w:r>
              <w:rPr>
                <w:sz w:val="17"/>
              </w:rPr>
              <w:t>J+10  Moyenne</w:t>
            </w:r>
          </w:p>
        </w:tc>
        <w:tc>
          <w:tcPr>
            <w:tcW w:type="dxa" w:w="1440"/>
            <w:shd w:fill="FFDCE0" w:val="clear"/>
          </w:tcPr>
          <w:p>
            <w:r>
              <w:rPr>
                <w:sz w:val="17"/>
              </w:rPr>
              <w:t>2026-09-01</w:t>
            </w:r>
          </w:p>
        </w:tc>
        <w:tc>
          <w:tcPr>
            <w:tcW w:type="dxa" w:w="1440"/>
            <w:shd w:fill="FFDCE0" w:val="clear"/>
          </w:tcPr>
          <w:p>
            <w:r>
              <w:rPr>
                <w:sz w:val="17"/>
              </w:rPr>
              <w:t>6,272</w:t>
            </w:r>
          </w:p>
        </w:tc>
        <w:tc>
          <w:tcPr>
            <w:tcW w:type="dxa" w:w="1440"/>
            <w:shd w:fill="FFDCE0" w:val="clear"/>
          </w:tcPr>
          <w:p>
            <w:r>
              <w:rPr>
                <w:b/>
                <w:sz w:val="17"/>
              </w:rPr>
              <w:t>6,757</w:t>
            </w:r>
          </w:p>
        </w:tc>
        <w:tc>
          <w:tcPr>
            <w:tcW w:type="dxa" w:w="1440"/>
            <w:shd w:fill="FFDCE0" w:val="clear"/>
          </w:tcPr>
          <w:p>
            <w:r>
              <w:rPr>
                <w:sz w:val="17"/>
              </w:rPr>
              <w:t>7,242</w:t>
            </w:r>
          </w:p>
        </w:tc>
        <w:tc>
          <w:tcPr>
            <w:tcW w:type="dxa" w:w="1440"/>
            <w:shd w:fill="FFDCE0" w:val="clear"/>
          </w:tcPr>
          <w:p>
            <w:r>
              <w:rPr>
                <w:b/>
                <w:color w:val="C00000"/>
                <w:sz w:val="17"/>
              </w:rPr>
              <w:t>-13.4%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 17 août 2026 | Marché :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280,80 milliards FCFA positionne BOAS comme une valeur de premier plan sur la BRVM, reflétant la confiance des investisseurs dans le secteur bancaire sénégalais. Avec un BPA de 608 FCFA, chaque action génère un bénéfice substantiel, justifiant un PER de 12,8x. Ce ratio, bien que légèrement supérieur à la moyenne historique de la BRVM (8-12x), reste modéré et indique que les investisseurs paient un prix raisonnable pour les bénéfices actuels, sans bulle spéculative. Le P/B de 2,91x, situé dans la fourchette de 2 à 4x, témoigne d'une prime de croissance accordée par le marché, qui valorise les actifs nets de la banque au-dessus de leur valeur comptable. Enfin, un EV/EBITDA de 8,3x, dans la zone de 5 à 10x, confirme une valorisation d'entreprise cohérente avec sa capacité opérationnelle à générer de la richesse.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performance solide de +13,21%, avec une dernière séance en hausse de +1,30% à 7 800 FCFA. Le titre a évolué dans une fourchette de 6 400 à 8 050 FCFA, démontrant une dynamique haussière soutenue. La moyenne du cours sur la période (7 300 FCFA) est légèrement inférieure à la médiane (7 342 FCFA), suggérant une distribution quasi symétrique, confirmée par un skewness de -0,287. L'écart-type de 395 FCFA (CV=5,4%) indique une dispersion modérée autour de la moyenne. Le kurtosis de -0,758 (mésokurtique) signale une absence de pics extrêmes, réduisant le risque de mouvements violents. La volatilité annualisée de 24,4% classe le titre dans la catégorie modérée (15-30%), offrant un équilibre entre potentiel de rendement et maîtrise du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Les **Moyennes Mobiles** (MM20 à 7 714 FCFA et MM50 à 7 498 FCFA) sont toutes deux inférieures au cours actuel de 7 800 FCFA. Cette configuration haussière, où le prix évolue au-dessus de ses moyennes, confirme une tendance positive à court et moyen terme. La décision d'achat est justifiée par cette dynamique ascendante.</w:t>
      </w:r>
    </w:p>
    <w:p>
      <w:pPr>
        <w:spacing w:after="120" w:line="276" w:lineRule="auto"/>
      </w:pPr>
      <w:r>
        <w:t>Les **Bandes de Bollinger** encadrent le cours entre 7 445 et 7 983 FCFA. Le prix se situe dans la moitié supérieure de la bande, indiquant une pression acheteuse modérée sans surachat extrême. La décision neutre reflète une volatilité normale et un mouvement qui n'est pas encore arrivé à maturité.</w:t>
      </w:r>
    </w:p>
    <w:p>
      <w:pPr>
        <w:spacing w:after="120" w:line="276" w:lineRule="auto"/>
      </w:pPr>
      <w:r>
        <w:t>Le **MACD** affiche une valeur de 63,556, inférieure à son signal (72,928). Cette divergence baissière suggère un ralentissement du momentum haussier à très court terme. La décision de vente est un signal de prudence, indiquant une possible consolidation après la récente progression.</w:t>
      </w:r>
    </w:p>
    <w:p>
      <w:pPr>
        <w:spacing w:after="120" w:line="276" w:lineRule="auto"/>
      </w:pPr>
      <w:r>
        <w:t>Le **RSI** à 44,792 se situe en zone neutre (30-70), sans signal de surachat ni de survente. Cette valeur indique un équilibre entre acheteurs et vendeurs, laissant place à une évolution directionnelle sans pression excessive.</w:t>
      </w:r>
    </w:p>
    <w:p>
      <w:pPr>
        <w:spacing w:after="120" w:line="276" w:lineRule="auto"/>
      </w:pPr>
      <w:r>
        <w:t>Le **Stochastique** (%K=54,795, %D=35,616) montre un %K au-dessus de %D, suggérant un croisement haussier potentiel. Cependant, les valeurs restent en zone neutre, indiquant une absence de signal fort. La décision neutre est cohérente avec cette configuration.</w:t>
      </w:r>
    </w:p>
    <w:p>
      <w:pPr>
        <w:spacing w:after="120" w:line="276" w:lineRule="auto"/>
      </w:pPr>
      <w:r>
        <w:t>**Conclusion technique** : Les indicateurs sont mitigés. Les moyennes mobiles soutiennent une tendance haussière, mais le MACD et le RSI suggèrent une pause dans le mouvement. La configuration globale plaide pour une consolidation à court terme avant une possible reprise de la hausse, d'où une approche prudente.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BOAS affiche des fondamentaux solides avec un Produit Net Bancaire (PNB) de 51,926 milliards FCFA et un résultat net de 21,905 milliards FCFA. La rentabilité est excellente avec un ROE de 22,69% et un ROA de 2,62%, dépassant les seuils de performance du secteur. Le coefficient d'exploitation de 44,02% témoigne d'une gestion très efficace, bien en dessous du seuil de 60%. Le coût du risque de 23,31% reste un point de vigilance, mais la tendance est à l'amélioration. Les dépôts clients (686,927 milliards FCFA) dépassent largement les créances (386,424 milliards FCFA), assurant une transformation saine. Les rapports trimestriels 2025 confirment cette dynamique : le T3 2025 montre un PNB de 37,44 milliards FCFA (+6,71%) et un résultat net de 16,37 milliards FCFA (+10,01%). Le rapport T1 2026, publié en 2026, indique une poursuite de la croissance avec un PNB de 12,58 milliards FCFA (+6,82%) et un résultat net de 5,741 milliards FCFA (+9,78%). Sur cette base, on estime que l'exercice 2026 devrait confirmer cette trajectoire, avec un PNB annuel potentiel dépassant 54 milliards FCFA et un résultat net autour de 23 milliards FCFA. La banque démontre une résilience remarquable et une capacité à générer de la valeur de manière durable.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BOAS (PER 12,8x, P/B 2,91x) est raisonnable et reflète une prime de croissance justifiée par des fondamentaux solides. Le comportement du cours (+13,21% sur 100 jours) avec une volatilité modérée et une distribution symétrique est favorable. Les signaux techniques sont mitigés à court terme (MACD vendeur, MM acheteuses), suggérant une consolidation. Les fondamentaux sont excellents, avec une rentabilité élevée (ROE &gt;22%), une efficacité opérationnelle remarquable et une croissance soutenue du PNB et du résultat net. Les prédictions IA (7 597 à 7 171 FCFA sur 10 jours) indiquent une correction à court terme, contredisant la tendance haussière récente mais s'alignant avec les signaux techniques de prudence. Cette convergence entre technique et IA suggère une opportunité d'achat à moyen terme après une éventuelle baisse. **Recommandation : ACHAT** avec un niveau de confiance **Élevé**, un risque global **Moyen**, et un horizon d'investissement optimal à **moyen terme (3-12 mois)** pour capitaliser sur la solidité fondamentale et la croissance projetée.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21.31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2,370 titres</w:t>
            </w:r>
          </w:p>
        </w:tc>
        <w:tc>
          <w:tcPr>
            <w:tcW w:type="dxa" w:w="2268"/>
            <w:shd w:fill="FFF2CC" w:val="clear"/>
          </w:tcPr>
          <w:p>
            <w:r>
              <w:rPr>
                <w:b/>
                <w:color w:val="503200"/>
                <w:sz w:val="16"/>
              </w:rPr>
              <w:t xml:space="preserve">Cours actuel : </w:t>
            </w:r>
            <w:r>
              <w:rPr>
                <w:color w:val="000000"/>
                <w:sz w:val="17"/>
              </w:rPr>
              <w:t>3,600 FCFA</w:t>
            </w:r>
          </w:p>
          <w:p>
            <w:r>
              <w:rPr>
                <w:b/>
                <w:color w:val="503200"/>
                <w:sz w:val="16"/>
              </w:rPr>
              <w:t xml:space="preserve">Var. 100 jours : </w:t>
            </w:r>
            <w:r>
              <w:rPr>
                <w:b/>
                <w:color w:val="007800"/>
                <w:sz w:val="17"/>
              </w:rPr>
              <w:t>+9.92%</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3,165 FCFA</w:t>
            </w:r>
          </w:p>
          <w:p>
            <w:r>
              <w:rPr>
                <w:b/>
                <w:color w:val="503200"/>
                <w:sz w:val="16"/>
              </w:rPr>
              <w:t xml:space="preserve">Volatilité ann. : </w:t>
            </w:r>
            <w:r>
              <w:rPr>
                <w:color w:val="000000"/>
                <w:sz w:val="17"/>
              </w:rPr>
              <w:t>56.0%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8.33% (Moyenne) — μ=3,749 FCFA, σ=312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β=0.0605 (Défensif) — Cov=0.000002, Var(idx)=0.000031, ρ=0.010,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σ_j=3.53%/j (Modérée) — Vol. annualisée≈56.0%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2026-08-18</w:t>
            </w:r>
          </w:p>
        </w:tc>
        <w:tc>
          <w:tcPr>
            <w:tcW w:type="dxa" w:w="1440"/>
            <w:shd w:fill="C6EFCE" w:val="clear"/>
          </w:tcPr>
          <w:p>
            <w:r>
              <w:rPr>
                <w:sz w:val="17"/>
              </w:rPr>
              <w:t>3,574</w:t>
            </w:r>
          </w:p>
        </w:tc>
        <w:tc>
          <w:tcPr>
            <w:tcW w:type="dxa" w:w="1440"/>
            <w:shd w:fill="C6EFCE" w:val="clear"/>
          </w:tcPr>
          <w:p>
            <w:r>
              <w:rPr>
                <w:b/>
                <w:sz w:val="17"/>
              </w:rPr>
              <w:t>3,747</w:t>
            </w:r>
          </w:p>
        </w:tc>
        <w:tc>
          <w:tcPr>
            <w:tcW w:type="dxa" w:w="1440"/>
            <w:shd w:fill="C6EFCE" w:val="clear"/>
          </w:tcPr>
          <w:p>
            <w:r>
              <w:rPr>
                <w:sz w:val="17"/>
              </w:rPr>
              <w:t>3,920</w:t>
            </w:r>
          </w:p>
        </w:tc>
        <w:tc>
          <w:tcPr>
            <w:tcW w:type="dxa" w:w="1440"/>
            <w:shd w:fill="C6EFCE" w:val="clear"/>
          </w:tcPr>
          <w:p>
            <w:r>
              <w:rPr>
                <w:b/>
                <w:color w:val="008000"/>
                <w:sz w:val="17"/>
              </w:rPr>
              <w:t>+4.1%</w:t>
            </w:r>
          </w:p>
        </w:tc>
      </w:tr>
      <w:tr>
        <w:tc>
          <w:tcPr>
            <w:tcW w:type="dxa" w:w="1440"/>
            <w:shd w:fill="C6EFCE" w:val="clear"/>
          </w:tcPr>
          <w:p>
            <w:r>
              <w:rPr>
                <w:sz w:val="17"/>
              </w:rPr>
              <w:t>J+2  Moyenne</w:t>
            </w:r>
          </w:p>
        </w:tc>
        <w:tc>
          <w:tcPr>
            <w:tcW w:type="dxa" w:w="1440"/>
            <w:shd w:fill="C6EFCE" w:val="clear"/>
          </w:tcPr>
          <w:p>
            <w:r>
              <w:rPr>
                <w:sz w:val="17"/>
              </w:rPr>
              <w:t>2026-08-19</w:t>
            </w:r>
          </w:p>
        </w:tc>
        <w:tc>
          <w:tcPr>
            <w:tcW w:type="dxa" w:w="1440"/>
            <w:shd w:fill="C6EFCE" w:val="clear"/>
          </w:tcPr>
          <w:p>
            <w:r>
              <w:rPr>
                <w:sz w:val="17"/>
              </w:rPr>
              <w:t>3,657</w:t>
            </w:r>
          </w:p>
        </w:tc>
        <w:tc>
          <w:tcPr>
            <w:tcW w:type="dxa" w:w="1440"/>
            <w:shd w:fill="C6EFCE" w:val="clear"/>
          </w:tcPr>
          <w:p>
            <w:r>
              <w:rPr>
                <w:b/>
                <w:sz w:val="17"/>
              </w:rPr>
              <w:t>3,913</w:t>
            </w:r>
          </w:p>
        </w:tc>
        <w:tc>
          <w:tcPr>
            <w:tcW w:type="dxa" w:w="1440"/>
            <w:shd w:fill="C6EFCE" w:val="clear"/>
          </w:tcPr>
          <w:p>
            <w:r>
              <w:rPr>
                <w:sz w:val="17"/>
              </w:rPr>
              <w:t>4,168</w:t>
            </w:r>
          </w:p>
        </w:tc>
        <w:tc>
          <w:tcPr>
            <w:tcW w:type="dxa" w:w="1440"/>
            <w:shd w:fill="C6EFCE" w:val="clear"/>
          </w:tcPr>
          <w:p>
            <w:r>
              <w:rPr>
                <w:b/>
                <w:color w:val="008000"/>
                <w:sz w:val="17"/>
              </w:rPr>
              <w:t>+8.7%</w:t>
            </w:r>
          </w:p>
        </w:tc>
      </w:tr>
      <w:tr>
        <w:tc>
          <w:tcPr>
            <w:tcW w:type="dxa" w:w="1440"/>
            <w:shd w:fill="C6EFCE" w:val="clear"/>
          </w:tcPr>
          <w:p>
            <w:r>
              <w:rPr>
                <w:sz w:val="17"/>
              </w:rPr>
              <w:t>J+3  Moyenne</w:t>
            </w:r>
          </w:p>
        </w:tc>
        <w:tc>
          <w:tcPr>
            <w:tcW w:type="dxa" w:w="1440"/>
            <w:shd w:fill="C6EFCE" w:val="clear"/>
          </w:tcPr>
          <w:p>
            <w:r>
              <w:rPr>
                <w:sz w:val="17"/>
              </w:rPr>
              <w:t>2026-08-20</w:t>
            </w:r>
          </w:p>
        </w:tc>
        <w:tc>
          <w:tcPr>
            <w:tcW w:type="dxa" w:w="1440"/>
            <w:shd w:fill="C6EFCE" w:val="clear"/>
          </w:tcPr>
          <w:p>
            <w:r>
              <w:rPr>
                <w:sz w:val="17"/>
              </w:rPr>
              <w:t>3,775</w:t>
            </w:r>
          </w:p>
        </w:tc>
        <w:tc>
          <w:tcPr>
            <w:tcW w:type="dxa" w:w="1440"/>
            <w:shd w:fill="C6EFCE" w:val="clear"/>
          </w:tcPr>
          <w:p>
            <w:r>
              <w:rPr>
                <w:b/>
                <w:sz w:val="17"/>
              </w:rPr>
              <w:t>4,103</w:t>
            </w:r>
          </w:p>
        </w:tc>
        <w:tc>
          <w:tcPr>
            <w:tcW w:type="dxa" w:w="1440"/>
            <w:shd w:fill="C6EFCE" w:val="clear"/>
          </w:tcPr>
          <w:p>
            <w:r>
              <w:rPr>
                <w:sz w:val="17"/>
              </w:rPr>
              <w:t>4,431</w:t>
            </w:r>
          </w:p>
        </w:tc>
        <w:tc>
          <w:tcPr>
            <w:tcW w:type="dxa" w:w="1440"/>
            <w:shd w:fill="C6EFCE" w:val="clear"/>
          </w:tcPr>
          <w:p>
            <w:r>
              <w:rPr>
                <w:b/>
                <w:color w:val="008000"/>
                <w:sz w:val="17"/>
              </w:rPr>
              <w:t>+14.0%</w:t>
            </w:r>
          </w:p>
        </w:tc>
      </w:tr>
      <w:tr>
        <w:tc>
          <w:tcPr>
            <w:tcW w:type="dxa" w:w="1440"/>
            <w:shd w:fill="C6EFCE" w:val="clear"/>
          </w:tcPr>
          <w:p>
            <w:r>
              <w:rPr>
                <w:sz w:val="17"/>
              </w:rPr>
              <w:t>J+4  ⭐</w:t>
            </w:r>
          </w:p>
        </w:tc>
        <w:tc>
          <w:tcPr>
            <w:tcW w:type="dxa" w:w="1440"/>
            <w:shd w:fill="C6EFCE" w:val="clear"/>
          </w:tcPr>
          <w:p>
            <w:r>
              <w:rPr>
                <w:sz w:val="17"/>
              </w:rPr>
              <w:t>2026-08-21</w:t>
            </w:r>
          </w:p>
        </w:tc>
        <w:tc>
          <w:tcPr>
            <w:tcW w:type="dxa" w:w="1440"/>
            <w:shd w:fill="C6EFCE" w:val="clear"/>
          </w:tcPr>
          <w:p>
            <w:r>
              <w:rPr>
                <w:sz w:val="17"/>
              </w:rPr>
              <w:t>3,920</w:t>
            </w:r>
          </w:p>
        </w:tc>
        <w:tc>
          <w:tcPr>
            <w:tcW w:type="dxa" w:w="1440"/>
            <w:shd w:fill="C6EFCE" w:val="clear"/>
          </w:tcPr>
          <w:p>
            <w:r>
              <w:rPr>
                <w:b/>
                <w:sz w:val="17"/>
              </w:rPr>
              <w:t>4,318</w:t>
            </w:r>
          </w:p>
        </w:tc>
        <w:tc>
          <w:tcPr>
            <w:tcW w:type="dxa" w:w="1440"/>
            <w:shd w:fill="C6EFCE" w:val="clear"/>
          </w:tcPr>
          <w:p>
            <w:r>
              <w:rPr>
                <w:sz w:val="17"/>
              </w:rPr>
              <w:t>4,717</w:t>
            </w:r>
          </w:p>
        </w:tc>
        <w:tc>
          <w:tcPr>
            <w:tcW w:type="dxa" w:w="1440"/>
            <w:shd w:fill="C6EFCE" w:val="clear"/>
          </w:tcPr>
          <w:p>
            <w:r>
              <w:rPr>
                <w:b/>
                <w:color w:val="008000"/>
                <w:sz w:val="17"/>
              </w:rPr>
              <w:t>+20.0%</w:t>
            </w:r>
          </w:p>
        </w:tc>
      </w:tr>
      <w:tr>
        <w:tc>
          <w:tcPr>
            <w:tcW w:type="dxa" w:w="1440"/>
            <w:shd w:fill="C6EFCE" w:val="clear"/>
          </w:tcPr>
          <w:p>
            <w:r>
              <w:rPr>
                <w:sz w:val="17"/>
              </w:rPr>
              <w:t>J+5  ⭐</w:t>
            </w:r>
          </w:p>
        </w:tc>
        <w:tc>
          <w:tcPr>
            <w:tcW w:type="dxa" w:w="1440"/>
            <w:shd w:fill="C6EFCE" w:val="clear"/>
          </w:tcPr>
          <w:p>
            <w:r>
              <w:rPr>
                <w:sz w:val="17"/>
              </w:rPr>
              <w:t>2026-08-24</w:t>
            </w:r>
          </w:p>
        </w:tc>
        <w:tc>
          <w:tcPr>
            <w:tcW w:type="dxa" w:w="1440"/>
            <w:shd w:fill="C6EFCE" w:val="clear"/>
          </w:tcPr>
          <w:p>
            <w:r>
              <w:rPr>
                <w:sz w:val="17"/>
              </w:rPr>
              <w:t>4,091</w:t>
            </w:r>
          </w:p>
        </w:tc>
        <w:tc>
          <w:tcPr>
            <w:tcW w:type="dxa" w:w="1440"/>
            <w:shd w:fill="C6EFCE" w:val="clear"/>
          </w:tcPr>
          <w:p>
            <w:r>
              <w:rPr>
                <w:b/>
                <w:sz w:val="17"/>
              </w:rPr>
              <w:t>4,562</w:t>
            </w:r>
          </w:p>
        </w:tc>
        <w:tc>
          <w:tcPr>
            <w:tcW w:type="dxa" w:w="1440"/>
            <w:shd w:fill="C6EFCE" w:val="clear"/>
          </w:tcPr>
          <w:p>
            <w:r>
              <w:rPr>
                <w:sz w:val="17"/>
              </w:rPr>
              <w:t>5,033</w:t>
            </w:r>
          </w:p>
        </w:tc>
        <w:tc>
          <w:tcPr>
            <w:tcW w:type="dxa" w:w="1440"/>
            <w:shd w:fill="C6EFCE" w:val="clear"/>
          </w:tcPr>
          <w:p>
            <w:r>
              <w:rPr>
                <w:b/>
                <w:color w:val="008000"/>
                <w:sz w:val="17"/>
              </w:rPr>
              <w:t>+26.7%</w:t>
            </w:r>
          </w:p>
        </w:tc>
      </w:tr>
      <w:tr>
        <w:tc>
          <w:tcPr>
            <w:tcW w:type="dxa" w:w="1440"/>
            <w:shd w:fill="C6EFCE" w:val="clear"/>
          </w:tcPr>
          <w:p>
            <w:r>
              <w:rPr>
                <w:sz w:val="17"/>
              </w:rPr>
              <w:t>J+6  ⭐</w:t>
            </w:r>
          </w:p>
        </w:tc>
        <w:tc>
          <w:tcPr>
            <w:tcW w:type="dxa" w:w="1440"/>
            <w:shd w:fill="C6EFCE" w:val="clear"/>
          </w:tcPr>
          <w:p>
            <w:r>
              <w:rPr>
                <w:sz w:val="17"/>
              </w:rPr>
              <w:t>2026-08-25</w:t>
            </w:r>
          </w:p>
        </w:tc>
        <w:tc>
          <w:tcPr>
            <w:tcW w:type="dxa" w:w="1440"/>
            <w:shd w:fill="C6EFCE" w:val="clear"/>
          </w:tcPr>
          <w:p>
            <w:r>
              <w:rPr>
                <w:sz w:val="17"/>
              </w:rPr>
              <w:t>4,294</w:t>
            </w:r>
          </w:p>
        </w:tc>
        <w:tc>
          <w:tcPr>
            <w:tcW w:type="dxa" w:w="1440"/>
            <w:shd w:fill="C6EFCE" w:val="clear"/>
          </w:tcPr>
          <w:p>
            <w:r>
              <w:rPr>
                <w:b/>
                <w:sz w:val="17"/>
              </w:rPr>
              <w:t>4,842</w:t>
            </w:r>
          </w:p>
        </w:tc>
        <w:tc>
          <w:tcPr>
            <w:tcW w:type="dxa" w:w="1440"/>
            <w:shd w:fill="C6EFCE" w:val="clear"/>
          </w:tcPr>
          <w:p>
            <w:r>
              <w:rPr>
                <w:sz w:val="17"/>
              </w:rPr>
              <w:t>5,389</w:t>
            </w:r>
          </w:p>
        </w:tc>
        <w:tc>
          <w:tcPr>
            <w:tcW w:type="dxa" w:w="1440"/>
            <w:shd w:fill="C6EFCE" w:val="clear"/>
          </w:tcPr>
          <w:p>
            <w:r>
              <w:rPr>
                <w:b/>
                <w:color w:val="008000"/>
                <w:sz w:val="17"/>
              </w:rPr>
              <w:t>+34.5%</w:t>
            </w:r>
          </w:p>
        </w:tc>
      </w:tr>
      <w:tr>
        <w:tc>
          <w:tcPr>
            <w:tcW w:type="dxa" w:w="1440"/>
            <w:shd w:fill="C6EFCE" w:val="clear"/>
          </w:tcPr>
          <w:p>
            <w:r>
              <w:rPr>
                <w:sz w:val="17"/>
              </w:rPr>
              <w:t>J+7  ⭐</w:t>
            </w:r>
          </w:p>
        </w:tc>
        <w:tc>
          <w:tcPr>
            <w:tcW w:type="dxa" w:w="1440"/>
            <w:shd w:fill="C6EFCE" w:val="clear"/>
          </w:tcPr>
          <w:p>
            <w:r>
              <w:rPr>
                <w:sz w:val="17"/>
              </w:rPr>
              <w:t>2026-08-27</w:t>
            </w:r>
          </w:p>
        </w:tc>
        <w:tc>
          <w:tcPr>
            <w:tcW w:type="dxa" w:w="1440"/>
            <w:shd w:fill="C6EFCE" w:val="clear"/>
          </w:tcPr>
          <w:p>
            <w:r>
              <w:rPr>
                <w:sz w:val="17"/>
              </w:rPr>
              <w:t>4,538</w:t>
            </w:r>
          </w:p>
        </w:tc>
        <w:tc>
          <w:tcPr>
            <w:tcW w:type="dxa" w:w="1440"/>
            <w:shd w:fill="C6EFCE" w:val="clear"/>
          </w:tcPr>
          <w:p>
            <w:r>
              <w:rPr>
                <w:b/>
                <w:sz w:val="17"/>
              </w:rPr>
              <w:t>5,169</w:t>
            </w:r>
          </w:p>
        </w:tc>
        <w:tc>
          <w:tcPr>
            <w:tcW w:type="dxa" w:w="1440"/>
            <w:shd w:fill="C6EFCE" w:val="clear"/>
          </w:tcPr>
          <w:p>
            <w:r>
              <w:rPr>
                <w:sz w:val="17"/>
              </w:rPr>
              <w:t>5,800</w:t>
            </w:r>
          </w:p>
        </w:tc>
        <w:tc>
          <w:tcPr>
            <w:tcW w:type="dxa" w:w="1440"/>
            <w:shd w:fill="C6EFCE" w:val="clear"/>
          </w:tcPr>
          <w:p>
            <w:r>
              <w:rPr>
                <w:b/>
                <w:color w:val="008000"/>
                <w:sz w:val="17"/>
              </w:rPr>
              <w:t>+43.6%</w:t>
            </w:r>
          </w:p>
        </w:tc>
      </w:tr>
      <w:tr>
        <w:tc>
          <w:tcPr>
            <w:tcW w:type="dxa" w:w="1440"/>
            <w:shd w:fill="C6EFCE" w:val="clear"/>
          </w:tcPr>
          <w:p>
            <w:r>
              <w:rPr>
                <w:sz w:val="17"/>
              </w:rPr>
              <w:t>J+8  ⭐</w:t>
            </w:r>
          </w:p>
        </w:tc>
        <w:tc>
          <w:tcPr>
            <w:tcW w:type="dxa" w:w="1440"/>
            <w:shd w:fill="C6EFCE" w:val="clear"/>
          </w:tcPr>
          <w:p>
            <w:r>
              <w:rPr>
                <w:sz w:val="17"/>
              </w:rPr>
              <w:t>2026-08-28</w:t>
            </w:r>
          </w:p>
        </w:tc>
        <w:tc>
          <w:tcPr>
            <w:tcW w:type="dxa" w:w="1440"/>
            <w:shd w:fill="C6EFCE" w:val="clear"/>
          </w:tcPr>
          <w:p>
            <w:r>
              <w:rPr>
                <w:sz w:val="17"/>
              </w:rPr>
              <w:t>4,831</w:t>
            </w:r>
          </w:p>
        </w:tc>
        <w:tc>
          <w:tcPr>
            <w:tcW w:type="dxa" w:w="1440"/>
            <w:shd w:fill="C6EFCE" w:val="clear"/>
          </w:tcPr>
          <w:p>
            <w:r>
              <w:rPr>
                <w:b/>
                <w:sz w:val="17"/>
              </w:rPr>
              <w:t>5,556</w:t>
            </w:r>
          </w:p>
        </w:tc>
        <w:tc>
          <w:tcPr>
            <w:tcW w:type="dxa" w:w="1440"/>
            <w:shd w:fill="C6EFCE" w:val="clear"/>
          </w:tcPr>
          <w:p>
            <w:r>
              <w:rPr>
                <w:sz w:val="17"/>
              </w:rPr>
              <w:t>6,282</w:t>
            </w:r>
          </w:p>
        </w:tc>
        <w:tc>
          <w:tcPr>
            <w:tcW w:type="dxa" w:w="1440"/>
            <w:shd w:fill="C6EFCE" w:val="clear"/>
          </w:tcPr>
          <w:p>
            <w:r>
              <w:rPr>
                <w:b/>
                <w:color w:val="008000"/>
                <w:sz w:val="17"/>
              </w:rPr>
              <w:t>+54.3%</w:t>
            </w:r>
          </w:p>
        </w:tc>
      </w:tr>
      <w:tr>
        <w:tc>
          <w:tcPr>
            <w:tcW w:type="dxa" w:w="1440"/>
            <w:shd w:fill="C6EFCE" w:val="clear"/>
          </w:tcPr>
          <w:p>
            <w:r>
              <w:rPr>
                <w:sz w:val="17"/>
              </w:rPr>
              <w:t>J+9  ⭐</w:t>
            </w:r>
          </w:p>
        </w:tc>
        <w:tc>
          <w:tcPr>
            <w:tcW w:type="dxa" w:w="1440"/>
            <w:shd w:fill="C6EFCE" w:val="clear"/>
          </w:tcPr>
          <w:p>
            <w:r>
              <w:rPr>
                <w:sz w:val="17"/>
              </w:rPr>
              <w:t>2026-08-31</w:t>
            </w:r>
          </w:p>
        </w:tc>
        <w:tc>
          <w:tcPr>
            <w:tcW w:type="dxa" w:w="1440"/>
            <w:shd w:fill="C6EFCE" w:val="clear"/>
          </w:tcPr>
          <w:p>
            <w:r>
              <w:rPr>
                <w:sz w:val="17"/>
              </w:rPr>
              <w:t>5,146</w:t>
            </w:r>
          </w:p>
        </w:tc>
        <w:tc>
          <w:tcPr>
            <w:tcW w:type="dxa" w:w="1440"/>
            <w:shd w:fill="C6EFCE" w:val="clear"/>
          </w:tcPr>
          <w:p>
            <w:r>
              <w:rPr>
                <w:b/>
                <w:sz w:val="17"/>
              </w:rPr>
              <w:t>5,973</w:t>
            </w:r>
          </w:p>
        </w:tc>
        <w:tc>
          <w:tcPr>
            <w:tcW w:type="dxa" w:w="1440"/>
            <w:shd w:fill="C6EFCE" w:val="clear"/>
          </w:tcPr>
          <w:p>
            <w:r>
              <w:rPr>
                <w:sz w:val="17"/>
              </w:rPr>
              <w:t>6,800</w:t>
            </w:r>
          </w:p>
        </w:tc>
        <w:tc>
          <w:tcPr>
            <w:tcW w:type="dxa" w:w="1440"/>
            <w:shd w:fill="C6EFCE" w:val="clear"/>
          </w:tcPr>
          <w:p>
            <w:r>
              <w:rPr>
                <w:b/>
                <w:color w:val="008000"/>
                <w:sz w:val="17"/>
              </w:rPr>
              <w:t>+65.9%</w:t>
            </w:r>
          </w:p>
        </w:tc>
      </w:tr>
      <w:tr>
        <w:tc>
          <w:tcPr>
            <w:tcW w:type="dxa" w:w="1440"/>
            <w:shd w:fill="C6EFCE" w:val="clear"/>
          </w:tcPr>
          <w:p>
            <w:r>
              <w:rPr>
                <w:sz w:val="17"/>
              </w:rPr>
              <w:t>J+10  ⭐</w:t>
            </w:r>
          </w:p>
        </w:tc>
        <w:tc>
          <w:tcPr>
            <w:tcW w:type="dxa" w:w="1440"/>
            <w:shd w:fill="C6EFCE" w:val="clear"/>
          </w:tcPr>
          <w:p>
            <w:r>
              <w:rPr>
                <w:sz w:val="17"/>
              </w:rPr>
              <w:t>2026-09-01</w:t>
            </w:r>
          </w:p>
        </w:tc>
        <w:tc>
          <w:tcPr>
            <w:tcW w:type="dxa" w:w="1440"/>
            <w:shd w:fill="C6EFCE" w:val="clear"/>
          </w:tcPr>
          <w:p>
            <w:r>
              <w:rPr>
                <w:sz w:val="17"/>
              </w:rPr>
              <w:t>5,484</w:t>
            </w:r>
          </w:p>
        </w:tc>
        <w:tc>
          <w:tcPr>
            <w:tcW w:type="dxa" w:w="1440"/>
            <w:shd w:fill="C6EFCE" w:val="clear"/>
          </w:tcPr>
          <w:p>
            <w:r>
              <w:rPr>
                <w:b/>
                <w:sz w:val="17"/>
              </w:rPr>
              <w:t>6,421</w:t>
            </w:r>
          </w:p>
        </w:tc>
        <w:tc>
          <w:tcPr>
            <w:tcW w:type="dxa" w:w="1440"/>
            <w:shd w:fill="C6EFCE" w:val="clear"/>
          </w:tcPr>
          <w:p>
            <w:r>
              <w:rPr>
                <w:sz w:val="17"/>
              </w:rPr>
              <w:t>7,358</w:t>
            </w:r>
          </w:p>
        </w:tc>
        <w:tc>
          <w:tcPr>
            <w:tcW w:type="dxa" w:w="1440"/>
            <w:shd w:fill="C6EFCE" w:val="clear"/>
          </w:tcPr>
          <w:p>
            <w:r>
              <w:rPr>
                <w:b/>
                <w:color w:val="008000"/>
                <w:sz w:val="17"/>
              </w:rPr>
              <w:t>+78.4%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CABC s'établit à 21,31 milliards FCFA, un niveau intermédiaire sur la BRVM qui reflète une société de taille moyenne dans le secteur industriel. Avec un BPA de 243 FCFA, chaque action génère un bénéfice modeste mais positif. Le PER de 14,8x se situe au-dessus de la moyenne historique de la BRVM (8-12x), indiquant que les investisseurs acceptent de payer une prime, probablement justifiée par les perspectives de croissance du secteur des câbles et d'infrastructures en Afrique de l'Ouest. Le P/B de 2,28x confirme cette prime de croissance accordée par le marché, le cours s'échangeant plus de deux fois la valeur comptable des actifs. Enfin, l'EV/EBITDA de 7,6x reste dans une zone raisonnable (5-10x), suggérant une valorisation globale cohérente avec la capacité opérationnelle de l'entreprise à générer de la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CABC affiche une progression de +9,92%, avec une accélération notable lors de la dernière séance (+2,86%), portant le cours à 3 600 FCFA. Le titre a évolué dans une fourchette de 3 165 à 4 500 FCFA, démontrant une amplitude de trading significative de plus de 42%. La moyenne du cours sur la période (3 749 FCFA) est supérieure à la médiane (3 700 FCFA), indiquant une distribution légèrement asymétrique avec quelques pics de prix élevés. L'écart-type de 314 FCFA (CV=8,4%) révèle une dispersion modérée des prix autour de la moyenne. Le kurtosis de -0,293 (mésokurtique) indique une distribution proche de la normale, sans risque de variations extrêmes, tandis que le skewness de 0,463 suggère une asymétrie positive avec des queues de distribution plus longues vers les hauts cours. La volatilité annualisée de 56,0% est élevée, positionnant CABC comme un titre à fort risque sur le marché BRVM.</w:t>
      </w:r>
    </w:p>
    <w:p>
      <w:pPr>
        <w:spacing w:after="120" w:line="276" w:lineRule="auto" w:before="240"/>
      </w:pPr>
      <w:r>
        <w:rPr>
          <w:b/>
          <w:color w:val="003366"/>
          <w:sz w:val="24"/>
        </w:rPr>
        <w:t>**PARTIE 2 : ANALYSE TECHNIQUE DÉTAILLÉE**</w:t>
      </w:r>
    </w:p>
    <w:p>
      <w:pPr>
        <w:spacing w:after="120" w:line="276" w:lineRule="auto"/>
      </w:pPr>
      <w:r>
        <w:t>Les moyennes mobiles constituent un signal de vente : la MM20 à 3 622 FCFA et la MM50 à 3 869 FCFA se situent toutes deux au-dessus du cours actuel de 3 600 FCFA, confirmant une tendance baissière à court et moyen terme. Le croisement de ces moyennes mobiles suggère que le prix n'a pas encore retrouvé sa dynamique haussière, malgré le rebond récent de la dernière séance.</w:t>
      </w:r>
    </w:p>
    <w:p>
      <w:pPr>
        <w:spacing w:after="120" w:line="276" w:lineRule="auto"/>
      </w:pPr>
      <w:r>
        <w:t>Les bandes de Bollinger affichent une position neutre : le cours se situe à 3 600 FCFA, entre la borne inférieure à 3 313 FCFA et la borne supérieure à 3 931 FCFA. Cette position médiane indique une volatilité modérée et l'absence de pression directionnelle forte, laissant place à une possible poursuite de la consolidation avant un mouvement plus décisif.</w:t>
      </w:r>
    </w:p>
    <w:p>
      <w:pPr>
        <w:spacing w:after="120" w:line="276" w:lineRule="auto"/>
      </w:pPr>
      <w:r>
        <w:t>Le MACD montre un signal d'achat avec une valeur de -96,9 et une ligne de signal à -104,1. La divergence positive entre ces deux lignes indique un momentum haussier naissant, suggérant que la dynamique baissière s'essouffle et qu'un retournement pourrait s'opérer à moyen terme.</w:t>
      </w:r>
    </w:p>
    <w:p>
      <w:pPr>
        <w:spacing w:after="120" w:line="276" w:lineRule="auto"/>
      </w:pPr>
      <w:r>
        <w:t>Le RSI à 46,9 se positionne en zone neutre, ni suracheté ni survendu. Cette valeur indique un équilibre entre pression acheteuse et vendeuse, sans signal directionnel fort. Le marché semble attendre un catalyseur pour orienter le titre.</w:t>
      </w:r>
    </w:p>
    <w:p>
      <w:pPr>
        <w:spacing w:after="120" w:line="276" w:lineRule="auto"/>
      </w:pPr>
      <w:r>
        <w:t>Le stochastique avec %K à 55,6 et %D à 23,8 montre un croisement haussier en cours, le %K étant nettement au-dessus du %D. Cette configuration suggère un regain d'intérêt acheteur à court terme, même si la prudence reste de mise tant que le %D n'a pas confirmé cette tendance.</w:t>
      </w:r>
    </w:p>
    <w:p>
      <w:pPr>
        <w:spacing w:after="120" w:line="276" w:lineRule="auto"/>
      </w:pPr>
      <w:r>
        <w:t>La conclusion technique est mitigée : les moyennes mobiles restent baissières, mais le MACD et le stochastique montrent des signaux d'amélioration. Le RSI neutre et les bandes de Bollinger sans direction claire indiquent une phase de transition. Le titre pourrait tenter un rebond technique vers la MM20 à 3 622 FCFA, mais la tendance de fond reste incertaine.</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font état d'un chiffre d'affaires de 21,263 milliards FCFA, en progression de +11,2% par rapport à 2024, avec un résultat net de 1,439 milliard FCFA, soit une marge nette de 6,77%. La rentabilité des fonds propres (ROE) atteint 15,40%, un niveau excellent pour la BRVM, tandis que le ROA s'établit à 6,10%. La structure financière est saine avec une autonomie financière de 39,6% et une capacité de remboursement de seulement 0,26 an. Cependant, les délais clients (144,7 jours) et de stockage (152,1 jours) sont élevés, reflétant un BFR important de 7,186 milliards FCFA. Les rapports trimestriels 2025 confirment cette dynamique : le S1 2025 affiche un résultat net de 851,5 millions FCFA (+55,3% vs S1 2024) et le T3 2025 cumulé atteint 1 329,5 millions FCFA (+26,0%), avec des marges opérationnelles autour de 11,5%. Sur la base de ces performances, on estime que l'exercice 2025 devrait confirmer un résultat net annuel supérieur à 1,4 milliard FCFA. Les rapports antérieurs (2023-2024) montrent une amélioration continue : le CA est passé de 17,75 milliards FCFA en 2023 à 21,26 milliards FCFA en 2025 (+19,8% sur 2 ans), et le résultat net de 1,43 milliard à 1,44 milliard FCFA. Le rapport T1 2026 fait état d'une baisse conjoncturelle (-26,5% du CA) liée à une maintenance planifiée, mais la direction anticipe une normalisation dès le T2 2026. La solidité financière de CABC repose sur une trésorerie nette de 5,139 milliards FCFA et des dettes financières très limitées (417,6 millions FCFA), offrant une capacité de résilience face aux risques identifiés (volatilité des matières premières, pression sur les marges).</w:t>
      </w:r>
    </w:p>
    <w:p>
      <w:pPr>
        <w:spacing w:after="120" w:line="276" w:lineRule="auto" w:before="240"/>
      </w:pPr>
      <w:r>
        <w:rPr>
          <w:b/>
          <w:color w:val="003366"/>
          <w:sz w:val="24"/>
        </w:rPr>
        <w:t>**PARTIE 4 : CONCLUSION D'INVESTISSEMENT**</w:t>
      </w:r>
    </w:p>
    <w:p>
      <w:pPr>
        <w:spacing w:after="120" w:line="276" w:lineRule="auto"/>
      </w:pPr>
      <w:r>
        <w:t>La valorisation de CABC (PER 14,8x, P/B 2,28x) apparaît légèrement supérieure aux standards BRVM, mais reste justifiée par la croissance du CA et l'amélioration des marges. Le comportement du cours sur 100 jours montre une tendance haussière (+9,92%) malgré une volatilité élevée (56%), avec des statistiques de distribution favorables (asymétrie positive, kurtosis modéré). Les signaux techniques sont mitigés : les moyennes mobiles restent baissières mais le MACD et le stochastique montrent des signes de retournement haussier. Les fondamentaux sont solides avec un ROE de 15,4%, une trésorerie confortable et une croissance soutenue du CA (+11,2% en 2025), confirmée par les rapports trimestriels. Les prédictions IA sur 10 jours (3 747 à 4 562 FCFA) anticipent une poursuite de la hausse, en convergence avec les signaux techniques d'amélioration. La recommandation finale est **ACHAT** avec un niveau de confiance **Moyen** et un risque global **Élevé** en raison de la volatilité du titre. L'horizon d'investissement optimal se situe à **moyen terme (3-12 mois)**, permettant de capitaliser sur la normalisation attendue des performances après le T1 2026 difficile et la reprise de la demande dans le secteur des infrastructures.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906.08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1,318 titres</w:t>
            </w:r>
          </w:p>
        </w:tc>
        <w:tc>
          <w:tcPr>
            <w:tcW w:type="dxa" w:w="2268"/>
            <w:shd w:fill="FFF2CC" w:val="clear"/>
          </w:tcPr>
          <w:p>
            <w:r>
              <w:rPr>
                <w:b/>
                <w:color w:val="503200"/>
                <w:sz w:val="16"/>
              </w:rPr>
              <w:t xml:space="preserve">Cours actuel : </w:t>
            </w:r>
            <w:r>
              <w:rPr>
                <w:color w:val="000000"/>
                <w:sz w:val="17"/>
              </w:rPr>
              <w:t>28,315 FCFA</w:t>
            </w:r>
          </w:p>
          <w:p>
            <w:r>
              <w:rPr>
                <w:b/>
                <w:color w:val="503200"/>
                <w:sz w:val="16"/>
              </w:rPr>
              <w:t xml:space="preserve">Var. 100 jours : </w:t>
            </w:r>
            <w:r>
              <w:rPr>
                <w:b/>
                <w:color w:val="007800"/>
                <w:sz w:val="17"/>
              </w:rPr>
              <w:t>+106.60%</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13,705 FCFA</w:t>
            </w:r>
          </w:p>
          <w:p>
            <w:r>
              <w:rPr>
                <w:b/>
                <w:color w:val="503200"/>
                <w:sz w:val="16"/>
              </w:rPr>
              <w:t xml:space="preserve">Volatilité ann. : </w:t>
            </w:r>
            <w:r>
              <w:rPr>
                <w:color w:val="000000"/>
                <w:sz w:val="17"/>
              </w:rPr>
              <w:t>42.1%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24.07% (Élevée) — μ=21,440 FCFA, σ=5,161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β=0.7266 (Défensif) — Cov=0.000023, Var(idx)=0.000031, ρ=0.153,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σ_j=2.65%/j (Stable) — Vol. annualisée≈42.1%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25,031</w:t>
            </w:r>
          </w:p>
        </w:tc>
        <w:tc>
          <w:tcPr>
            <w:tcW w:type="dxa" w:w="1440"/>
            <w:shd w:fill="FFDCE0" w:val="clear"/>
          </w:tcPr>
          <w:p>
            <w:r>
              <w:rPr>
                <w:b/>
                <w:sz w:val="17"/>
              </w:rPr>
              <w:t>26,191</w:t>
            </w:r>
          </w:p>
        </w:tc>
        <w:tc>
          <w:tcPr>
            <w:tcW w:type="dxa" w:w="1440"/>
            <w:shd w:fill="FFDCE0" w:val="clear"/>
          </w:tcPr>
          <w:p>
            <w:r>
              <w:rPr>
                <w:sz w:val="17"/>
              </w:rPr>
              <w:t>27,352</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22,709</w:t>
            </w:r>
          </w:p>
        </w:tc>
        <w:tc>
          <w:tcPr>
            <w:tcW w:type="dxa" w:w="1440"/>
            <w:shd w:fill="FFDCE0" w:val="clear"/>
          </w:tcPr>
          <w:p>
            <w:r>
              <w:rPr>
                <w:b/>
                <w:sz w:val="17"/>
              </w:rPr>
              <w:t>24,227</w:t>
            </w:r>
          </w:p>
        </w:tc>
        <w:tc>
          <w:tcPr>
            <w:tcW w:type="dxa" w:w="1440"/>
            <w:shd w:fill="FFDCE0" w:val="clear"/>
          </w:tcPr>
          <w:p>
            <w:r>
              <w:rPr>
                <w:sz w:val="17"/>
              </w:rPr>
              <w:t>25,745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20,690</w:t>
            </w:r>
          </w:p>
        </w:tc>
        <w:tc>
          <w:tcPr>
            <w:tcW w:type="dxa" w:w="1440"/>
            <w:shd w:fill="FFDCE0" w:val="clear"/>
          </w:tcPr>
          <w:p>
            <w:r>
              <w:rPr>
                <w:b/>
                <w:sz w:val="17"/>
              </w:rPr>
              <w:t>22,410</w:t>
            </w:r>
          </w:p>
        </w:tc>
        <w:tc>
          <w:tcPr>
            <w:tcW w:type="dxa" w:w="1440"/>
            <w:shd w:fill="FFDCE0" w:val="clear"/>
          </w:tcPr>
          <w:p>
            <w:r>
              <w:rPr>
                <w:sz w:val="17"/>
              </w:rPr>
              <w:t>24,130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18,892</w:t>
            </w:r>
          </w:p>
        </w:tc>
        <w:tc>
          <w:tcPr>
            <w:tcW w:type="dxa" w:w="1440"/>
            <w:shd w:fill="FFDCE0" w:val="clear"/>
          </w:tcPr>
          <w:p>
            <w:r>
              <w:rPr>
                <w:b/>
                <w:sz w:val="17"/>
              </w:rPr>
              <w:t>20,729</w:t>
            </w:r>
          </w:p>
        </w:tc>
        <w:tc>
          <w:tcPr>
            <w:tcW w:type="dxa" w:w="1440"/>
            <w:shd w:fill="FFDCE0" w:val="clear"/>
          </w:tcPr>
          <w:p>
            <w:r>
              <w:rPr>
                <w:sz w:val="17"/>
              </w:rPr>
              <w:t>22,567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17,619</w:t>
            </w:r>
          </w:p>
        </w:tc>
        <w:tc>
          <w:tcPr>
            <w:tcW w:type="dxa" w:w="1440"/>
            <w:shd w:fill="FFDCE0" w:val="clear"/>
          </w:tcPr>
          <w:p>
            <w:r>
              <w:rPr>
                <w:b/>
                <w:sz w:val="17"/>
              </w:rPr>
              <w:t>19,557</w:t>
            </w:r>
          </w:p>
        </w:tc>
        <w:tc>
          <w:tcPr>
            <w:tcW w:type="dxa" w:w="1440"/>
            <w:shd w:fill="FFDCE0" w:val="clear"/>
          </w:tcPr>
          <w:p>
            <w:r>
              <w:rPr>
                <w:sz w:val="17"/>
              </w:rPr>
              <w:t>21,495</w:t>
            </w:r>
          </w:p>
        </w:tc>
        <w:tc>
          <w:tcPr>
            <w:tcW w:type="dxa" w:w="1440"/>
            <w:shd w:fill="FFDCE0" w:val="clear"/>
          </w:tcPr>
          <w:p>
            <w:r>
              <w:rPr>
                <w:b/>
                <w:color w:val="C00000"/>
                <w:sz w:val="17"/>
              </w:rPr>
              <w:t>-30.9%</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16,949</w:t>
            </w:r>
          </w:p>
        </w:tc>
        <w:tc>
          <w:tcPr>
            <w:tcW w:type="dxa" w:w="1440"/>
            <w:shd w:fill="FFDCE0" w:val="clear"/>
          </w:tcPr>
          <w:p>
            <w:r>
              <w:rPr>
                <w:b/>
                <w:sz w:val="17"/>
              </w:rPr>
              <w:t>19,013</w:t>
            </w:r>
          </w:p>
        </w:tc>
        <w:tc>
          <w:tcPr>
            <w:tcW w:type="dxa" w:w="1440"/>
            <w:shd w:fill="FFDCE0" w:val="clear"/>
          </w:tcPr>
          <w:p>
            <w:r>
              <w:rPr>
                <w:sz w:val="17"/>
              </w:rPr>
              <w:t>21,078</w:t>
            </w:r>
          </w:p>
        </w:tc>
        <w:tc>
          <w:tcPr>
            <w:tcW w:type="dxa" w:w="1440"/>
            <w:shd w:fill="FFDCE0" w:val="clear"/>
          </w:tcPr>
          <w:p>
            <w:r>
              <w:rPr>
                <w:b/>
                <w:color w:val="C00000"/>
                <w:sz w:val="17"/>
              </w:rPr>
              <w:t>-32.9%</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16,363</w:t>
            </w:r>
          </w:p>
        </w:tc>
        <w:tc>
          <w:tcPr>
            <w:tcW w:type="dxa" w:w="1440"/>
            <w:shd w:fill="FFDCE0" w:val="clear"/>
          </w:tcPr>
          <w:p>
            <w:r>
              <w:rPr>
                <w:b/>
                <w:sz w:val="17"/>
              </w:rPr>
              <w:t>18,536</w:t>
            </w:r>
          </w:p>
        </w:tc>
        <w:tc>
          <w:tcPr>
            <w:tcW w:type="dxa" w:w="1440"/>
            <w:shd w:fill="FFDCE0" w:val="clear"/>
          </w:tcPr>
          <w:p>
            <w:r>
              <w:rPr>
                <w:sz w:val="17"/>
              </w:rPr>
              <w:t>20,710</w:t>
            </w:r>
          </w:p>
        </w:tc>
        <w:tc>
          <w:tcPr>
            <w:tcW w:type="dxa" w:w="1440"/>
            <w:shd w:fill="FFDCE0" w:val="clear"/>
          </w:tcPr>
          <w:p>
            <w:r>
              <w:rPr>
                <w:b/>
                <w:color w:val="C00000"/>
                <w:sz w:val="17"/>
              </w:rPr>
              <w:t>-34.5%</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15,840</w:t>
            </w:r>
          </w:p>
        </w:tc>
        <w:tc>
          <w:tcPr>
            <w:tcW w:type="dxa" w:w="1440"/>
            <w:shd w:fill="FFDCE0" w:val="clear"/>
          </w:tcPr>
          <w:p>
            <w:r>
              <w:rPr>
                <w:b/>
                <w:sz w:val="17"/>
              </w:rPr>
              <w:t>18,110</w:t>
            </w:r>
          </w:p>
        </w:tc>
        <w:tc>
          <w:tcPr>
            <w:tcW w:type="dxa" w:w="1440"/>
            <w:shd w:fill="FFDCE0" w:val="clear"/>
          </w:tcPr>
          <w:p>
            <w:r>
              <w:rPr>
                <w:sz w:val="17"/>
              </w:rPr>
              <w:t>20,380</w:t>
            </w:r>
          </w:p>
        </w:tc>
        <w:tc>
          <w:tcPr>
            <w:tcW w:type="dxa" w:w="1440"/>
            <w:shd w:fill="FFDCE0" w:val="clear"/>
          </w:tcPr>
          <w:p>
            <w:r>
              <w:rPr>
                <w:b/>
                <w:color w:val="C00000"/>
                <w:sz w:val="17"/>
              </w:rPr>
              <w:t>-36.0%</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15,369</w:t>
            </w:r>
          </w:p>
        </w:tc>
        <w:tc>
          <w:tcPr>
            <w:tcW w:type="dxa" w:w="1440"/>
            <w:shd w:fill="FFDCE0" w:val="clear"/>
          </w:tcPr>
          <w:p>
            <w:r>
              <w:rPr>
                <w:b/>
                <w:sz w:val="17"/>
              </w:rPr>
              <w:t>17,725</w:t>
            </w:r>
          </w:p>
        </w:tc>
        <w:tc>
          <w:tcPr>
            <w:tcW w:type="dxa" w:w="1440"/>
            <w:shd w:fill="FFDCE0" w:val="clear"/>
          </w:tcPr>
          <w:p>
            <w:r>
              <w:rPr>
                <w:sz w:val="17"/>
              </w:rPr>
              <w:t>20,082</w:t>
            </w:r>
          </w:p>
        </w:tc>
        <w:tc>
          <w:tcPr>
            <w:tcW w:type="dxa" w:w="1440"/>
            <w:shd w:fill="FFDCE0" w:val="clear"/>
          </w:tcPr>
          <w:p>
            <w:r>
              <w:rPr>
                <w:b/>
                <w:color w:val="C00000"/>
                <w:sz w:val="17"/>
              </w:rPr>
              <w:t>-37.4%</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14,940</w:t>
            </w:r>
          </w:p>
        </w:tc>
        <w:tc>
          <w:tcPr>
            <w:tcW w:type="dxa" w:w="1440"/>
            <w:shd w:fill="FFDCE0" w:val="clear"/>
          </w:tcPr>
          <w:p>
            <w:r>
              <w:rPr>
                <w:b/>
                <w:sz w:val="17"/>
              </w:rPr>
              <w:t>17,375</w:t>
            </w:r>
          </w:p>
        </w:tc>
        <w:tc>
          <w:tcPr>
            <w:tcW w:type="dxa" w:w="1440"/>
            <w:shd w:fill="FFDCE0" w:val="clear"/>
          </w:tcPr>
          <w:p>
            <w:r>
              <w:rPr>
                <w:sz w:val="17"/>
              </w:rPr>
              <w:t>19,810</w:t>
            </w:r>
          </w:p>
        </w:tc>
        <w:tc>
          <w:tcPr>
            <w:tcW w:type="dxa" w:w="1440"/>
            <w:shd w:fill="FFDCE0" w:val="clear"/>
          </w:tcPr>
          <w:p>
            <w:r>
              <w:rPr>
                <w:b/>
                <w:color w:val="C00000"/>
                <w:sz w:val="17"/>
              </w:rPr>
              <w:t>-38.6%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14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906,08 milliards FCFA, ce qui en fait l'une des valeurs les plus lourdes et les plus liquides de la BRVM, représentant un poids considérable dans l'indice composite. Avec un BPA de 2 047 FCFA, chaque action génère un bénéfice substantiel, justifiant un PER de 13,8x. Ce ratio est supérieur à la moyenne historique de la place (~8-12x), indiquant que le marché valorise déjà une prime de croissance et de qualité sur le titre. L'EV/EBITDA de 10,2x, bien que dans la fourchette haute (10-15x), confirme une valorisation exigeante qui récompense la solidité opérationnelle de la banque. Le ratio P/B n'est pas disponible dans les données fournies, mais le niveau de PER et d'EV/EBITDA suggère que le marché intègre pleinement les perspectives de croissance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CBIBF a enregistré une performance spectaculaire de +106,60%, passant d'un plus bas de 13 705 FCFA à un plus haut de 30 005 FCFA, avant de se stabiliser à 28 315 FCFA. Cette tendance haussière marquée s'est toutefois accompagnée d'une légère correction de -1,34% lors de la dernière séance, suggérant une possible prise de bénéfices après un rallye prolongé. La moyenne (21 440 FCFA) et la médiane (21 535 FCFA) sont très proches, indiquant une distribution symétrique des prix, confirmée par un skewness de 0,106. L'écart-type de 5 187 FCFA (CV=24,2%) révèle une dispersion modérée des cours autour de la moyenne. Le kurtosis négatif (-1,284) signale une distribution platykurtique, avec une faible probabilité de mouvements extrêmes. La volatilité annualisée de 42,1% classe le titre dans la catégorie des valeurs à risque élevé, bien supérieure au seuil de 30%.</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(28 315 FCFA) se positionne nettement au-dessus de la MM20 (27 844,25 FCFA) et de la MM50 (25 729,9 FCFA), confirmant une dynamique haussière solide. La configuration des moyennes mobiles, avec la MM20 au-dessus de la MM50, valide la tendance positive et justifie la décision d'achat.</w:t>
      </w:r>
    </w:p>
    <w:p>
      <w:pPr>
        <w:spacing w:after="120" w:line="276" w:lineRule="auto"/>
      </w:pPr>
      <w:r>
        <w:t>**Bandes de Bollinger** : Le prix se situe dans la partie supérieure des bandes, proche de la borne haute (29 529,706 FCFA), indiquant une pression acheteuse persistante. La largeur des bandes reflète la volatilité élevée du titre. La position du cours, sans toucher la borne, suggère une poursuite possible de la tendance, d'où la décision neutre.</w:t>
      </w:r>
    </w:p>
    <w:p>
      <w:pPr>
        <w:spacing w:after="120" w:line="276" w:lineRule="auto"/>
      </w:pPr>
      <w:r>
        <w:t>**MACD** : Le MACD (761,305) est inférieur à sa ligne de signal (895,184), indiquant un affaiblissement du momentum haussier à court terme. Cette divergence négative, bien que légère, signale une possible consolidation ou correction, justifiant la décision de vente.</w:t>
      </w:r>
    </w:p>
    <w:p>
      <w:pPr>
        <w:spacing w:after="120" w:line="276" w:lineRule="auto"/>
      </w:pPr>
      <w:r>
        <w:t>**RSI** : À 67,273, le RSI se situe en zone neutre-haute, proche du seuil de surachat (70). Cette valeur indique que le titre est encore dans une dynamique positive mais approche d'une zone de vigilance où une correction pourrait survenir.</w:t>
      </w:r>
    </w:p>
    <w:p>
      <w:pPr>
        <w:spacing w:after="120" w:line="276" w:lineRule="auto"/>
      </w:pPr>
      <w:r>
        <w:t>**Stochastique** : Le %K (61,944) est inférieur au %D (77,106), montrant un croisement baissier récent. Cette configuration suggère un affaiblissement de la pression acheteuse à très court terme, bien que les niveaux restent en zone neutre.</w:t>
      </w:r>
    </w:p>
    <w:p>
      <w:pPr>
        <w:spacing w:after="120" w:line="276" w:lineRule="auto"/>
      </w:pPr>
      <w:r>
        <w:t>**Conclusion technique** : Les indicateurs sont mitigés. La tendance de fond reste haussière (MM, Bollinger), mais les oscillateurs (MACD, Stochastique) signalent un essoufflement du momentum à court terme. Le RSI proche du surachat renforce cette prudence. Un repli technique est possible avant une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CBIBF font état d'un Produit Net Bancaire (PNB) de 138,986 milliards FCFA, en hausse de 6,1% par rapport à 2024, et d'un résultat net de 65,495 milliards FCFA, en progression de 36,6%. Cette performance exceptionnelle s'explique par une amélioration significative du coût du risque (-59,3%), qui passe à 16,5 milliards FCFA, et une maîtrise du coefficient d'exploitation à 36,4%, témoignant d'une excellente efficacité opérationnelle (bien en dessous du seuil de 60%). La marge nette atteint 47,1% et le ROA s'établit à 2,18%, démontrant une utilisation efficace des actifs. Les dépôts clientèle (2 015,3 milliards FCFA, +14,9%) progressent plus vite que les crédits (1 327 milliards FCFA, +5,4%), indiquant une politique de transformation prudente. **Les rapports trimestriels 2025 confirment cette dynamique** : le T3 2025 affiche un PNB de 101,3 milliards FCFA (+9,65%) et un résultat net de 52,9 milliards FCFA (+6,25%). **Sur la base du rapport T1 2026** (PNB de 36,8 milliards FCFA, +28,5% et résultat net de 21,5 milliards FCFA, +22,2%), on estime que l'exercice 2026 pourrait dépasser largement les performances de 2025, avec un PNB annuel potentiel supérieur à 150 milliards FCFA. La banque confirme sa notation AA/AI avec perspective stable et renforce sa gouvernance avec l'arrivée d'administrateurs indépendants.</w:t>
      </w:r>
    </w:p>
    <w:p>
      <w:pPr>
        <w:spacing w:after="120" w:line="276" w:lineRule="auto"/>
      </w:pPr>
      <w:r>
        <w:t>---</w:t>
      </w:r>
    </w:p>
    <w:p>
      <w:pPr>
        <w:spacing w:after="120" w:line="276" w:lineRule="auto"/>
      </w:pPr>
      <w:r>
        <w:t>### PARTIE 4 : CONCLUSION D'INVESTISSEMENT</w:t>
      </w:r>
    </w:p>
    <w:p>
      <w:pPr>
        <w:spacing w:after="120" w:line="276" w:lineRule="auto"/>
      </w:pPr>
      <w:r>
        <w:t>La valorisation de CBIBF (PER 13,8x, EV/EBITDA 10,2x) intègre déjà une prime de qualité, mais reste justifiée par la solidité fondamentale démontrée. Le comportement du cours (+106,6% sur 100 jours) reflète cette performance, avec une volatilité élevée (42,1%) qui nécessite une gestion active du risque. Les signaux techniques sont partagés : la tendance de fond reste haussière, mais les indicateurs de momentum (MACD, Stochastique) suggèrent une consolidation à court terme. Les fondamentaux sont excellents, avec une croissance soutenue du PNB et du résultat net, une amélioration continue du coût du risque et une efficacité opérationnelle remarquable. Les prédictions IA (baisse progressive vers 19 557 FCFA sur 10 jours) contredisent fortement les signaux fondamentaux et techniques, anticipant une correction brutale qui semble excessive. **Recommandation finale : ACHAT**. La convergence entre la solidité fondamentale, la tendance technique haussière et la valorisation raisonnable l'emporte sur les signaux de court terme. **Niveau de confiance : Moyen**, en raison de la divergence avec les prédictions IA. **Risque global : Élevé**, lié à la volatilité du titre et à l'environnement sécuritaire du Burkina Faso. **Horizon d'investissement : Moyen terme (3-12 mois)**, pour bénéficier de la croissance projetée en 2026 tout en évitant les fluctuations à court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301.98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3,514 titres</w:t>
            </w:r>
          </w:p>
        </w:tc>
        <w:tc>
          <w:tcPr>
            <w:tcW w:type="dxa" w:w="2268"/>
            <w:shd w:fill="FFF2CC" w:val="clear"/>
          </w:tcPr>
          <w:p>
            <w:r>
              <w:rPr>
                <w:b/>
                <w:color w:val="503200"/>
                <w:sz w:val="16"/>
              </w:rPr>
              <w:t xml:space="preserve">Cours actuel : </w:t>
            </w:r>
            <w:r>
              <w:rPr>
                <w:color w:val="000000"/>
                <w:sz w:val="17"/>
              </w:rPr>
              <w:t>1,665 FCFA</w:t>
            </w:r>
          </w:p>
          <w:p>
            <w:r>
              <w:rPr>
                <w:b/>
                <w:color w:val="503200"/>
                <w:sz w:val="16"/>
              </w:rPr>
              <w:t xml:space="preserve">Var. 100 jours : </w:t>
            </w:r>
            <w:r>
              <w:rPr>
                <w:b/>
                <w:color w:val="B40000"/>
                <w:sz w:val="17"/>
              </w:rPr>
              <w:t>-4.86%</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6.23% (Moyenne) — μ=1,604 FCFA, σ=100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β=1.1697 (Neutre (suit le marché)) — Cov=0.000036, Var(idx)=0.000031, ρ=0.214,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σ_j=3.05%/j (Modérée) — Vol. annualisée≈48.5%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1,534</w:t>
            </w:r>
          </w:p>
        </w:tc>
        <w:tc>
          <w:tcPr>
            <w:tcW w:type="dxa" w:w="1440"/>
            <w:shd w:fill="FFDCE0" w:val="clear"/>
          </w:tcPr>
          <w:p>
            <w:r>
              <w:rPr>
                <w:b/>
                <w:sz w:val="17"/>
              </w:rPr>
              <w:t>1,611</w:t>
            </w:r>
          </w:p>
        </w:tc>
        <w:tc>
          <w:tcPr>
            <w:tcW w:type="dxa" w:w="1440"/>
            <w:shd w:fill="FFDCE0" w:val="clear"/>
          </w:tcPr>
          <w:p>
            <w:r>
              <w:rPr>
                <w:sz w:val="17"/>
              </w:rPr>
              <w:t>1,688</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1,484</w:t>
            </w:r>
          </w:p>
        </w:tc>
        <w:tc>
          <w:tcPr>
            <w:tcW w:type="dxa" w:w="1440"/>
            <w:shd w:fill="FFDCE0" w:val="clear"/>
          </w:tcPr>
          <w:p>
            <w:r>
              <w:rPr>
                <w:b/>
                <w:sz w:val="17"/>
              </w:rPr>
              <w:t>1,592</w:t>
            </w:r>
          </w:p>
        </w:tc>
        <w:tc>
          <w:tcPr>
            <w:tcW w:type="dxa" w:w="1440"/>
            <w:shd w:fill="FFDCE0" w:val="clear"/>
          </w:tcPr>
          <w:p>
            <w:r>
              <w:rPr>
                <w:sz w:val="17"/>
              </w:rPr>
              <w:t>1,699</w:t>
            </w:r>
          </w:p>
        </w:tc>
        <w:tc>
          <w:tcPr>
            <w:tcW w:type="dxa" w:w="1440"/>
            <w:shd w:fill="FFDCE0" w:val="clear"/>
          </w:tcPr>
          <w:p>
            <w:r>
              <w:rPr>
                <w:b/>
                <w:color w:val="C00000"/>
                <w:sz w:val="17"/>
              </w:rPr>
              <w:t>-4.4%</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1,439</w:t>
            </w:r>
          </w:p>
        </w:tc>
        <w:tc>
          <w:tcPr>
            <w:tcW w:type="dxa" w:w="1440"/>
            <w:shd w:fill="FFDCE0" w:val="clear"/>
          </w:tcPr>
          <w:p>
            <w:r>
              <w:rPr>
                <w:b/>
                <w:sz w:val="17"/>
              </w:rPr>
              <w:t>1,569</w:t>
            </w:r>
          </w:p>
        </w:tc>
        <w:tc>
          <w:tcPr>
            <w:tcW w:type="dxa" w:w="1440"/>
            <w:shd w:fill="FFDCE0" w:val="clear"/>
          </w:tcPr>
          <w:p>
            <w:r>
              <w:rPr>
                <w:sz w:val="17"/>
              </w:rPr>
              <w:t>1,699</w:t>
            </w:r>
          </w:p>
        </w:tc>
        <w:tc>
          <w:tcPr>
            <w:tcW w:type="dxa" w:w="1440"/>
            <w:shd w:fill="FFDCE0" w:val="clear"/>
          </w:tcPr>
          <w:p>
            <w:r>
              <w:rPr>
                <w:b/>
                <w:color w:val="C00000"/>
                <w:sz w:val="17"/>
              </w:rPr>
              <w:t>-5.8%</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1,399</w:t>
            </w:r>
          </w:p>
        </w:tc>
        <w:tc>
          <w:tcPr>
            <w:tcW w:type="dxa" w:w="1440"/>
            <w:shd w:fill="FFDCE0" w:val="clear"/>
          </w:tcPr>
          <w:p>
            <w:r>
              <w:rPr>
                <w:b/>
                <w:sz w:val="17"/>
              </w:rPr>
              <w:t>1,546</w:t>
            </w:r>
          </w:p>
        </w:tc>
        <w:tc>
          <w:tcPr>
            <w:tcW w:type="dxa" w:w="1440"/>
            <w:shd w:fill="FFDCE0" w:val="clear"/>
          </w:tcPr>
          <w:p>
            <w:r>
              <w:rPr>
                <w:sz w:val="17"/>
              </w:rPr>
              <w:t>1,694</w:t>
            </w:r>
          </w:p>
        </w:tc>
        <w:tc>
          <w:tcPr>
            <w:tcW w:type="dxa" w:w="1440"/>
            <w:shd w:fill="FFDCE0" w:val="clear"/>
          </w:tcPr>
          <w:p>
            <w:r>
              <w:rPr>
                <w:b/>
                <w:color w:val="C00000"/>
                <w:sz w:val="17"/>
              </w:rPr>
              <w:t>-7.1%</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1,361</w:t>
            </w:r>
          </w:p>
        </w:tc>
        <w:tc>
          <w:tcPr>
            <w:tcW w:type="dxa" w:w="1440"/>
            <w:shd w:fill="FFDCE0" w:val="clear"/>
          </w:tcPr>
          <w:p>
            <w:r>
              <w:rPr>
                <w:b/>
                <w:sz w:val="17"/>
              </w:rPr>
              <w:t>1,524</w:t>
            </w:r>
          </w:p>
        </w:tc>
        <w:tc>
          <w:tcPr>
            <w:tcW w:type="dxa" w:w="1440"/>
            <w:shd w:fill="FFDCE0" w:val="clear"/>
          </w:tcPr>
          <w:p>
            <w:r>
              <w:rPr>
                <w:sz w:val="17"/>
              </w:rPr>
              <w:t>1,687</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1,327</w:t>
            </w:r>
          </w:p>
        </w:tc>
        <w:tc>
          <w:tcPr>
            <w:tcW w:type="dxa" w:w="1440"/>
            <w:shd w:fill="FFDCE0" w:val="clear"/>
          </w:tcPr>
          <w:p>
            <w:r>
              <w:rPr>
                <w:b/>
                <w:sz w:val="17"/>
              </w:rPr>
              <w:t>1,502</w:t>
            </w:r>
          </w:p>
        </w:tc>
        <w:tc>
          <w:tcPr>
            <w:tcW w:type="dxa" w:w="1440"/>
            <w:shd w:fill="FFDCE0" w:val="clear"/>
          </w:tcPr>
          <w:p>
            <w:r>
              <w:rPr>
                <w:sz w:val="17"/>
              </w:rPr>
              <w:t>1,678</w:t>
            </w:r>
          </w:p>
        </w:tc>
        <w:tc>
          <w:tcPr>
            <w:tcW w:type="dxa" w:w="1440"/>
            <w:shd w:fill="FFDCE0" w:val="clear"/>
          </w:tcPr>
          <w:p>
            <w:r>
              <w:rPr>
                <w:b/>
                <w:color w:val="C00000"/>
                <w:sz w:val="17"/>
              </w:rPr>
              <w:t>-9.8%</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1,294</w:t>
            </w:r>
          </w:p>
        </w:tc>
        <w:tc>
          <w:tcPr>
            <w:tcW w:type="dxa" w:w="1440"/>
            <w:shd w:fill="FFDCE0" w:val="clear"/>
          </w:tcPr>
          <w:p>
            <w:r>
              <w:rPr>
                <w:b/>
                <w:sz w:val="17"/>
              </w:rPr>
              <w:t>1,481</w:t>
            </w:r>
          </w:p>
        </w:tc>
        <w:tc>
          <w:tcPr>
            <w:tcW w:type="dxa" w:w="1440"/>
            <w:shd w:fill="FFDCE0" w:val="clear"/>
          </w:tcPr>
          <w:p>
            <w:r>
              <w:rPr>
                <w:sz w:val="17"/>
              </w:rPr>
              <w:t>1,668</w:t>
            </w:r>
          </w:p>
        </w:tc>
        <w:tc>
          <w:tcPr>
            <w:tcW w:type="dxa" w:w="1440"/>
            <w:shd w:fill="FFDCE0" w:val="clear"/>
          </w:tcPr>
          <w:p>
            <w:r>
              <w:rPr>
                <w:b/>
                <w:color w:val="C00000"/>
                <w:sz w:val="17"/>
              </w:rPr>
              <w:t>-11.0%</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1,263</w:t>
            </w:r>
          </w:p>
        </w:tc>
        <w:tc>
          <w:tcPr>
            <w:tcW w:type="dxa" w:w="1440"/>
            <w:shd w:fill="FFDCE0" w:val="clear"/>
          </w:tcPr>
          <w:p>
            <w:r>
              <w:rPr>
                <w:b/>
                <w:sz w:val="17"/>
              </w:rPr>
              <w:t>1,460</w:t>
            </w:r>
          </w:p>
        </w:tc>
        <w:tc>
          <w:tcPr>
            <w:tcW w:type="dxa" w:w="1440"/>
            <w:shd w:fill="FFDCE0" w:val="clear"/>
          </w:tcPr>
          <w:p>
            <w:r>
              <w:rPr>
                <w:sz w:val="17"/>
              </w:rPr>
              <w:t>1,658</w:t>
            </w:r>
          </w:p>
        </w:tc>
        <w:tc>
          <w:tcPr>
            <w:tcW w:type="dxa" w:w="1440"/>
            <w:shd w:fill="FFDCE0" w:val="clear"/>
          </w:tcPr>
          <w:p>
            <w:r>
              <w:rPr>
                <w:b/>
                <w:color w:val="C00000"/>
                <w:sz w:val="17"/>
              </w:rPr>
              <w:t>-12.3%</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1,234</w:t>
            </w:r>
          </w:p>
        </w:tc>
        <w:tc>
          <w:tcPr>
            <w:tcW w:type="dxa" w:w="1440"/>
            <w:shd w:fill="FFDCE0" w:val="clear"/>
          </w:tcPr>
          <w:p>
            <w:r>
              <w:rPr>
                <w:b/>
                <w:sz w:val="17"/>
              </w:rPr>
              <w:t>1,440</w:t>
            </w:r>
          </w:p>
        </w:tc>
        <w:tc>
          <w:tcPr>
            <w:tcW w:type="dxa" w:w="1440"/>
            <w:shd w:fill="FFDCE0" w:val="clear"/>
          </w:tcPr>
          <w:p>
            <w:r>
              <w:rPr>
                <w:sz w:val="17"/>
              </w:rPr>
              <w:t>1,646</w:t>
            </w:r>
          </w:p>
        </w:tc>
        <w:tc>
          <w:tcPr>
            <w:tcW w:type="dxa" w:w="1440"/>
            <w:shd w:fill="FFDCE0" w:val="clear"/>
          </w:tcPr>
          <w:p>
            <w:r>
              <w:rPr>
                <w:b/>
                <w:color w:val="C00000"/>
                <w:sz w:val="17"/>
              </w:rPr>
              <w:t>-13.5%</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1,206</w:t>
            </w:r>
          </w:p>
        </w:tc>
        <w:tc>
          <w:tcPr>
            <w:tcW w:type="dxa" w:w="1440"/>
            <w:shd w:fill="FFDCE0" w:val="clear"/>
          </w:tcPr>
          <w:p>
            <w:r>
              <w:rPr>
                <w:b/>
                <w:sz w:val="17"/>
              </w:rPr>
              <w:t>1,420</w:t>
            </w:r>
          </w:p>
        </w:tc>
        <w:tc>
          <w:tcPr>
            <w:tcW w:type="dxa" w:w="1440"/>
            <w:shd w:fill="FFDCE0" w:val="clear"/>
          </w:tcPr>
          <w:p>
            <w:r>
              <w:rPr>
                <w:sz w:val="17"/>
              </w:rPr>
              <w:t>1,635</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 RAPPORT D'ANALYSE FINANCIÈRE — CFAC (CFAO MOTORS CÔTE D'IVOIRE)</w:t>
      </w:r>
    </w:p>
    <w:p>
      <w:pPr>
        <w:spacing w:after="120" w:line="276" w:lineRule="auto"/>
      </w:pPr>
      <w:r>
        <w:t>**Date de l'analyse : 15 août 2026 | 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301,98 milliards FCFA, positionnant le titre parmi les valeurs moyennes du marché BRVM, avec un poids significatif dans l'indice composite. Le BPA de 26 FCFA par action révèle une contribution bénéficiaire modeste par titre, ce qui explique le PER de 64,3x, très largement supérieur à la moyenne du marché BRVM (8-12x), indiquant que les investisseurs paient une prime considérable pour chaque franc de bénéfice généré. Le P/B de 15,52x, bien au-delà du seuil de 4x considéré comme exigeant, confirme une valorisation très généreuse par rapport aux capitaux propres comptables, traduisant des anticipations de croissance fortement intégrées dans le cours. L'EV/EBITDA de 32,8x, également très supérieur au seuil de 15x, souligne que la valeur totale de l'entreprise (dette incluse) est particulièrement élevée par rapport à sa capacité opérationnelle de génération de cash. Ces ratios combinés signalent une valorisation extrêmement exigeante qui laisse peu de marge d'erreur sur les performances futures.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la période de 100 jours analysée, le titre CFAC enregistre une variation totale de -4,86%, avec une dernière séance stable (+0,00%), illustrant une phase de consolidation baissière modérée. Le cours a évolué dans un range de 500 FCFA, entre un plus haut de 1 825 FCFA et un plus bas de 1 325 FCFA, démontrant une amplitude de trading de près de 30% qui témoigne d'une volatilité significative. La moyenne de 1 604 FCFA et la médiane de 1 605 FCFA sont quasi identiques, indiquant une distribution des prix relativement symétrique, tandis que le mode de 1 600 FCFA confirme la concentration des échanges autour de ce niveau. L'écart-type de 100 FCFA, soit un coefficient de variation de 6,3%, révèle une dispersion modérée des cours autour de la moyenne. Le kurtosis de 0,032, qualifié de mésokurtique, indique une distribution proche de la normale sans risque de pics extrêmes, et le skewness de -0,380 suggère une légère asymétrie négative avec des queues de distribution orientées vers les baisses. La volatilité annualisée de 48,5% positionne le titre comme très volatil, bien au-dessus du seuil de 30% considéré comme élevé, ce qui implique un risque de marché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à 1 668,75 FCFA et la MM50 à 1 661,6 FCFA sont toutes deux proches du cours actuel de 1 665 FCFA, avec le prix légèrement au-dessus de la MM50 mais en dessous de la MM20. Cette configuration, où le cours évolue dans un couloir étroit entre les deux moyennes, génère un signal d'achat selon l'indicateur, suggérant une stabilisation après la période baissière, bien que la proximité des moyennes indique une tendance peu affirmée.</w:t>
      </w:r>
    </w:p>
    <w:p>
      <w:pPr>
        <w:spacing w:after="120" w:line="276" w:lineRule="auto"/>
      </w:pPr>
      <w:r>
        <w:t>**Bandes de Bollinger :** Le cours à 1 665 FCFA se positionne presque exactement au milieu du canal formé par la borne supérieure à 1 733,14 FCFA et la borne inférieure à 1 604,36 FCFA. Cette position médiane, avec une largeur de bande d'environ 130 FCFA, reflète une volatilité modérée et une absence de pression directionnelle forte. La décision neutre est cohérente avec l'absence de signal de sortie du canal ou de resserrement extrême des bandes.</w:t>
      </w:r>
    </w:p>
    <w:p>
      <w:pPr>
        <w:spacing w:after="120" w:line="276" w:lineRule="auto"/>
      </w:pPr>
      <w:r>
        <w:t>**MACD :** La valeur du MACD à 4,581 est inférieure à son signal à 8,44, générant une décision de vente. Cette configuration baissière, où la ligne MACD est passée sous la ligne de signal, indique un momentum négatif à court terme. L'écart négatif de près de 3,86 points suggère une dynamique baissière qui pourrait se poursuivre si la divergence s'accentue, bien que les valeurs restent proches de zéro, limitant la portée du signal.</w:t>
      </w:r>
    </w:p>
    <w:p>
      <w:pPr>
        <w:spacing w:after="120" w:line="276" w:lineRule="auto"/>
      </w:pPr>
      <w:r>
        <w:t>**RSI :** Le RSI à 49,231 se situe exactement dans la zone neutre (30-70), indiquant un équilibre entre pressions acheteuses et vendeuses. Cette valeur, proche du seuil de 50, ne montre ni surachat ni survente, confirmant l'absence de momentum directionnel fort. La décision neutre est appropriée, le titre n'étant ni survendu ni suracheté à ce stade.</w:t>
      </w:r>
    </w:p>
    <w:p>
      <w:pPr>
        <w:spacing w:after="120" w:line="276" w:lineRule="auto"/>
      </w:pPr>
      <w:r>
        <w:t>**Stochastique :** Le %K à 65,0 est nettement supérieur au %D à 43,333, avec un écart positif de plus de 21 points. Cette configuration, où la ligne rapide est au-dessus de la ligne lente, suggère un momentum haussier à très court terme, bien que le %K reste en zone neutre. La décision neutre reflète l'absence de croisement décisif ou de conditions extrêmes.</w:t>
      </w:r>
    </w:p>
    <w:p>
      <w:pPr>
        <w:spacing w:after="120" w:line="276" w:lineRule="auto"/>
      </w:pPr>
      <w:r>
        <w:t>**Conclusion technique :** La convergence des indicateurs techniques est mitigée, avec un signal d'achat des moyennes mobiles contredit par la vente du MACD, tandis que le RSI, le stochastique et les bandes de Bollinger restent neutres. Cette configuration en dents de scie traduit une phase de consolidation sans direction claire, où le titre semble chercher un nouveau catalyseur directionnel. La prudence est de mise, les signaux contradictoires ne permettant pas d'anticiper une tendance forte à court terme.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2024 font état d'un chiffre d'affaires de 158,313 milliards FCFA, en baisse de 12,1% par rapport à 2023, avec un résultat net de 4,693 milliards FCFA, en recul de 26,7%. Le ROE de 24,13% demeure excellent, nettement au-dessus du seuil de 15% considéré comme performant, tandis que le ROA de 5,52% reflète une rentabilité des actifs correcte. La marge nette de 2,96% et la marge opérationnelle de 4,96% montrent une pression sur la rentabilité, avec un BFR négatif de -3,482 milliards FCFA, situation favorable qui indique que l'entreprise finance son cycle d'exploitation par ses fournisseurs. Le délai clients de 36,64 jours et le délai fournisseurs de 81,75 jours confirment un cycle de trésorerie positif, tandis que la durée de stockage de 88,35 jours reflète une immobilisation importante de capital dans les stocks. Le ratio d'endettement de 23,07% reste maîtrisé, et la couverture des intérêts de 1064,46% démontre une excellente capacité à honorer les charges financières. Les rapports trimestriels 2025 révèlent un redressement spectaculaire : le T1 2025 affiche un CA de 46,161 milliards FCFA (+14,5%) et un résultat net de 3,836 milliards FCFA (+279,7%), le S1 2025 confirme avec un CA de 91,182 milliards FCFA (+18,4%) et un résultat net de 5,420 milliards FCFA (+152,7%), et le T3 2025 poursuit avec un CA de 43,580 milliards FCFA (+18,3%) et un résultat net de 1,489 milliards FCFA (+38,1%). Sur la base de ces performances trimestrielles, on estime que l'exercice 2025 devrait dépasser significativement les résultats 2024, avec un CA annuel potentiel de 180-185 milliards FCFA et un résultat net de 7-8 milliards FCFA, confirmant la solidité du modèle économique de l'entreprise, leader avec 43,4% de part de marché, malgré les défis réglementaires et concurrentiels identifiés dans les rapports de 2024.</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CFAC. La valorisation boursière apparaît très exigeante avec un PER de 64,3x, un P/B de 15,52x et un EV/EBITDA de 32,8x, tous largement supérieurs aux moyennes du marché BRVM, indiquant une surévaluation relative qui intègre des anticipations de croissance très optimistes. Le comportement du cours sur 100 jours montre une tendance baissière modérée (-4,86%) avec une volatilité élevée (48,5%), des statistiques relativement stables mais une légère asymétrie négative. Les signaux techniques sont mitigés et contradictoires, oscillant entre achat (moyennes mobiles), vente (MACD) et neutralité (RSI, stochastique, Bollinger), reflétant une phase de consolidation sans direction claire. Les fondamentaux, bien qu'en amélioration nette en 2025 avec un redressement spectaculaire des résultats trimestriels (+152,7% au S1), peinent à justifier pleinement les niveaux de valorisation actuels. Les prédictions IA pour les 10 prochains jours indiquent une trajectoire baissière continue, de 1 611 FCFA à 1 524 FCFA, confirmant les signaux techniques négatifs à court terme. La convergence entre la valorisation exigeante, les signaux techniques mitigés et les prédictions baissières conduit à une recommandation de **CONSERVER** avec un niveau de confiance **Moyen** et un risque global **Élevé**. L'horizon d'investissement optimal serait le **moyen terme (3-12 mois)**, en attendant soit une correction du cours vers des niveaux plus conformes aux fondamentaux, soit une confirmation durable de la croissance des résultats pour justifier la prime actuelle.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331.52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6,212 titres</w:t>
            </w:r>
          </w:p>
        </w:tc>
        <w:tc>
          <w:tcPr>
            <w:tcW w:type="dxa" w:w="2268"/>
            <w:shd w:fill="FFF2CC" w:val="clear"/>
          </w:tcPr>
          <w:p>
            <w:r>
              <w:rPr>
                <w:b/>
                <w:color w:val="503200"/>
                <w:sz w:val="16"/>
              </w:rPr>
              <w:t xml:space="preserve">Cours actuel : </w:t>
            </w:r>
            <w:r>
              <w:rPr>
                <w:color w:val="000000"/>
                <w:sz w:val="17"/>
              </w:rPr>
              <w:t>5,920 FCFA</w:t>
            </w:r>
          </w:p>
          <w:p>
            <w:r>
              <w:rPr>
                <w:b/>
                <w:color w:val="503200"/>
                <w:sz w:val="16"/>
              </w:rPr>
              <w:t xml:space="preserve">Var. 100 jours : </w:t>
            </w:r>
            <w:r>
              <w:rPr>
                <w:b/>
                <w:color w:val="007800"/>
                <w:sz w:val="17"/>
              </w:rPr>
              <w:t>+77.25%</w:t>
            </w:r>
          </w:p>
          <w:p>
            <w:r>
              <w:rPr>
                <w:b/>
                <w:color w:val="503200"/>
                <w:sz w:val="16"/>
              </w:rPr>
              <w:t xml:space="preserve">Plus haut 100j : </w:t>
            </w:r>
            <w:r>
              <w:rPr>
                <w:color w:val="000000"/>
                <w:sz w:val="17"/>
              </w:rPr>
              <w:t>5,920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33.1/100 → Moyen</w:t>
      </w:r>
    </w:p>
    <w:p>
      <w:pPr>
        <w:spacing w:before="40" w:after="80"/>
      </w:pPr>
      <w:r>
        <w:rPr>
          <w:rFonts w:ascii="Courier New" w:hAnsi="Courier New"/>
          <w:color w:val="825A00"/>
          <w:sz w:val="18"/>
        </w:rPr>
        <w:t>██████░░░░░░░░░░░░░░  33.1/100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21.83% (Élevée) — μ=4,325 FCFA, σ=944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β=1.2143 (Agressif) — Cov=0.000038, Var(idx)=0.000031, ρ=0.229,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6,212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σ_j=2.95%/j (Stable) — Vol. annualisée≈46.9%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5,214</w:t>
            </w:r>
          </w:p>
        </w:tc>
        <w:tc>
          <w:tcPr>
            <w:tcW w:type="dxa" w:w="1440"/>
            <w:shd w:fill="FFDCE0" w:val="clear"/>
          </w:tcPr>
          <w:p>
            <w:r>
              <w:rPr>
                <w:b/>
                <w:sz w:val="17"/>
              </w:rPr>
              <w:t>5,476</w:t>
            </w:r>
          </w:p>
        </w:tc>
        <w:tc>
          <w:tcPr>
            <w:tcW w:type="dxa" w:w="1440"/>
            <w:shd w:fill="FFDCE0" w:val="clear"/>
          </w:tcPr>
          <w:p>
            <w:r>
              <w:rPr>
                <w:sz w:val="17"/>
              </w:rPr>
              <w:t>5,738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4,722</w:t>
            </w:r>
          </w:p>
        </w:tc>
        <w:tc>
          <w:tcPr>
            <w:tcW w:type="dxa" w:w="1440"/>
            <w:shd w:fill="FFDCE0" w:val="clear"/>
          </w:tcPr>
          <w:p>
            <w:r>
              <w:rPr>
                <w:b/>
                <w:sz w:val="17"/>
              </w:rPr>
              <w:t>5,065</w:t>
            </w:r>
          </w:p>
        </w:tc>
        <w:tc>
          <w:tcPr>
            <w:tcW w:type="dxa" w:w="1440"/>
            <w:shd w:fill="FFDCE0" w:val="clear"/>
          </w:tcPr>
          <w:p>
            <w:r>
              <w:rPr>
                <w:sz w:val="17"/>
              </w:rPr>
              <w:t>5,408</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4,297</w:t>
            </w:r>
          </w:p>
        </w:tc>
        <w:tc>
          <w:tcPr>
            <w:tcW w:type="dxa" w:w="1440"/>
            <w:shd w:fill="FFDCE0" w:val="clear"/>
          </w:tcPr>
          <w:p>
            <w:r>
              <w:rPr>
                <w:b/>
                <w:sz w:val="17"/>
              </w:rPr>
              <w:t>4,685</w:t>
            </w:r>
          </w:p>
        </w:tc>
        <w:tc>
          <w:tcPr>
            <w:tcW w:type="dxa" w:w="1440"/>
            <w:shd w:fill="FFDCE0" w:val="clear"/>
          </w:tcPr>
          <w:p>
            <w:r>
              <w:rPr>
                <w:sz w:val="17"/>
              </w:rPr>
              <w:t>5,074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3,919</w:t>
            </w:r>
          </w:p>
        </w:tc>
        <w:tc>
          <w:tcPr>
            <w:tcW w:type="dxa" w:w="1440"/>
            <w:shd w:fill="FFDCE0" w:val="clear"/>
          </w:tcPr>
          <w:p>
            <w:r>
              <w:rPr>
                <w:b/>
                <w:sz w:val="17"/>
              </w:rPr>
              <w:t>4,334</w:t>
            </w:r>
          </w:p>
        </w:tc>
        <w:tc>
          <w:tcPr>
            <w:tcW w:type="dxa" w:w="1440"/>
            <w:shd w:fill="FFDCE0" w:val="clear"/>
          </w:tcPr>
          <w:p>
            <w:r>
              <w:rPr>
                <w:sz w:val="17"/>
              </w:rPr>
              <w:t>4,749</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3,580</w:t>
            </w:r>
          </w:p>
        </w:tc>
        <w:tc>
          <w:tcPr>
            <w:tcW w:type="dxa" w:w="1440"/>
            <w:shd w:fill="FFDCE0" w:val="clear"/>
          </w:tcPr>
          <w:p>
            <w:r>
              <w:rPr>
                <w:b/>
                <w:sz w:val="17"/>
              </w:rPr>
              <w:t>4,009</w:t>
            </w:r>
          </w:p>
        </w:tc>
        <w:tc>
          <w:tcPr>
            <w:tcW w:type="dxa" w:w="1440"/>
            <w:shd w:fill="FFDCE0" w:val="clear"/>
          </w:tcPr>
          <w:p>
            <w:r>
              <w:rPr>
                <w:sz w:val="17"/>
              </w:rPr>
              <w:t>4,438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3,273</w:t>
            </w:r>
          </w:p>
        </w:tc>
        <w:tc>
          <w:tcPr>
            <w:tcW w:type="dxa" w:w="1440"/>
            <w:shd w:fill="FFDCE0" w:val="clear"/>
          </w:tcPr>
          <w:p>
            <w:r>
              <w:rPr>
                <w:b/>
                <w:sz w:val="17"/>
              </w:rPr>
              <w:t>3,708</w:t>
            </w:r>
          </w:p>
        </w:tc>
        <w:tc>
          <w:tcPr>
            <w:tcW w:type="dxa" w:w="1440"/>
            <w:shd w:fill="FFDCE0" w:val="clear"/>
          </w:tcPr>
          <w:p>
            <w:r>
              <w:rPr>
                <w:sz w:val="17"/>
              </w:rPr>
              <w:t>4,143</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3,010</w:t>
            </w:r>
          </w:p>
        </w:tc>
        <w:tc>
          <w:tcPr>
            <w:tcW w:type="dxa" w:w="1440"/>
            <w:shd w:fill="FFDCE0" w:val="clear"/>
          </w:tcPr>
          <w:p>
            <w:r>
              <w:rPr>
                <w:b/>
                <w:sz w:val="17"/>
              </w:rPr>
              <w:t>3,447</w:t>
            </w:r>
          </w:p>
        </w:tc>
        <w:tc>
          <w:tcPr>
            <w:tcW w:type="dxa" w:w="1440"/>
            <w:shd w:fill="FFDCE0" w:val="clear"/>
          </w:tcPr>
          <w:p>
            <w:r>
              <w:rPr>
                <w:sz w:val="17"/>
              </w:rPr>
              <w:t>3,883</w:t>
            </w:r>
          </w:p>
        </w:tc>
        <w:tc>
          <w:tcPr>
            <w:tcW w:type="dxa" w:w="1440"/>
            <w:shd w:fill="FFDCE0" w:val="clear"/>
          </w:tcPr>
          <w:p>
            <w:r>
              <w:rPr>
                <w:b/>
                <w:color w:val="C00000"/>
                <w:sz w:val="17"/>
              </w:rPr>
              <w:t>-41.8%</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2,910</w:t>
            </w:r>
          </w:p>
        </w:tc>
        <w:tc>
          <w:tcPr>
            <w:tcW w:type="dxa" w:w="1440"/>
            <w:shd w:fill="FFDCE0" w:val="clear"/>
          </w:tcPr>
          <w:p>
            <w:r>
              <w:rPr>
                <w:b/>
                <w:sz w:val="17"/>
              </w:rPr>
              <w:t>3,366</w:t>
            </w:r>
          </w:p>
        </w:tc>
        <w:tc>
          <w:tcPr>
            <w:tcW w:type="dxa" w:w="1440"/>
            <w:shd w:fill="FFDCE0" w:val="clear"/>
          </w:tcPr>
          <w:p>
            <w:r>
              <w:rPr>
                <w:sz w:val="17"/>
              </w:rPr>
              <w:t>3,822</w:t>
            </w:r>
          </w:p>
        </w:tc>
        <w:tc>
          <w:tcPr>
            <w:tcW w:type="dxa" w:w="1440"/>
            <w:shd w:fill="FFDCE0" w:val="clear"/>
          </w:tcPr>
          <w:p>
            <w:r>
              <w:rPr>
                <w:b/>
                <w:color w:val="C00000"/>
                <w:sz w:val="17"/>
              </w:rPr>
              <w:t>-43.1%</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2,820</w:t>
            </w:r>
          </w:p>
        </w:tc>
        <w:tc>
          <w:tcPr>
            <w:tcW w:type="dxa" w:w="1440"/>
            <w:shd w:fill="FFDCE0" w:val="clear"/>
          </w:tcPr>
          <w:p>
            <w:r>
              <w:rPr>
                <w:b/>
                <w:sz w:val="17"/>
              </w:rPr>
              <w:t>3,293</w:t>
            </w:r>
          </w:p>
        </w:tc>
        <w:tc>
          <w:tcPr>
            <w:tcW w:type="dxa" w:w="1440"/>
            <w:shd w:fill="FFDCE0" w:val="clear"/>
          </w:tcPr>
          <w:p>
            <w:r>
              <w:rPr>
                <w:sz w:val="17"/>
              </w:rPr>
              <w:t>3,767</w:t>
            </w:r>
          </w:p>
        </w:tc>
        <w:tc>
          <w:tcPr>
            <w:tcW w:type="dxa" w:w="1440"/>
            <w:shd w:fill="FFDCE0" w:val="clear"/>
          </w:tcPr>
          <w:p>
            <w:r>
              <w:rPr>
                <w:b/>
                <w:color w:val="C00000"/>
                <w:sz w:val="17"/>
              </w:rPr>
              <w:t>-44.4%</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2,738</w:t>
            </w:r>
          </w:p>
        </w:tc>
        <w:tc>
          <w:tcPr>
            <w:tcW w:type="dxa" w:w="1440"/>
            <w:shd w:fill="FFDCE0" w:val="clear"/>
          </w:tcPr>
          <w:p>
            <w:r>
              <w:rPr>
                <w:b/>
                <w:sz w:val="17"/>
              </w:rPr>
              <w:t>3,227</w:t>
            </w:r>
          </w:p>
        </w:tc>
        <w:tc>
          <w:tcPr>
            <w:tcW w:type="dxa" w:w="1440"/>
            <w:shd w:fill="FFDCE0" w:val="clear"/>
          </w:tcPr>
          <w:p>
            <w:r>
              <w:rPr>
                <w:sz w:val="17"/>
              </w:rPr>
              <w:t>3,716</w:t>
            </w:r>
          </w:p>
        </w:tc>
        <w:tc>
          <w:tcPr>
            <w:tcW w:type="dxa" w:w="1440"/>
            <w:shd w:fill="FFDCE0" w:val="clear"/>
          </w:tcPr>
          <w:p>
            <w:r>
              <w:rPr>
                <w:b/>
                <w:color w:val="C00000"/>
                <w:sz w:val="17"/>
              </w:rPr>
              <w:t>-45.5%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331,52 milliards FCFA, positionnant le titre parmi les valeurs moyennes à grandes capitalisations de la BRVM, dans un secteur stratégique comme l'électricité. Avec un BPA de 234 FCFA, chaque action génère un bénéfice substantiel, mais le PER de 25,3x indique que les investisseurs paient une prime significative par rapport à la moyenne du marché BRVM (8-12x), traduisant des anticipations de croissance élevées ou une possible surévaluation. Le P/B de 9,22x confirme cette exigeance, le marché valorisant l'action près de neuf fois sa valeur comptable, un niveau très supérieur au seuil de 4x considéré comme élevé. Enfin, l'EV/EBITDA de 14,0x se situe dans la fourchette haute (10-15x), suggérant que la valeur d'entreprise est substantielle par rapport à la capacité opérationnelle, mais reste cohérente avec les perspectives de croissance du secteur énergétique ivoirien.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+77,25%, avec une dernière séance en hausse de +7,34%, clôturant à 5 920 FCFA, son plus haut niveau sur la période, contre un plus bas de 3 000 FCFA. Cette tendance fortement haussière est confirmée par les statistiques descriptives : la moyenne de 4 325 FCFA est inférieure à la médiane de 4 928 FCFA, indiquant une distribution asymétrique avec une concentration des cours vers le haut. L'écart-type de 949 FCFA (CV=21,9%) révèle une dispersion modérée, tandis que le kurtosis de -1,745 (platykurtique) suggère une faible concentration des valeurs extrêmes, réduisant le risque de pics soudains. Le skewness de -0,179, proche de zéro, indique une distribution quasi symétrique. La volatilité annualisée de 46,9% classe le titre comme très volatil (&gt;30%), reflétant un risque élevé mais également un fort potentiel de rendement pour les investisseurs agressifs.</w:t>
      </w:r>
    </w:p>
    <w:p>
      <w:pPr>
        <w:spacing w:after="120" w:line="276" w:lineRule="auto" w:before="240"/>
      </w:pPr>
      <w:r>
        <w:rPr>
          <w:b/>
          <w:color w:val="003366"/>
          <w:sz w:val="24"/>
        </w:rPr>
        <w:t>**PARTIE 2 : ANALYSE TECHNIQUE DÉTAILLÉE**</w:t>
      </w:r>
    </w:p>
    <w:p>
      <w:pPr>
        <w:spacing w:after="120" w:line="276" w:lineRule="auto"/>
      </w:pPr>
      <w:r>
        <w:t>**Moyennes Mobiles** : Les MM20 (5 232,5 FCFA) et MM50 (5 184,4 FCFA) sont toutes deux nettement inférieures au cours actuel de 5 920 FCFA, avec une MM20 au-dessus de la MM50, configuration typique d'une tendance haussière solide. La décision d'achat est justifiée par cette dynamique positive, le cours évoluant au-dessus de ses moyennes mobiles clés, confirmant la force du mouvement haussier.</w:t>
      </w:r>
    </w:p>
    <w:p>
      <w:pPr>
        <w:spacing w:after="120" w:line="276" w:lineRule="auto"/>
      </w:pPr>
      <w:r>
        <w:t>**Bandes de Bollinger** : Le cours actuel de 5 920 FCFA dépasse largement la borne supérieure de 5 702,3 FCFA, signalant une condition de surachat extrême. La décision de vente est cohérente avec cette sortie de canal, indiquant une volatilité accrue et un possible retour vers la moyenne. Les bandes s'élargissent, reflétant une volatilité croissante qui pourrait précéder une consolidation.</w:t>
      </w:r>
    </w:p>
    <w:p>
      <w:pPr>
        <w:spacing w:after="120" w:line="276" w:lineRule="auto"/>
      </w:pPr>
      <w:r>
        <w:t>**MACD** : La valeur du MACD (123,58) est nettement supérieure au signal (59,11), avec un écart positif de 64,47 points, démontrant un momentum haussier puissant. La décision d'achat est justifiée par cette divergence positive, bien que l'ampleur de l'écart puisse signaler une maturité du mouvement et un risque de retournement à court terme.</w:t>
      </w:r>
    </w:p>
    <w:p>
      <w:pPr>
        <w:spacing w:after="120" w:line="276" w:lineRule="auto"/>
      </w:pPr>
      <w:r>
        <w:t>**RSI** : Le RSI de 74,32 se situe au-dessus du seuil de surachat (70), indiquant une pression acheteuse excessive qui pourrait ne pas être durable. La décision de vente est prudente, car un RSI à ce niveau précède souvent une correction technique, même si le momentum peut persister dans les tendances fortes.</w:t>
      </w:r>
    </w:p>
    <w:p>
      <w:pPr>
        <w:spacing w:after="120" w:line="276" w:lineRule="auto"/>
      </w:pPr>
      <w:r>
        <w:t>**Stochastique** : Le %K et le %D sont tous deux à 100,0, un niveau extrême de surachat qui reflète une force exceptionnelle mais également une probabilité élevée de retournement. La décision de vente est justifiée par cette saturation, les conditions de surachat extrême limitant le potentiel de hausse à court terme.</w:t>
      </w:r>
    </w:p>
    <w:p>
      <w:pPr>
        <w:spacing w:after="120" w:line="276" w:lineRule="auto"/>
      </w:pPr>
      <w:r>
        <w:t>**Conclusion technique** : Les indicateurs de tendance (MM, MACD) sont positifs et confirment une dynamique haussière, mais les oscillateurs (RSI, Stochastique, Bollinger) signalent tous un surachat extrême. Cette divergence entre tendance et momentum suggère un risque élevé de correction technique à court terme, bien que la tendance de fond reste haussière.</w:t>
      </w:r>
    </w:p>
    <w:p>
      <w:pPr>
        <w:spacing w:after="120" w:line="276" w:lineRule="auto" w:before="240"/>
      </w:pPr>
      <w:r>
        <w:rPr>
          <w:b/>
          <w:color w:val="003366"/>
          <w:sz w:val="24"/>
        </w:rPr>
        <w:t>**PARTIE 3 : ANALYSE FONDAMENTALE (SECTION CRITIQUE)**</w:t>
      </w:r>
    </w:p>
    <w:p>
      <w:pPr>
        <w:spacing w:after="120" w:line="276" w:lineRule="auto"/>
      </w:pPr>
      <w:r>
        <w:t>En 2025, la CIEC affiche des résultats solides avec un chiffre d'affaires de 302,320 milliards FCFA, en hausse de 14,8% par rapport à 2024, et un résultat net de 13,127 milliards FCFA, en progression de 24,4%. Le ROE de 36,5% est excellent, démontrant une rentabilité élevée des fonds propres, tandis que le ROA de 0,65% reste faible, reflétant la lourdeur du bilan (2 018,4 milliards FCFA). En tant qu'entreprise, la CIEC présente un BFR négatif de -90,2 milliards FCFA, une situation favorable qui témoigne d'une gestion efficace du cycle d'exploitation, bien que le délai client de 164 jours constitue un risque de trésorerie. Le délai fournisseur de 970 jours est exceptionnellement long, offrant un avantage de financement. La marge nette de 4,3% et la marge opérationnelle de 7,4% sont modestes mais en amélioration, typiques du secteur régulé. Le rapport annuel 2025 (daté du 31 décembre 2025) confirme cette dynamique avec une croissance des ventes d'énergie de +8,3% et une base clientèle en expansion de 15,1%. Sur la base du rapport semestriel 2025 (CA de 134,9 milliards, +18,85%), on estime que l'exercice 2026 pourrait voir un CA dépassant 320 milliards FCFA, avec un résultat net autour de 14-15 milliards FCFA, soutenu par le programme PEPT et les exportations. La recommandation fondamentale est positive, avec une solidité opérationnelle démontrée, mais une attention particulière doit être portée à l'endettement (ratio d'endettement de 612,9%) et à la dépendance réglementaire.</w:t>
      </w:r>
    </w:p>
    <w:p>
      <w:pPr>
        <w:spacing w:after="120" w:line="276" w:lineRule="auto" w:before="240"/>
      </w:pPr>
      <w:r>
        <w:rPr>
          <w:b/>
          <w:color w:val="003366"/>
          <w:sz w:val="24"/>
        </w:rPr>
        <w:t>**PARTIE 4 : CONCLUSION D'INVESTISSEMENT**</w:t>
      </w:r>
    </w:p>
    <w:p>
      <w:pPr>
        <w:spacing w:after="120" w:line="276" w:lineRule="auto"/>
      </w:pPr>
      <w:r>
        <w:t>La synthèse globale révèle une situation contrastée pour la CIEC. La valorisation (PER 25,3x, P/B 9,22x, EV/EBITDA 14,0x) indique une surévaluation relative par rapport au marché BRVM, les investisseurs payant une prime significative pour la croissance attendue. Le comportement du cours montre une tendance haussière spectaculaire (+77,25% sur 100 jours) mais avec une volatilité très élevée (46,9%) et des statistiques suggérant une distribution quasi symétrique, signalant un risque de retournement. Les signaux techniques sont divergents : les indicateurs de tendance (MM, MACD) sont positifs, mais tous les oscillateurs (RSI 74,3, Stochastique 100, Bollinger) sont en surachat extrême, préfigurant une correction. Les fondamentaux sont solides avec une croissance du CA de 14,8%, un ROE de 36,5% et une politique de dividende attractive (234 FCFA/action), mais l'endettement élevé et la dépendance réglementaire constituent des risques. Les prédictions IA (5 476 à 4 009 FCFA sur 10 jours) confirment cette anticipation de correction, avec une baisse attendue de 32% par rapport au cours actuel. En conséquence, la recommandation est **VENTE** avec un niveau de confiance **Moyen**, le risque global étant **Élevé**. L'horizon d'investissement optimal serait le **court terme (&lt;3 mois)** pour profiter d'un éventuel rebond technique, mais une prudence accrue est recommandée face à la convergence des signaux de surachat et des prédictions baissières.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881.08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3,710 titres</w:t>
            </w:r>
          </w:p>
        </w:tc>
        <w:tc>
          <w:tcPr>
            <w:tcW w:type="dxa" w:w="2268"/>
            <w:shd w:fill="FFF2CC" w:val="clear"/>
          </w:tcPr>
          <w:p>
            <w:r>
              <w:rPr>
                <w:b/>
                <w:color w:val="503200"/>
                <w:sz w:val="16"/>
              </w:rPr>
              <w:t xml:space="preserve">Cours actuel : </w:t>
            </w:r>
            <w:r>
              <w:rPr>
                <w:color w:val="000000"/>
                <w:sz w:val="17"/>
              </w:rPr>
              <w:t>16,005 FCFA</w:t>
            </w:r>
          </w:p>
          <w:p>
            <w:r>
              <w:rPr>
                <w:b/>
                <w:color w:val="503200"/>
                <w:sz w:val="16"/>
              </w:rPr>
              <w:t xml:space="preserve">Var. 100 jours : </w:t>
            </w:r>
            <w:r>
              <w:rPr>
                <w:b/>
                <w:color w:val="B40000"/>
                <w:sz w:val="17"/>
              </w:rPr>
              <w:t>-4.16%</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26.0%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2.13% (Faible) — μ=16,306 FCFA, σ=348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β=0.2952 (Défensif) — Cov=0.000009, Var(idx)=0.000031, ρ=0.100,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15,630</w:t>
            </w:r>
          </w:p>
        </w:tc>
        <w:tc>
          <w:tcPr>
            <w:tcW w:type="dxa" w:w="1440"/>
            <w:shd w:fill="FAFAFA" w:val="clear"/>
          </w:tcPr>
          <w:p>
            <w:r>
              <w:rPr>
                <w:b/>
                <w:sz w:val="17"/>
              </w:rPr>
              <w:t>15,986</w:t>
            </w:r>
          </w:p>
        </w:tc>
        <w:tc>
          <w:tcPr>
            <w:tcW w:type="dxa" w:w="1440"/>
            <w:shd w:fill="FAFAFA" w:val="clear"/>
          </w:tcPr>
          <w:p>
            <w:r>
              <w:rPr>
                <w:sz w:val="17"/>
              </w:rPr>
              <w:t>16,342</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15,472</w:t>
            </w:r>
          </w:p>
        </w:tc>
        <w:tc>
          <w:tcPr>
            <w:tcW w:type="dxa" w:w="1440"/>
            <w:shd w:fill="FAFAFA" w:val="clear"/>
          </w:tcPr>
          <w:p>
            <w:r>
              <w:rPr>
                <w:b/>
                <w:sz w:val="17"/>
              </w:rPr>
              <w:t>15,975</w:t>
            </w:r>
          </w:p>
        </w:tc>
        <w:tc>
          <w:tcPr>
            <w:tcW w:type="dxa" w:w="1440"/>
            <w:shd w:fill="FAFAFA" w:val="clear"/>
          </w:tcPr>
          <w:p>
            <w:r>
              <w:rPr>
                <w:sz w:val="17"/>
              </w:rPr>
              <w:t>16,479</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2026-08-20</w:t>
            </w:r>
          </w:p>
        </w:tc>
        <w:tc>
          <w:tcPr>
            <w:tcW w:type="dxa" w:w="1440"/>
            <w:shd w:fill="FAFAFA" w:val="clear"/>
          </w:tcPr>
          <w:p>
            <w:r>
              <w:rPr>
                <w:sz w:val="17"/>
              </w:rPr>
              <w:t>15,348</w:t>
            </w:r>
          </w:p>
        </w:tc>
        <w:tc>
          <w:tcPr>
            <w:tcW w:type="dxa" w:w="1440"/>
            <w:shd w:fill="FAFAFA" w:val="clear"/>
          </w:tcPr>
          <w:p>
            <w:r>
              <w:rPr>
                <w:b/>
                <w:sz w:val="17"/>
              </w:rPr>
              <w:t>15,964</w:t>
            </w:r>
          </w:p>
        </w:tc>
        <w:tc>
          <w:tcPr>
            <w:tcW w:type="dxa" w:w="1440"/>
            <w:shd w:fill="FAFAFA" w:val="clear"/>
          </w:tcPr>
          <w:p>
            <w:r>
              <w:rPr>
                <w:sz w:val="17"/>
              </w:rPr>
              <w:t>16,580</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2026-08-21</w:t>
            </w:r>
          </w:p>
        </w:tc>
        <w:tc>
          <w:tcPr>
            <w:tcW w:type="dxa" w:w="1440"/>
            <w:shd w:fill="FAFAFA" w:val="clear"/>
          </w:tcPr>
          <w:p>
            <w:r>
              <w:rPr>
                <w:sz w:val="17"/>
              </w:rPr>
              <w:t>15,241</w:t>
            </w:r>
          </w:p>
        </w:tc>
        <w:tc>
          <w:tcPr>
            <w:tcW w:type="dxa" w:w="1440"/>
            <w:shd w:fill="FAFAFA" w:val="clear"/>
          </w:tcPr>
          <w:p>
            <w:r>
              <w:rPr>
                <w:b/>
                <w:sz w:val="17"/>
              </w:rPr>
              <w:t>15,952</w:t>
            </w:r>
          </w:p>
        </w:tc>
        <w:tc>
          <w:tcPr>
            <w:tcW w:type="dxa" w:w="1440"/>
            <w:shd w:fill="FAFAFA" w:val="clear"/>
          </w:tcPr>
          <w:p>
            <w:r>
              <w:rPr>
                <w:sz w:val="17"/>
              </w:rPr>
              <w:t>16,663</w:t>
            </w:r>
          </w:p>
        </w:tc>
        <w:tc>
          <w:tcPr>
            <w:tcW w:type="dxa" w:w="1440"/>
            <w:shd w:fill="FAFAFA" w:val="clear"/>
          </w:tcPr>
          <w:p>
            <w:r>
              <w:rPr>
                <w:b/>
                <w:color w:val="C00000"/>
                <w:sz w:val="17"/>
              </w:rPr>
              <w:t>-0.3%</w:t>
            </w:r>
          </w:p>
        </w:tc>
      </w:tr>
      <w:tr>
        <w:tc>
          <w:tcPr>
            <w:tcW w:type="dxa" w:w="1440"/>
            <w:shd w:fill="FAFAFA" w:val="clear"/>
          </w:tcPr>
          <w:p>
            <w:r>
              <w:rPr>
                <w:sz w:val="17"/>
              </w:rPr>
              <w:t>J+5  Moyenne</w:t>
            </w:r>
          </w:p>
        </w:tc>
        <w:tc>
          <w:tcPr>
            <w:tcW w:type="dxa" w:w="1440"/>
            <w:shd w:fill="FAFAFA" w:val="clear"/>
          </w:tcPr>
          <w:p>
            <w:r>
              <w:rPr>
                <w:sz w:val="17"/>
              </w:rPr>
              <w:t>2026-08-24</w:t>
            </w:r>
          </w:p>
        </w:tc>
        <w:tc>
          <w:tcPr>
            <w:tcW w:type="dxa" w:w="1440"/>
            <w:shd w:fill="FAFAFA" w:val="clear"/>
          </w:tcPr>
          <w:p>
            <w:r>
              <w:rPr>
                <w:sz w:val="17"/>
              </w:rPr>
              <w:t>15,147</w:t>
            </w:r>
          </w:p>
        </w:tc>
        <w:tc>
          <w:tcPr>
            <w:tcW w:type="dxa" w:w="1440"/>
            <w:shd w:fill="FAFAFA" w:val="clear"/>
          </w:tcPr>
          <w:p>
            <w:r>
              <w:rPr>
                <w:b/>
                <w:sz w:val="17"/>
              </w:rPr>
              <w:t>15,941</w:t>
            </w:r>
          </w:p>
        </w:tc>
        <w:tc>
          <w:tcPr>
            <w:tcW w:type="dxa" w:w="1440"/>
            <w:shd w:fill="FAFAFA" w:val="clear"/>
          </w:tcPr>
          <w:p>
            <w:r>
              <w:rPr>
                <w:sz w:val="17"/>
              </w:rPr>
              <w:t>16,735</w:t>
            </w:r>
          </w:p>
        </w:tc>
        <w:tc>
          <w:tcPr>
            <w:tcW w:type="dxa" w:w="1440"/>
            <w:shd w:fill="FAFAFA" w:val="clear"/>
          </w:tcPr>
          <w:p>
            <w:r>
              <w:rPr>
                <w:b/>
                <w:color w:val="C00000"/>
                <w:sz w:val="17"/>
              </w:rPr>
              <w:t>-0.4%</w:t>
            </w:r>
          </w:p>
        </w:tc>
      </w:tr>
      <w:tr>
        <w:tc>
          <w:tcPr>
            <w:tcW w:type="dxa" w:w="1440"/>
            <w:shd w:fill="FAFAFA" w:val="clear"/>
          </w:tcPr>
          <w:p>
            <w:r>
              <w:rPr>
                <w:sz w:val="17"/>
              </w:rPr>
              <w:t>J+6  Moyenne</w:t>
            </w:r>
          </w:p>
        </w:tc>
        <w:tc>
          <w:tcPr>
            <w:tcW w:type="dxa" w:w="1440"/>
            <w:shd w:fill="FAFAFA" w:val="clear"/>
          </w:tcPr>
          <w:p>
            <w:r>
              <w:rPr>
                <w:sz w:val="17"/>
              </w:rPr>
              <w:t>2026-08-25</w:t>
            </w:r>
          </w:p>
        </w:tc>
        <w:tc>
          <w:tcPr>
            <w:tcW w:type="dxa" w:w="1440"/>
            <w:shd w:fill="FAFAFA" w:val="clear"/>
          </w:tcPr>
          <w:p>
            <w:r>
              <w:rPr>
                <w:sz w:val="17"/>
              </w:rPr>
              <w:t>15,060</w:t>
            </w:r>
          </w:p>
        </w:tc>
        <w:tc>
          <w:tcPr>
            <w:tcW w:type="dxa" w:w="1440"/>
            <w:shd w:fill="FAFAFA" w:val="clear"/>
          </w:tcPr>
          <w:p>
            <w:r>
              <w:rPr>
                <w:b/>
                <w:sz w:val="17"/>
              </w:rPr>
              <w:t>15,930</w:t>
            </w:r>
          </w:p>
        </w:tc>
        <w:tc>
          <w:tcPr>
            <w:tcW w:type="dxa" w:w="1440"/>
            <w:shd w:fill="FAFAFA" w:val="clear"/>
          </w:tcPr>
          <w:p>
            <w:r>
              <w:rPr>
                <w:sz w:val="17"/>
              </w:rPr>
              <w:t>16,799</w:t>
            </w:r>
          </w:p>
        </w:tc>
        <w:tc>
          <w:tcPr>
            <w:tcW w:type="dxa" w:w="1440"/>
            <w:shd w:fill="FAFAFA" w:val="clear"/>
          </w:tcPr>
          <w:p>
            <w:r>
              <w:rPr>
                <w:b/>
                <w:color w:val="C00000"/>
                <w:sz w:val="17"/>
              </w:rPr>
              <w:t>-0.5%</w:t>
            </w:r>
          </w:p>
        </w:tc>
      </w:tr>
      <w:tr>
        <w:tc>
          <w:tcPr>
            <w:tcW w:type="dxa" w:w="1440"/>
            <w:shd w:fill="FAFAFA" w:val="clear"/>
          </w:tcPr>
          <w:p>
            <w:r>
              <w:rPr>
                <w:sz w:val="17"/>
              </w:rPr>
              <w:t>J+7  Moyenne</w:t>
            </w:r>
          </w:p>
        </w:tc>
        <w:tc>
          <w:tcPr>
            <w:tcW w:type="dxa" w:w="1440"/>
            <w:shd w:fill="FAFAFA" w:val="clear"/>
          </w:tcPr>
          <w:p>
            <w:r>
              <w:rPr>
                <w:sz w:val="17"/>
              </w:rPr>
              <w:t>2026-08-27</w:t>
            </w:r>
          </w:p>
        </w:tc>
        <w:tc>
          <w:tcPr>
            <w:tcW w:type="dxa" w:w="1440"/>
            <w:shd w:fill="FAFAFA" w:val="clear"/>
          </w:tcPr>
          <w:p>
            <w:r>
              <w:rPr>
                <w:sz w:val="17"/>
              </w:rPr>
              <w:t>14,980</w:t>
            </w:r>
          </w:p>
        </w:tc>
        <w:tc>
          <w:tcPr>
            <w:tcW w:type="dxa" w:w="1440"/>
            <w:shd w:fill="FAFAFA" w:val="clear"/>
          </w:tcPr>
          <w:p>
            <w:r>
              <w:rPr>
                <w:b/>
                <w:sz w:val="17"/>
              </w:rPr>
              <w:t>15,918</w:t>
            </w:r>
          </w:p>
        </w:tc>
        <w:tc>
          <w:tcPr>
            <w:tcW w:type="dxa" w:w="1440"/>
            <w:shd w:fill="FAFAFA" w:val="clear"/>
          </w:tcPr>
          <w:p>
            <w:r>
              <w:rPr>
                <w:sz w:val="17"/>
              </w:rPr>
              <w:t>16,857</w:t>
            </w:r>
          </w:p>
        </w:tc>
        <w:tc>
          <w:tcPr>
            <w:tcW w:type="dxa" w:w="1440"/>
            <w:shd w:fill="FAFAFA" w:val="clear"/>
          </w:tcPr>
          <w:p>
            <w:r>
              <w:rPr>
                <w:b/>
                <w:color w:val="C00000"/>
                <w:sz w:val="17"/>
              </w:rPr>
              <w:t>-0.5%</w:t>
            </w:r>
          </w:p>
        </w:tc>
      </w:tr>
      <w:tr>
        <w:tc>
          <w:tcPr>
            <w:tcW w:type="dxa" w:w="1440"/>
            <w:shd w:fill="FAFAFA" w:val="clear"/>
          </w:tcPr>
          <w:p>
            <w:r>
              <w:rPr>
                <w:sz w:val="17"/>
              </w:rPr>
              <w:t>J+8  Moyenne</w:t>
            </w:r>
          </w:p>
        </w:tc>
        <w:tc>
          <w:tcPr>
            <w:tcW w:type="dxa" w:w="1440"/>
            <w:shd w:fill="FAFAFA" w:val="clear"/>
          </w:tcPr>
          <w:p>
            <w:r>
              <w:rPr>
                <w:sz w:val="17"/>
              </w:rPr>
              <w:t>2026-08-28</w:t>
            </w:r>
          </w:p>
        </w:tc>
        <w:tc>
          <w:tcPr>
            <w:tcW w:type="dxa" w:w="1440"/>
            <w:shd w:fill="FAFAFA" w:val="clear"/>
          </w:tcPr>
          <w:p>
            <w:r>
              <w:rPr>
                <w:sz w:val="17"/>
              </w:rPr>
              <w:t>14,905</w:t>
            </w:r>
          </w:p>
        </w:tc>
        <w:tc>
          <w:tcPr>
            <w:tcW w:type="dxa" w:w="1440"/>
            <w:shd w:fill="FAFAFA" w:val="clear"/>
          </w:tcPr>
          <w:p>
            <w:r>
              <w:rPr>
                <w:b/>
                <w:sz w:val="17"/>
              </w:rPr>
              <w:t>15,907</w:t>
            </w:r>
          </w:p>
        </w:tc>
        <w:tc>
          <w:tcPr>
            <w:tcW w:type="dxa" w:w="1440"/>
            <w:shd w:fill="FAFAFA" w:val="clear"/>
          </w:tcPr>
          <w:p>
            <w:r>
              <w:rPr>
                <w:sz w:val="17"/>
              </w:rPr>
              <w:t>16,910</w:t>
            </w:r>
          </w:p>
        </w:tc>
        <w:tc>
          <w:tcPr>
            <w:tcW w:type="dxa" w:w="1440"/>
            <w:shd w:fill="FAFAFA" w:val="clear"/>
          </w:tcPr>
          <w:p>
            <w:r>
              <w:rPr>
                <w:b/>
                <w:color w:val="C00000"/>
                <w:sz w:val="17"/>
              </w:rPr>
              <w:t>-0.6%</w:t>
            </w:r>
          </w:p>
        </w:tc>
      </w:tr>
      <w:tr>
        <w:tc>
          <w:tcPr>
            <w:tcW w:type="dxa" w:w="1440"/>
            <w:shd w:fill="FAFAFA" w:val="clear"/>
          </w:tcPr>
          <w:p>
            <w:r>
              <w:rPr>
                <w:sz w:val="17"/>
              </w:rPr>
              <w:t>J+9  Moyenne</w:t>
            </w:r>
          </w:p>
        </w:tc>
        <w:tc>
          <w:tcPr>
            <w:tcW w:type="dxa" w:w="1440"/>
            <w:shd w:fill="FAFAFA" w:val="clear"/>
          </w:tcPr>
          <w:p>
            <w:r>
              <w:rPr>
                <w:sz w:val="17"/>
              </w:rPr>
              <w:t>2026-08-31</w:t>
            </w:r>
          </w:p>
        </w:tc>
        <w:tc>
          <w:tcPr>
            <w:tcW w:type="dxa" w:w="1440"/>
            <w:shd w:fill="FAFAFA" w:val="clear"/>
          </w:tcPr>
          <w:p>
            <w:r>
              <w:rPr>
                <w:sz w:val="17"/>
              </w:rPr>
              <w:t>14,834</w:t>
            </w:r>
          </w:p>
        </w:tc>
        <w:tc>
          <w:tcPr>
            <w:tcW w:type="dxa" w:w="1440"/>
            <w:shd w:fill="FAFAFA" w:val="clear"/>
          </w:tcPr>
          <w:p>
            <w:r>
              <w:rPr>
                <w:b/>
                <w:sz w:val="17"/>
              </w:rPr>
              <w:t>15,897</w:t>
            </w:r>
          </w:p>
        </w:tc>
        <w:tc>
          <w:tcPr>
            <w:tcW w:type="dxa" w:w="1440"/>
            <w:shd w:fill="FAFAFA" w:val="clear"/>
          </w:tcPr>
          <w:p>
            <w:r>
              <w:rPr>
                <w:sz w:val="17"/>
              </w:rPr>
              <w:t>16,959</w:t>
            </w:r>
          </w:p>
        </w:tc>
        <w:tc>
          <w:tcPr>
            <w:tcW w:type="dxa" w:w="1440"/>
            <w:shd w:fill="FAFAFA" w:val="clear"/>
          </w:tcPr>
          <w:p>
            <w:r>
              <w:rPr>
                <w:b/>
                <w:color w:val="C00000"/>
                <w:sz w:val="17"/>
              </w:rPr>
              <w:t>-0.7%</w:t>
            </w:r>
          </w:p>
        </w:tc>
      </w:tr>
      <w:tr>
        <w:tc>
          <w:tcPr>
            <w:tcW w:type="dxa" w:w="1440"/>
            <w:shd w:fill="FAFAFA" w:val="clear"/>
          </w:tcPr>
          <w:p>
            <w:r>
              <w:rPr>
                <w:sz w:val="17"/>
              </w:rPr>
              <w:t>J+10  Moyenne</w:t>
            </w:r>
          </w:p>
        </w:tc>
        <w:tc>
          <w:tcPr>
            <w:tcW w:type="dxa" w:w="1440"/>
            <w:shd w:fill="FAFAFA" w:val="clear"/>
          </w:tcPr>
          <w:p>
            <w:r>
              <w:rPr>
                <w:sz w:val="17"/>
              </w:rPr>
              <w:t>2026-09-01</w:t>
            </w:r>
          </w:p>
        </w:tc>
        <w:tc>
          <w:tcPr>
            <w:tcW w:type="dxa" w:w="1440"/>
            <w:shd w:fill="FAFAFA" w:val="clear"/>
          </w:tcPr>
          <w:p>
            <w:r>
              <w:rPr>
                <w:sz w:val="17"/>
              </w:rPr>
              <w:t>14,767</w:t>
            </w:r>
          </w:p>
        </w:tc>
        <w:tc>
          <w:tcPr>
            <w:tcW w:type="dxa" w:w="1440"/>
            <w:shd w:fill="FAFAFA" w:val="clear"/>
          </w:tcPr>
          <w:p>
            <w:r>
              <w:rPr>
                <w:b/>
                <w:sz w:val="17"/>
              </w:rPr>
              <w:t>15,886</w:t>
            </w:r>
          </w:p>
        </w:tc>
        <w:tc>
          <w:tcPr>
            <w:tcW w:type="dxa" w:w="1440"/>
            <w:shd w:fill="FAFAFA" w:val="clear"/>
          </w:tcPr>
          <w:p>
            <w:r>
              <w:rPr>
                <w:sz w:val="17"/>
              </w:rPr>
              <w:t>17,005</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881,08 milliards FCFA, ce qui en fait l'une des valeurs les plus lourdes et les plus liquides du compartiment bancaire de la BRVM. Avec un BPA de 1 153 FCFA, le titre se négocie à un PER de 13,9x, légèrement supérieur à la moyenne historique du marché (8-12x), ce qui traduit une prime de valorisation que les investisseurs acceptent de payer pour la qualité de l'actif. Le P/B de 4,03x confirme cette lecture : le marché valorise la banque à plus de quatre fois sa valeur comptable, un niveau exigeant qui reflète une forte confiance dans la création de valeur future, mais qui laisse peu de marge d'erreur. Enfin, l'EV/EBITDA de 13,6x, dans la fourchette haute de 10-15x, indique que la valeur totale de l'entreprise reste élevée par rapport à sa capacité opérationnelle, justifiant une approche prudente sur le plan de la valorisation relative.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ECOC a reculé de 4,16%, avec une dernière séance quasi stable (+0,03%), témoignant d'un essoufflement après une période de consolidation. Le cours a évolué dans un range de 1 750 FCFA, entre un plus bas de 15 520 FCFA et un plus haut de 17 270 FCFA, soit une amplitude de 11,3%. La moyenne (16 306 FCFA) et la médiane (16 300 FCFA) étant quasi identiques, la distribution des prix est parfaitement symétrique, confirmée par un skewness de 0,283. L'écart-type de 350 FCFA (CV de 2,1%) indique une dispersion très faible autour de la moyenne, signe d'un titre très stable à court terme. Le kurtosis de 0,254, proche de zéro, suggère une distribution mésokurtique sans risque de mouvements extrêmes. Enfin, la volatilité annualisée de 26,0% classe le titre dans une zone de volatilité modérée (15-30%), acceptable pour un investisseur institutionnel mais nécessitant une gestion active du risque.</w:t>
      </w:r>
    </w:p>
    <w:p>
      <w:pPr>
        <w:spacing w:after="120" w:line="276" w:lineRule="auto" w:before="240"/>
      </w:pPr>
      <w:r>
        <w:rPr>
          <w:b/>
          <w:color w:val="003366"/>
          <w:sz w:val="24"/>
        </w:rPr>
        <w:t>**PARTIE 2 : ANALYSE TECHNIQUE DÉTAILLÉE**</w:t>
      </w:r>
    </w:p>
    <w:p>
      <w:pPr>
        <w:spacing w:after="120" w:line="276" w:lineRule="auto"/>
      </w:pPr>
      <w:r>
        <w:t>Les **Moyennes Mobiles** sont en configuration baissière : la MM20 (16 059 FCFA) est passée sous la MM50 (16 399 FCFA), et le cours actuel (16 005 FCFA) évolue sous ces deux moyennes. Cette structure en "death cross" signale une dynamique négative à court et moyen terme, justifiant la décision de Vente. Le prix devra repasser au-dessus de la MM20 pour amorcer un retournement.</w:t>
      </w:r>
    </w:p>
    <w:p>
      <w:pPr>
        <w:spacing w:after="120" w:line="276" w:lineRule="auto"/>
      </w:pPr>
      <w:r>
        <w:t>Les **Bandes de Bollinger** montrent un cours positionné dans la moitié inférieure du canal, entre la borne inférieure (15 687 FCFA) et la moyenne mobile centrale. L'écart entre les bornes (environ 743 FCFA) reflète une volatilité contenue. La décision Neutre s'explique par l'absence de sortie de bande ou de resserrement extrême, le prix évoluant sans signal directionnel fort.</w:t>
      </w:r>
    </w:p>
    <w:p>
      <w:pPr>
        <w:spacing w:after="120" w:line="276" w:lineRule="auto"/>
      </w:pPr>
      <w:r>
        <w:t>Le **MACD** affiche une valeur de -90,9, légèrement au-dessus de son signal (-92,2), formant un croisement haussier naissant. Bien que le momentum reste négatif en valeur absolue, cette convergence positive suggère un ralentissement de la pression vendeuse et une possible reprise à court terme, justifiant la décision d'Achat.</w:t>
      </w:r>
    </w:p>
    <w:p>
      <w:pPr>
        <w:spacing w:after="120" w:line="276" w:lineRule="auto"/>
      </w:pPr>
      <w:r>
        <w:t>Le **RSI** à 36,3 se situe en zone neutre, proche de la zone de survente (30). Il indique que le titre n'est ni suracheté ni survendu, mais la pression vendeuse reste dominante. La décision Neutre est cohérente avec une absence de signal extrême, bien qu'un passage sous 30 déclencherait un signal d'achat technique.</w:t>
      </w:r>
    </w:p>
    <w:p>
      <w:pPr>
        <w:spacing w:after="120" w:line="276" w:lineRule="auto"/>
      </w:pPr>
      <w:r>
        <w:t>Le **Stochastique** est très bas avec %K à 2,04 et %D à 0,68, en territoire de survente profonde. Ce niveau extrême indique que le titre est techniquement survendu, avec un fort potentiel de rebond. La décision d'Achat est justifiée par ce déséquilibre, d'autant que %K est au-dessus de %D, amorçant un croisement haussier.</w:t>
      </w:r>
    </w:p>
    <w:p>
      <w:pPr>
        <w:spacing w:after="120" w:line="276" w:lineRule="auto"/>
      </w:pPr>
      <w:r>
        <w:t>En conclusion, la configuration technique est mitigée : la tendance de fond reste baissière (MM), mais les oscillateurs (MACD, Stochastique) signalent un épuisement de la vente et un potentiel de rebond technique. Le RSI neutre et les bandes de Bollinger sans pression particulière suggèrent une stabilisation avant une possible reprise, mais la prudence reste de mise tant que le cours n'a pas reconquis la MM20.</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fondamentaux solides avec un Produit Net Bancaire de 132,7 milliards FCFA et un résultat net de 63,5 milliards FCFA, en hausse de 10,4% par rapport à 2024 (57,5 milliards). Le ROE s'établit à 29,0% et le ROA à 3,1%, des niveaux excellents qui témoignent d'une gestion très efficace des capitaux propres et des actifs. Le coefficient d'exploitation de 42,9% est remarquable, bien en dessous du seuil de 60% considéré comme sain, indiquant une maîtrise rigoureuse des charges. Le coût du risque de 1,36% reste modéré, reflétant une bonne qualité du portefeuille de crédits, avec un taux de dégradation stable à 3,8%. La banque maintient un ratio de solvabilité de 19,3%, très au-dessus de l'exigence réglementaire de 11,5%. Les dépôts clientèle (1 626 milliards FCFA) couvrent largement les crédits à la clientèle (1 051 milliards FCFA), soit un ratio de transformation de 64,6%, signe d'une liquidité abondante. Sur la base des rapports trimestriels de 2025 (T1 : PNB 29,7 Mds, T3 : PNB 96,4 Mds), on estime que l'exercice 2026 devrait maintenir une croissance du PNB de 3 à 5%, portée par la marge nette d'intérêts, malgré une légère baisse du résultat net au T1 2026 (13,0 Mds, -1,6%) due à un coût du risque en hausse. La banque propose un dividende de 888 FCFA par action pour 2025, soit un rendement de 5,5% au cours actuel, confirmant une politique actionnariale généreuse. Les perspectives restent positives avec une stratégie axée sur la digitalisation et la qualité du portefeuille, mais la prudence est requise face aux incertitudes macroéconomiques régionales.</w:t>
      </w:r>
    </w:p>
    <w:p>
      <w:pPr>
        <w:spacing w:after="120" w:line="276" w:lineRule="auto" w:before="240"/>
      </w:pPr>
      <w:r>
        <w:rPr>
          <w:b/>
          <w:color w:val="003366"/>
          <w:sz w:val="24"/>
        </w:rPr>
        <w:t>**PARTIE 4 : CONCLUSION D'INVESTISSEMENT**</w:t>
      </w:r>
    </w:p>
    <w:p>
      <w:pPr>
        <w:spacing w:after="120" w:line="276" w:lineRule="auto"/>
      </w:pPr>
      <w:r>
        <w:t>La valorisation d'ECOC (PER 13,9x, P/B 4,03x) est exigeante mais justifiée par une rentabilité exceptionnelle (ROE 29%), tandis que le comportement du cours montre une consolidation récente (-4,16% sur 100 jours) dans une volatilité modérée de 26%. Les signaux techniques sont mitigés : la tendance baissière des moyennes mobiles contraste avec des oscillateurs en survente (Stochastique à 2,04) suggérant un rebond imminent. Les fondamentaux restent solides avec un PNB en croissance, un coût du risque maîtrisé et une politique de dividende attractive (888 FCFA, rendement 5,5%). Les prédictions IA pour les 10 prochains jours (15 941 à 15 986 FCFA) confirment une stabilisation du cours autour de 16 000 FCFA, sans cassure majeure. La convergence entre la solidité financière, le potentiel de rebond technique et la stabilité prédite conduit à une recommandation **CONSERVER** pour les investisseurs existants, avec un niveau de confiance **Moyen** et un risque global **Moyen**. Pour les nouveaux entrants, un point d'entrée sous 15 800 FCFA offrirait une marge de sécurité intéressante, avec un horizon d'investissement optimal à **moyen terme (3-12 mois)** pour bénéficier du prochain cycle de distribution et de la poursuite de la croissance du PNB.</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1175.47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1,395,251 titres</w:t>
            </w:r>
          </w:p>
        </w:tc>
        <w:tc>
          <w:tcPr>
            <w:tcW w:type="dxa" w:w="2268"/>
            <w:shd w:fill="FFF2CC" w:val="clear"/>
          </w:tcPr>
          <w:p>
            <w:r>
              <w:rPr>
                <w:b/>
                <w:color w:val="503200"/>
                <w:sz w:val="16"/>
              </w:rPr>
              <w:t xml:space="preserve">Cours actuel : </w:t>
            </w:r>
            <w:r>
              <w:rPr>
                <w:color w:val="000000"/>
                <w:sz w:val="17"/>
              </w:rPr>
              <w:t>65 FCFA</w:t>
            </w:r>
          </w:p>
          <w:p>
            <w:r>
              <w:rPr>
                <w:b/>
                <w:color w:val="503200"/>
                <w:sz w:val="16"/>
              </w:rPr>
              <w:t xml:space="preserve">Var. 100 jours : </w:t>
            </w:r>
            <w:r>
              <w:rPr>
                <w:b/>
                <w:color w:val="007800"/>
                <w:sz w:val="17"/>
              </w:rPr>
              <w:t>+103.12%</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38.55% (Élevée) — μ=42 FCFA, σ=16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β=2.9762 (Très agressif) — Cov=0.000093, Var(idx)=0.000031, ρ=0.409,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1,395,251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σ_j=4.06%/j (Modérée) — Vol. annualisée≈64.5%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56</w:t>
            </w:r>
          </w:p>
        </w:tc>
        <w:tc>
          <w:tcPr>
            <w:tcW w:type="dxa" w:w="1440"/>
            <w:shd w:fill="FFDCE0" w:val="clear"/>
          </w:tcPr>
          <w:p>
            <w:r>
              <w:rPr>
                <w:b/>
                <w:sz w:val="17"/>
              </w:rPr>
              <w:t>60</w:t>
            </w:r>
          </w:p>
        </w:tc>
        <w:tc>
          <w:tcPr>
            <w:tcW w:type="dxa" w:w="1440"/>
            <w:shd w:fill="FFDCE0" w:val="clear"/>
          </w:tcPr>
          <w:p>
            <w:r>
              <w:rPr>
                <w:sz w:val="17"/>
              </w:rPr>
              <w:t>65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49</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44</w:t>
            </w:r>
          </w:p>
        </w:tc>
        <w:tc>
          <w:tcPr>
            <w:tcW w:type="dxa" w:w="1440"/>
            <w:shd w:fill="FFDCE0" w:val="clear"/>
          </w:tcPr>
          <w:p>
            <w:r>
              <w:rPr>
                <w:b/>
                <w:sz w:val="17"/>
              </w:rPr>
              <w:t>51</w:t>
            </w:r>
          </w:p>
        </w:tc>
        <w:tc>
          <w:tcPr>
            <w:tcW w:type="dxa" w:w="1440"/>
            <w:shd w:fill="FFDCE0" w:val="clear"/>
          </w:tcPr>
          <w:p>
            <w:r>
              <w:rPr>
                <w:sz w:val="17"/>
              </w:rPr>
              <w:t>59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39</w:t>
            </w:r>
          </w:p>
        </w:tc>
        <w:tc>
          <w:tcPr>
            <w:tcW w:type="dxa" w:w="1440"/>
            <w:shd w:fill="FFDCE0" w:val="clear"/>
          </w:tcPr>
          <w:p>
            <w:r>
              <w:rPr>
                <w:b/>
                <w:sz w:val="17"/>
              </w:rPr>
              <w:t>48</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35</w:t>
            </w:r>
          </w:p>
        </w:tc>
        <w:tc>
          <w:tcPr>
            <w:tcW w:type="dxa" w:w="1440"/>
            <w:shd w:fill="FFDCE0" w:val="clear"/>
          </w:tcPr>
          <w:p>
            <w:r>
              <w:rPr>
                <w:b/>
                <w:sz w:val="17"/>
              </w:rPr>
              <w:t>44</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32</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29</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26</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24</w:t>
            </w:r>
          </w:p>
        </w:tc>
        <w:tc>
          <w:tcPr>
            <w:tcW w:type="dxa" w:w="1440"/>
            <w:shd w:fill="FFDCE0" w:val="clear"/>
          </w:tcPr>
          <w:p>
            <w:r>
              <w:rPr>
                <w:b/>
                <w:sz w:val="17"/>
              </w:rPr>
              <w:t>32</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21</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1 175,47 milliards FCFA, ce qui en fait une des toutes premières capitalisations de la BRVM, reflétant le statut de leader panafricain du groupe. Avec un BPA de 19 FCFA, le titre se négocie à un PER de 3,4x, très inférieur à la moyenne historique de la BRVM (8-12x), signalant une décote significative et une possible sous-évaluation. Le P/B de 0,74x confirme cette lecture : le marché valorise le titre sous sa valeur comptable, offrant une marge de sécurité pour l'investisseur. Enfin, l'EV/EBITDA de 4,9x, inférieur à 5x, indique que la valeur d'entreprise est très raisonnable par rapport à la capacité opérationnelle de la banque. Ces ratios, pris ensemble, suggèrent une valorisation très attractive.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ETIT a enregistré une progression spectaculaire de +103,12%, passant d'un plus bas de 26 FCFA à un plus haut de 78 FCFA, avant de clôturer à 65 FCFA. La dernière séance montre un repli de -4,41%, indiquant une phase de consolidation après un rallye intense. La moyenne du cours sur la période (42 FCFA) est nettement inférieure à la médiane (33 FCFA), et l'écart entre la moyenne et la médiane, couplé à un skewness positif (0.884), révèle une distribution asymétrique avec des journées de forte hausse concentrées en fin de période. L'écart-type de 16 FCFA (CV=38,7%) et la volatilité annualisée de 64,5% témoignent d'un risque de marché très élevé, bien au-delà du seuil de 30%. Le kurtosis négatif (-0.964) suggère une distribution mésokurtique, sans risque de pics extrêmes, mais la tendance haussière est indéniable.</w:t>
      </w:r>
    </w:p>
    <w:p>
      <w:pPr>
        <w:spacing w:after="120" w:line="276" w:lineRule="auto" w:before="240"/>
      </w:pPr>
      <w:r>
        <w:rPr>
          <w:b/>
          <w:color w:val="003366"/>
          <w:sz w:val="24"/>
        </w:rPr>
        <w:t>**PARTIE 2 : ANALYSE TECHNIQUE DÉTAILLÉE**</w:t>
      </w:r>
    </w:p>
    <w:p>
      <w:pPr>
        <w:spacing w:after="120" w:line="276" w:lineRule="auto"/>
      </w:pPr>
      <w:r>
        <w:t>**Moyennes Mobiles**: Le cours actuel (65 FCFA) est inférieur à la MM20 (67,6 FCFA) mais supérieur à la MM50 (54,34 FCFA). Cette configuration, avec une MM20 au-dessus de la MM50, indique une tendance haussière de moyen terme, mais un repli à court terme. La décision globale est un "Achat", car la tendance de fond reste positive.</w:t>
      </w:r>
    </w:p>
    <w:p>
      <w:pPr>
        <w:spacing w:after="120" w:line="276" w:lineRule="auto"/>
      </w:pPr>
      <w:r>
        <w:t>**Bandes de Bollinger**: Le prix se situe à 65 FCFA, entre la borne inférieure (60,751) et la borne supérieure (74,449). Cette position médiane indique une volatilité modérée et une absence de signal directionnel fort. La décision est "Neutre", le marché attendant un catalyseur pour sortir de ce range.</w:t>
      </w:r>
    </w:p>
    <w:p>
      <w:pPr>
        <w:spacing w:after="120" w:line="276" w:lineRule="auto"/>
      </w:pPr>
      <w:r>
        <w:t>**MACD**: La valeur du MACD (2,697) est inférieure à sa ligne de signal (3,925), formant un croisement baissier. Ce signal indique un ralentissement du momentum haussier et une possible correction à court terme. La décision est "Vente", suggérant une prudence pour les traders à court terme.</w:t>
      </w:r>
    </w:p>
    <w:p>
      <w:pPr>
        <w:spacing w:after="120" w:line="276" w:lineRule="auto"/>
      </w:pPr>
      <w:r>
        <w:t>**RSI**: Le RSI à 38,462 se situe en zone neutre (30-70), sans signal de surachat ni de survente. Cela indique que le titre n'est ni survendu ni suracheté, laissant place à une évolution dans les deux sens. La décision est "Neutre".</w:t>
      </w:r>
    </w:p>
    <w:p>
      <w:pPr>
        <w:spacing w:after="120" w:line="276" w:lineRule="auto"/>
      </w:pPr>
      <w:r>
        <w:t>**Stochastique**: Le %K (20,0) est inférieur au %D (33,333), indiquant une dynamique baissière à court terme. Le titre est proche de la zone de survente, ce qui pourrait précéder un rebond technique. La décision est "Neutre", avec un biais légèrement négatif.</w:t>
      </w:r>
    </w:p>
    <w:p>
      <w:pPr>
        <w:spacing w:after="120" w:line="276" w:lineRule="auto"/>
      </w:pPr>
      <w:r>
        <w:t>**Conclusion technique**: Les indicateurs sont mitigés. La tendance de fond (MM50) reste haussière, mais les signaux à court terme (MACD, Stochastique) suggèrent une consolidation ou une correction. Le RSI neutre et les Bandes de Bollinger sans direction confirment une phase d'attente. La prudence est de mise à court terme, mais la tendance de moyen terme reste positive.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font état d'un Produit Net Bancaire (PNB) de 1 424,261 milliards FCFA, en croissance de 12,45% par rapport à l'exercice précédent. Le résultat net s'établit à 345,523 milliards FCFA, portant la marge nette à 24,26%. La rentabilité des fonds propres (ROE) est excellente à 21,62%, et le ROA de 1,80% est solide pour le secteur. Le coefficient d'exploitation de 27,35% est remarquable, démontrant une efficacité opérationnelle de premier ordre. Cependant, le coût du risque (18,97% des charges financières) reste élevé, signalant un portefeuille de crédit sous tension. Les rapports semestriels et trimestriels de 2026 confirment cette dynamique : le rapport du S1 2026 (publié en juillet 2026) montre un PNB en hausse de 15% à 721,3 milliards FCFA et un résultat net de 166,7 milliards FCFA (+6%). Le rapport du T1 2026 indiquait déjà un PNB en hausse de 23%. Sur la base de ces performances, on estime que l'exercice 2026 devrait voir un PNB dépasser 1 600 milliards FCFA et un résultat net supérieur à 380 milliards FCFA, confirmant la solidité et la croissance du groupe.</w:t>
      </w:r>
    </w:p>
    <w:p>
      <w:pPr>
        <w:spacing w:after="120" w:line="276" w:lineRule="auto" w:before="240"/>
      </w:pPr>
      <w:r>
        <w:rPr>
          <w:b/>
          <w:color w:val="003366"/>
          <w:sz w:val="24"/>
        </w:rPr>
        <w:t>**PARTIE 4 : CONCLUSION D'INVESTISSEMENT**</w:t>
      </w:r>
    </w:p>
    <w:p>
      <w:pPr>
        <w:spacing w:after="120" w:line="276" w:lineRule="auto"/>
      </w:pPr>
      <w:r>
        <w:t>La valorisation d'ETIT est extrêmement attractive (PER 3,4x, P/B 0,74x), signalant une sous-évaluation marquée. Le comportement du cours, avec une hausse de +103% sur 100 jours, montre un fort intérêt des investisseurs, mais la volatilité élevée (64,5%) et les statistiques (skewness positif) appellent à la prudence. Les signaux techniques sont mitigés : la tendance de fond est haussière, mais les indicateurs à court terme (MACD, Stochastique) suggèrent une consolidation. Les fondamentaux sont excellents, avec une croissance soutenue du PNB et une rentabilité élevée, malgré un coût du risque à surveiller. Les prédictions IA pour les 10 prochains jours (60 à 44 FCFA) indiquent une correction significative, contredisant la tendance haussière de fond. Cette divergence suggère un repli technique à court terme. En synthèse, la convergence entre la sous-évaluation, les fondamentaux solides et la tendance de fond plaide pour une recommandation **ACHAT**, mais avec un horizon de moyen terme (3-12 mois) pour absorber la volatilité et la correction prédite. Le niveau de confiance est **Moyen** et le risque global est **Élevé** en raison de la volatilité et du coût du risque.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3,887 titres</w:t>
            </w:r>
          </w:p>
        </w:tc>
        <w:tc>
          <w:tcPr>
            <w:tcW w:type="dxa" w:w="2268"/>
            <w:shd w:fill="FFF2CC" w:val="clear"/>
          </w:tcPr>
          <w:p>
            <w:r>
              <w:rPr>
                <w:b/>
                <w:color w:val="503200"/>
                <w:sz w:val="16"/>
              </w:rPr>
              <w:t xml:space="preserve">Cours actuel : </w:t>
            </w:r>
            <w:r>
              <w:rPr>
                <w:color w:val="000000"/>
                <w:sz w:val="17"/>
              </w:rPr>
              <w:t>2,150 FCFA</w:t>
            </w:r>
          </w:p>
          <w:p>
            <w:r>
              <w:rPr>
                <w:b/>
                <w:color w:val="503200"/>
                <w:sz w:val="16"/>
              </w:rPr>
              <w:t xml:space="preserve">Var. 100 jours : </w:t>
            </w:r>
            <w:r>
              <w:rPr>
                <w:b/>
                <w:color w:val="B40000"/>
                <w:sz w:val="17"/>
              </w:rPr>
              <w:t>-6.11%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6.65% (Moyenne) — μ=2,167 FCFA, σ=144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β=0.9648 (Neutre (suit le marché)) — Cov=0.000030, Var(idx)=0.000031, ρ=0.235,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3,887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2,096</w:t>
            </w:r>
          </w:p>
        </w:tc>
        <w:tc>
          <w:tcPr>
            <w:tcW w:type="dxa" w:w="1440"/>
            <w:shd w:fill="FAFAFA" w:val="clear"/>
          </w:tcPr>
          <w:p>
            <w:r>
              <w:rPr>
                <w:b/>
                <w:sz w:val="17"/>
              </w:rPr>
              <w:t>2,162</w:t>
            </w:r>
          </w:p>
        </w:tc>
        <w:tc>
          <w:tcPr>
            <w:tcW w:type="dxa" w:w="1440"/>
            <w:shd w:fill="FAFAFA" w:val="clear"/>
          </w:tcPr>
          <w:p>
            <w:r>
              <w:rPr>
                <w:sz w:val="17"/>
              </w:rPr>
              <w:t>2,229</w:t>
            </w:r>
          </w:p>
        </w:tc>
        <w:tc>
          <w:tcPr>
            <w:tcW w:type="dxa" w:w="1440"/>
            <w:shd w:fill="FAFAFA" w:val="clear"/>
          </w:tcPr>
          <w:p>
            <w:r>
              <w:rPr>
                <w:b/>
                <w:color w:val="008000"/>
                <w:sz w:val="17"/>
              </w:rPr>
              <w:t>+0.6%</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2,077</w:t>
            </w:r>
          </w:p>
        </w:tc>
        <w:tc>
          <w:tcPr>
            <w:tcW w:type="dxa" w:w="1440"/>
            <w:shd w:fill="FAFAFA" w:val="clear"/>
          </w:tcPr>
          <w:p>
            <w:r>
              <w:rPr>
                <w:b/>
                <w:sz w:val="17"/>
              </w:rPr>
              <w:t>2,171</w:t>
            </w:r>
          </w:p>
        </w:tc>
        <w:tc>
          <w:tcPr>
            <w:tcW w:type="dxa" w:w="1440"/>
            <w:shd w:fill="FAFAFA" w:val="clear"/>
          </w:tcPr>
          <w:p>
            <w:r>
              <w:rPr>
                <w:sz w:val="17"/>
              </w:rPr>
              <w:t>2,265</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2026-08-20</w:t>
            </w:r>
          </w:p>
        </w:tc>
        <w:tc>
          <w:tcPr>
            <w:tcW w:type="dxa" w:w="1440"/>
            <w:shd w:fill="FAFAFA" w:val="clear"/>
          </w:tcPr>
          <w:p>
            <w:r>
              <w:rPr>
                <w:sz w:val="17"/>
              </w:rPr>
              <w:t>2,065</w:t>
            </w:r>
          </w:p>
        </w:tc>
        <w:tc>
          <w:tcPr>
            <w:tcW w:type="dxa" w:w="1440"/>
            <w:shd w:fill="FAFAFA" w:val="clear"/>
          </w:tcPr>
          <w:p>
            <w:r>
              <w:rPr>
                <w:b/>
                <w:sz w:val="17"/>
              </w:rPr>
              <w:t>2,181</w:t>
            </w:r>
          </w:p>
        </w:tc>
        <w:tc>
          <w:tcPr>
            <w:tcW w:type="dxa" w:w="1440"/>
            <w:shd w:fill="FAFAFA" w:val="clear"/>
          </w:tcPr>
          <w:p>
            <w:r>
              <w:rPr>
                <w:sz w:val="17"/>
              </w:rPr>
              <w:t>2,297</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2026-08-21</w:t>
            </w:r>
          </w:p>
        </w:tc>
        <w:tc>
          <w:tcPr>
            <w:tcW w:type="dxa" w:w="1440"/>
            <w:shd w:fill="FAFAFA" w:val="clear"/>
          </w:tcPr>
          <w:p>
            <w:r>
              <w:rPr>
                <w:sz w:val="17"/>
              </w:rPr>
              <w:t>2,057</w:t>
            </w:r>
          </w:p>
        </w:tc>
        <w:tc>
          <w:tcPr>
            <w:tcW w:type="dxa" w:w="1440"/>
            <w:shd w:fill="FAFAFA" w:val="clear"/>
          </w:tcPr>
          <w:p>
            <w:r>
              <w:rPr>
                <w:b/>
                <w:sz w:val="17"/>
              </w:rPr>
              <w:t>2,191</w:t>
            </w:r>
          </w:p>
        </w:tc>
        <w:tc>
          <w:tcPr>
            <w:tcW w:type="dxa" w:w="1440"/>
            <w:shd w:fill="FAFAFA" w:val="clear"/>
          </w:tcPr>
          <w:p>
            <w:r>
              <w:rPr>
                <w:sz w:val="17"/>
              </w:rPr>
              <w:t>2,326</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2026-08-24</w:t>
            </w:r>
          </w:p>
        </w:tc>
        <w:tc>
          <w:tcPr>
            <w:tcW w:type="dxa" w:w="1440"/>
            <w:shd w:fill="C6EFCE" w:val="clear"/>
          </w:tcPr>
          <w:p>
            <w:r>
              <w:rPr>
                <w:sz w:val="17"/>
              </w:rPr>
              <w:t>2,050</w:t>
            </w:r>
          </w:p>
        </w:tc>
        <w:tc>
          <w:tcPr>
            <w:tcW w:type="dxa" w:w="1440"/>
            <w:shd w:fill="C6EFCE" w:val="clear"/>
          </w:tcPr>
          <w:p>
            <w:r>
              <w:rPr>
                <w:b/>
                <w:sz w:val="17"/>
              </w:rPr>
              <w:t>2,201</w:t>
            </w:r>
          </w:p>
        </w:tc>
        <w:tc>
          <w:tcPr>
            <w:tcW w:type="dxa" w:w="1440"/>
            <w:shd w:fill="C6EFCE" w:val="clear"/>
          </w:tcPr>
          <w:p>
            <w:r>
              <w:rPr>
                <w:sz w:val="17"/>
              </w:rPr>
              <w:t>2,352</w:t>
            </w:r>
          </w:p>
        </w:tc>
        <w:tc>
          <w:tcPr>
            <w:tcW w:type="dxa" w:w="1440"/>
            <w:shd w:fill="C6EFCE" w:val="clear"/>
          </w:tcPr>
          <w:p>
            <w:r>
              <w:rPr>
                <w:b/>
                <w:color w:val="008000"/>
                <w:sz w:val="17"/>
              </w:rPr>
              <w:t>+2.4%</w:t>
            </w:r>
          </w:p>
        </w:tc>
      </w:tr>
      <w:tr>
        <w:tc>
          <w:tcPr>
            <w:tcW w:type="dxa" w:w="1440"/>
            <w:shd w:fill="C6EFCE" w:val="clear"/>
          </w:tcPr>
          <w:p>
            <w:r>
              <w:rPr>
                <w:sz w:val="17"/>
              </w:rPr>
              <w:t>J+6  Moyenne</w:t>
            </w:r>
          </w:p>
        </w:tc>
        <w:tc>
          <w:tcPr>
            <w:tcW w:type="dxa" w:w="1440"/>
            <w:shd w:fill="C6EFCE" w:val="clear"/>
          </w:tcPr>
          <w:p>
            <w:r>
              <w:rPr>
                <w:sz w:val="17"/>
              </w:rPr>
              <w:t>2026-08-25</w:t>
            </w:r>
          </w:p>
        </w:tc>
        <w:tc>
          <w:tcPr>
            <w:tcW w:type="dxa" w:w="1440"/>
            <w:shd w:fill="C6EFCE" w:val="clear"/>
          </w:tcPr>
          <w:p>
            <w:r>
              <w:rPr>
                <w:sz w:val="17"/>
              </w:rPr>
              <w:t>2,044</w:t>
            </w:r>
          </w:p>
        </w:tc>
        <w:tc>
          <w:tcPr>
            <w:tcW w:type="dxa" w:w="1440"/>
            <w:shd w:fill="C6EFCE" w:val="clear"/>
          </w:tcPr>
          <w:p>
            <w:r>
              <w:rPr>
                <w:b/>
                <w:sz w:val="17"/>
              </w:rPr>
              <w:t>2,211</w:t>
            </w:r>
          </w:p>
        </w:tc>
        <w:tc>
          <w:tcPr>
            <w:tcW w:type="dxa" w:w="1440"/>
            <w:shd w:fill="C6EFCE" w:val="clear"/>
          </w:tcPr>
          <w:p>
            <w:r>
              <w:rPr>
                <w:sz w:val="17"/>
              </w:rPr>
              <w:t>2,377</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2026-08-27</w:t>
            </w:r>
          </w:p>
        </w:tc>
        <w:tc>
          <w:tcPr>
            <w:tcW w:type="dxa" w:w="1440"/>
            <w:shd w:fill="C6EFCE" w:val="clear"/>
          </w:tcPr>
          <w:p>
            <w:r>
              <w:rPr>
                <w:sz w:val="17"/>
              </w:rPr>
              <w:t>2,040</w:t>
            </w:r>
          </w:p>
        </w:tc>
        <w:tc>
          <w:tcPr>
            <w:tcW w:type="dxa" w:w="1440"/>
            <w:shd w:fill="C6EFCE" w:val="clear"/>
          </w:tcPr>
          <w:p>
            <w:r>
              <w:rPr>
                <w:b/>
                <w:sz w:val="17"/>
              </w:rPr>
              <w:t>2,220</w:t>
            </w:r>
          </w:p>
        </w:tc>
        <w:tc>
          <w:tcPr>
            <w:tcW w:type="dxa" w:w="1440"/>
            <w:shd w:fill="C6EFCE" w:val="clear"/>
          </w:tcPr>
          <w:p>
            <w:r>
              <w:rPr>
                <w:sz w:val="17"/>
              </w:rPr>
              <w:t>2,400</w:t>
            </w:r>
          </w:p>
        </w:tc>
        <w:tc>
          <w:tcPr>
            <w:tcW w:type="dxa" w:w="1440"/>
            <w:shd w:fill="C6EFCE" w:val="clear"/>
          </w:tcPr>
          <w:p>
            <w:r>
              <w:rPr>
                <w:b/>
                <w:color w:val="008000"/>
                <w:sz w:val="17"/>
              </w:rPr>
              <w:t>+3.3%</w:t>
            </w:r>
          </w:p>
        </w:tc>
      </w:tr>
      <w:tr>
        <w:tc>
          <w:tcPr>
            <w:tcW w:type="dxa" w:w="1440"/>
            <w:shd w:fill="C6EFCE" w:val="clear"/>
          </w:tcPr>
          <w:p>
            <w:r>
              <w:rPr>
                <w:sz w:val="17"/>
              </w:rPr>
              <w:t>J+8  Moyenne</w:t>
            </w:r>
          </w:p>
        </w:tc>
        <w:tc>
          <w:tcPr>
            <w:tcW w:type="dxa" w:w="1440"/>
            <w:shd w:fill="C6EFCE" w:val="clear"/>
          </w:tcPr>
          <w:p>
            <w:r>
              <w:rPr>
                <w:sz w:val="17"/>
              </w:rPr>
              <w:t>2026-08-28</w:t>
            </w:r>
          </w:p>
        </w:tc>
        <w:tc>
          <w:tcPr>
            <w:tcW w:type="dxa" w:w="1440"/>
            <w:shd w:fill="C6EFCE" w:val="clear"/>
          </w:tcPr>
          <w:p>
            <w:r>
              <w:rPr>
                <w:sz w:val="17"/>
              </w:rPr>
              <w:t>2,036</w:t>
            </w:r>
          </w:p>
        </w:tc>
        <w:tc>
          <w:tcPr>
            <w:tcW w:type="dxa" w:w="1440"/>
            <w:shd w:fill="C6EFCE" w:val="clear"/>
          </w:tcPr>
          <w:p>
            <w:r>
              <w:rPr>
                <w:b/>
                <w:sz w:val="17"/>
              </w:rPr>
              <w:t>2,230</w:t>
            </w:r>
          </w:p>
        </w:tc>
        <w:tc>
          <w:tcPr>
            <w:tcW w:type="dxa" w:w="1440"/>
            <w:shd w:fill="C6EFCE" w:val="clear"/>
          </w:tcPr>
          <w:p>
            <w:r>
              <w:rPr>
                <w:sz w:val="17"/>
              </w:rPr>
              <w:t>2,423</w:t>
            </w:r>
          </w:p>
        </w:tc>
        <w:tc>
          <w:tcPr>
            <w:tcW w:type="dxa" w:w="1440"/>
            <w:shd w:fill="C6EFCE" w:val="clear"/>
          </w:tcPr>
          <w:p>
            <w:r>
              <w:rPr>
                <w:b/>
                <w:color w:val="008000"/>
                <w:sz w:val="17"/>
              </w:rPr>
              <w:t>+3.7%</w:t>
            </w:r>
          </w:p>
        </w:tc>
      </w:tr>
      <w:tr>
        <w:tc>
          <w:tcPr>
            <w:tcW w:type="dxa" w:w="1440"/>
            <w:shd w:fill="C6EFCE" w:val="clear"/>
          </w:tcPr>
          <w:p>
            <w:r>
              <w:rPr>
                <w:sz w:val="17"/>
              </w:rPr>
              <w:t>J+9  Moyenne</w:t>
            </w:r>
          </w:p>
        </w:tc>
        <w:tc>
          <w:tcPr>
            <w:tcW w:type="dxa" w:w="1440"/>
            <w:shd w:fill="C6EFCE" w:val="clear"/>
          </w:tcPr>
          <w:p>
            <w:r>
              <w:rPr>
                <w:sz w:val="17"/>
              </w:rPr>
              <w:t>2026-08-31</w:t>
            </w:r>
          </w:p>
        </w:tc>
        <w:tc>
          <w:tcPr>
            <w:tcW w:type="dxa" w:w="1440"/>
            <w:shd w:fill="C6EFCE" w:val="clear"/>
          </w:tcPr>
          <w:p>
            <w:r>
              <w:rPr>
                <w:sz w:val="17"/>
              </w:rPr>
              <w:t>2,033</w:t>
            </w:r>
          </w:p>
        </w:tc>
        <w:tc>
          <w:tcPr>
            <w:tcW w:type="dxa" w:w="1440"/>
            <w:shd w:fill="C6EFCE" w:val="clear"/>
          </w:tcPr>
          <w:p>
            <w:r>
              <w:rPr>
                <w:b/>
                <w:sz w:val="17"/>
              </w:rPr>
              <w:t>2,239</w:t>
            </w:r>
          </w:p>
        </w:tc>
        <w:tc>
          <w:tcPr>
            <w:tcW w:type="dxa" w:w="1440"/>
            <w:shd w:fill="C6EFCE" w:val="clear"/>
          </w:tcPr>
          <w:p>
            <w:r>
              <w:rPr>
                <w:sz w:val="17"/>
              </w:rPr>
              <w:t>2,445</w:t>
            </w:r>
          </w:p>
        </w:tc>
        <w:tc>
          <w:tcPr>
            <w:tcW w:type="dxa" w:w="1440"/>
            <w:shd w:fill="C6EFCE" w:val="clear"/>
          </w:tcPr>
          <w:p>
            <w:r>
              <w:rPr>
                <w:b/>
                <w:color w:val="008000"/>
                <w:sz w:val="17"/>
              </w:rPr>
              <w:t>+4.2%</w:t>
            </w:r>
          </w:p>
        </w:tc>
      </w:tr>
      <w:tr>
        <w:tc>
          <w:tcPr>
            <w:tcW w:type="dxa" w:w="1440"/>
            <w:shd w:fill="C6EFCE" w:val="clear"/>
          </w:tcPr>
          <w:p>
            <w:r>
              <w:rPr>
                <w:sz w:val="17"/>
              </w:rPr>
              <w:t>J+10  Moyenne</w:t>
            </w:r>
          </w:p>
        </w:tc>
        <w:tc>
          <w:tcPr>
            <w:tcW w:type="dxa" w:w="1440"/>
            <w:shd w:fill="C6EFCE" w:val="clear"/>
          </w:tcPr>
          <w:p>
            <w:r>
              <w:rPr>
                <w:sz w:val="17"/>
              </w:rPr>
              <w:t>2026-09-01</w:t>
            </w:r>
          </w:p>
        </w:tc>
        <w:tc>
          <w:tcPr>
            <w:tcW w:type="dxa" w:w="1440"/>
            <w:shd w:fill="C6EFCE" w:val="clear"/>
          </w:tcPr>
          <w:p>
            <w:r>
              <w:rPr>
                <w:sz w:val="17"/>
              </w:rPr>
              <w:t>2,030</w:t>
            </w:r>
          </w:p>
        </w:tc>
        <w:tc>
          <w:tcPr>
            <w:tcW w:type="dxa" w:w="1440"/>
            <w:shd w:fill="C6EFCE" w:val="clear"/>
          </w:tcPr>
          <w:p>
            <w:r>
              <w:rPr>
                <w:b/>
                <w:sz w:val="17"/>
              </w:rPr>
              <w:t>2,249</w:t>
            </w:r>
          </w:p>
        </w:tc>
        <w:tc>
          <w:tcPr>
            <w:tcW w:type="dxa" w:w="1440"/>
            <w:shd w:fill="C6EFCE" w:val="clear"/>
          </w:tcPr>
          <w:p>
            <w:r>
              <w:rPr>
                <w:sz w:val="17"/>
              </w:rPr>
              <w:t>2,467</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FTSC s'établit à 30,32 milliards FCFA, un niveau modeste qui la classe parmi les valeurs moyennes de la BRVM. Le BPA de 33 FCFA par action est particulièrement faible, ce qui explique un PER de 65,1x, très largement supérieur à la moyenne du marché (8-12x). Les investisseurs paient donc un prix extrêmement élevé pour chaque franc de bénéfice, signe d'une valorisation très exigeante. Le P/B de 1,93x indique que le marché valorise la société à près du double de sa valeur comptable, ce qui reste dans une fourchette raisonnable. Enfin, l'EV/EBITDA de 38,1x, bien au-delà du seuil de 15x considéré comme exigeant, confirme que la valeur d'entreprise intègre une capacité opérationnelle très supérieure à ce que l'entreprise génère réellement.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FTSC a enregistré une baisse de 6,11%, avec une dernière séance en recul de 1,83% à 2 150 FCFA. Le titre a évolué dans une fourchette de 520 FCFA, entre un plus bas de 1 910 FCFA et un plus haut de 2 430 FCFA. La moyenne de 2 167 FCFA est légèrement inférieure à la médiane de 2 200 FCFA, indiquant une distribution quasi symétrique, confirmée par un skewness de -0,213. L'écart-type de 145 FCFA (CV=6,7%) révèle une dispersion modérée des cours autour de la moyenne. Le kurtosis de -1,258 signale une distribution platykurtique, c'est-à-dire une faible concentration des prix extrêmes, réduisant le risque de mouvements brusques. La volatilité annualisée de 36,3% classe le titre dans la catégorie des valeurs à forte volatilité, nécessitant une gestion prudente du risque.</w:t>
      </w:r>
    </w:p>
    <w:p>
      <w:pPr>
        <w:spacing w:after="120" w:line="276" w:lineRule="auto" w:before="240"/>
      </w:pPr>
      <w:r>
        <w:rPr>
          <w:b/>
          <w:color w:val="003366"/>
          <w:sz w:val="24"/>
        </w:rPr>
        <w:t>**PARTIE 2 : ANALYSE TECHNIQUE DÉTAILLÉE**</w:t>
      </w:r>
    </w:p>
    <w:p>
      <w:pPr>
        <w:spacing w:after="120" w:line="276" w:lineRule="auto"/>
      </w:pPr>
      <w:r>
        <w:t>**Moyennes Mobiles** : Le cours actuel de 2 150 FCFA se situe au-dessus des MM20 (2 030 FCFA) et MM50 (2 055,4 FCFA), mais la décision globale est à la vente. Cette configuration suggère un potentiel de correction après une phase de hausse récente, les moyennes mobiles n'ayant pas encore confirmé le mouvement.</w:t>
      </w:r>
    </w:p>
    <w:p>
      <w:pPr>
        <w:spacing w:after="120" w:line="276" w:lineRule="auto"/>
      </w:pPr>
      <w:r>
        <w:t>**Bandes de Bollinger** : Le prix évolue dans la partie supérieure des bandes, entre la borne basse à 1 830,5 FCFA et la borne haute à 2 229,5 FCFA. La position actuelle proche de la borne supérieure indique une pression acheteuse, mais la décision neutre suggère une possible consolidation avant une direction claire.</w:t>
      </w:r>
    </w:p>
    <w:p>
      <w:pPr>
        <w:spacing w:after="120" w:line="276" w:lineRule="auto"/>
      </w:pPr>
      <w:r>
        <w:t>**MACD** : La valeur de 38,218 est nettement supérieure au signal de 10,181, indiquant un momentum haussier positif. Cette configuration d'achat reflète une dynamique de court terme favorable, avec un écart croissant entre les deux lignes.</w:t>
      </w:r>
    </w:p>
    <w:p>
      <w:pPr>
        <w:spacing w:after="120" w:line="276" w:lineRule="auto"/>
      </w:pPr>
      <w:r>
        <w:t>**RSI** : À 66,055, le RSI se situe en zone neutre, proche du seuil de surachat de 70. Cette valeur indique une pression acheteuse soutenue mais pas encore excessive, laissant une marge de progression avant une éventuelle correction.</w:t>
      </w:r>
    </w:p>
    <w:p>
      <w:pPr>
        <w:spacing w:after="120" w:line="276" w:lineRule="auto"/>
      </w:pPr>
      <w:r>
        <w:t>**Stochastique** : Le %K à 85,714 et le %D à 95,238 sont tous deux en zone de surachat, avec un %D supérieur au %K. Cette configuration signale un épuisement potentiel du mouvement haussier, justifiant la décision de vente.</w:t>
      </w:r>
    </w:p>
    <w:p>
      <w:pPr>
        <w:spacing w:after="120" w:line="276" w:lineRule="auto"/>
      </w:pPr>
      <w:r>
        <w:t>**Conclusion technique** : Les signaux sont mitigés avec un MACD et un RSI favorables, mais des moyennes mobiles et un stochastique en zone de surachat. La prudence est de mise, le titre semblant proche d'un point de retournement potentiel.</w:t>
      </w:r>
    </w:p>
    <w:p>
      <w:pPr>
        <w:spacing w:after="120" w:line="276" w:lineRule="auto" w:before="240"/>
      </w:pPr>
      <w:r>
        <w:rPr>
          <w:b/>
          <w:color w:val="003366"/>
          <w:sz w:val="24"/>
        </w:rPr>
        <w:t>**PARTIE 3 : ANALYSE FONDAMENTALE (SECTION CRITIQUE)**</w:t>
      </w:r>
    </w:p>
    <w:p>
      <w:pPr>
        <w:spacing w:after="120" w:line="276" w:lineRule="auto"/>
      </w:pPr>
      <w:r>
        <w:t>En 2025, FTSC a réalisé un chiffre d'affaires de 32,109 milliards FCFA, en hausse de 4,6%, mais le résultat net s'effondre à 465,98 millions FCFA contre 18,6 milliards en 2024, année marquée par des produits exceptionnels de cession. La marge nette chute à 1,45% et le ROE à 2,97%, bien en dessous du seuil de 15% considéré comme excellent. Le BFR de 11,529 milliards FCFA est préoccupant, avec un délai clients de 213,7 jours et une durée de stockage de 214,65 jours, reflétant une immobilisation importante du capital. La trésorerie nette est fortement négative à -11,528 milliards FCFA, suite au versement de dividendes massifs en 2024. Les rapports trimestriels 2025 montrent une amélioration progressive : le T1 2025 affiche un CA de 5,745 milliards (+7%), le S1 atteint 13,406 milliards (+11%), mais le T3 2025 marque un léger retrait à 18,371 milliards (-1%). Le rapport T1 2026, publié récemment, indique un CA de 8,901 milliards (+55%), porté par la demande de cacao, avec un résultat d'exploitation positif de 75 millions FCFA, mais un résultat net encore déficitaire de -154 millions. La société reste dépendante de la campagne cacaoyère et fait face à des risques d'approvisionnement en jute.</w:t>
      </w:r>
    </w:p>
    <w:p>
      <w:pPr>
        <w:spacing w:after="120" w:line="276" w:lineRule="auto" w:before="240"/>
      </w:pPr>
      <w:r>
        <w:rPr>
          <w:b/>
          <w:color w:val="003366"/>
          <w:sz w:val="24"/>
        </w:rPr>
        <w:t>**PARTIE 4 : CONCLUSION D'INVESTISSEMENT**</w:t>
      </w:r>
    </w:p>
    <w:p>
      <w:pPr>
        <w:spacing w:after="120" w:line="276" w:lineRule="auto"/>
      </w:pPr>
      <w:r>
        <w:t>La valorisation de FTSC apparaît très surévaluée avec un PER de 65,1x et un EV/EBITDA de 38,1x, tandis que le comportement du cours montre une tendance baissière de 6,11% sur 100 jours avec une volatilité élevée de 36,3%. Les signaux techniques sont mitigés, avec un MACD positif mais un stochastique en surachat et des moyennes mobiles en position de vente. Les fondamentaux sont préoccupants : malgré une croissance du CA de 4,6% en 2025, la rentabilité s'effondre avec un ROE de 2,97%, une trésorerie négative de 11,5 milliards et des délais clients excessifs. Les prédictions IA indiquent une hausse progressive vers 2 201 FCFA à J+10, mais cette trajectoire contredit les signaux techniques de surachat. La recommandation finale est **VENTE**, avec un niveau de confiance moyen et un risque global élevé. L'horizon d'investissement optimal serait à long terme, uniquement si la société parvient à restaurer sa rentabilité opérationnelle et à réduire son BFR, ce qui reste incertain à ce stade.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3,064 titres</w:t>
            </w:r>
          </w:p>
        </w:tc>
        <w:tc>
          <w:tcPr>
            <w:tcW w:type="dxa" w:w="2268"/>
            <w:shd w:fill="FFF2CC" w:val="clear"/>
          </w:tcPr>
          <w:p>
            <w:r>
              <w:rPr>
                <w:b/>
                <w:color w:val="503200"/>
                <w:sz w:val="16"/>
              </w:rPr>
              <w:t xml:space="preserve">Cours actuel : </w:t>
            </w:r>
            <w:r>
              <w:rPr>
                <w:color w:val="000000"/>
                <w:sz w:val="17"/>
              </w:rPr>
              <w:t>4,055 FCFA</w:t>
            </w:r>
          </w:p>
          <w:p>
            <w:r>
              <w:rPr>
                <w:b/>
                <w:color w:val="503200"/>
                <w:sz w:val="16"/>
              </w:rPr>
              <w:t xml:space="preserve">Var. 100 jours : </w:t>
            </w:r>
            <w:r>
              <w:rPr>
                <w:b/>
                <w:color w:val="007800"/>
                <w:sz w:val="17"/>
              </w:rPr>
              <w:t>+6.01%</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5.19% (Moyenne) — μ=4,034 FCFA, σ=209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β=0.0858 (Défensif) — Cov=0.000003, Var(idx)=0.000031, ρ=0.021,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3,064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2026-08-18</w:t>
            </w:r>
          </w:p>
        </w:tc>
        <w:tc>
          <w:tcPr>
            <w:tcW w:type="dxa" w:w="1440"/>
            <w:shd w:fill="FAFAFA" w:val="clear"/>
          </w:tcPr>
          <w:p>
            <w:r>
              <w:rPr>
                <w:sz w:val="17"/>
              </w:rPr>
              <w:t>3,850</w:t>
            </w:r>
          </w:p>
        </w:tc>
        <w:tc>
          <w:tcPr>
            <w:tcW w:type="dxa" w:w="1440"/>
            <w:shd w:fill="FAFAFA" w:val="clear"/>
          </w:tcPr>
          <w:p>
            <w:r>
              <w:rPr>
                <w:b/>
                <w:sz w:val="17"/>
              </w:rPr>
              <w:t>4,059</w:t>
            </w:r>
          </w:p>
        </w:tc>
        <w:tc>
          <w:tcPr>
            <w:tcW w:type="dxa" w:w="1440"/>
            <w:shd w:fill="FAFAFA" w:val="clear"/>
          </w:tcPr>
          <w:p>
            <w:r>
              <w:rPr>
                <w:sz w:val="17"/>
              </w:rPr>
              <w:t>4,268</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2026-08-19</w:t>
            </w:r>
          </w:p>
        </w:tc>
        <w:tc>
          <w:tcPr>
            <w:tcW w:type="dxa" w:w="1440"/>
            <w:shd w:fill="FAFAFA" w:val="clear"/>
          </w:tcPr>
          <w:p>
            <w:r>
              <w:rPr>
                <w:sz w:val="17"/>
              </w:rPr>
              <w:t>3,747</w:t>
            </w:r>
          </w:p>
        </w:tc>
        <w:tc>
          <w:tcPr>
            <w:tcW w:type="dxa" w:w="1440"/>
            <w:shd w:fill="FAFAFA" w:val="clear"/>
          </w:tcPr>
          <w:p>
            <w:r>
              <w:rPr>
                <w:b/>
                <w:sz w:val="17"/>
              </w:rPr>
              <w:t>4,042</w:t>
            </w:r>
          </w:p>
        </w:tc>
        <w:tc>
          <w:tcPr>
            <w:tcW w:type="dxa" w:w="1440"/>
            <w:shd w:fill="FAFAFA" w:val="clear"/>
          </w:tcPr>
          <w:p>
            <w:r>
              <w:rPr>
                <w:sz w:val="17"/>
              </w:rPr>
              <w:t>4,336</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2026-08-20</w:t>
            </w:r>
          </w:p>
        </w:tc>
        <w:tc>
          <w:tcPr>
            <w:tcW w:type="dxa" w:w="1440"/>
            <w:shd w:fill="FAFAFA" w:val="clear"/>
          </w:tcPr>
          <w:p>
            <w:r>
              <w:rPr>
                <w:sz w:val="17"/>
              </w:rPr>
              <w:t>3,666</w:t>
            </w:r>
          </w:p>
        </w:tc>
        <w:tc>
          <w:tcPr>
            <w:tcW w:type="dxa" w:w="1440"/>
            <w:shd w:fill="FAFAFA" w:val="clear"/>
          </w:tcPr>
          <w:p>
            <w:r>
              <w:rPr>
                <w:b/>
                <w:sz w:val="17"/>
              </w:rPr>
              <w:t>4,025</w:t>
            </w:r>
          </w:p>
        </w:tc>
        <w:tc>
          <w:tcPr>
            <w:tcW w:type="dxa" w:w="1440"/>
            <w:shd w:fill="FAFAFA" w:val="clear"/>
          </w:tcPr>
          <w:p>
            <w:r>
              <w:rPr>
                <w:sz w:val="17"/>
              </w:rPr>
              <w:t>4,385</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2026-08-21</w:t>
            </w:r>
          </w:p>
        </w:tc>
        <w:tc>
          <w:tcPr>
            <w:tcW w:type="dxa" w:w="1440"/>
            <w:shd w:fill="FAFAFA" w:val="clear"/>
          </w:tcPr>
          <w:p>
            <w:r>
              <w:rPr>
                <w:sz w:val="17"/>
              </w:rPr>
              <w:t>3,587</w:t>
            </w:r>
          </w:p>
        </w:tc>
        <w:tc>
          <w:tcPr>
            <w:tcW w:type="dxa" w:w="1440"/>
            <w:shd w:fill="FAFAFA" w:val="clear"/>
          </w:tcPr>
          <w:p>
            <w:r>
              <w:rPr>
                <w:b/>
                <w:sz w:val="17"/>
              </w:rPr>
              <w:t>3,999</w:t>
            </w:r>
          </w:p>
        </w:tc>
        <w:tc>
          <w:tcPr>
            <w:tcW w:type="dxa" w:w="1440"/>
            <w:shd w:fill="FAFAFA" w:val="clear"/>
          </w:tcPr>
          <w:p>
            <w:r>
              <w:rPr>
                <w:sz w:val="17"/>
              </w:rPr>
              <w:t>4,411</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2026-08-24</w:t>
            </w:r>
          </w:p>
        </w:tc>
        <w:tc>
          <w:tcPr>
            <w:tcW w:type="dxa" w:w="1440"/>
            <w:shd w:fill="FAFAFA" w:val="clear"/>
          </w:tcPr>
          <w:p>
            <w:r>
              <w:rPr>
                <w:sz w:val="17"/>
              </w:rPr>
              <w:t>3,527</w:t>
            </w:r>
          </w:p>
        </w:tc>
        <w:tc>
          <w:tcPr>
            <w:tcW w:type="dxa" w:w="1440"/>
            <w:shd w:fill="FAFAFA" w:val="clear"/>
          </w:tcPr>
          <w:p>
            <w:r>
              <w:rPr>
                <w:b/>
                <w:sz w:val="17"/>
              </w:rPr>
              <w:t>3,986</w:t>
            </w:r>
          </w:p>
        </w:tc>
        <w:tc>
          <w:tcPr>
            <w:tcW w:type="dxa" w:w="1440"/>
            <w:shd w:fill="FAFAFA" w:val="clear"/>
          </w:tcPr>
          <w:p>
            <w:r>
              <w:rPr>
                <w:sz w:val="17"/>
              </w:rPr>
              <w:t>4,445</w:t>
            </w:r>
          </w:p>
        </w:tc>
        <w:tc>
          <w:tcPr>
            <w:tcW w:type="dxa" w:w="1440"/>
            <w:shd w:fill="FAFAFA" w:val="clear"/>
          </w:tcPr>
          <w:p>
            <w:r>
              <w:rPr>
                <w:b/>
                <w:color w:val="C00000"/>
                <w:sz w:val="17"/>
              </w:rPr>
              <w:t>-1.7%</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3,472</w:t>
            </w:r>
          </w:p>
        </w:tc>
        <w:tc>
          <w:tcPr>
            <w:tcW w:type="dxa" w:w="1440"/>
            <w:shd w:fill="FFDCE0" w:val="clear"/>
          </w:tcPr>
          <w:p>
            <w:r>
              <w:rPr>
                <w:b/>
                <w:sz w:val="17"/>
              </w:rPr>
              <w:t>3,973</w:t>
            </w:r>
          </w:p>
        </w:tc>
        <w:tc>
          <w:tcPr>
            <w:tcW w:type="dxa" w:w="1440"/>
            <w:shd w:fill="FFDCE0" w:val="clear"/>
          </w:tcPr>
          <w:p>
            <w:r>
              <w:rPr>
                <w:sz w:val="17"/>
              </w:rPr>
              <w:t>4,474</w:t>
            </w:r>
          </w:p>
        </w:tc>
        <w:tc>
          <w:tcPr>
            <w:tcW w:type="dxa" w:w="1440"/>
            <w:shd w:fill="FFDCE0" w:val="clear"/>
          </w:tcPr>
          <w:p>
            <w:r>
              <w:rPr>
                <w:b/>
                <w:color w:val="C00000"/>
                <w:sz w:val="17"/>
              </w:rPr>
              <w:t>-2.0%</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3,421</w:t>
            </w:r>
          </w:p>
        </w:tc>
        <w:tc>
          <w:tcPr>
            <w:tcW w:type="dxa" w:w="1440"/>
            <w:shd w:fill="FFDCE0" w:val="clear"/>
          </w:tcPr>
          <w:p>
            <w:r>
              <w:rPr>
                <w:b/>
                <w:sz w:val="17"/>
              </w:rPr>
              <w:t>3,961</w:t>
            </w:r>
          </w:p>
        </w:tc>
        <w:tc>
          <w:tcPr>
            <w:tcW w:type="dxa" w:w="1440"/>
            <w:shd w:fill="FFDCE0" w:val="clear"/>
          </w:tcPr>
          <w:p>
            <w:r>
              <w:rPr>
                <w:sz w:val="17"/>
              </w:rPr>
              <w:t>4,500</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3,374</w:t>
            </w:r>
          </w:p>
        </w:tc>
        <w:tc>
          <w:tcPr>
            <w:tcW w:type="dxa" w:w="1440"/>
            <w:shd w:fill="FFDCE0" w:val="clear"/>
          </w:tcPr>
          <w:p>
            <w:r>
              <w:rPr>
                <w:b/>
                <w:sz w:val="17"/>
              </w:rPr>
              <w:t>3,950</w:t>
            </w:r>
          </w:p>
        </w:tc>
        <w:tc>
          <w:tcPr>
            <w:tcW w:type="dxa" w:w="1440"/>
            <w:shd w:fill="FFDCE0" w:val="clear"/>
          </w:tcPr>
          <w:p>
            <w:r>
              <w:rPr>
                <w:sz w:val="17"/>
              </w:rPr>
              <w:t>4,525</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3,331</w:t>
            </w:r>
          </w:p>
        </w:tc>
        <w:tc>
          <w:tcPr>
            <w:tcW w:type="dxa" w:w="1440"/>
            <w:shd w:fill="FFDCE0" w:val="clear"/>
          </w:tcPr>
          <w:p>
            <w:r>
              <w:rPr>
                <w:b/>
                <w:sz w:val="17"/>
              </w:rPr>
              <w:t>3,941</w:t>
            </w:r>
          </w:p>
        </w:tc>
        <w:tc>
          <w:tcPr>
            <w:tcW w:type="dxa" w:w="1440"/>
            <w:shd w:fill="FFDCE0" w:val="clear"/>
          </w:tcPr>
          <w:p>
            <w:r>
              <w:rPr>
                <w:sz w:val="17"/>
              </w:rPr>
              <w:t>4,550</w:t>
            </w:r>
          </w:p>
        </w:tc>
        <w:tc>
          <w:tcPr>
            <w:tcW w:type="dxa" w:w="1440"/>
            <w:shd w:fill="FFDCE0" w:val="clear"/>
          </w:tcPr>
          <w:p>
            <w:r>
              <w:rPr>
                <w:b/>
                <w:color w:val="C00000"/>
                <w:sz w:val="17"/>
              </w:rPr>
              <w:t>-2.8%</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3,292</w:t>
            </w:r>
          </w:p>
        </w:tc>
        <w:tc>
          <w:tcPr>
            <w:tcW w:type="dxa" w:w="1440"/>
            <w:shd w:fill="FFDCE0" w:val="clear"/>
          </w:tcPr>
          <w:p>
            <w:r>
              <w:rPr>
                <w:b/>
                <w:sz w:val="17"/>
              </w:rPr>
              <w:t>3,933</w:t>
            </w:r>
          </w:p>
        </w:tc>
        <w:tc>
          <w:tcPr>
            <w:tcW w:type="dxa" w:w="1440"/>
            <w:shd w:fill="FFDCE0" w:val="clear"/>
          </w:tcPr>
          <w:p>
            <w:r>
              <w:rPr>
                <w:sz w:val="17"/>
              </w:rPr>
              <w:t>4,574</w:t>
            </w:r>
          </w:p>
        </w:tc>
        <w:tc>
          <w:tcPr>
            <w:tcW w:type="dxa" w:w="1440"/>
            <w:shd w:fill="FFDCE0" w:val="clear"/>
          </w:tcPr>
          <w:p>
            <w:r>
              <w:rPr>
                <w:b/>
                <w:color w:val="C00000"/>
                <w:sz w:val="17"/>
              </w:rPr>
              <w:t>-3.0%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LNBB s'établit à 81,10 milliards FCFA, un niveau significatif qui positionne la société parmi les valeurs moyennes de la BRVM. Avec un BPA de 231 FCFA, chaque action génère un bénéfice confortable pour l'investisseur. Le PER de 17,5x est nettement supérieur à la moyenne historique de la BRVM (8-12x), indiquant que le marché valorise généreusement les bénéfices de la société, probablement en raison de son caractère de monopole légal et de sa politique de distribution généreuse. Le P/B de 3,69x confirme cette prime, le marché valorisant l'actif net comptable à plus de trois fois sa valeur, signe d'une forte confiance dans la croissance future. Enfin, l'EV/EBITDA de 10,3x, bien que dans la fourchette haute (10-15x), reste acceptable pour une entreprise présentant une telle stabilité opérationnelle et une trésorerie nette substantielle de près de 8 milliards FCFA.</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l'action LNBB affiche une progression totale de +6,01%, mais la dernière séance s'est soldée par un repli de -1,10%, signe d'une consolidation après un mouvement haussier. Le cours a évolué dans un range de 795 FCFA, entre un plus bas de 3 765 FCFA et un plus haut de 4 560 FCFA, démontrant une amplitude de trading non négligeable. La moyenne du cours sur la période (4 034 FCFA) est supérieure à la médiane (3 940 FCFA), et le skewness positif de 0,732 indique une asymétrie avec davantage de journées sous la moyenne, mais des mouvements haussiers plus amples. L'écart-type de 210 FCFA (CV=5,2%) révèle une dispersion modérée, tandis que le kurtosis de -0,900 (mésokurtique) suggère une distribution proche de la normale, sans risque de pics extrêmes. La volatilité annualisée de 36,1% classe le titre dans la catégorie des valeurs à forte volatilité (&gt;30%), ce qui implique un risque de marché élevé mais aussi un potentiel de rendement substantiel.</w:t>
      </w:r>
    </w:p>
    <w:p>
      <w:pPr>
        <w:spacing w:after="120" w:line="276" w:lineRule="auto" w:before="240"/>
      </w:pPr>
      <w:r>
        <w:rPr>
          <w:b/>
          <w:color w:val="003366"/>
          <w:sz w:val="24"/>
        </w:rPr>
        <w:t>**PARTIE 2 : ANALYSE TECHNIQUE DÉTAILLÉE**</w:t>
      </w:r>
    </w:p>
    <w:p>
      <w:pPr>
        <w:spacing w:after="120" w:line="276" w:lineRule="auto"/>
      </w:pPr>
      <w:r>
        <w:t>**Moyennes Mobiles** : Le cours actuel de 4 055 FCFA se situe sous la MM20 (4 262,0 FCFA) et la MM50 (4 188,1 FCFA), indiquant une pression vendeuse à court terme. Cependant, la décision globale reste "Achat", suggérant que la tendance de fond demeure positive malgré le repli récent. La configuration des moyennes mobiles, avec la MM20 au-dessus de la MM50, confirme une structure de marché encore haussière à moyen terme.</w:t>
      </w:r>
    </w:p>
    <w:p>
      <w:pPr>
        <w:spacing w:after="120" w:line="276" w:lineRule="auto"/>
      </w:pPr>
      <w:r>
        <w:t>**Bandes de Bollinger** : Le prix évolue dans la partie inférieure du canal, proche de la borne basse à 3 975,581 FCFA, après avoir touché la borne supérieure à 4 548,419 FCFA. Cette position indique une phase de correction après une période de surachat. La décision "Neutre" reflète l'absence de signal directionnel fort, le marché attendant une sortie du canal pour confirmer la prochaine tendance.</w:t>
      </w:r>
    </w:p>
    <w:p>
      <w:pPr>
        <w:spacing w:after="120" w:line="276" w:lineRule="auto"/>
      </w:pPr>
      <w:r>
        <w:t>**MACD** : La valeur négative de -25,085 avec un signal à 17,739 montre une divergence baissière nette. Le momentum est clairement négatif, le MACD étant passé sous sa ligne de signal. La décision "Vente" est cohérente avec cette configuration, signalant une perte de dynamisme haussier et une possible poursuite de la correction à court terme.</w:t>
      </w:r>
    </w:p>
    <w:p>
      <w:pPr>
        <w:spacing w:after="120" w:line="276" w:lineRule="auto"/>
      </w:pPr>
      <w:r>
        <w:t>**RSI** : À 44,161, le RSI se situe en zone neutre, entre 30 et 70, sans signal de surachat ni de survente. Cette valeur indique un équilibre relatif entre acheteurs et vendeurs, avec une légère prédominance baissière. La décision "Neutre" est appropriée, le marché n'étant pas encore dans une configuration extrême.</w:t>
      </w:r>
    </w:p>
    <w:p>
      <w:pPr>
        <w:spacing w:after="120" w:line="276" w:lineRule="auto"/>
      </w:pPr>
      <w:r>
        <w:t>**Stochastique** : Le %K à 9,821 et le %D à 9,226 sont en zone de survente profonde (&lt;20), signalant une possible fin de mouvement baissier. La décision "Achat" suggère qu'un rebond technique est probable à très court terme, les vendeurs semblant épuisés.</w:t>
      </w:r>
    </w:p>
    <w:p>
      <w:pPr>
        <w:spacing w:after="120" w:line="276" w:lineRule="auto"/>
      </w:pPr>
      <w:r>
        <w:t>**Conclusion technique** : Les indicateurs sont mitigés avec une divergence nette entre le MACD (Vente) et le Stochastique (Achat). La tendance de fond reste positive (MM), mais le momentum à court terme est négatif. La configuration suggère une phase de consolidation avec un risque de test de la borne basse des bandes de Bollinger avant une reprise potentielle, le stochastique en survente plaidant pour un rebond imminent.</w:t>
      </w:r>
    </w:p>
    <w:p>
      <w:pPr>
        <w:spacing w:after="120" w:line="276" w:lineRule="auto" w:before="240"/>
      </w:pPr>
      <w:r>
        <w:rPr>
          <w:b/>
          <w:color w:val="003366"/>
          <w:sz w:val="24"/>
        </w:rPr>
        <w:t>**PARTIE 3 : ANALYSE FONDAMENTALE (SECTION CRITIQUE)**</w:t>
      </w:r>
    </w:p>
    <w:p>
      <w:pPr>
        <w:spacing w:after="120" w:line="276" w:lineRule="auto"/>
      </w:pPr>
      <w:r>
        <w:t>En 2025, la Loterie Nationale du Bénin affiche un chiffre d'affaires de 98,598 milliards FCFA, en baisse de -3,85% par rapport à 2024, et un résultat net de 4,622 milliards FCFA, en recul de -35,6%. La marge nette s'établit à 4,69%, tandis que le ROE est excellent à 21,05% et le ROA à 14,17%, démontrant une utilisation très efficace des capitaux propres et des actifs. La structure financière est robuste avec une autonomie financière de 67,32%, un ratio d'endettement très faible de 2,57% et une trésorerie nette positive de 7,979 milliards FCFA. Le BFR est favorable à 217,45 millions FCFA, les délais clients (4,82 jours) et fournisseurs (20,41 jours) étant bien maîtrisés. Les rapports trimestriels 2025 montrent une dégradation progressive (CA -6% au S1, résultat net -77% au S1, -81% à fin septembre), mais le rapport annuel 2025 (publié en mai 2026) révèle une amélioration au T4 grâce aux mesures d'ajustement. Le rapport S1 2026 (publié en juillet 2026) confirme le redressement avec un CA en hausse de +4% à 49,937 milliards FCFA et un résultat net en progression spectaculaire de +60%, porté par la maîtrise des charges et les revenus de partenariats. Le rapport T1 2026 (publié en mai 2026) montre toutefois un résultat net en baisse de -46% à 848 millions FCFA, impacté par le mix produit défavorable (pari sportif à 95% de retour joueurs). Sur la base de ces rapports trimestriels, on estime que l'exercice 2026 devrait confirmer une amélioration de la rentabilité, avec un résultat net potentiellement en hausse de 20-30% par rapport à 2025, porté par la digitalisation et les nouveaux produits. Le dividende proposé pour 2025 est de 173 FCFA brut par action, représentant un rendement d'environ 4,3% au cours actuel.</w:t>
      </w:r>
    </w:p>
    <w:p>
      <w:pPr>
        <w:spacing w:after="120" w:line="276" w:lineRule="auto" w:before="240"/>
      </w:pPr>
      <w:r>
        <w:rPr>
          <w:b/>
          <w:color w:val="003366"/>
          <w:sz w:val="24"/>
        </w:rPr>
        <w:t>**PARTIE 4 : CONCLUSION D'INVESTISSEMENT**</w:t>
      </w:r>
    </w:p>
    <w:p>
      <w:pPr>
        <w:spacing w:after="120" w:line="276" w:lineRule="auto"/>
      </w:pPr>
      <w:r>
        <w:t>La valorisation de LNBB (PER 17,5x, P/B 3,69x) apparaît élevée par rapport aux standards BRVM, mais elle intègre la solidité financière exceptionnelle de la société et sa politique de distribution généreuse. Le comportement du cours sur 100 jours (+6,01%) avec une volatilité élevée (36,1%) et une asymétrie positive (skewness 0,732) suggère un potentiel haussier, mais la correction récente (-1,10% à J-1) et la position sous les moyennes mobiles indiquent une phase de consolidation. Les signaux techniques sont divergents : le MACD est vendeur, mais le stochastique en survente profonde et les moyennes mobiles en configuration d'achat plaident pour un rebond à court terme. Les fondamentaux sont solides avec un ROE de 21,05%, une trésorerie nette de 7,98 milliards FCFA et un redressement confirmé au S1 2026 (résultat net +60%). Les prédictions IA pour les 10 prochains jours (4 059 à 3 986 FCFA) suggèrent une légère baisse, contredisant le signal d'achat du stochastique, mais restant dans une fourchette étroite. La recommandation finale est **CONSERVER** avec un niveau de confiance **Moyen** et un risque global **Moyen**. L'horizon d'investissement optimal est le **moyen terme (3-12 mois)**, en attendant la confirmation de l'amélioration de la rentabilité sur l'ensemble de l'exercice 2026 et la stabilisation du produit brut des jeux.</w:t>
      </w:r>
    </w:p>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27.77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5,352 titres</w:t>
            </w:r>
          </w:p>
        </w:tc>
        <w:tc>
          <w:tcPr>
            <w:tcW w:type="dxa" w:w="2268"/>
            <w:shd w:fill="FFF2CC" w:val="clear"/>
          </w:tcPr>
          <w:p>
            <w:r>
              <w:rPr>
                <w:b/>
                <w:color w:val="503200"/>
                <w:sz w:val="16"/>
              </w:rPr>
              <w:t xml:space="preserve">Cours actuel : </w:t>
            </w:r>
            <w:r>
              <w:rPr>
                <w:color w:val="000000"/>
                <w:sz w:val="17"/>
              </w:rPr>
              <w:t>2,175 FCFA</w:t>
            </w:r>
          </w:p>
          <w:p>
            <w:r>
              <w:rPr>
                <w:b/>
                <w:color w:val="503200"/>
                <w:sz w:val="16"/>
              </w:rPr>
              <w:t xml:space="preserve">Var. 100 jours : </w:t>
            </w:r>
            <w:r>
              <w:rPr>
                <w:b/>
                <w:color w:val="007800"/>
                <w:sz w:val="17"/>
              </w:rPr>
              <w:t>+57.61%</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17.85% (Élevée) — μ=1,942 FCFA, σ=347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β=-0.2530 (Contre-cyclique) — Cov=-0.000008, Var(idx)=0.000031, ρ=-0.045,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5,352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1,894</w:t>
            </w:r>
          </w:p>
        </w:tc>
        <w:tc>
          <w:tcPr>
            <w:tcW w:type="dxa" w:w="1440"/>
            <w:shd w:fill="FFDCE0" w:val="clear"/>
          </w:tcPr>
          <w:p>
            <w:r>
              <w:rPr>
                <w:b/>
                <w:sz w:val="17"/>
              </w:rPr>
              <w:t>2,012</w:t>
            </w:r>
          </w:p>
        </w:tc>
        <w:tc>
          <w:tcPr>
            <w:tcW w:type="dxa" w:w="1440"/>
            <w:shd w:fill="FFDCE0" w:val="clear"/>
          </w:tcPr>
          <w:p>
            <w:r>
              <w:rPr>
                <w:sz w:val="17"/>
              </w:rPr>
              <w:t>2,130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1,730</w:t>
            </w:r>
          </w:p>
        </w:tc>
        <w:tc>
          <w:tcPr>
            <w:tcW w:type="dxa" w:w="1440"/>
            <w:shd w:fill="FFDCE0" w:val="clear"/>
          </w:tcPr>
          <w:p>
            <w:r>
              <w:rPr>
                <w:b/>
                <w:sz w:val="17"/>
              </w:rPr>
              <w:t>1,886</w:t>
            </w:r>
          </w:p>
        </w:tc>
        <w:tc>
          <w:tcPr>
            <w:tcW w:type="dxa" w:w="1440"/>
            <w:shd w:fill="FFDCE0" w:val="clear"/>
          </w:tcPr>
          <w:p>
            <w:r>
              <w:rPr>
                <w:sz w:val="17"/>
              </w:rPr>
              <w:t>2,043</w:t>
            </w:r>
          </w:p>
        </w:tc>
        <w:tc>
          <w:tcPr>
            <w:tcW w:type="dxa" w:w="1440"/>
            <w:shd w:fill="FFDCE0" w:val="clear"/>
          </w:tcPr>
          <w:p>
            <w:r>
              <w:rPr>
                <w:b/>
                <w:color w:val="C00000"/>
                <w:sz w:val="17"/>
              </w:rPr>
              <w:t>-13.3%</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1,596</w:t>
            </w:r>
          </w:p>
        </w:tc>
        <w:tc>
          <w:tcPr>
            <w:tcW w:type="dxa" w:w="1440"/>
            <w:shd w:fill="FFDCE0" w:val="clear"/>
          </w:tcPr>
          <w:p>
            <w:r>
              <w:rPr>
                <w:b/>
                <w:sz w:val="17"/>
              </w:rPr>
              <w:t>1,777</w:t>
            </w:r>
          </w:p>
        </w:tc>
        <w:tc>
          <w:tcPr>
            <w:tcW w:type="dxa" w:w="1440"/>
            <w:shd w:fill="FFDCE0" w:val="clear"/>
          </w:tcPr>
          <w:p>
            <w:r>
              <w:rPr>
                <w:sz w:val="17"/>
              </w:rPr>
              <w:t>1,958</w:t>
            </w:r>
          </w:p>
        </w:tc>
        <w:tc>
          <w:tcPr>
            <w:tcW w:type="dxa" w:w="1440"/>
            <w:shd w:fill="FFDCE0" w:val="clear"/>
          </w:tcPr>
          <w:p>
            <w:r>
              <w:rPr>
                <w:b/>
                <w:color w:val="C00000"/>
                <w:sz w:val="17"/>
              </w:rPr>
              <w:t>-18.3%</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1,490</w:t>
            </w:r>
          </w:p>
        </w:tc>
        <w:tc>
          <w:tcPr>
            <w:tcW w:type="dxa" w:w="1440"/>
            <w:shd w:fill="FFDCE0" w:val="clear"/>
          </w:tcPr>
          <w:p>
            <w:r>
              <w:rPr>
                <w:b/>
                <w:sz w:val="17"/>
              </w:rPr>
              <w:t>1,688</w:t>
            </w:r>
          </w:p>
        </w:tc>
        <w:tc>
          <w:tcPr>
            <w:tcW w:type="dxa" w:w="1440"/>
            <w:shd w:fill="FFDCE0" w:val="clear"/>
          </w:tcPr>
          <w:p>
            <w:r>
              <w:rPr>
                <w:sz w:val="17"/>
              </w:rPr>
              <w:t>1,887</w:t>
            </w:r>
          </w:p>
        </w:tc>
        <w:tc>
          <w:tcPr>
            <w:tcW w:type="dxa" w:w="1440"/>
            <w:shd w:fill="FFDCE0" w:val="clear"/>
          </w:tcPr>
          <w:p>
            <w:r>
              <w:rPr>
                <w:b/>
                <w:color w:val="C00000"/>
                <w:sz w:val="17"/>
              </w:rPr>
              <w:t>-22.4%</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1,403</w:t>
            </w:r>
          </w:p>
        </w:tc>
        <w:tc>
          <w:tcPr>
            <w:tcW w:type="dxa" w:w="1440"/>
            <w:shd w:fill="FFDCE0" w:val="clear"/>
          </w:tcPr>
          <w:p>
            <w:r>
              <w:rPr>
                <w:b/>
                <w:sz w:val="17"/>
              </w:rPr>
              <w:t>1,615</w:t>
            </w:r>
          </w:p>
        </w:tc>
        <w:tc>
          <w:tcPr>
            <w:tcW w:type="dxa" w:w="1440"/>
            <w:shd w:fill="FFDCE0" w:val="clear"/>
          </w:tcPr>
          <w:p>
            <w:r>
              <w:rPr>
                <w:sz w:val="17"/>
              </w:rPr>
              <w:t>1,827</w:t>
            </w:r>
          </w:p>
        </w:tc>
        <w:tc>
          <w:tcPr>
            <w:tcW w:type="dxa" w:w="1440"/>
            <w:shd w:fill="FFDCE0" w:val="clear"/>
          </w:tcPr>
          <w:p>
            <w:r>
              <w:rPr>
                <w:b/>
                <w:color w:val="C00000"/>
                <w:sz w:val="17"/>
              </w:rPr>
              <w:t>-25.8%</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1,328</w:t>
            </w:r>
          </w:p>
        </w:tc>
        <w:tc>
          <w:tcPr>
            <w:tcW w:type="dxa" w:w="1440"/>
            <w:shd w:fill="FFDCE0" w:val="clear"/>
          </w:tcPr>
          <w:p>
            <w:r>
              <w:rPr>
                <w:b/>
                <w:sz w:val="17"/>
              </w:rPr>
              <w:t>1,551</w:t>
            </w:r>
          </w:p>
        </w:tc>
        <w:tc>
          <w:tcPr>
            <w:tcW w:type="dxa" w:w="1440"/>
            <w:shd w:fill="FFDCE0" w:val="clear"/>
          </w:tcPr>
          <w:p>
            <w:r>
              <w:rPr>
                <w:sz w:val="17"/>
              </w:rPr>
              <w:t>1,774</w:t>
            </w:r>
          </w:p>
        </w:tc>
        <w:tc>
          <w:tcPr>
            <w:tcW w:type="dxa" w:w="1440"/>
            <w:shd w:fill="FFDCE0" w:val="clear"/>
          </w:tcPr>
          <w:p>
            <w:r>
              <w:rPr>
                <w:b/>
                <w:color w:val="C00000"/>
                <w:sz w:val="17"/>
              </w:rPr>
              <w:t>-28.7%</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1,263</w:t>
            </w:r>
          </w:p>
        </w:tc>
        <w:tc>
          <w:tcPr>
            <w:tcW w:type="dxa" w:w="1440"/>
            <w:shd w:fill="FFDCE0" w:val="clear"/>
          </w:tcPr>
          <w:p>
            <w:r>
              <w:rPr>
                <w:b/>
                <w:sz w:val="17"/>
              </w:rPr>
              <w:t>1,496</w:t>
            </w:r>
          </w:p>
        </w:tc>
        <w:tc>
          <w:tcPr>
            <w:tcW w:type="dxa" w:w="1440"/>
            <w:shd w:fill="FFDCE0" w:val="clear"/>
          </w:tcPr>
          <w:p>
            <w:r>
              <w:rPr>
                <w:sz w:val="17"/>
              </w:rPr>
              <w:t>1,728</w:t>
            </w:r>
          </w:p>
        </w:tc>
        <w:tc>
          <w:tcPr>
            <w:tcW w:type="dxa" w:w="1440"/>
            <w:shd w:fill="FFDCE0" w:val="clear"/>
          </w:tcPr>
          <w:p>
            <w:r>
              <w:rPr>
                <w:b/>
                <w:color w:val="C00000"/>
                <w:sz w:val="17"/>
              </w:rPr>
              <w:t>-31.2%</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1,206</w:t>
            </w:r>
          </w:p>
        </w:tc>
        <w:tc>
          <w:tcPr>
            <w:tcW w:type="dxa" w:w="1440"/>
            <w:shd w:fill="FFDCE0" w:val="clear"/>
          </w:tcPr>
          <w:p>
            <w:r>
              <w:rPr>
                <w:b/>
                <w:sz w:val="17"/>
              </w:rPr>
              <w:t>1,446</w:t>
            </w:r>
          </w:p>
        </w:tc>
        <w:tc>
          <w:tcPr>
            <w:tcW w:type="dxa" w:w="1440"/>
            <w:shd w:fill="FFDCE0" w:val="clear"/>
          </w:tcPr>
          <w:p>
            <w:r>
              <w:rPr>
                <w:sz w:val="17"/>
              </w:rPr>
              <w:t>1,686</w:t>
            </w:r>
          </w:p>
        </w:tc>
        <w:tc>
          <w:tcPr>
            <w:tcW w:type="dxa" w:w="1440"/>
            <w:shd w:fill="FFDCE0" w:val="clear"/>
          </w:tcPr>
          <w:p>
            <w:r>
              <w:rPr>
                <w:b/>
                <w:color w:val="C00000"/>
                <w:sz w:val="17"/>
              </w:rPr>
              <w:t>-33.5%</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1,154</w:t>
            </w:r>
          </w:p>
        </w:tc>
        <w:tc>
          <w:tcPr>
            <w:tcW w:type="dxa" w:w="1440"/>
            <w:shd w:fill="FFDCE0" w:val="clear"/>
          </w:tcPr>
          <w:p>
            <w:r>
              <w:rPr>
                <w:b/>
                <w:sz w:val="17"/>
              </w:rPr>
              <w:t>1,401</w:t>
            </w:r>
          </w:p>
        </w:tc>
        <w:tc>
          <w:tcPr>
            <w:tcW w:type="dxa" w:w="1440"/>
            <w:shd w:fill="FFDCE0" w:val="clear"/>
          </w:tcPr>
          <w:p>
            <w:r>
              <w:rPr>
                <w:sz w:val="17"/>
              </w:rPr>
              <w:t>1,648</w:t>
            </w:r>
          </w:p>
        </w:tc>
        <w:tc>
          <w:tcPr>
            <w:tcW w:type="dxa" w:w="1440"/>
            <w:shd w:fill="FFDCE0" w:val="clear"/>
          </w:tcPr>
          <w:p>
            <w:r>
              <w:rPr>
                <w:b/>
                <w:color w:val="C00000"/>
                <w:sz w:val="17"/>
              </w:rPr>
              <w:t>-35.6%</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1,107</w:t>
            </w:r>
          </w:p>
        </w:tc>
        <w:tc>
          <w:tcPr>
            <w:tcW w:type="dxa" w:w="1440"/>
            <w:shd w:fill="FFDCE0" w:val="clear"/>
          </w:tcPr>
          <w:p>
            <w:r>
              <w:rPr>
                <w:b/>
                <w:sz w:val="17"/>
              </w:rPr>
              <w:t>1,360</w:t>
            </w:r>
          </w:p>
        </w:tc>
        <w:tc>
          <w:tcPr>
            <w:tcW w:type="dxa" w:w="1440"/>
            <w:shd w:fill="FFDCE0" w:val="clear"/>
          </w:tcPr>
          <w:p>
            <w:r>
              <w:rPr>
                <w:sz w:val="17"/>
              </w:rPr>
              <w:t>1,612</w:t>
            </w:r>
          </w:p>
        </w:tc>
        <w:tc>
          <w:tcPr>
            <w:tcW w:type="dxa" w:w="1440"/>
            <w:shd w:fill="FFDCE0" w:val="clear"/>
          </w:tcPr>
          <w:p>
            <w:r>
              <w:rPr>
                <w:b/>
                <w:color w:val="C00000"/>
                <w:sz w:val="17"/>
              </w:rPr>
              <w:t>-37.5%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NEI-CEDA (NEIC)**</w:t>
        <w:br/>
        <w:t>**Bourse Régionale des Valeurs Mobilières (BRVM)**</w:t>
        <w:br/>
        <w:t>**Date de l'analyse : 14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27,77 milliards FCFA, un niveau significatif pour une entreprise de taille moyenne sur la BRVM. Le BPA de 160 FCFA indique que chaque action génère un bénéfice de 160 FCFA. Le PER de 13,6x est supérieur à la moyenne historique de la BRVM (8-12x), ce qui suggère que les investisseurs paient une prime relative pour les bénéfices de la société. Le P/B de 4,82x est particulièrement élevé, indiquant que le marché valorise l'actif net de la société près de cinq fois sa valeur comptable, signe d'une forte prime de valorisation. Enfin, l'EV/EBITDA de 20,1x est très exigeant, reflétant une valorisation généreuse de la capacité opérationnelle de l'entreprise.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 enregistré une progression spectaculaire de +57,61%, atteignant 2 175 FCFA, malgré un léger repli de -1,14% lors de la dernière séance. Le cours a évolué dans une fourchette large de 1 350 à 2 400 FCFA, démontrant une forte amplitude de trading. La moyenne de 1 942 FCFA est inférieure à la médiane de 1 992 FCFA, indiquant une distribution légèrement asymétrique avec des valeurs extrêmes à la baisse. L'écart-type de 348 FCFA (CV=17,9%) révèle une dispersion modérée des prix. Le kurtosis négatif de -1,127 (platykurtique) suggère une distribution aplatie avec peu de valeurs extrêmes, tandis que le skewness de -0,552 indique une asymétrie négative, avec plus de journées au-dessus de la moyenne. La volatilité annualisée de 50,3% classe le titre comme très volatil, un niveau élevé qui implique un risque substantiel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Les MM20 (2 236,75 FCFA) et MM50 (2 228,3 FCFA) sont toutes deux supérieures au cours actuel de 2 175 FCFA, indiquant une tendance baissière à court terme. Cependant, la proximité des deux moyennes suggère une consolidation. La décision d'achat signalée par cet indicateur est paradoxale, car le cours est sous les moyennes, mais la tendance générale reste positive sur la période de 100 jours.</w:t>
      </w:r>
    </w:p>
    <w:p>
      <w:pPr>
        <w:spacing w:after="120" w:line="276" w:lineRule="auto"/>
      </w:pPr>
      <w:r>
        <w:t>**Bandes de Bollinger** : Le cours se situe à 2 175 FCFA, proche de la borne inférieure (2 138,487 FCFA) et loin de la borne supérieure (2 335,013 FCFA). Cette position indique une pression vendeuse récente et une volatilité en expansion. La décision neutre reflète une situation où le cours n'a pas encore atteint des niveaux extrêmes de surachat ou de survente.</w:t>
      </w:r>
    </w:p>
    <w:p>
      <w:pPr>
        <w:spacing w:after="120" w:line="276" w:lineRule="auto"/>
      </w:pPr>
      <w:r>
        <w:t>**MACD** : Le MACD (-0,49) est nettement inférieur à son signal (10,399), créant une divergence baissière significative. Cette configuration indique un momentum négatif et une perte de vitesse de la tendance haussière. La décision de vente est cohérente avec cette dynamique, suggérant une possible correction à court terme.</w:t>
      </w:r>
    </w:p>
    <w:p>
      <w:pPr>
        <w:spacing w:after="120" w:line="276" w:lineRule="auto"/>
      </w:pPr>
      <w:r>
        <w:t>**RSI** : À 38,202, le RSI se situe en zone neutre mais proche de la zone de survente (&lt;30). Cette valeur indique que le titre n'est ni suracheté ni survendu, mais la tendance baissière du RSI suggère une pression vendeuse persistante. La décision neutre est appropriée, mais une poursuite de la baisse pourrait amener le RSI en zone de survente.</w:t>
      </w:r>
    </w:p>
    <w:p>
      <w:pPr>
        <w:spacing w:after="120" w:line="276" w:lineRule="auto"/>
      </w:pPr>
      <w:r>
        <w:t>**Stochastique** : Le %K (32,432) est inférieur au %D (41,441), indiquant une dynamique baissière. Le croisement des deux lignes sous la zone des 50 suggère une faiblesse du momentum. La décision neutre reflète une situation où le titre n'est pas encore en zone de survente extrême, mais la tendance est clairement négative.</w:t>
      </w:r>
    </w:p>
    <w:p>
      <w:pPr>
        <w:spacing w:after="120" w:line="276" w:lineRule="auto"/>
      </w:pPr>
      <w:r>
        <w:t>**Conclusion technique** : Les indicateurs techniques sont globalement baissiers à court terme, avec le MACD en vente et les moyennes mobiles sous le cours. Cependant, le RSI et le stochastique en zone neutre suggèrent que le titre pourrait trouver un support proche de 2 100 FCFA. La divergence entre la tendance de fond positive (100 jours) et les signaux à court terme indique une phase de consolidation ou de correction.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NEIC a réalisé un chiffre d'affaires de 5,139 milliards FCFA, en baisse de 23,8% par rapport à l'exercice précédent, mais le résultat net a atteint 2,037 milliards FCFA, soit une marge nette exceptionnelle de 39,6%. Cette performance est portée par un ROE remarquable de 35,4% et un ROA de 27,3%, témoignant d'une excellente rentabilité des fonds propres et des actifs. La structure financière est très saine avec une autonomie financière de 77% et une trésorerie nette positive de 4,196 milliards FCFA. Cependant, le délai client de 154,7 jours est préoccupant, représentant un risque de trésorerie significatif. Les rapports trimestriels 2025 montrent une forte saisonnalité : le T1 2025 a enregistré une perte de -189,9 millions FCFA avec un CA de seulement 48,5 millions, tandis que le T3 2025 a bénéficié d'un gain exceptionnel de 1,596 milliard FCFA grâce à une reprise de provision. Le rapport 2026 indique une amélioration du CA (+137% au T1 2026 à 115,1 millions FCFA) mais une perte persistante de -168,9 millions FCFA. Sur la base de ces tendances, on estime que l'exercice 2026 pourrait voir un CA annuel entre 4,5 et 5,5 milliards FCFA, avec un résultat net dépendant fortement des éléments exceptionnels. La solidité financière est réelle, mais la dépendance aux marchés publics et la saisonnalité extrême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NEIC est exigeante avec un PER de 13,6x et un P/B de 4,82x, indiquant une surévaluation relative par rapport aux fondamentaux. Le comportement du cours montre une forte progression (+57,6% sur 100 jours) mais avec une volatilité très élevée (50,3%) et une distribution statistique suggérant une instabilité. Les signaux techniques sont mitigés : les moyennes mobiles indiquent un achat, mais le MACD est en vente et le RSI est neutre, créant une divergence. Les fondamentaux sont solides avec un ROE de 35,4% et une trésorerie abondante, mais la baisse du CA et la dépendance aux éléments exceptionnels sont préoccupantes. Les prédictions IA pour les 10 prochains jours (2 012 à 1 615 FCFA) suggèrent une correction significative de -25%, contredisant la tendance haussière récente. **Recommandation finale : VENTE** avec un niveau de confiance **Moyen** et un risque global **Élevé**. La convergence entre la surévaluation, les signaux techniques baissiers et les prédictions IA indique une correction probable. Horizon d'investissement optimal : **court terme (&lt;3 mois)** pour les investisseurs cherchant à sécuriser leurs gains, avec un réinvestissement possible si le titre atteint des niveaux de support autour de 1 600-1 700 FCFA.</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570.13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1,924 titres</w:t>
            </w:r>
          </w:p>
        </w:tc>
        <w:tc>
          <w:tcPr>
            <w:tcW w:type="dxa" w:w="2268"/>
            <w:shd w:fill="FFF2CC" w:val="clear"/>
          </w:tcPr>
          <w:p>
            <w:r>
              <w:rPr>
                <w:b/>
                <w:color w:val="503200"/>
                <w:sz w:val="16"/>
              </w:rPr>
              <w:t xml:space="preserve">Cours actuel : </w:t>
            </w:r>
            <w:r>
              <w:rPr>
                <w:color w:val="000000"/>
                <w:sz w:val="17"/>
              </w:rPr>
              <w:t>23,050 FCFA</w:t>
            </w:r>
          </w:p>
          <w:p>
            <w:r>
              <w:rPr>
                <w:b/>
                <w:color w:val="503200"/>
                <w:sz w:val="16"/>
              </w:rPr>
              <w:t xml:space="preserve">Var. 100 jours : </w:t>
            </w:r>
            <w:r>
              <w:rPr>
                <w:b/>
                <w:color w:val="007800"/>
                <w:sz w:val="17"/>
              </w:rPr>
              <w:t>+64.64%</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19.83% (Élevée) — μ=18,256 FCFA, σ=3,619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β=1.5473 (Agressif) — Cov=0.000048, Var(idx)=0.000031, ρ=0.365,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2026-08-18</w:t>
            </w:r>
          </w:p>
        </w:tc>
        <w:tc>
          <w:tcPr>
            <w:tcW w:type="dxa" w:w="1440"/>
            <w:shd w:fill="C6EFCE" w:val="clear"/>
          </w:tcPr>
          <w:p>
            <w:r>
              <w:rPr>
                <w:sz w:val="17"/>
              </w:rPr>
              <w:t>22,612</w:t>
            </w:r>
          </w:p>
        </w:tc>
        <w:tc>
          <w:tcPr>
            <w:tcW w:type="dxa" w:w="1440"/>
            <w:shd w:fill="C6EFCE" w:val="clear"/>
          </w:tcPr>
          <w:p>
            <w:r>
              <w:rPr>
                <w:b/>
                <w:sz w:val="17"/>
              </w:rPr>
              <w:t>23,633</w:t>
            </w:r>
          </w:p>
        </w:tc>
        <w:tc>
          <w:tcPr>
            <w:tcW w:type="dxa" w:w="1440"/>
            <w:shd w:fill="C6EFCE" w:val="clear"/>
          </w:tcPr>
          <w:p>
            <w:r>
              <w:rPr>
                <w:sz w:val="17"/>
              </w:rPr>
              <w:t>24,655</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2026-08-19</w:t>
            </w:r>
          </w:p>
        </w:tc>
        <w:tc>
          <w:tcPr>
            <w:tcW w:type="dxa" w:w="1440"/>
            <w:shd w:fill="C6EFCE" w:val="clear"/>
          </w:tcPr>
          <w:p>
            <w:r>
              <w:rPr>
                <w:sz w:val="17"/>
              </w:rPr>
              <w:t>22,591</w:t>
            </w:r>
          </w:p>
        </w:tc>
        <w:tc>
          <w:tcPr>
            <w:tcW w:type="dxa" w:w="1440"/>
            <w:shd w:fill="C6EFCE" w:val="clear"/>
          </w:tcPr>
          <w:p>
            <w:r>
              <w:rPr>
                <w:b/>
                <w:sz w:val="17"/>
              </w:rPr>
              <w:t>24,062</w:t>
            </w:r>
          </w:p>
        </w:tc>
        <w:tc>
          <w:tcPr>
            <w:tcW w:type="dxa" w:w="1440"/>
            <w:shd w:fill="C6EFCE" w:val="clear"/>
          </w:tcPr>
          <w:p>
            <w:r>
              <w:rPr>
                <w:sz w:val="17"/>
              </w:rPr>
              <w:t>25,533</w:t>
            </w:r>
          </w:p>
        </w:tc>
        <w:tc>
          <w:tcPr>
            <w:tcW w:type="dxa" w:w="1440"/>
            <w:shd w:fill="C6EFCE" w:val="clear"/>
          </w:tcPr>
          <w:p>
            <w:r>
              <w:rPr>
                <w:b/>
                <w:color w:val="008000"/>
                <w:sz w:val="17"/>
              </w:rPr>
              <w:t>+4.4%</w:t>
            </w:r>
          </w:p>
        </w:tc>
      </w:tr>
      <w:tr>
        <w:tc>
          <w:tcPr>
            <w:tcW w:type="dxa" w:w="1440"/>
            <w:shd w:fill="C6EFCE" w:val="clear"/>
          </w:tcPr>
          <w:p>
            <w:r>
              <w:rPr>
                <w:sz w:val="17"/>
              </w:rPr>
              <w:t>J+3  Moyenne</w:t>
            </w:r>
          </w:p>
        </w:tc>
        <w:tc>
          <w:tcPr>
            <w:tcW w:type="dxa" w:w="1440"/>
            <w:shd w:fill="C6EFCE" w:val="clear"/>
          </w:tcPr>
          <w:p>
            <w:r>
              <w:rPr>
                <w:sz w:val="17"/>
              </w:rPr>
              <w:t>2026-08-20</w:t>
            </w:r>
          </w:p>
        </w:tc>
        <w:tc>
          <w:tcPr>
            <w:tcW w:type="dxa" w:w="1440"/>
            <w:shd w:fill="C6EFCE" w:val="clear"/>
          </w:tcPr>
          <w:p>
            <w:r>
              <w:rPr>
                <w:sz w:val="17"/>
              </w:rPr>
              <w:t>22,641</w:t>
            </w:r>
          </w:p>
        </w:tc>
        <w:tc>
          <w:tcPr>
            <w:tcW w:type="dxa" w:w="1440"/>
            <w:shd w:fill="C6EFCE" w:val="clear"/>
          </w:tcPr>
          <w:p>
            <w:r>
              <w:rPr>
                <w:b/>
                <w:sz w:val="17"/>
              </w:rPr>
              <w:t>24,473</w:t>
            </w:r>
          </w:p>
        </w:tc>
        <w:tc>
          <w:tcPr>
            <w:tcW w:type="dxa" w:w="1440"/>
            <w:shd w:fill="C6EFCE" w:val="clear"/>
          </w:tcPr>
          <w:p>
            <w:r>
              <w:rPr>
                <w:sz w:val="17"/>
              </w:rPr>
              <w:t>26,306</w:t>
            </w:r>
          </w:p>
        </w:tc>
        <w:tc>
          <w:tcPr>
            <w:tcW w:type="dxa" w:w="1440"/>
            <w:shd w:fill="C6EFCE" w:val="clear"/>
          </w:tcPr>
          <w:p>
            <w:r>
              <w:rPr>
                <w:b/>
                <w:color w:val="008000"/>
                <w:sz w:val="17"/>
              </w:rPr>
              <w:t>+6.2%</w:t>
            </w:r>
          </w:p>
        </w:tc>
      </w:tr>
      <w:tr>
        <w:tc>
          <w:tcPr>
            <w:tcW w:type="dxa" w:w="1440"/>
            <w:shd w:fill="C6EFCE" w:val="clear"/>
          </w:tcPr>
          <w:p>
            <w:r>
              <w:rPr>
                <w:sz w:val="17"/>
              </w:rPr>
              <w:t>J+4  ⭐</w:t>
            </w:r>
          </w:p>
        </w:tc>
        <w:tc>
          <w:tcPr>
            <w:tcW w:type="dxa" w:w="1440"/>
            <w:shd w:fill="C6EFCE" w:val="clear"/>
          </w:tcPr>
          <w:p>
            <w:r>
              <w:rPr>
                <w:sz w:val="17"/>
              </w:rPr>
              <w:t>2026-08-21</w:t>
            </w:r>
          </w:p>
        </w:tc>
        <w:tc>
          <w:tcPr>
            <w:tcW w:type="dxa" w:w="1440"/>
            <w:shd w:fill="C6EFCE" w:val="clear"/>
          </w:tcPr>
          <w:p>
            <w:r>
              <w:rPr>
                <w:sz w:val="17"/>
              </w:rPr>
              <w:t>22,719</w:t>
            </w:r>
          </w:p>
        </w:tc>
        <w:tc>
          <w:tcPr>
            <w:tcW w:type="dxa" w:w="1440"/>
            <w:shd w:fill="C6EFCE" w:val="clear"/>
          </w:tcPr>
          <w:p>
            <w:r>
              <w:rPr>
                <w:b/>
                <w:sz w:val="17"/>
              </w:rPr>
              <w:t>24,870</w:t>
            </w:r>
          </w:p>
        </w:tc>
        <w:tc>
          <w:tcPr>
            <w:tcW w:type="dxa" w:w="1440"/>
            <w:shd w:fill="C6EFCE" w:val="clear"/>
          </w:tcPr>
          <w:p>
            <w:r>
              <w:rPr>
                <w:sz w:val="17"/>
              </w:rPr>
              <w:t>27,020</w:t>
            </w:r>
          </w:p>
        </w:tc>
        <w:tc>
          <w:tcPr>
            <w:tcW w:type="dxa" w:w="1440"/>
            <w:shd w:fill="C6EFCE" w:val="clear"/>
          </w:tcPr>
          <w:p>
            <w:r>
              <w:rPr>
                <w:b/>
                <w:color w:val="008000"/>
                <w:sz w:val="17"/>
              </w:rPr>
              <w:t>+7.9%</w:t>
            </w:r>
          </w:p>
        </w:tc>
      </w:tr>
      <w:tr>
        <w:tc>
          <w:tcPr>
            <w:tcW w:type="dxa" w:w="1440"/>
            <w:shd w:fill="C6EFCE" w:val="clear"/>
          </w:tcPr>
          <w:p>
            <w:r>
              <w:rPr>
                <w:sz w:val="17"/>
              </w:rPr>
              <w:t>J+5  ⭐</w:t>
            </w:r>
          </w:p>
        </w:tc>
        <w:tc>
          <w:tcPr>
            <w:tcW w:type="dxa" w:w="1440"/>
            <w:shd w:fill="C6EFCE" w:val="clear"/>
          </w:tcPr>
          <w:p>
            <w:r>
              <w:rPr>
                <w:sz w:val="17"/>
              </w:rPr>
              <w:t>2026-08-24</w:t>
            </w:r>
          </w:p>
        </w:tc>
        <w:tc>
          <w:tcPr>
            <w:tcW w:type="dxa" w:w="1440"/>
            <w:shd w:fill="C6EFCE" w:val="clear"/>
          </w:tcPr>
          <w:p>
            <w:r>
              <w:rPr>
                <w:sz w:val="17"/>
              </w:rPr>
              <w:t>22,820</w:t>
            </w:r>
          </w:p>
        </w:tc>
        <w:tc>
          <w:tcPr>
            <w:tcW w:type="dxa" w:w="1440"/>
            <w:shd w:fill="C6EFCE" w:val="clear"/>
          </w:tcPr>
          <w:p>
            <w:r>
              <w:rPr>
                <w:b/>
                <w:sz w:val="17"/>
              </w:rPr>
              <w:t>25,261</w:t>
            </w:r>
          </w:p>
        </w:tc>
        <w:tc>
          <w:tcPr>
            <w:tcW w:type="dxa" w:w="1440"/>
            <w:shd w:fill="C6EFCE" w:val="clear"/>
          </w:tcPr>
          <w:p>
            <w:r>
              <w:rPr>
                <w:sz w:val="17"/>
              </w:rPr>
              <w:t>27,703</w:t>
            </w:r>
          </w:p>
        </w:tc>
        <w:tc>
          <w:tcPr>
            <w:tcW w:type="dxa" w:w="1440"/>
            <w:shd w:fill="C6EFCE" w:val="clear"/>
          </w:tcPr>
          <w:p>
            <w:r>
              <w:rPr>
                <w:b/>
                <w:color w:val="008000"/>
                <w:sz w:val="17"/>
              </w:rPr>
              <w:t>+9.6%</w:t>
            </w:r>
          </w:p>
        </w:tc>
      </w:tr>
      <w:tr>
        <w:tc>
          <w:tcPr>
            <w:tcW w:type="dxa" w:w="1440"/>
            <w:shd w:fill="C6EFCE" w:val="clear"/>
          </w:tcPr>
          <w:p>
            <w:r>
              <w:rPr>
                <w:sz w:val="17"/>
              </w:rPr>
              <w:t>J+6  ⭐</w:t>
            </w:r>
          </w:p>
        </w:tc>
        <w:tc>
          <w:tcPr>
            <w:tcW w:type="dxa" w:w="1440"/>
            <w:shd w:fill="C6EFCE" w:val="clear"/>
          </w:tcPr>
          <w:p>
            <w:r>
              <w:rPr>
                <w:sz w:val="17"/>
              </w:rPr>
              <w:t>2026-08-25</w:t>
            </w:r>
          </w:p>
        </w:tc>
        <w:tc>
          <w:tcPr>
            <w:tcW w:type="dxa" w:w="1440"/>
            <w:shd w:fill="C6EFCE" w:val="clear"/>
          </w:tcPr>
          <w:p>
            <w:r>
              <w:rPr>
                <w:sz w:val="17"/>
              </w:rPr>
              <w:t>22,935</w:t>
            </w:r>
          </w:p>
        </w:tc>
        <w:tc>
          <w:tcPr>
            <w:tcW w:type="dxa" w:w="1440"/>
            <w:shd w:fill="C6EFCE" w:val="clear"/>
          </w:tcPr>
          <w:p>
            <w:r>
              <w:rPr>
                <w:b/>
                <w:sz w:val="17"/>
              </w:rPr>
              <w:t>25,651</w:t>
            </w:r>
          </w:p>
        </w:tc>
        <w:tc>
          <w:tcPr>
            <w:tcW w:type="dxa" w:w="1440"/>
            <w:shd w:fill="C6EFCE" w:val="clear"/>
          </w:tcPr>
          <w:p>
            <w:r>
              <w:rPr>
                <w:sz w:val="17"/>
              </w:rPr>
              <w:t>28,367</w:t>
            </w:r>
          </w:p>
        </w:tc>
        <w:tc>
          <w:tcPr>
            <w:tcW w:type="dxa" w:w="1440"/>
            <w:shd w:fill="C6EFCE" w:val="clear"/>
          </w:tcPr>
          <w:p>
            <w:r>
              <w:rPr>
                <w:b/>
                <w:color w:val="008000"/>
                <w:sz w:val="17"/>
              </w:rPr>
              <w:t>+11.3%</w:t>
            </w:r>
          </w:p>
        </w:tc>
      </w:tr>
      <w:tr>
        <w:tc>
          <w:tcPr>
            <w:tcW w:type="dxa" w:w="1440"/>
            <w:shd w:fill="C6EFCE" w:val="clear"/>
          </w:tcPr>
          <w:p>
            <w:r>
              <w:rPr>
                <w:sz w:val="17"/>
              </w:rPr>
              <w:t>J+7  ⭐</w:t>
            </w:r>
          </w:p>
        </w:tc>
        <w:tc>
          <w:tcPr>
            <w:tcW w:type="dxa" w:w="1440"/>
            <w:shd w:fill="C6EFCE" w:val="clear"/>
          </w:tcPr>
          <w:p>
            <w:r>
              <w:rPr>
                <w:sz w:val="17"/>
              </w:rPr>
              <w:t>2026-08-27</w:t>
            </w:r>
          </w:p>
        </w:tc>
        <w:tc>
          <w:tcPr>
            <w:tcW w:type="dxa" w:w="1440"/>
            <w:shd w:fill="C6EFCE" w:val="clear"/>
          </w:tcPr>
          <w:p>
            <w:r>
              <w:rPr>
                <w:sz w:val="17"/>
              </w:rPr>
              <w:t>23,060</w:t>
            </w:r>
          </w:p>
        </w:tc>
        <w:tc>
          <w:tcPr>
            <w:tcW w:type="dxa" w:w="1440"/>
            <w:shd w:fill="C6EFCE" w:val="clear"/>
          </w:tcPr>
          <w:p>
            <w:r>
              <w:rPr>
                <w:b/>
                <w:sz w:val="17"/>
              </w:rPr>
              <w:t>26,038</w:t>
            </w:r>
          </w:p>
        </w:tc>
        <w:tc>
          <w:tcPr>
            <w:tcW w:type="dxa" w:w="1440"/>
            <w:shd w:fill="C6EFCE" w:val="clear"/>
          </w:tcPr>
          <w:p>
            <w:r>
              <w:rPr>
                <w:sz w:val="17"/>
              </w:rPr>
              <w:t>29,016</w:t>
            </w:r>
          </w:p>
        </w:tc>
        <w:tc>
          <w:tcPr>
            <w:tcW w:type="dxa" w:w="1440"/>
            <w:shd w:fill="C6EFCE" w:val="clear"/>
          </w:tcPr>
          <w:p>
            <w:r>
              <w:rPr>
                <w:b/>
                <w:color w:val="008000"/>
                <w:sz w:val="17"/>
              </w:rPr>
              <w:t>+13.0%</w:t>
            </w:r>
          </w:p>
        </w:tc>
      </w:tr>
      <w:tr>
        <w:tc>
          <w:tcPr>
            <w:tcW w:type="dxa" w:w="1440"/>
            <w:shd w:fill="C6EFCE" w:val="clear"/>
          </w:tcPr>
          <w:p>
            <w:r>
              <w:rPr>
                <w:sz w:val="17"/>
              </w:rPr>
              <w:t>J+8  ⭐</w:t>
            </w:r>
          </w:p>
        </w:tc>
        <w:tc>
          <w:tcPr>
            <w:tcW w:type="dxa" w:w="1440"/>
            <w:shd w:fill="C6EFCE" w:val="clear"/>
          </w:tcPr>
          <w:p>
            <w:r>
              <w:rPr>
                <w:sz w:val="17"/>
              </w:rPr>
              <w:t>2026-08-28</w:t>
            </w:r>
          </w:p>
        </w:tc>
        <w:tc>
          <w:tcPr>
            <w:tcW w:type="dxa" w:w="1440"/>
            <w:shd w:fill="C6EFCE" w:val="clear"/>
          </w:tcPr>
          <w:p>
            <w:r>
              <w:rPr>
                <w:sz w:val="17"/>
              </w:rPr>
              <w:t>23,194</w:t>
            </w:r>
          </w:p>
        </w:tc>
        <w:tc>
          <w:tcPr>
            <w:tcW w:type="dxa" w:w="1440"/>
            <w:shd w:fill="C6EFCE" w:val="clear"/>
          </w:tcPr>
          <w:p>
            <w:r>
              <w:rPr>
                <w:b/>
                <w:sz w:val="17"/>
              </w:rPr>
              <w:t>26,425</w:t>
            </w:r>
          </w:p>
        </w:tc>
        <w:tc>
          <w:tcPr>
            <w:tcW w:type="dxa" w:w="1440"/>
            <w:shd w:fill="C6EFCE" w:val="clear"/>
          </w:tcPr>
          <w:p>
            <w:r>
              <w:rPr>
                <w:sz w:val="17"/>
              </w:rPr>
              <w:t>29,656</w:t>
            </w:r>
          </w:p>
        </w:tc>
        <w:tc>
          <w:tcPr>
            <w:tcW w:type="dxa" w:w="1440"/>
            <w:shd w:fill="C6EFCE" w:val="clear"/>
          </w:tcPr>
          <w:p>
            <w:r>
              <w:rPr>
                <w:b/>
                <w:color w:val="008000"/>
                <w:sz w:val="17"/>
              </w:rPr>
              <w:t>+14.6%</w:t>
            </w:r>
          </w:p>
        </w:tc>
      </w:tr>
      <w:tr>
        <w:tc>
          <w:tcPr>
            <w:tcW w:type="dxa" w:w="1440"/>
            <w:shd w:fill="C6EFCE" w:val="clear"/>
          </w:tcPr>
          <w:p>
            <w:r>
              <w:rPr>
                <w:sz w:val="17"/>
              </w:rPr>
              <w:t>J+9  ⭐</w:t>
            </w:r>
          </w:p>
        </w:tc>
        <w:tc>
          <w:tcPr>
            <w:tcW w:type="dxa" w:w="1440"/>
            <w:shd w:fill="C6EFCE" w:val="clear"/>
          </w:tcPr>
          <w:p>
            <w:r>
              <w:rPr>
                <w:sz w:val="17"/>
              </w:rPr>
              <w:t>2026-08-31</w:t>
            </w:r>
          </w:p>
        </w:tc>
        <w:tc>
          <w:tcPr>
            <w:tcW w:type="dxa" w:w="1440"/>
            <w:shd w:fill="C6EFCE" w:val="clear"/>
          </w:tcPr>
          <w:p>
            <w:r>
              <w:rPr>
                <w:sz w:val="17"/>
              </w:rPr>
              <w:t>23,333</w:t>
            </w:r>
          </w:p>
        </w:tc>
        <w:tc>
          <w:tcPr>
            <w:tcW w:type="dxa" w:w="1440"/>
            <w:shd w:fill="C6EFCE" w:val="clear"/>
          </w:tcPr>
          <w:p>
            <w:r>
              <w:rPr>
                <w:b/>
                <w:sz w:val="17"/>
              </w:rPr>
              <w:t>26,810</w:t>
            </w:r>
          </w:p>
        </w:tc>
        <w:tc>
          <w:tcPr>
            <w:tcW w:type="dxa" w:w="1440"/>
            <w:shd w:fill="C6EFCE" w:val="clear"/>
          </w:tcPr>
          <w:p>
            <w:r>
              <w:rPr>
                <w:sz w:val="17"/>
              </w:rPr>
              <w:t>30,286</w:t>
            </w:r>
          </w:p>
        </w:tc>
        <w:tc>
          <w:tcPr>
            <w:tcW w:type="dxa" w:w="1440"/>
            <w:shd w:fill="C6EFCE" w:val="clear"/>
          </w:tcPr>
          <w:p>
            <w:r>
              <w:rPr>
                <w:b/>
                <w:color w:val="008000"/>
                <w:sz w:val="17"/>
              </w:rPr>
              <w:t>+16.3%</w:t>
            </w:r>
          </w:p>
        </w:tc>
      </w:tr>
      <w:tr>
        <w:tc>
          <w:tcPr>
            <w:tcW w:type="dxa" w:w="1440"/>
            <w:shd w:fill="C6EFCE" w:val="clear"/>
          </w:tcPr>
          <w:p>
            <w:r>
              <w:rPr>
                <w:sz w:val="17"/>
              </w:rPr>
              <w:t>J+10  ⭐</w:t>
            </w:r>
          </w:p>
        </w:tc>
        <w:tc>
          <w:tcPr>
            <w:tcW w:type="dxa" w:w="1440"/>
            <w:shd w:fill="C6EFCE" w:val="clear"/>
          </w:tcPr>
          <w:p>
            <w:r>
              <w:rPr>
                <w:sz w:val="17"/>
              </w:rPr>
              <w:t>2026-09-01</w:t>
            </w:r>
          </w:p>
        </w:tc>
        <w:tc>
          <w:tcPr>
            <w:tcW w:type="dxa" w:w="1440"/>
            <w:shd w:fill="C6EFCE" w:val="clear"/>
          </w:tcPr>
          <w:p>
            <w:r>
              <w:rPr>
                <w:sz w:val="17"/>
              </w:rPr>
              <w:t>23,475</w:t>
            </w:r>
          </w:p>
        </w:tc>
        <w:tc>
          <w:tcPr>
            <w:tcW w:type="dxa" w:w="1440"/>
            <w:shd w:fill="C6EFCE" w:val="clear"/>
          </w:tcPr>
          <w:p>
            <w:r>
              <w:rPr>
                <w:b/>
                <w:sz w:val="17"/>
              </w:rPr>
              <w:t>27,193</w:t>
            </w:r>
          </w:p>
        </w:tc>
        <w:tc>
          <w:tcPr>
            <w:tcW w:type="dxa" w:w="1440"/>
            <w:shd w:fill="C6EFCE" w:val="clear"/>
          </w:tcPr>
          <w:p>
            <w:r>
              <w:rPr>
                <w:sz w:val="17"/>
              </w:rPr>
              <w:t>30,910</w:t>
            </w:r>
          </w:p>
        </w:tc>
        <w:tc>
          <w:tcPr>
            <w:tcW w:type="dxa" w:w="1440"/>
            <w:shd w:fill="C6EFCE" w:val="clear"/>
          </w:tcPr>
          <w:p>
            <w:r>
              <w:rPr>
                <w:b/>
                <w:color w:val="008000"/>
                <w:sz w:val="17"/>
              </w:rPr>
              <w:t>+18.0%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**RAPPORT D'ANALYSE FINANCIÈRE — NSIA BANQUE CÔTE D'IVOIRE (NSBC)**</w:t>
        <w:br/>
        <w:t>**Date de l'analyse : 17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NSBC s'établit à 570,13 milliards FCFA, un niveau qui la positionne parmi les poids lourds du compartiment bancaire de la BRVM. Avec un BPA de 1 646 FCFA, le titre se négocie à un PER de 14,0x, ce qui représente une prime significative par rapport à la moyenne historique du marché (~8-12x). Cette valorisation suggère que les investisseurs intègrent déjà une croissance future des bénéfices. Le P/B de 2,44x indique que le marché valorise la société à plus du double de sa valeur comptable, reflétant une prime de croissance et une confiance dans la qualité des actifs. Enfin, l'EV/EBITDA de 21,5x, bien que très exigeant, témoigne de la solidité opérationnelle de la banque, mais laisse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NSBC a enregistré une performance spectaculaire de +64,64%, avec une légère progression de +0,15% lors de la dernière séance, clôturant à 23 050 FCFA. Le titre a évolué dans une fourchette très large, entre un plus bas de 13 810 FCFA et un plus haut de 24 020 FCFA, démontrant une forte dynamique haussière. La moyenne du cours sur la période (18 256 FCFA) est inférieure à la médiane (18 998 FCFA), indiquant une distribution légèrement asymétrique avec une concentration des prix vers le haut de la fourchette. L'écart-type de 3 638 FCFA (CV de 19,9%) révèle une dispersion modérée. Le kurtosis négatif (-1,452) signale une distribution aplatie, sans pics extrêmes, tandis que le skewness proche de zéro (0,085) confirme une symétrie. La volatilité annualisée de 37,6% classe le titre comme très volatil, un niveau élevé qui requiert une gestion de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(MM20=23 279,75 / MM50=21 396,2) :** Le cours actuel (23 050 FCFA) se situe sous sa MM20 mais nettement au-dessus de sa MM50, indiquant une tendance de fond haussière à moyen terme, avec un léger essoufflement à court terme. La décision d'achat est justifiée par la configuration positive de la MM50.</w:t>
      </w:r>
    </w:p>
    <w:p>
      <w:pPr>
        <w:spacing w:after="120" w:line="276" w:lineRule="auto"/>
      </w:pPr>
      <w:r>
        <w:t>**Bandes de Bollinger (Borne sup=24 242,82 / Borne inf=22 314,68) :** Le cours évolue dans la partie médiane-haute des bandes, à distance de la borne supérieure. La largeur des bandes reflète la volatilité élevée. La décision neutre est cohérente avec une position de consolidation après une forte hausse.</w:t>
      </w:r>
    </w:p>
    <w:p>
      <w:pPr>
        <w:spacing w:after="120" w:line="276" w:lineRule="auto"/>
      </w:pPr>
      <w:r>
        <w:t>**MACD (Valeur=556,18 / Signal=768,89) :** Le MACD est positif mais passe sous sa ligne de signal, indiquant un ralentissement du momentum haussier. La décision de vente suggère une possible correction à court terme, bien que la tendance de fond reste positive.</w:t>
      </w:r>
    </w:p>
    <w:p>
      <w:pPr>
        <w:spacing w:after="120" w:line="276" w:lineRule="auto"/>
      </w:pPr>
      <w:r>
        <w:t>**RSI (Valeur=43,15) :** Le RSI se situe en zone neutre, sous les 50, indiquant un momentum modéré sans surachat ni survente. La décision neutre est appropriée, le titre disposant d'une marge de manœuvre avant d'atteindre des zones extrêmes.</w:t>
      </w:r>
    </w:p>
    <w:p>
      <w:pPr>
        <w:spacing w:after="120" w:line="276" w:lineRule="auto"/>
      </w:pPr>
      <w:r>
        <w:t>**Stochastique (%K=4,90 / %D=2,12) :** Les deux lignes sont en zone de survente profonde, avec un %K au-dessus du %D, signalant un potentiel rebond imminent. La décision d'achat est justifiée par cette configuration de retournement.</w:t>
      </w:r>
    </w:p>
    <w:p>
      <w:pPr>
        <w:spacing w:after="120" w:line="276" w:lineRule="auto"/>
      </w:pPr>
      <w:r>
        <w:t>**Conclusion technique :** Les indicateurs sont mitigés. Les moyennes mobiles et le stochastique plaident pour un achat, tandis que le MACD suggère une prudence à court terme. Le RSI et les bandes de Bollinger indiquent une phase de consolidation. Globalement, la tendance de fond reste haussière, mais un repli technique est possible avant la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NSBC a réalisé un Produit Net Bancaire (PNB) de 112,928 milliards FCFA, en hausse de 15% par rapport à 2024, avec un résultat net de 40,712 milliards FCFA (+7%). La banque affiche une marge nette exceptionnelle de 36,05%, un ROE de 17,45% et un ROA de 1,32%. Le coefficient d'exploitation de 54,59% témoigne d'une excellente maîtrise des charges. Cependant, le coût du risque s'est dégradé à 7,54%, avec des provisions de 8,51 milliards FCFA, contre une reprise en 2024. La structure financière montre une autonomie de 7,59% et un ratio de solvabilité de 108,22%. **Sur la base du rapport T1 2026** (publié en mai 2026), le PNB a bondi de 28% à 28,615 milliards FCFA et le résultat net de 53% à 10,912 milliards FCFA, porté par l'activité titres. On estime que l'exercice 2026 pourrait voir un résultat net dépasser 50 milliards FCFA si cette dynamique se maintient. Les dépôts clientèle (2 242 milliards FCFA) couvrent largement les crédits (1 818 milliards FCFA), assurant une liquidité confortable. La recommandation fondamentale est **ACHAT**, compte tenu de la solidité financière, de la croissance soutenue et des perspectives favorables du PND 2026-2030.</w:t>
      </w:r>
    </w:p>
    <w:p>
      <w:pPr>
        <w:spacing w:after="120" w:line="276" w:lineRule="auto"/>
      </w:pPr>
      <w:r>
        <w:t>---</w:t>
      </w:r>
    </w:p>
    <w:p>
      <w:pPr>
        <w:spacing w:after="120" w:line="276" w:lineRule="auto"/>
      </w:pPr>
      <w:r>
        <w:t>### PARTIE 4 : CONCLUSION D'INVESTISSEMENT</w:t>
      </w:r>
    </w:p>
    <w:p>
      <w:pPr>
        <w:spacing w:after="120" w:line="276" w:lineRule="auto"/>
      </w:pPr>
      <w:r>
        <w:t>La valorisation actuelle (PER 14x, P/B 2,44x) est exigeante mais justifiée par la qualité des fondamentaux. Le comportement du cours (+64,64% en 100 jours) démontre une forte dynamique, bien que la volatilité élevée (37,6%) impose une vigilance. Les signaux techniques sont partagés : la tendance de fond reste haussière (MM50, stochastique), mais le MACD et la position sous la MM20 suggèrent une consolidation à court terme. Les fondamentaux sont excellents, avec une croissance du résultat net de 53% au T1 2026 et un ROE supérieur à 17%. Les prédictions IA (23 633 à 25 261 FCFA sur 10 jours) confirment la poursuite de la tendance haussière, en cohérence avec les fondamentaux. **Recommandation finale : ACHAT FORT**, avec un niveau de confiance **Élevé** et un risque global **Moyen**. L'horizon d'investissement optimal est le **moyen terme (3-12 mois)**, pour capitaliser sur la croissance des bénéfices et l'amélioration attendue de la qualité du crédit.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384.02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1,933 titres</w:t>
            </w:r>
          </w:p>
        </w:tc>
        <w:tc>
          <w:tcPr>
            <w:tcW w:type="dxa" w:w="2268"/>
            <w:shd w:fill="FFF2CC" w:val="clear"/>
          </w:tcPr>
          <w:p>
            <w:r>
              <w:rPr>
                <w:b/>
                <w:color w:val="503200"/>
                <w:sz w:val="16"/>
              </w:rPr>
              <w:t xml:space="preserve">Cours actuel : </w:t>
            </w:r>
            <w:r>
              <w:rPr>
                <w:color w:val="000000"/>
                <w:sz w:val="17"/>
              </w:rPr>
              <w:t>17,400 FCFA</w:t>
            </w:r>
          </w:p>
          <w:p>
            <w:r>
              <w:rPr>
                <w:b/>
                <w:color w:val="503200"/>
                <w:sz w:val="16"/>
              </w:rPr>
              <w:t xml:space="preserve">Var. 100 jours : </w:t>
            </w:r>
            <w:r>
              <w:rPr>
                <w:b/>
                <w:color w:val="007800"/>
                <w:sz w:val="17"/>
              </w:rPr>
              <w:t>+34.99%</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13.69% (Moyenne) — μ=14,146 FCFA, σ=1,937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β=0.2092 (Défensif) — Cov=0.000007, Var(idx)=0.000031, ρ=0.055,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1,933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16,735</w:t>
            </w:r>
          </w:p>
        </w:tc>
        <w:tc>
          <w:tcPr>
            <w:tcW w:type="dxa" w:w="1440"/>
            <w:shd w:fill="FFDCE0" w:val="clear"/>
          </w:tcPr>
          <w:p>
            <w:r>
              <w:rPr>
                <w:b/>
                <w:sz w:val="17"/>
              </w:rPr>
              <w:t>17,008</w:t>
            </w:r>
          </w:p>
        </w:tc>
        <w:tc>
          <w:tcPr>
            <w:tcW w:type="dxa" w:w="1440"/>
            <w:shd w:fill="FFDCE0" w:val="clear"/>
          </w:tcPr>
          <w:p>
            <w:r>
              <w:rPr>
                <w:sz w:val="17"/>
              </w:rPr>
              <w:t>17,281</w:t>
            </w:r>
          </w:p>
        </w:tc>
        <w:tc>
          <w:tcPr>
            <w:tcW w:type="dxa" w:w="1440"/>
            <w:shd w:fill="FFDCE0" w:val="clear"/>
          </w:tcPr>
          <w:p>
            <w:r>
              <w:rPr>
                <w:b/>
                <w:color w:val="C00000"/>
                <w:sz w:val="17"/>
              </w:rPr>
              <w:t>-2.3%</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16,598</w:t>
            </w:r>
          </w:p>
        </w:tc>
        <w:tc>
          <w:tcPr>
            <w:tcW w:type="dxa" w:w="1440"/>
            <w:shd w:fill="FFDCE0" w:val="clear"/>
          </w:tcPr>
          <w:p>
            <w:r>
              <w:rPr>
                <w:b/>
                <w:sz w:val="17"/>
              </w:rPr>
              <w:t>16,983</w:t>
            </w:r>
          </w:p>
        </w:tc>
        <w:tc>
          <w:tcPr>
            <w:tcW w:type="dxa" w:w="1440"/>
            <w:shd w:fill="FFDCE0" w:val="clear"/>
          </w:tcPr>
          <w:p>
            <w:r>
              <w:rPr>
                <w:sz w:val="17"/>
              </w:rPr>
              <w:t>17,369</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16,455</w:t>
            </w:r>
          </w:p>
        </w:tc>
        <w:tc>
          <w:tcPr>
            <w:tcW w:type="dxa" w:w="1440"/>
            <w:shd w:fill="FFDCE0" w:val="clear"/>
          </w:tcPr>
          <w:p>
            <w:r>
              <w:rPr>
                <w:b/>
                <w:sz w:val="17"/>
              </w:rPr>
              <w:t>16,925</w:t>
            </w:r>
          </w:p>
        </w:tc>
        <w:tc>
          <w:tcPr>
            <w:tcW w:type="dxa" w:w="1440"/>
            <w:shd w:fill="FFDCE0" w:val="clear"/>
          </w:tcPr>
          <w:p>
            <w:r>
              <w:rPr>
                <w:sz w:val="17"/>
              </w:rPr>
              <w:t>17,396</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16,321</w:t>
            </w:r>
          </w:p>
        </w:tc>
        <w:tc>
          <w:tcPr>
            <w:tcW w:type="dxa" w:w="1440"/>
            <w:shd w:fill="FFDCE0" w:val="clear"/>
          </w:tcPr>
          <w:p>
            <w:r>
              <w:rPr>
                <w:b/>
                <w:sz w:val="17"/>
              </w:rPr>
              <w:t>16,862</w:t>
            </w:r>
          </w:p>
        </w:tc>
        <w:tc>
          <w:tcPr>
            <w:tcW w:type="dxa" w:w="1440"/>
            <w:shd w:fill="FFDCE0" w:val="clear"/>
          </w:tcPr>
          <w:p>
            <w:r>
              <w:rPr>
                <w:sz w:val="17"/>
              </w:rPr>
              <w:t>17,403</w:t>
            </w:r>
          </w:p>
        </w:tc>
        <w:tc>
          <w:tcPr>
            <w:tcW w:type="dxa" w:w="1440"/>
            <w:shd w:fill="FFDCE0" w:val="clear"/>
          </w:tcPr>
          <w:p>
            <w:r>
              <w:rPr>
                <w:b/>
                <w:color w:val="C00000"/>
                <w:sz w:val="17"/>
              </w:rPr>
              <w:t>-3.1%</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16,197</w:t>
            </w:r>
          </w:p>
        </w:tc>
        <w:tc>
          <w:tcPr>
            <w:tcW w:type="dxa" w:w="1440"/>
            <w:shd w:fill="FFDCE0" w:val="clear"/>
          </w:tcPr>
          <w:p>
            <w:r>
              <w:rPr>
                <w:b/>
                <w:sz w:val="17"/>
              </w:rPr>
              <w:t>16,800</w:t>
            </w:r>
          </w:p>
        </w:tc>
        <w:tc>
          <w:tcPr>
            <w:tcW w:type="dxa" w:w="1440"/>
            <w:shd w:fill="FFDCE0" w:val="clear"/>
          </w:tcPr>
          <w:p>
            <w:r>
              <w:rPr>
                <w:sz w:val="17"/>
              </w:rPr>
              <w:t>17,403</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16,084</w:t>
            </w:r>
          </w:p>
        </w:tc>
        <w:tc>
          <w:tcPr>
            <w:tcW w:type="dxa" w:w="1440"/>
            <w:shd w:fill="FFDCE0" w:val="clear"/>
          </w:tcPr>
          <w:p>
            <w:r>
              <w:rPr>
                <w:b/>
                <w:sz w:val="17"/>
              </w:rPr>
              <w:t>16,742</w:t>
            </w:r>
          </w:p>
        </w:tc>
        <w:tc>
          <w:tcPr>
            <w:tcW w:type="dxa" w:w="1440"/>
            <w:shd w:fill="FFDCE0" w:val="clear"/>
          </w:tcPr>
          <w:p>
            <w:r>
              <w:rPr>
                <w:sz w:val="17"/>
              </w:rPr>
              <w:t>17,400</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15,978</w:t>
            </w:r>
          </w:p>
        </w:tc>
        <w:tc>
          <w:tcPr>
            <w:tcW w:type="dxa" w:w="1440"/>
            <w:shd w:fill="FFDCE0" w:val="clear"/>
          </w:tcPr>
          <w:p>
            <w:r>
              <w:rPr>
                <w:b/>
                <w:sz w:val="17"/>
              </w:rPr>
              <w:t>16,687</w:t>
            </w:r>
          </w:p>
        </w:tc>
        <w:tc>
          <w:tcPr>
            <w:tcW w:type="dxa" w:w="1440"/>
            <w:shd w:fill="FFDCE0" w:val="clear"/>
          </w:tcPr>
          <w:p>
            <w:r>
              <w:rPr>
                <w:sz w:val="17"/>
              </w:rPr>
              <w:t>17,395</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15,878</w:t>
            </w:r>
          </w:p>
        </w:tc>
        <w:tc>
          <w:tcPr>
            <w:tcW w:type="dxa" w:w="1440"/>
            <w:shd w:fill="FFDCE0" w:val="clear"/>
          </w:tcPr>
          <w:p>
            <w:r>
              <w:rPr>
                <w:b/>
                <w:sz w:val="17"/>
              </w:rPr>
              <w:t>16,633</w:t>
            </w:r>
          </w:p>
        </w:tc>
        <w:tc>
          <w:tcPr>
            <w:tcW w:type="dxa" w:w="1440"/>
            <w:shd w:fill="FFDCE0" w:val="clear"/>
          </w:tcPr>
          <w:p>
            <w:r>
              <w:rPr>
                <w:sz w:val="17"/>
              </w:rPr>
              <w:t>17,388</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15,782</w:t>
            </w:r>
          </w:p>
        </w:tc>
        <w:tc>
          <w:tcPr>
            <w:tcW w:type="dxa" w:w="1440"/>
            <w:shd w:fill="FFDCE0" w:val="clear"/>
          </w:tcPr>
          <w:p>
            <w:r>
              <w:rPr>
                <w:b/>
                <w:sz w:val="17"/>
              </w:rPr>
              <w:t>16,580</w:t>
            </w:r>
          </w:p>
        </w:tc>
        <w:tc>
          <w:tcPr>
            <w:tcW w:type="dxa" w:w="1440"/>
            <w:shd w:fill="FFDCE0" w:val="clear"/>
          </w:tcPr>
          <w:p>
            <w:r>
              <w:rPr>
                <w:sz w:val="17"/>
              </w:rPr>
              <w:t>17,379</w:t>
            </w:r>
          </w:p>
        </w:tc>
        <w:tc>
          <w:tcPr>
            <w:tcW w:type="dxa" w:w="1440"/>
            <w:shd w:fill="FFDCE0" w:val="clear"/>
          </w:tcPr>
          <w:p>
            <w:r>
              <w:rPr>
                <w:b/>
                <w:color w:val="C00000"/>
                <w:sz w:val="17"/>
              </w:rPr>
              <w:t>-4.7%</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15,691</w:t>
            </w:r>
          </w:p>
        </w:tc>
        <w:tc>
          <w:tcPr>
            <w:tcW w:type="dxa" w:w="1440"/>
            <w:shd w:fill="FFDCE0" w:val="clear"/>
          </w:tcPr>
          <w:p>
            <w:r>
              <w:rPr>
                <w:b/>
                <w:sz w:val="17"/>
              </w:rPr>
              <w:t>16,529</w:t>
            </w:r>
          </w:p>
        </w:tc>
        <w:tc>
          <w:tcPr>
            <w:tcW w:type="dxa" w:w="1440"/>
            <w:shd w:fill="FFDCE0" w:val="clear"/>
          </w:tcPr>
          <w:p>
            <w:r>
              <w:rPr>
                <w:sz w:val="17"/>
              </w:rPr>
              <w:t>17,368</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 15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384,02 milliards FCFA, ce qui en fait l'une des valeurs les plus significatives de la BRVM, reflétant la confiance des investisseurs dans ce leader des biens de consommation. Avec un BPA de 835 FCFA, le PER de 20,8x est nettement supérieur à la moyenne historique de la BRVM (8-12x), indiquant que le marché intègre des attentes de croissance soutenue, mais exposant également le titre à un risque de correction en cas de déception. Le P/B de 12,98x confirme cette prime, le marché valorisant le titre près de 13 fois sa valeur comptable, ce qui est extrêmement exigeant. Enfin, l'EV/EBITDA de 10,2x, bien que dans la fourchette haute, reste plus mesuré, suggérant que la capacité opérationnelle de l'entreprise justifie en partie cette valorisation premium.</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performance spectaculaire de +34,99%, clôturant à 17 400 FCFA contre un plus bas de 11 150 FCFA, avec un léger repli de -0,29% lors de la dernière séance. Cette tendance fortement haussière s'accompagne d'une moyenne de 14 146 FCFA, inférieure à la médiane de 13 345 FCFA, ce qui indique une distribution asymétrique avec une concentration des cours vers le bas de la fourchette avant l'accélération récente. L'écart-type de 1 947 FCFA (CV de 13,8%) révèle une dispersion modérée, tandis que le kurtosis de -1,563 (platykurtique) suggère l'absence de pics extrêmes, et le skewness de 0,171 confirme une symétrie relative. La volatilité annualisée de 33,7% classe le titre dans la catégorie élevée (&gt;30%), reflétant un risque significatif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17 400 FCFA se positionne nettement au-dessus de la MM20 (16 673,25 FCFA) et de la MM50 (15 947,4 FCFA), confirmant une dynamique haussière solide. La configuration des moyennes mobiles, avec la MM20 au-dessus de la MM50, valide la tendance de fond et justifie la décision d'achat, bien que l'écart important suggère un risque de consolidation à court terme.</w:t>
      </w:r>
    </w:p>
    <w:p>
      <w:pPr>
        <w:spacing w:after="120" w:line="276" w:lineRule="auto"/>
      </w:pPr>
      <w:r>
        <w:t>**Bandes de Bollinger** : Le prix évolue près de la borne supérieure (17 579 FCFA), indiquant une pression acheteuse soutenue. La largeur des bandes reflète une volatilité accrue, et le positionnement du cours en zone haute suggère une possible saturation à court terme, d'où la décision neutre. Un repli vers la moyenne mobile (16 673 FCFA) serait sain pour la poursuite de la tendance.</w:t>
      </w:r>
    </w:p>
    <w:p>
      <w:pPr>
        <w:spacing w:after="120" w:line="276" w:lineRule="auto"/>
      </w:pPr>
      <w:r>
        <w:t>**MACD** : Avec une valeur de 443,815 et un signal à 406,528, le MACD reste positif et au-dessus de son signal, confirmant un momentum haussier. La divergence positive indique que la dynamique d'achat reste dominante, justifiant la décision d'achat, même si l'écart modéré suggère une possible stabilisation du momentum.</w:t>
      </w:r>
    </w:p>
    <w:p>
      <w:pPr>
        <w:spacing w:after="120" w:line="276" w:lineRule="auto"/>
      </w:pPr>
      <w:r>
        <w:t>**RSI** : À 82,042, le RSI est en zone de surachat (&gt;70), signalant une extension excessive de la hausse. Cette lecture technique suggère un risque élevé de correction à court terme, d'où la décision de vente. Les investisseurs devraient surveiller un éventuel retour sous 70 pour valider une poursuite de la tendance.</w:t>
      </w:r>
    </w:p>
    <w:p>
      <w:pPr>
        <w:spacing w:after="120" w:line="276" w:lineRule="auto"/>
      </w:pPr>
      <w:r>
        <w:t>**Stochastique** : Le %K à 94,737 et le %D à 98,246 sont tous deux en zone de surachat extrême, avec un %K sous le %D, indiquant un croisement baissier potentiel. Cette configuration renforce le signal de prudence, justifiant la décision de vente.</w:t>
      </w:r>
    </w:p>
    <w:p>
      <w:pPr>
        <w:spacing w:after="120" w:line="276" w:lineRule="auto"/>
      </w:pPr>
      <w:r>
        <w:t>**Conclusion technique** : La convergence des indicateurs de momentum (RSI, Stochastique) en zone de surachat contraste avec la tendance haussière confirmée par les moyennes mobiles et le MACD. Cette divergence suggère un risque de consolidation à court terme, mais la tendance de fond reste positive. Une correction technique serait saine avant une éventuelle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Nestlé Côte d'Ivoire a réalisé un chiffre d'affaires de 233,26 milliards FCFA (+5,97% vs 2024), avec un résultat net de 18,43 milliards FCFA (+1,53%), démontrant une résilience dans un environnement inflationniste. La marge nette s'établit à 7,9%, tandis que le ROE atteint un niveau exceptionnel de 62,28% et le ROA de 9,70%, reflétant une utilisation très efficace des capitaux propres et des actifs. Le BFR de 22,63 milliards FCFA et le délai clients de 74 jours constituent des points de vigilance, bien que la durée de stockage de 59 jours reste maîtrisée. L'endettement total de 40,2 milliards FCFA avec un ratio d'endettement de 135,85% mérite une attention particulière. Les rapports trimestriels 2025 montrent une année contrastée : le T1 2025 a vu le CA baisser de 11% mais le résultat net progresser de 19%, tandis que le S1 2025 a enregistré une stagnation du CA et une baisse de 23,5% du résultat net. Cependant, le T1 2026 marque un tournant décisif avec un CA de 70,82 milliards FCFA (+31%) et un résultat net de 7,53 milliards FCFA (+37%), suggérant une accélération significative. Sur cette base, on estime que l'exercice 2026 pourrait dépasser 260 milliards FCFA de CA et 22 milliards FCFA de résultat net, confirmant la solidité du modèle économique de l'entreprise.</w:t>
      </w:r>
    </w:p>
    <w:p>
      <w:pPr>
        <w:spacing w:after="120" w:line="276" w:lineRule="auto"/>
      </w:pPr>
      <w:r>
        <w:t>---</w:t>
      </w:r>
    </w:p>
    <w:p>
      <w:pPr>
        <w:spacing w:after="120" w:line="276" w:lineRule="auto"/>
      </w:pPr>
      <w:r>
        <w:t>### PARTIE 4 : CONCLUSION D'INVESTISSEMENT</w:t>
      </w:r>
    </w:p>
    <w:p>
      <w:pPr>
        <w:spacing w:after="120" w:line="276" w:lineRule="auto"/>
      </w:pPr>
      <w:r>
        <w:t>La valorisation de NTLC (PER 20,8x, P/B 12,98x) indique une surévaluation relative par rapport au marché, mais elle est justifiée par des fondamentaux solides et des perspectives de croissance accélérées. Le comportement du cours montre une tendance haussière spectaculaire (+35% sur 100 jours) avec une volatilité élevée (33,7%), signalant un risque de correction technique. Les signaux techniques sont mitigés : les moyennes mobiles et le MACD restent positifs, mais le RSI et le Stochastique en zone de surachat suggèrent une consolidation imminente. Les fondamentaux sont excellents, avec un ROE de 62,28% et une croissance estimée de 20%+ pour 2026, soutenue par le T1 2026 (+31% CA). Les prédictions IA (17 008 à 16 800 FCFA sur 10 jours) confirment une légère correction attendue. En synthèse, la convergence entre la solidité fondamentale et la tendance haussière, malgré les signaux techniques de surachat, conduit à une recommandation **CONSERVER** avec un niveau de confiance **Moyen** et un risque global **Élevé**. L'horizon d'investissement optimal serait le **moyen terme (3-12 mois)**, en attendant une correction technique pour renforcer les positions sur cette valeur de qualité.</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4,519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B40000"/>
                <w:sz w:val="17"/>
              </w:rPr>
              <w:t>-3.33%</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3.22% (Faible) — μ=2,826 FCFA, σ=91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β=0.4301 (Défensif) — Cov=0.000013, Var(idx)=0.000031, ρ=0.123,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4,519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2,755</w:t>
            </w:r>
          </w:p>
        </w:tc>
        <w:tc>
          <w:tcPr>
            <w:tcW w:type="dxa" w:w="1440"/>
            <w:shd w:fill="FAFAFA" w:val="clear"/>
          </w:tcPr>
          <w:p>
            <w:r>
              <w:rPr>
                <w:b/>
                <w:sz w:val="17"/>
              </w:rPr>
              <w:t>2,848</w:t>
            </w:r>
          </w:p>
        </w:tc>
        <w:tc>
          <w:tcPr>
            <w:tcW w:type="dxa" w:w="1440"/>
            <w:shd w:fill="FAFAFA" w:val="clear"/>
          </w:tcPr>
          <w:p>
            <w:r>
              <w:rPr>
                <w:sz w:val="17"/>
              </w:rPr>
              <w:t>2,941</w:t>
            </w:r>
          </w:p>
        </w:tc>
        <w:tc>
          <w:tcPr>
            <w:tcW w:type="dxa" w:w="1440"/>
            <w:shd w:fill="FAFAFA" w:val="clear"/>
          </w:tcPr>
          <w:p>
            <w:r>
              <w:rPr>
                <w:b/>
                <w:color w:val="C00000"/>
                <w:sz w:val="17"/>
              </w:rPr>
              <w:t>-1.8%</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2,717</w:t>
            </w:r>
          </w:p>
        </w:tc>
        <w:tc>
          <w:tcPr>
            <w:tcW w:type="dxa" w:w="1440"/>
            <w:shd w:fill="FAFAFA" w:val="clear"/>
          </w:tcPr>
          <w:p>
            <w:r>
              <w:rPr>
                <w:b/>
                <w:sz w:val="17"/>
              </w:rPr>
              <w:t>2,848</w:t>
            </w:r>
          </w:p>
        </w:tc>
        <w:tc>
          <w:tcPr>
            <w:tcW w:type="dxa" w:w="1440"/>
            <w:shd w:fill="FAFAFA" w:val="clear"/>
          </w:tcPr>
          <w:p>
            <w:r>
              <w:rPr>
                <w:sz w:val="17"/>
              </w:rPr>
              <w:t>2,980</w:t>
            </w:r>
          </w:p>
        </w:tc>
        <w:tc>
          <w:tcPr>
            <w:tcW w:type="dxa" w:w="1440"/>
            <w:shd w:fill="FAFAFA" w:val="clear"/>
          </w:tcPr>
          <w:p>
            <w:r>
              <w:rPr>
                <w:b/>
                <w:color w:val="C00000"/>
                <w:sz w:val="17"/>
              </w:rPr>
              <w:t>-1.8%</w:t>
            </w:r>
          </w:p>
        </w:tc>
      </w:tr>
      <w:tr>
        <w:tc>
          <w:tcPr>
            <w:tcW w:type="dxa" w:w="1440"/>
            <w:shd w:fill="FAFAFA" w:val="clear"/>
          </w:tcPr>
          <w:p>
            <w:r>
              <w:rPr>
                <w:sz w:val="17"/>
              </w:rPr>
              <w:t>J+3  ⭐⭐⭐</w:t>
            </w:r>
          </w:p>
        </w:tc>
        <w:tc>
          <w:tcPr>
            <w:tcW w:type="dxa" w:w="1440"/>
            <w:shd w:fill="FAFAFA" w:val="clear"/>
          </w:tcPr>
          <w:p>
            <w:r>
              <w:rPr>
                <w:sz w:val="17"/>
              </w:rPr>
              <w:t>2026-08-20</w:t>
            </w:r>
          </w:p>
        </w:tc>
        <w:tc>
          <w:tcPr>
            <w:tcW w:type="dxa" w:w="1440"/>
            <w:shd w:fill="FAFAFA" w:val="clear"/>
          </w:tcPr>
          <w:p>
            <w:r>
              <w:rPr>
                <w:sz w:val="17"/>
              </w:rPr>
              <w:t>2,683</w:t>
            </w:r>
          </w:p>
        </w:tc>
        <w:tc>
          <w:tcPr>
            <w:tcW w:type="dxa" w:w="1440"/>
            <w:shd w:fill="FAFAFA" w:val="clear"/>
          </w:tcPr>
          <w:p>
            <w:r>
              <w:rPr>
                <w:b/>
                <w:sz w:val="17"/>
              </w:rPr>
              <w:t>2,844</w:t>
            </w:r>
          </w:p>
        </w:tc>
        <w:tc>
          <w:tcPr>
            <w:tcW w:type="dxa" w:w="1440"/>
            <w:shd w:fill="FAFAFA" w:val="clear"/>
          </w:tcPr>
          <w:p>
            <w:r>
              <w:rPr>
                <w:sz w:val="17"/>
              </w:rPr>
              <w:t>3,005</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2026-08-21</w:t>
            </w:r>
          </w:p>
        </w:tc>
        <w:tc>
          <w:tcPr>
            <w:tcW w:type="dxa" w:w="1440"/>
            <w:shd w:fill="FFDCE0" w:val="clear"/>
          </w:tcPr>
          <w:p>
            <w:r>
              <w:rPr>
                <w:sz w:val="17"/>
              </w:rPr>
              <w:t>2,653</w:t>
            </w:r>
          </w:p>
        </w:tc>
        <w:tc>
          <w:tcPr>
            <w:tcW w:type="dxa" w:w="1440"/>
            <w:shd w:fill="FFDCE0" w:val="clear"/>
          </w:tcPr>
          <w:p>
            <w:r>
              <w:rPr>
                <w:b/>
                <w:sz w:val="17"/>
              </w:rPr>
              <w:t>2,838</w:t>
            </w:r>
          </w:p>
        </w:tc>
        <w:tc>
          <w:tcPr>
            <w:tcW w:type="dxa" w:w="1440"/>
            <w:shd w:fill="FFDCE0" w:val="clear"/>
          </w:tcPr>
          <w:p>
            <w:r>
              <w:rPr>
                <w:sz w:val="17"/>
              </w:rPr>
              <w:t>3,024</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2026-08-24</w:t>
            </w:r>
          </w:p>
        </w:tc>
        <w:tc>
          <w:tcPr>
            <w:tcW w:type="dxa" w:w="1440"/>
            <w:shd w:fill="FFDCE0" w:val="clear"/>
          </w:tcPr>
          <w:p>
            <w:r>
              <w:rPr>
                <w:sz w:val="17"/>
              </w:rPr>
              <w:t>2,626</w:t>
            </w:r>
          </w:p>
        </w:tc>
        <w:tc>
          <w:tcPr>
            <w:tcW w:type="dxa" w:w="1440"/>
            <w:shd w:fill="FFDCE0" w:val="clear"/>
          </w:tcPr>
          <w:p>
            <w:r>
              <w:rPr>
                <w:b/>
                <w:sz w:val="17"/>
              </w:rPr>
              <w:t>2,833</w:t>
            </w:r>
          </w:p>
        </w:tc>
        <w:tc>
          <w:tcPr>
            <w:tcW w:type="dxa" w:w="1440"/>
            <w:shd w:fill="FFDCE0" w:val="clear"/>
          </w:tcPr>
          <w:p>
            <w:r>
              <w:rPr>
                <w:sz w:val="17"/>
              </w:rPr>
              <w:t>3,040</w:t>
            </w:r>
          </w:p>
        </w:tc>
        <w:tc>
          <w:tcPr>
            <w:tcW w:type="dxa" w:w="1440"/>
            <w:shd w:fill="FFDCE0" w:val="clear"/>
          </w:tcPr>
          <w:p>
            <w:r>
              <w:rPr>
                <w:b/>
                <w:color w:val="C00000"/>
                <w:sz w:val="17"/>
              </w:rPr>
              <w:t>-2.3%</w:t>
            </w:r>
          </w:p>
        </w:tc>
      </w:tr>
      <w:tr>
        <w:tc>
          <w:tcPr>
            <w:tcW w:type="dxa" w:w="1440"/>
            <w:shd w:fill="FFDCE0" w:val="clear"/>
          </w:tcPr>
          <w:p>
            <w:r>
              <w:rPr>
                <w:sz w:val="17"/>
              </w:rPr>
              <w:t>J+6  Moyenne</w:t>
            </w:r>
          </w:p>
        </w:tc>
        <w:tc>
          <w:tcPr>
            <w:tcW w:type="dxa" w:w="1440"/>
            <w:shd w:fill="FFDCE0" w:val="clear"/>
          </w:tcPr>
          <w:p>
            <w:r>
              <w:rPr>
                <w:sz w:val="17"/>
              </w:rPr>
              <w:t>2026-08-25</w:t>
            </w:r>
          </w:p>
        </w:tc>
        <w:tc>
          <w:tcPr>
            <w:tcW w:type="dxa" w:w="1440"/>
            <w:shd w:fill="FFDCE0" w:val="clear"/>
          </w:tcPr>
          <w:p>
            <w:r>
              <w:rPr>
                <w:sz w:val="17"/>
              </w:rPr>
              <w:t>2,601</w:t>
            </w:r>
          </w:p>
        </w:tc>
        <w:tc>
          <w:tcPr>
            <w:tcW w:type="dxa" w:w="1440"/>
            <w:shd w:fill="FFDCE0" w:val="clear"/>
          </w:tcPr>
          <w:p>
            <w:r>
              <w:rPr>
                <w:b/>
                <w:sz w:val="17"/>
              </w:rPr>
              <w:t>2,828</w:t>
            </w:r>
          </w:p>
        </w:tc>
        <w:tc>
          <w:tcPr>
            <w:tcW w:type="dxa" w:w="1440"/>
            <w:shd w:fill="FFDCE0" w:val="clear"/>
          </w:tcPr>
          <w:p>
            <w:r>
              <w:rPr>
                <w:sz w:val="17"/>
              </w:rPr>
              <w:t>3,054</w:t>
            </w:r>
          </w:p>
        </w:tc>
        <w:tc>
          <w:tcPr>
            <w:tcW w:type="dxa" w:w="1440"/>
            <w:shd w:fill="FFDCE0" w:val="clear"/>
          </w:tcPr>
          <w:p>
            <w:r>
              <w:rPr>
                <w:b/>
                <w:color w:val="C00000"/>
                <w:sz w:val="17"/>
              </w:rPr>
              <w:t>-2.5%</w:t>
            </w:r>
          </w:p>
        </w:tc>
      </w:tr>
      <w:tr>
        <w:tc>
          <w:tcPr>
            <w:tcW w:type="dxa" w:w="1440"/>
            <w:shd w:fill="FFDCE0" w:val="clear"/>
          </w:tcPr>
          <w:p>
            <w:r>
              <w:rPr>
                <w:sz w:val="17"/>
              </w:rPr>
              <w:t>J+7  Moyenne</w:t>
            </w:r>
          </w:p>
        </w:tc>
        <w:tc>
          <w:tcPr>
            <w:tcW w:type="dxa" w:w="1440"/>
            <w:shd w:fill="FFDCE0" w:val="clear"/>
          </w:tcPr>
          <w:p>
            <w:r>
              <w:rPr>
                <w:sz w:val="17"/>
              </w:rPr>
              <w:t>2026-08-27</w:t>
            </w:r>
          </w:p>
        </w:tc>
        <w:tc>
          <w:tcPr>
            <w:tcW w:type="dxa" w:w="1440"/>
            <w:shd w:fill="FFDCE0" w:val="clear"/>
          </w:tcPr>
          <w:p>
            <w:r>
              <w:rPr>
                <w:sz w:val="17"/>
              </w:rPr>
              <w:t>2,579</w:t>
            </w:r>
          </w:p>
        </w:tc>
        <w:tc>
          <w:tcPr>
            <w:tcW w:type="dxa" w:w="1440"/>
            <w:shd w:fill="FFDCE0" w:val="clear"/>
          </w:tcPr>
          <w:p>
            <w:r>
              <w:rPr>
                <w:b/>
                <w:sz w:val="17"/>
              </w:rPr>
              <w:t>2,823</w:t>
            </w:r>
          </w:p>
        </w:tc>
        <w:tc>
          <w:tcPr>
            <w:tcW w:type="dxa" w:w="1440"/>
            <w:shd w:fill="FFDCE0" w:val="clear"/>
          </w:tcPr>
          <w:p>
            <w:r>
              <w:rPr>
                <w:sz w:val="17"/>
              </w:rPr>
              <w:t>3,067</w:t>
            </w:r>
          </w:p>
        </w:tc>
        <w:tc>
          <w:tcPr>
            <w:tcW w:type="dxa" w:w="1440"/>
            <w:shd w:fill="FFDCE0" w:val="clear"/>
          </w:tcPr>
          <w:p>
            <w:r>
              <w:rPr>
                <w:b/>
                <w:color w:val="C00000"/>
                <w:sz w:val="17"/>
              </w:rPr>
              <w:t>-2.7%</w:t>
            </w:r>
          </w:p>
        </w:tc>
      </w:tr>
      <w:tr>
        <w:tc>
          <w:tcPr>
            <w:tcW w:type="dxa" w:w="1440"/>
            <w:shd w:fill="FFDCE0" w:val="clear"/>
          </w:tcPr>
          <w:p>
            <w:r>
              <w:rPr>
                <w:sz w:val="17"/>
              </w:rPr>
              <w:t>J+8  Moyenne</w:t>
            </w:r>
          </w:p>
        </w:tc>
        <w:tc>
          <w:tcPr>
            <w:tcW w:type="dxa" w:w="1440"/>
            <w:shd w:fill="FFDCE0" w:val="clear"/>
          </w:tcPr>
          <w:p>
            <w:r>
              <w:rPr>
                <w:sz w:val="17"/>
              </w:rPr>
              <w:t>2026-08-28</w:t>
            </w:r>
          </w:p>
        </w:tc>
        <w:tc>
          <w:tcPr>
            <w:tcW w:type="dxa" w:w="1440"/>
            <w:shd w:fill="FFDCE0" w:val="clear"/>
          </w:tcPr>
          <w:p>
            <w:r>
              <w:rPr>
                <w:sz w:val="17"/>
              </w:rPr>
              <w:t>2,557</w:t>
            </w:r>
          </w:p>
        </w:tc>
        <w:tc>
          <w:tcPr>
            <w:tcW w:type="dxa" w:w="1440"/>
            <w:shd w:fill="FFDCE0" w:val="clear"/>
          </w:tcPr>
          <w:p>
            <w:r>
              <w:rPr>
                <w:b/>
                <w:sz w:val="17"/>
              </w:rPr>
              <w:t>2,817</w:t>
            </w:r>
          </w:p>
        </w:tc>
        <w:tc>
          <w:tcPr>
            <w:tcW w:type="dxa" w:w="1440"/>
            <w:shd w:fill="FFDCE0" w:val="clear"/>
          </w:tcPr>
          <w:p>
            <w:r>
              <w:rPr>
                <w:sz w:val="17"/>
              </w:rPr>
              <w:t>3,078</w:t>
            </w:r>
          </w:p>
        </w:tc>
        <w:tc>
          <w:tcPr>
            <w:tcW w:type="dxa" w:w="1440"/>
            <w:shd w:fill="FFDCE0" w:val="clear"/>
          </w:tcPr>
          <w:p>
            <w:r>
              <w:rPr>
                <w:b/>
                <w:color w:val="C00000"/>
                <w:sz w:val="17"/>
              </w:rPr>
              <w:t>-2.8%</w:t>
            </w:r>
          </w:p>
        </w:tc>
      </w:tr>
      <w:tr>
        <w:tc>
          <w:tcPr>
            <w:tcW w:type="dxa" w:w="1440"/>
            <w:shd w:fill="FFDCE0" w:val="clear"/>
          </w:tcPr>
          <w:p>
            <w:r>
              <w:rPr>
                <w:sz w:val="17"/>
              </w:rPr>
              <w:t>J+9  Moyenne</w:t>
            </w:r>
          </w:p>
        </w:tc>
        <w:tc>
          <w:tcPr>
            <w:tcW w:type="dxa" w:w="1440"/>
            <w:shd w:fill="FFDCE0" w:val="clear"/>
          </w:tcPr>
          <w:p>
            <w:r>
              <w:rPr>
                <w:sz w:val="17"/>
              </w:rPr>
              <w:t>2026-08-31</w:t>
            </w:r>
          </w:p>
        </w:tc>
        <w:tc>
          <w:tcPr>
            <w:tcW w:type="dxa" w:w="1440"/>
            <w:shd w:fill="FFDCE0" w:val="clear"/>
          </w:tcPr>
          <w:p>
            <w:r>
              <w:rPr>
                <w:sz w:val="17"/>
              </w:rPr>
              <w:t>2,537</w:t>
            </w:r>
          </w:p>
        </w:tc>
        <w:tc>
          <w:tcPr>
            <w:tcW w:type="dxa" w:w="1440"/>
            <w:shd w:fill="FFDCE0" w:val="clear"/>
          </w:tcPr>
          <w:p>
            <w:r>
              <w:rPr>
                <w:b/>
                <w:sz w:val="17"/>
              </w:rPr>
              <w:t>2,812</w:t>
            </w:r>
          </w:p>
        </w:tc>
        <w:tc>
          <w:tcPr>
            <w:tcW w:type="dxa" w:w="1440"/>
            <w:shd w:fill="FFDCE0" w:val="clear"/>
          </w:tcPr>
          <w:p>
            <w:r>
              <w:rPr>
                <w:sz w:val="17"/>
              </w:rPr>
              <w:t>3,088</w:t>
            </w:r>
          </w:p>
        </w:tc>
        <w:tc>
          <w:tcPr>
            <w:tcW w:type="dxa" w:w="1440"/>
            <w:shd w:fill="FFDCE0" w:val="clear"/>
          </w:tcPr>
          <w:p>
            <w:r>
              <w:rPr>
                <w:b/>
                <w:color w:val="C00000"/>
                <w:sz w:val="17"/>
              </w:rPr>
              <w:t>-3.0%</w:t>
            </w:r>
          </w:p>
        </w:tc>
      </w:tr>
      <w:tr>
        <w:tc>
          <w:tcPr>
            <w:tcW w:type="dxa" w:w="1440"/>
            <w:shd w:fill="FFDCE0" w:val="clear"/>
          </w:tcPr>
          <w:p>
            <w:r>
              <w:rPr>
                <w:sz w:val="17"/>
              </w:rPr>
              <w:t>J+10  Moyenne</w:t>
            </w:r>
          </w:p>
        </w:tc>
        <w:tc>
          <w:tcPr>
            <w:tcW w:type="dxa" w:w="1440"/>
            <w:shd w:fill="FFDCE0" w:val="clear"/>
          </w:tcPr>
          <w:p>
            <w:r>
              <w:rPr>
                <w:sz w:val="17"/>
              </w:rPr>
              <w:t>2026-09-01</w:t>
            </w:r>
          </w:p>
        </w:tc>
        <w:tc>
          <w:tcPr>
            <w:tcW w:type="dxa" w:w="1440"/>
            <w:shd w:fill="FFDCE0" w:val="clear"/>
          </w:tcPr>
          <w:p>
            <w:r>
              <w:rPr>
                <w:sz w:val="17"/>
              </w:rPr>
              <w:t>2,517</w:t>
            </w:r>
          </w:p>
        </w:tc>
        <w:tc>
          <w:tcPr>
            <w:tcW w:type="dxa" w:w="1440"/>
            <w:shd w:fill="FFDCE0" w:val="clear"/>
          </w:tcPr>
          <w:p>
            <w:r>
              <w:rPr>
                <w:b/>
                <w:sz w:val="17"/>
              </w:rPr>
              <w:t>2,807</w:t>
            </w:r>
          </w:p>
        </w:tc>
        <w:tc>
          <w:tcPr>
            <w:tcW w:type="dxa" w:w="1440"/>
            <w:shd w:fill="FFDCE0" w:val="clear"/>
          </w:tcPr>
          <w:p>
            <w:r>
              <w:rPr>
                <w:sz w:val="17"/>
              </w:rPr>
              <w:t>3,097</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d'ONTBF s'établit à 197,20 milliards FCFA, ce qui en fait une valeur de première importance sur la BRVM, représentative du secteur des télécommunications. Avec un BPA de 234 FCFA, le titre se négocie à un PER de 12,4x, légèrement au-dessus de la moyenne historique de la BRVM (8-12x), ce qui suggère que le marché intègre une prime de croissance ou de stabilité pour cet opérateur historique. Le P/B de 3,43x confirme cette perception, le marché valorisant l'actif net à plus de trois fois sa valeur comptable, signe de la confiance dans la marque et les actifs immatériels. Enfin, un EV/EBITDA de 5,2x est particulièrement raisonnable, indiquant que la valeur totale de l'entreprise (capitalisation + dette) reste modérée par rapport à sa capacité à générer du cash opérationnel, ce qui est un signal positif pour un investisseur de long terme.</w:t>
      </w:r>
    </w:p>
    <w:p>
      <w:pPr>
        <w:spacing w:after="120" w:line="276" w:lineRule="auto"/>
      </w:pPr>
      <w:r>
        <w:t>### **PARTIE 1 : ANALYSE DU COURS — STATISTIQUES ET ÉVOLUTION (100 derniers jours)**</w:t>
      </w:r>
    </w:p>
    <w:p>
      <w:pPr>
        <w:spacing w:after="120" w:line="276" w:lineRule="auto"/>
      </w:pPr>
      <w:r>
        <w:t>Sur les 100 derniers jours, le cours d'ONTBF a connu une légère dépréciation de -3,33%, mais affiche une dynamique récente positive avec une hausse de +3,57% lors de la dernière séance, clôturant à 2 900 FCFA. Le titre a évolué dans un range de trading de 460 FCFA, entre un plus bas de 2 610 FCFA et un plus haut de 3 070 FCFA, montrant une amplitude de fluctuation non négligeable. La moyenne (2 826 FCFA) et la médiane (2 802 FCFA) sont très proches, et le skewness de 0.273 indique une distribution quasi symétrique des rendements. L'écart-type de 92 FCFA (CV=3.2%) révèle une dispersion relativement faible autour de la moyenne, et le kurtosis de -0.418 (mésokurtique) suggère l'absence de risques de variations extrêmes (pas de "grosses queues" de distribution). La volatilité annualisée de 31,0% classe le titre dans la catégorie "élevée" (&gt;30%), ce qui implique des fluctuations de prix significatives sur un an, un élément à considérer pour un profil d'investisseur prudent.</w:t>
      </w:r>
    </w:p>
    <w:p>
      <w:pPr>
        <w:spacing w:after="120" w:line="276" w:lineRule="auto"/>
      </w:pPr>
      <w:r>
        <w:t>### **PARTIE 2 : ANALYSE TECHNIQUE DÉTAILLÉE**</w:t>
      </w:r>
    </w:p>
    <w:p>
      <w:pPr>
        <w:spacing w:after="120" w:line="276" w:lineRule="auto"/>
      </w:pPr>
      <w:r>
        <w:t>**Moyennes Mobiles**: Le cours actuel (2 900 FCFA) se positionne au-dessus de ses moyennes mobiles à 20 jours (2 852,25 FCFA) et à 50 jours (2 822,0 FCFA). Cette configuration, où le prix est soutenu par les deux MM, est un signal classique de tendance haussière à court et moyen terme. La décision "Achat" est donc cohérente avec la structure du marché.</w:t>
      </w:r>
    </w:p>
    <w:p>
      <w:pPr>
        <w:spacing w:after="120" w:line="276" w:lineRule="auto"/>
      </w:pPr>
      <w:r>
        <w:t>**Bandes de Bollinger**: Le prix se situe à 2 900 FCFA, entre la borne inférieure (2 668,13 FCFA) et la borne supérieure (3 036,37 FCFA), mais plus près du milieu de la bande. Cela indique une volatilité modérée et une absence de pression directionnelle forte. La décision "Neutre" est justifiée, le titre n'étant ni suracheté ni survendu selon cet indicateur.</w:t>
      </w:r>
    </w:p>
    <w:p>
      <w:pPr>
        <w:spacing w:after="120" w:line="276" w:lineRule="auto"/>
      </w:pPr>
      <w:r>
        <w:t>**MACD**: La valeur du MACD (21,91) est inférieure à son signal (27,55), ce qui forme une configuration baissière. Cela suggère un ralentissement du momentum haussier récent. La décision "Vente" est un signal d'alerte technique, indiquant que la dynamique positive pourrait s'essouffler à très court terme, même si le prix reste au-dessus des MM.</w:t>
      </w:r>
    </w:p>
    <w:p>
      <w:pPr>
        <w:spacing w:after="120" w:line="276" w:lineRule="auto"/>
      </w:pPr>
      <w:r>
        <w:t>**RSI**: Avec une valeur de 58,09, le RSI se situe dans la zone neutre (30-70), sans être en surachat ni en survente. Cela indique que le marché est équilibré, sans pression d'achat ou de vente excessive. La décision "Neutre" est donc cohérente, laissant la place à une évolution dans les deux sens.</w:t>
      </w:r>
    </w:p>
    <w:p>
      <w:pPr>
        <w:spacing w:after="120" w:line="276" w:lineRule="auto"/>
      </w:pPr>
      <w:r>
        <w:t>**Stochastique**: Le %K (52,5) est nettement supérieur au %D (20,75), ce qui signale un croisement haussier récent. Cela suggère que la pression acheteuse reprend le dessus après une phase de consolidation. La décision "Neutre" semble prudente, mais la configuration du croisement est un signe positif pour les prochaines séances.</w:t>
      </w:r>
    </w:p>
    <w:p>
      <w:pPr>
        <w:spacing w:after="120" w:line="276" w:lineRule="auto"/>
      </w:pPr>
      <w:r>
        <w:t>**Conclusion technique**: Les signaux sont mitigés. La tendance de fond (MM20/MM50) est haussière, et le Stochastique montre un regain d'intérêt acheteur. Cependant, le MACD en configuration de vente et le RSI neutre tempèrent cet optimisme. Le titre semble dans une phase de consolidation haussière, avec un potentiel de hausse si le MACD se retourne à la hausse. La prudence reste de mise à très court terme.</w:t>
      </w:r>
    </w:p>
    <w:p>
      <w:pPr>
        <w:spacing w:after="120" w:line="276" w:lineRule="auto"/>
      </w:pPr>
      <w:r>
        <w:t>### **PARTIE 3 : ANALYSE FONDAMENTALE (SECTION CRITIQUE)**</w:t>
      </w:r>
    </w:p>
    <w:p>
      <w:pPr>
        <w:spacing w:after="120" w:line="276" w:lineRule="auto"/>
      </w:pPr>
      <w:r>
        <w:t>En 2025, selon les données structurées, ONTBF a réalisé un chiffre d'affaires (PNB) de 146,18 milliards FCFA, en hausse de 3,1% par rapport à 2024, mais son résultat net a chuté de 26% à 15,89 milliards FCFA. Cette baisse de rentabilité est confirmée par un ROE de 27,6% (excellent mais en baisse) et un ROA de 4,9%. Le coefficient d'exploitation de 67,1% est élevé, indiquant une moins bonne maîtrise des charges opérationnelles. Le coût du risque de 3,57% est un point de vigilance. Les rapports narratifs (datés de 2026) expliquent cette dégradation par une hausse des charges (énergie, maintenance en zones sécuritaires, indemnités) et une sanction réglementaire. Les rapports trimestriels 2025 montrent une tendance continue : au T1, le résultat net était en baisse de -29%, et sur 9 mois, la baisse était de -17,2%, avec une marge d'EBITDA en érosion (39,3% contre 45,2% en 2024). Cependant, le rapport du T1 2026 (publié en 2026) indique une stabilisation de la marge d'EBITDA à 41,3% et une croissance du CA de 2,7%, suggérant une possible fin de la dégradation. La solidité financière reste néanmoins assurée par une CAF de 46,95 milliards FCFA, mais l'endettement est en hausse (dettes financières de 107,6 Mds) pour financer un programme d'investissement massif de 45,2 milliards FCFA. La recommandation fondamentale est de **CONSERVER**, la société restant un leader rentable avec un fort potentiel, mais confrontée à un environnement opérationnel difficile.</w:t>
      </w:r>
    </w:p>
    <w:p>
      <w:pPr>
        <w:spacing w:after="120" w:line="276" w:lineRule="auto"/>
      </w:pPr>
      <w:r>
        <w:t>### **PARTIE 4 : CONCLUSION D'INVESTISSEMENT**</w:t>
      </w:r>
    </w:p>
    <w:p>
      <w:pPr>
        <w:spacing w:after="120" w:line="276" w:lineRule="auto"/>
      </w:pPr>
      <w:r>
        <w:t>La valorisation d'ONTBF (PER 12,4x, P/B 3,4x, EV/EBITDA 5,2x) est jugée raisonnable, sans être une opportunité majeure, mais sans surévaluation flagrante. Le comportement du cours sur 100 jours montre une stabilité relative avec une volatilité élevée, et les statistiques (kurtosis, skewness) indiquent un profil de risque "normal" sans risque de krach soudain. Les signaux techniques sont mitigés (MM haussières, MACD baissier), suggérant une consolidation. Les fondamentaux, bien qu'en baisse, restent solides avec une génération de cash importante et une position de leader. Les prédictions IA pour les 10 prochains jours (baisse progressive de 2 848 à 2 833 FCFA) contredisent légèrement le signal d'achat des MM, indiquant un possible repli technique à court terme. En synthèse, la convergence entre une valorisation correcte, des fondamentaux solides mais en déclin, et des signaux techniques mitigés plaide pour une position d'attente. La recommandation finale est **CONSERVER**, avec un niveau de confiance **Moyen** et un risque global **Élevé** (dû à la volatilité et au contexte pays). L'horizon d'investissement optimal serait le **moyen terme (3-12 mois)**, afin de laisser le temps à la stratégie de reconquête de porter ses fruits et d'observer une stabilisation des marges.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2794.66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2,308 titres</w:t>
            </w:r>
          </w:p>
        </w:tc>
        <w:tc>
          <w:tcPr>
            <w:tcW w:type="dxa" w:w="2268"/>
            <w:shd w:fill="FFF2CC" w:val="clear"/>
          </w:tcPr>
          <w:p>
            <w:r>
              <w:rPr>
                <w:b/>
                <w:color w:val="503200"/>
                <w:sz w:val="16"/>
              </w:rPr>
              <w:t xml:space="preserve">Cours actuel : </w:t>
            </w:r>
            <w:r>
              <w:rPr>
                <w:color w:val="000000"/>
                <w:sz w:val="17"/>
              </w:rPr>
              <w:t>18,550 FCFA</w:t>
            </w:r>
          </w:p>
          <w:p>
            <w:r>
              <w:rPr>
                <w:b/>
                <w:color w:val="503200"/>
                <w:sz w:val="16"/>
              </w:rPr>
              <w:t xml:space="preserve">Var. 100 jours : </w:t>
            </w:r>
            <w:r>
              <w:rPr>
                <w:b/>
                <w:color w:val="007800"/>
                <w:sz w:val="17"/>
              </w:rPr>
              <w:t>+30.63%</w:t>
            </w:r>
          </w:p>
          <w:p>
            <w:r>
              <w:rPr>
                <w:b/>
                <w:color w:val="503200"/>
                <w:sz w:val="16"/>
              </w:rPr>
              <w:t xml:space="preserve">Plus haut 100j : </w:t>
            </w:r>
            <w:r>
              <w:rPr>
                <w:color w:val="000000"/>
                <w:sz w:val="17"/>
              </w:rPr>
              <w:t>18,550 FCFA</w:t>
            </w:r>
          </w:p>
          <w:p>
            <w:r>
              <w:rPr>
                <w:b/>
                <w:color w:val="503200"/>
                <w:sz w:val="16"/>
              </w:rPr>
              <w:t xml:space="preserve">Plus bas 100j : </w:t>
            </w:r>
            <w:r>
              <w:rPr>
                <w:color w:val="000000"/>
                <w:sz w:val="17"/>
              </w:rPr>
              <w:t>14,200 FCFA</w:t>
            </w:r>
          </w:p>
          <w:p>
            <w:r>
              <w:rPr>
                <w:b/>
                <w:color w:val="503200"/>
                <w:sz w:val="16"/>
              </w:rPr>
              <w:t xml:space="preserve">Volatilité ann. : </w:t>
            </w:r>
            <w:r>
              <w:rPr>
                <w:color w:val="000000"/>
                <w:sz w:val="17"/>
              </w:rPr>
              <w:t>29.5%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μ=15,864 FCFA, σ=868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β=1.2371 (Agressif) — Cov=0.000039, Var(idx)=0.000031, ρ=0.372,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σ_j=1.86%/j (Stable) — Vol. annualisée≈29.5%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17,333</w:t>
            </w:r>
          </w:p>
        </w:tc>
        <w:tc>
          <w:tcPr>
            <w:tcW w:type="dxa" w:w="1440"/>
            <w:shd w:fill="FFDCE0" w:val="clear"/>
          </w:tcPr>
          <w:p>
            <w:r>
              <w:rPr>
                <w:b/>
                <w:sz w:val="17"/>
              </w:rPr>
              <w:t>17,870</w:t>
            </w:r>
          </w:p>
        </w:tc>
        <w:tc>
          <w:tcPr>
            <w:tcW w:type="dxa" w:w="1440"/>
            <w:shd w:fill="FFDCE0" w:val="clear"/>
          </w:tcPr>
          <w:p>
            <w:r>
              <w:rPr>
                <w:sz w:val="17"/>
              </w:rPr>
              <w:t>18,408</w:t>
            </w:r>
          </w:p>
        </w:tc>
        <w:tc>
          <w:tcPr>
            <w:tcW w:type="dxa" w:w="1440"/>
            <w:shd w:fill="FFDCE0" w:val="clear"/>
          </w:tcPr>
          <w:p>
            <w:r>
              <w:rPr>
                <w:b/>
                <w:color w:val="C00000"/>
                <w:sz w:val="17"/>
              </w:rPr>
              <w:t>-3.7%</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17,130</w:t>
            </w:r>
          </w:p>
        </w:tc>
        <w:tc>
          <w:tcPr>
            <w:tcW w:type="dxa" w:w="1440"/>
            <w:shd w:fill="FFDCE0" w:val="clear"/>
          </w:tcPr>
          <w:p>
            <w:r>
              <w:rPr>
                <w:b/>
                <w:sz w:val="17"/>
              </w:rPr>
              <w:t>17,891</w:t>
            </w:r>
          </w:p>
        </w:tc>
        <w:tc>
          <w:tcPr>
            <w:tcW w:type="dxa" w:w="1440"/>
            <w:shd w:fill="FFDCE0" w:val="clear"/>
          </w:tcPr>
          <w:p>
            <w:r>
              <w:rPr>
                <w:sz w:val="17"/>
              </w:rPr>
              <w:t>18,651</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16,920</w:t>
            </w:r>
          </w:p>
        </w:tc>
        <w:tc>
          <w:tcPr>
            <w:tcW w:type="dxa" w:w="1440"/>
            <w:shd w:fill="FFDCE0" w:val="clear"/>
          </w:tcPr>
          <w:p>
            <w:r>
              <w:rPr>
                <w:b/>
                <w:sz w:val="17"/>
              </w:rPr>
              <w:t>17,849</w:t>
            </w:r>
          </w:p>
        </w:tc>
        <w:tc>
          <w:tcPr>
            <w:tcW w:type="dxa" w:w="1440"/>
            <w:shd w:fill="FFDCE0" w:val="clear"/>
          </w:tcPr>
          <w:p>
            <w:r>
              <w:rPr>
                <w:sz w:val="17"/>
              </w:rPr>
              <w:t>18,778</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16,728</w:t>
            </w:r>
          </w:p>
        </w:tc>
        <w:tc>
          <w:tcPr>
            <w:tcW w:type="dxa" w:w="1440"/>
            <w:shd w:fill="FFDCE0" w:val="clear"/>
          </w:tcPr>
          <w:p>
            <w:r>
              <w:rPr>
                <w:b/>
                <w:sz w:val="17"/>
              </w:rPr>
              <w:t>17,798</w:t>
            </w:r>
          </w:p>
        </w:tc>
        <w:tc>
          <w:tcPr>
            <w:tcW w:type="dxa" w:w="1440"/>
            <w:shd w:fill="FFDCE0" w:val="clear"/>
          </w:tcPr>
          <w:p>
            <w:r>
              <w:rPr>
                <w:sz w:val="17"/>
              </w:rPr>
              <w:t>18,867</w:t>
            </w:r>
          </w:p>
        </w:tc>
        <w:tc>
          <w:tcPr>
            <w:tcW w:type="dxa" w:w="1440"/>
            <w:shd w:fill="FFDCE0" w:val="clear"/>
          </w:tcPr>
          <w:p>
            <w:r>
              <w:rPr>
                <w:b/>
                <w:color w:val="C00000"/>
                <w:sz w:val="17"/>
              </w:rPr>
              <w:t>-4.1%</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16,553</w:t>
            </w:r>
          </w:p>
        </w:tc>
        <w:tc>
          <w:tcPr>
            <w:tcW w:type="dxa" w:w="1440"/>
            <w:shd w:fill="FFDCE0" w:val="clear"/>
          </w:tcPr>
          <w:p>
            <w:r>
              <w:rPr>
                <w:b/>
                <w:sz w:val="17"/>
              </w:rPr>
              <w:t>17,745</w:t>
            </w:r>
          </w:p>
        </w:tc>
        <w:tc>
          <w:tcPr>
            <w:tcW w:type="dxa" w:w="1440"/>
            <w:shd w:fill="FFDCE0" w:val="clear"/>
          </w:tcPr>
          <w:p>
            <w:r>
              <w:rPr>
                <w:sz w:val="17"/>
              </w:rPr>
              <w:t>18,938</w:t>
            </w:r>
          </w:p>
        </w:tc>
        <w:tc>
          <w:tcPr>
            <w:tcW w:type="dxa" w:w="1440"/>
            <w:shd w:fill="FFDCE0" w:val="clear"/>
          </w:tcPr>
          <w:p>
            <w:r>
              <w:rPr>
                <w:b/>
                <w:color w:val="C00000"/>
                <w:sz w:val="17"/>
              </w:rPr>
              <w:t>-4.3%</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16,392</w:t>
            </w:r>
          </w:p>
        </w:tc>
        <w:tc>
          <w:tcPr>
            <w:tcW w:type="dxa" w:w="1440"/>
            <w:shd w:fill="FFDCE0" w:val="clear"/>
          </w:tcPr>
          <w:p>
            <w:r>
              <w:rPr>
                <w:b/>
                <w:sz w:val="17"/>
              </w:rPr>
              <w:t>17,694</w:t>
            </w:r>
          </w:p>
        </w:tc>
        <w:tc>
          <w:tcPr>
            <w:tcW w:type="dxa" w:w="1440"/>
            <w:shd w:fill="FFDCE0" w:val="clear"/>
          </w:tcPr>
          <w:p>
            <w:r>
              <w:rPr>
                <w:sz w:val="17"/>
              </w:rPr>
              <w:t>18,996</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16,241</w:t>
            </w:r>
          </w:p>
        </w:tc>
        <w:tc>
          <w:tcPr>
            <w:tcW w:type="dxa" w:w="1440"/>
            <w:shd w:fill="FFDCE0" w:val="clear"/>
          </w:tcPr>
          <w:p>
            <w:r>
              <w:rPr>
                <w:b/>
                <w:sz w:val="17"/>
              </w:rPr>
              <w:t>17,644</w:t>
            </w:r>
          </w:p>
        </w:tc>
        <w:tc>
          <w:tcPr>
            <w:tcW w:type="dxa" w:w="1440"/>
            <w:shd w:fill="FFDCE0" w:val="clear"/>
          </w:tcPr>
          <w:p>
            <w:r>
              <w:rPr>
                <w:sz w:val="17"/>
              </w:rPr>
              <w:t>19,047</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16,099</w:t>
            </w:r>
          </w:p>
        </w:tc>
        <w:tc>
          <w:tcPr>
            <w:tcW w:type="dxa" w:w="1440"/>
            <w:shd w:fill="FFDCE0" w:val="clear"/>
          </w:tcPr>
          <w:p>
            <w:r>
              <w:rPr>
                <w:b/>
                <w:sz w:val="17"/>
              </w:rPr>
              <w:t>17,594</w:t>
            </w:r>
          </w:p>
        </w:tc>
        <w:tc>
          <w:tcPr>
            <w:tcW w:type="dxa" w:w="1440"/>
            <w:shd w:fill="FFDCE0" w:val="clear"/>
          </w:tcPr>
          <w:p>
            <w:r>
              <w:rPr>
                <w:sz w:val="17"/>
              </w:rPr>
              <w:t>19,090</w:t>
            </w:r>
          </w:p>
        </w:tc>
        <w:tc>
          <w:tcPr>
            <w:tcW w:type="dxa" w:w="1440"/>
            <w:shd w:fill="FFDCE0" w:val="clear"/>
          </w:tcPr>
          <w:p>
            <w:r>
              <w:rPr>
                <w:b/>
                <w:color w:val="C00000"/>
                <w:sz w:val="17"/>
              </w:rPr>
              <w:t>-5.2%</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15,964</w:t>
            </w:r>
          </w:p>
        </w:tc>
        <w:tc>
          <w:tcPr>
            <w:tcW w:type="dxa" w:w="1440"/>
            <w:shd w:fill="FFDCE0" w:val="clear"/>
          </w:tcPr>
          <w:p>
            <w:r>
              <w:rPr>
                <w:b/>
                <w:sz w:val="17"/>
              </w:rPr>
              <w:t>17,546</w:t>
            </w:r>
          </w:p>
        </w:tc>
        <w:tc>
          <w:tcPr>
            <w:tcW w:type="dxa" w:w="1440"/>
            <w:shd w:fill="FFDCE0" w:val="clear"/>
          </w:tcPr>
          <w:p>
            <w:r>
              <w:rPr>
                <w:sz w:val="17"/>
              </w:rPr>
              <w:t>19,128</w:t>
            </w:r>
          </w:p>
        </w:tc>
        <w:tc>
          <w:tcPr>
            <w:tcW w:type="dxa" w:w="1440"/>
            <w:shd w:fill="FFDCE0" w:val="clear"/>
          </w:tcPr>
          <w:p>
            <w:r>
              <w:rPr>
                <w:b/>
                <w:color w:val="C00000"/>
                <w:sz w:val="17"/>
              </w:rPr>
              <w:t>-5.4%</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15,836</w:t>
            </w:r>
          </w:p>
        </w:tc>
        <w:tc>
          <w:tcPr>
            <w:tcW w:type="dxa" w:w="1440"/>
            <w:shd w:fill="FFDCE0" w:val="clear"/>
          </w:tcPr>
          <w:p>
            <w:r>
              <w:rPr>
                <w:b/>
                <w:sz w:val="17"/>
              </w:rPr>
              <w:t>17,499</w:t>
            </w:r>
          </w:p>
        </w:tc>
        <w:tc>
          <w:tcPr>
            <w:tcW w:type="dxa" w:w="1440"/>
            <w:shd w:fill="FFDCE0" w:val="clear"/>
          </w:tcPr>
          <w:p>
            <w:r>
              <w:rPr>
                <w:sz w:val="17"/>
              </w:rPr>
              <w:t>19,162</w:t>
            </w:r>
          </w:p>
        </w:tc>
        <w:tc>
          <w:tcPr>
            <w:tcW w:type="dxa" w:w="1440"/>
            <w:shd w:fill="FFDCE0" w:val="clear"/>
          </w:tcPr>
          <w:p>
            <w:r>
              <w:rPr>
                <w:b/>
                <w:color w:val="C00000"/>
                <w:sz w:val="17"/>
              </w:rPr>
              <w:t>-5.7%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2 794,66 milliards FCFA, ce qui en fait l'une des plus importantes de la BRVM, représentant une part significative de la capitalisation totale du marché. Avec un BPA de 1 114 FCFA, chaque action génère un bénéfice substantiel, justifiant un PER de 16,7x, nettement supérieur à la moyenne historique de la BRVM (8-12x). Ce niveau indique que les investisseurs paient une prime pour la qualité et la croissance de l'entreprise, ce qui reflète une confiance élevée dans ses perspectives. Le P/B de 3,95x confirme cette prime, le marché valorisant le titre bien au-dessus de sa valeur comptable, signe d'une anticipation de croissance future. Enfin, l'EV/EBITDA de 6,7x, dans la fourchette raisonnable de 5-10x, suggère que la valorisation globale de l'entreprise reste cohérente avec sa capacité opérationnelle à générer des flux, malgré la prime apparente sur le PER.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remarquable de +30,63%, avec une dernière séance en hausse de +3,06% à 18 550 FCFA, un niveau qui constitue également le plus haut de la période. Le plus bas s'établit à 14 200 FCFA, illustrant un range de trading de 4 350 FCFA et une tendance globalement haussière soutenue. La moyenne du cours sur la période est de 15 864 FCFA, très proche de la médiane (15 875 FCFA), ce qui indique une distribution relativement symétrique des prix, confirmée par un skewness de 0,463. L'écart-type de 873 FCFA, avec un coefficient de variation de 5,5%, révèle une dispersion modérée autour de la moyenne, tandis que le kurtosis de -0,195 (mésokurtique) suggère l'absence de pics extrêmes ou de queues épaisses, donc un risque de mouvements brusques limité. La volatilité annualisée de 29,5% classe le titre dans une zone de volatilité modérée à élevée, ce qui implique des fluctuations notables mais maîtrisées, cohérentes avec une tendance haussière soutenue par des fondamentaux solides.</w:t>
      </w:r>
    </w:p>
    <w:p>
      <w:pPr>
        <w:spacing w:after="120" w:line="276" w:lineRule="auto" w:before="240"/>
      </w:pPr>
      <w:r>
        <w:rPr>
          <w:b/>
          <w:color w:val="003366"/>
          <w:sz w:val="24"/>
        </w:rPr>
        <w:t>**PARTIE 2 : ANALYSE TECHNIQUE DÉTAILLÉE**</w:t>
      </w:r>
    </w:p>
    <w:p>
      <w:pPr>
        <w:spacing w:after="120" w:line="276" w:lineRule="auto"/>
      </w:pPr>
      <w:r>
        <w:t>**Moyennes Mobiles** : Le cours actuel de 18 550 FCFA se situe nettement au-dessus de la MM20 (16 967 FCFA) et de la MM50 (16 533,2 FCFA), avec un écart de plus de 9% par rapport à la MM20. Cette configuration haussière, où le prix évolue au-dessus des deux moyennes, confirme une dynamique positive à court et moyen terme. La décision d'achat est justifiée par cette tendance clairement ascendante.</w:t>
      </w:r>
    </w:p>
    <w:p>
      <w:pPr>
        <w:spacing w:after="120" w:line="276" w:lineRule="auto"/>
      </w:pPr>
      <w:r>
        <w:t>**Bandes de Bollinger** : Le cours a franchi la borne supérieure des bandes de Bollinger (18 269,55 FCFA), ce qui indique une condition de surachat temporaire et une volatilité accrue. Cette sortie de borne suggère que le titre est momentanément étendu, mais dans une tendance forte, cela peut signaler une poursuite du mouvement. La décision de vente est prudente, car elle anticipe un possible repli technique vers la moyenne mobile.</w:t>
      </w:r>
    </w:p>
    <w:p>
      <w:pPr>
        <w:spacing w:after="120" w:line="276" w:lineRule="auto"/>
      </w:pPr>
      <w:r>
        <w:t>**MACD** : Le MACD (438,522) est nettement supérieur à son signal (289,242), avec un écart positif croissant, ce qui reflète un momentum haussier robuste. Cette configuration, avec une divergence positive, indique que la pression acheteuse reste dominante. La décision d'achat est cohérente avec la vigueur du mouvement actuel.</w:t>
      </w:r>
    </w:p>
    <w:p>
      <w:pPr>
        <w:spacing w:after="120" w:line="276" w:lineRule="auto"/>
      </w:pPr>
      <w:r>
        <w:t>**RSI** : Le RSI à 91,954 est extrêmement élevé, bien au-delà du seuil de surachat de 70. Cette valeur indique que le titre est fortement suracheté, ce qui historique précède souvent une consolidation ou un repli technique. La décision de vente est justifiée par ce niveau extrême, qui suggère un épuisement potentiel des acheteurs à court terme.</w:t>
      </w:r>
    </w:p>
    <w:p>
      <w:pPr>
        <w:spacing w:after="120" w:line="276" w:lineRule="auto"/>
      </w:pPr>
      <w:r>
        <w:t>**Stochastique** : Le %K et le %D sont tous deux à 100, un niveau maximal de surachat. Cette configuration extrême indique que le titre est en territoire de surachat sévère, avec un risque élevé de retournement. La décision de vente est cohérente avec ces lectures, bien que dans une tendance forte, les indicateurs peuvent rester à ces niveaux pendant un certain temps.</w:t>
      </w:r>
    </w:p>
    <w:p>
      <w:pPr>
        <w:spacing w:after="120" w:line="276" w:lineRule="auto"/>
      </w:pPr>
      <w:r>
        <w:t>**Conclusion technique** : La convergence des indicateurs de surachat (RSI, Stochastique, Bandes de Bollinger) suggère un risque élevé de correction à court terme, malgré une tendance haussière intacte confirmée par les moyennes mobiles et le MACD. Le titre est en phase d'extension excessive, ce qui appelle à la prudence pour les nouveaux achats à ces niveaux, mais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ORAC a réalisé un chiffre d'affaires consolidé de 1 197,1 milliards FCFA, en hausse de +10,4% par rapport à 2024, porté par la dynamique commerciale en Côte d'Ivoire, au Burkina Faso et au Libéria. Le résultat net consolidé s'établit à 167,8 milliards FCFA (+6,1%), avec un résultat net part du groupe de 129,1 milliards FCFA (+14,5%). La rentabilité demeure solide avec un ROE de 23,7% et un ROA de 6,6%, témoignant d'une excellente gestion des fonds propres. La marge opérationnelle de 24,0% et la marge nette de 14,0% confirment l'efficacité opérationnelle, malgré une pression fiscale accrue (+20,8% des impôts et taxes). Le BFR négatif de -198 milliards FCFA est un signal très favorable, indiquant que l'entreprise finance son cycle d'exploitation par ses fournisseurs, avec un délai fournisseurs de 210 jours contre 52 jours pour les clients. La capacité de remboursement de 0,99 an et la couverture des intérêts de 1 018% démontrent une solidité financière remarquable. Sur la base du rapport T1 2026 (CA +14,8% à 325,6 milliards FCFA et résultat net +25,2% à 48,3 milliards FCFA), on estime que l'exercice 2026 pourrait dépasser les performances de 2025, avec un CA potentiel de 1 350 milliards FCFA et un résultat net de 190 milliards FCFA. Le dividende proposé de 800 FCFA brut par action offre un rendement attractif, renforçant l'attractivité du titre. Les risques incluent la pression concurrentielle et réglementaire, mais la solidité des fondamentaux et les perspectives de croissance soutiennent une recommandation d'achat.</w:t>
      </w:r>
    </w:p>
    <w:p>
      <w:pPr>
        <w:spacing w:after="120" w:line="276" w:lineRule="auto" w:before="240"/>
      </w:pPr>
      <w:r>
        <w:rPr>
          <w:b/>
          <w:color w:val="003366"/>
          <w:sz w:val="24"/>
        </w:rPr>
        <w:t>**PARTIE 4 : CONCLUSION D'INVESTISSEMENT**</w:t>
      </w:r>
    </w:p>
    <w:p>
      <w:pPr>
        <w:spacing w:after="120" w:line="276" w:lineRule="auto"/>
      </w:pPr>
      <w:r>
        <w:t>La valorisation d'ORAC, avec un PER de 16,7x et un P/B de 3,95x, indique une prime de croissance justifiée par la qualité des fondamentaux, bien que le titre ne soit pas sous-évalué. Le comportement du cours sur 100 jours (+30,63%) montre une tendance haussière robuste, mais les statistiques descriptives (volatilité de 29,5%, kurtosis mésokurtique) suggèrent une stabilité relative sans signaux de retournement majeur. Les signaux techniques sont contrastés : les moyennes mobiles et le MACD confirment la tendance haussière, tandis que le RSI, le Stochastique et les Bandes de Bollinger signalent un surachat extrême, préfigurant une consolidation à court terme. Les fondamentaux sont excellents, avec une croissance soutenue du CA et du résultat net, une rentabilité élevée (ROE 23,7%) et une structure financière saine. Les prédictions IA pour les 10 prochains jours (17 870 à 17 745 FCFA) indiquent un léger repli, cohérent avec les signaux de surachat technique. En synthèse, la convergence entre la solidité fondamentale et la tendance haussière de fond est contrebalancée par des signaux techniques de surachat. **Recommandation : CONSERVER**, avec un niveau de confiance Moyen et un risque global Moyen. L'horizon d'investissement optimal est le moyen terme (3-12 mois), en attendant une correction technique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212.41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6,159 titres</w:t>
            </w:r>
          </w:p>
        </w:tc>
        <w:tc>
          <w:tcPr>
            <w:tcW w:type="dxa" w:w="2268"/>
            <w:shd w:fill="FFF2CC" w:val="clear"/>
          </w:tcPr>
          <w:p>
            <w:r>
              <w:rPr>
                <w:b/>
                <w:color w:val="503200"/>
                <w:sz w:val="16"/>
              </w:rPr>
              <w:t xml:space="preserve">Cours actuel : </w:t>
            </w:r>
            <w:r>
              <w:rPr>
                <w:color w:val="000000"/>
                <w:sz w:val="17"/>
              </w:rPr>
              <w:t>3,060 FCFA</w:t>
            </w:r>
          </w:p>
          <w:p>
            <w:r>
              <w:rPr>
                <w:b/>
                <w:color w:val="503200"/>
                <w:sz w:val="16"/>
              </w:rPr>
              <w:t xml:space="preserve">Var. 100 jours : </w:t>
            </w:r>
            <w:r>
              <w:rPr>
                <w:b/>
                <w:color w:val="B40000"/>
                <w:sz w:val="17"/>
              </w:rPr>
              <w:t>-15.35%</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12.55% (Moyenne) — μ=2,983 FCFA, σ=375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β=0.4074 (Défensif) — Cov=0.000013, Var(idx)=0.000031, ρ=0.083,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2,975</w:t>
            </w:r>
          </w:p>
        </w:tc>
        <w:tc>
          <w:tcPr>
            <w:tcW w:type="dxa" w:w="1440"/>
            <w:shd w:fill="FAFAFA" w:val="clear"/>
          </w:tcPr>
          <w:p>
            <w:r>
              <w:rPr>
                <w:b/>
                <w:sz w:val="17"/>
              </w:rPr>
              <w:t>3,062</w:t>
            </w:r>
          </w:p>
        </w:tc>
        <w:tc>
          <w:tcPr>
            <w:tcW w:type="dxa" w:w="1440"/>
            <w:shd w:fill="FAFAFA" w:val="clear"/>
          </w:tcPr>
          <w:p>
            <w:r>
              <w:rPr>
                <w:sz w:val="17"/>
              </w:rPr>
              <w:t>3,150</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2,937</w:t>
            </w:r>
          </w:p>
        </w:tc>
        <w:tc>
          <w:tcPr>
            <w:tcW w:type="dxa" w:w="1440"/>
            <w:shd w:fill="FAFAFA" w:val="clear"/>
          </w:tcPr>
          <w:p>
            <w:r>
              <w:rPr>
                <w:b/>
                <w:sz w:val="17"/>
              </w:rPr>
              <w:t>3,060</w:t>
            </w:r>
          </w:p>
        </w:tc>
        <w:tc>
          <w:tcPr>
            <w:tcW w:type="dxa" w:w="1440"/>
            <w:shd w:fill="FAFAFA" w:val="clear"/>
          </w:tcPr>
          <w:p>
            <w:r>
              <w:rPr>
                <w:sz w:val="17"/>
              </w:rPr>
              <w:t>3,184</w:t>
            </w:r>
          </w:p>
        </w:tc>
        <w:tc>
          <w:tcPr>
            <w:tcW w:type="dxa" w:w="1440"/>
            <w:shd w:fill="FAFAFA" w:val="clear"/>
          </w:tcPr>
          <w:p>
            <w:r>
              <w:rPr>
                <w:b/>
                <w:color w:val="008000"/>
                <w:sz w:val="17"/>
              </w:rPr>
              <w:t>+0.0%</w:t>
            </w:r>
          </w:p>
        </w:tc>
      </w:tr>
      <w:tr>
        <w:tc>
          <w:tcPr>
            <w:tcW w:type="dxa" w:w="1440"/>
            <w:shd w:fill="FAFAFA" w:val="clear"/>
          </w:tcPr>
          <w:p>
            <w:r>
              <w:rPr>
                <w:sz w:val="17"/>
              </w:rPr>
              <w:t>J+3  ⭐⭐⭐</w:t>
            </w:r>
          </w:p>
        </w:tc>
        <w:tc>
          <w:tcPr>
            <w:tcW w:type="dxa" w:w="1440"/>
            <w:shd w:fill="FAFAFA" w:val="clear"/>
          </w:tcPr>
          <w:p>
            <w:r>
              <w:rPr>
                <w:sz w:val="17"/>
              </w:rPr>
              <w:t>2026-08-20</w:t>
            </w:r>
          </w:p>
        </w:tc>
        <w:tc>
          <w:tcPr>
            <w:tcW w:type="dxa" w:w="1440"/>
            <w:shd w:fill="FAFAFA" w:val="clear"/>
          </w:tcPr>
          <w:p>
            <w:r>
              <w:rPr>
                <w:sz w:val="17"/>
              </w:rPr>
              <w:t>2,907</w:t>
            </w:r>
          </w:p>
        </w:tc>
        <w:tc>
          <w:tcPr>
            <w:tcW w:type="dxa" w:w="1440"/>
            <w:shd w:fill="FAFAFA" w:val="clear"/>
          </w:tcPr>
          <w:p>
            <w:r>
              <w:rPr>
                <w:b/>
                <w:sz w:val="17"/>
              </w:rPr>
              <w:t>3,058</w:t>
            </w:r>
          </w:p>
        </w:tc>
        <w:tc>
          <w:tcPr>
            <w:tcW w:type="dxa" w:w="1440"/>
            <w:shd w:fill="FAFAFA" w:val="clear"/>
          </w:tcPr>
          <w:p>
            <w:r>
              <w:rPr>
                <w:sz w:val="17"/>
              </w:rPr>
              <w:t>3,209</w:t>
            </w:r>
          </w:p>
        </w:tc>
        <w:tc>
          <w:tcPr>
            <w:tcW w:type="dxa" w:w="1440"/>
            <w:shd w:fill="FAFAFA" w:val="clear"/>
          </w:tcPr>
          <w:p>
            <w:r>
              <w:rPr>
                <w:b/>
                <w:color w:val="C00000"/>
                <w:sz w:val="17"/>
              </w:rPr>
              <w:t>-0.1%</w:t>
            </w:r>
          </w:p>
        </w:tc>
      </w:tr>
      <w:tr>
        <w:tc>
          <w:tcPr>
            <w:tcW w:type="dxa" w:w="1440"/>
            <w:shd w:fill="FAFAFA" w:val="clear"/>
          </w:tcPr>
          <w:p>
            <w:r>
              <w:rPr>
                <w:sz w:val="17"/>
              </w:rPr>
              <w:t>J+4  Moyenne</w:t>
            </w:r>
          </w:p>
        </w:tc>
        <w:tc>
          <w:tcPr>
            <w:tcW w:type="dxa" w:w="1440"/>
            <w:shd w:fill="FAFAFA" w:val="clear"/>
          </w:tcPr>
          <w:p>
            <w:r>
              <w:rPr>
                <w:sz w:val="17"/>
              </w:rPr>
              <w:t>2026-08-21</w:t>
            </w:r>
          </w:p>
        </w:tc>
        <w:tc>
          <w:tcPr>
            <w:tcW w:type="dxa" w:w="1440"/>
            <w:shd w:fill="FAFAFA" w:val="clear"/>
          </w:tcPr>
          <w:p>
            <w:r>
              <w:rPr>
                <w:sz w:val="17"/>
              </w:rPr>
              <w:t>2,882</w:t>
            </w:r>
          </w:p>
        </w:tc>
        <w:tc>
          <w:tcPr>
            <w:tcW w:type="dxa" w:w="1440"/>
            <w:shd w:fill="FAFAFA" w:val="clear"/>
          </w:tcPr>
          <w:p>
            <w:r>
              <w:rPr>
                <w:b/>
                <w:sz w:val="17"/>
              </w:rPr>
              <w:t>3,056</w:t>
            </w:r>
          </w:p>
        </w:tc>
        <w:tc>
          <w:tcPr>
            <w:tcW w:type="dxa" w:w="1440"/>
            <w:shd w:fill="FAFAFA" w:val="clear"/>
          </w:tcPr>
          <w:p>
            <w:r>
              <w:rPr>
                <w:sz w:val="17"/>
              </w:rPr>
              <w:t>3,230</w:t>
            </w:r>
          </w:p>
        </w:tc>
        <w:tc>
          <w:tcPr>
            <w:tcW w:type="dxa" w:w="1440"/>
            <w:shd w:fill="FAFAFA" w:val="clear"/>
          </w:tcPr>
          <w:p>
            <w:r>
              <w:rPr>
                <w:b/>
                <w:color w:val="C00000"/>
                <w:sz w:val="17"/>
              </w:rPr>
              <w:t>-0.1%</w:t>
            </w:r>
          </w:p>
        </w:tc>
      </w:tr>
      <w:tr>
        <w:tc>
          <w:tcPr>
            <w:tcW w:type="dxa" w:w="1440"/>
            <w:shd w:fill="FAFAFA" w:val="clear"/>
          </w:tcPr>
          <w:p>
            <w:r>
              <w:rPr>
                <w:sz w:val="17"/>
              </w:rPr>
              <w:t>J+5  Moyenne</w:t>
            </w:r>
          </w:p>
        </w:tc>
        <w:tc>
          <w:tcPr>
            <w:tcW w:type="dxa" w:w="1440"/>
            <w:shd w:fill="FAFAFA" w:val="clear"/>
          </w:tcPr>
          <w:p>
            <w:r>
              <w:rPr>
                <w:sz w:val="17"/>
              </w:rPr>
              <w:t>2026-08-24</w:t>
            </w:r>
          </w:p>
        </w:tc>
        <w:tc>
          <w:tcPr>
            <w:tcW w:type="dxa" w:w="1440"/>
            <w:shd w:fill="FAFAFA" w:val="clear"/>
          </w:tcPr>
          <w:p>
            <w:r>
              <w:rPr>
                <w:sz w:val="17"/>
              </w:rPr>
              <w:t>2,859</w:t>
            </w:r>
          </w:p>
        </w:tc>
        <w:tc>
          <w:tcPr>
            <w:tcW w:type="dxa" w:w="1440"/>
            <w:shd w:fill="FAFAFA" w:val="clear"/>
          </w:tcPr>
          <w:p>
            <w:r>
              <w:rPr>
                <w:b/>
                <w:sz w:val="17"/>
              </w:rPr>
              <w:t>3,054</w:t>
            </w:r>
          </w:p>
        </w:tc>
        <w:tc>
          <w:tcPr>
            <w:tcW w:type="dxa" w:w="1440"/>
            <w:shd w:fill="FAFAFA" w:val="clear"/>
          </w:tcPr>
          <w:p>
            <w:r>
              <w:rPr>
                <w:sz w:val="17"/>
              </w:rPr>
              <w:t>3,249</w:t>
            </w:r>
          </w:p>
        </w:tc>
        <w:tc>
          <w:tcPr>
            <w:tcW w:type="dxa" w:w="1440"/>
            <w:shd w:fill="FAFAFA" w:val="clear"/>
          </w:tcPr>
          <w:p>
            <w:r>
              <w:rPr>
                <w:b/>
                <w:color w:val="C00000"/>
                <w:sz w:val="17"/>
              </w:rPr>
              <w:t>-0.2%</w:t>
            </w:r>
          </w:p>
        </w:tc>
      </w:tr>
      <w:tr>
        <w:tc>
          <w:tcPr>
            <w:tcW w:type="dxa" w:w="1440"/>
            <w:shd w:fill="FAFAFA" w:val="clear"/>
          </w:tcPr>
          <w:p>
            <w:r>
              <w:rPr>
                <w:sz w:val="17"/>
              </w:rPr>
              <w:t>J+6  Moyenne</w:t>
            </w:r>
          </w:p>
        </w:tc>
        <w:tc>
          <w:tcPr>
            <w:tcW w:type="dxa" w:w="1440"/>
            <w:shd w:fill="FAFAFA" w:val="clear"/>
          </w:tcPr>
          <w:p>
            <w:r>
              <w:rPr>
                <w:sz w:val="17"/>
              </w:rPr>
              <w:t>2026-08-25</w:t>
            </w:r>
          </w:p>
        </w:tc>
        <w:tc>
          <w:tcPr>
            <w:tcW w:type="dxa" w:w="1440"/>
            <w:shd w:fill="FAFAFA" w:val="clear"/>
          </w:tcPr>
          <w:p>
            <w:r>
              <w:rPr>
                <w:sz w:val="17"/>
              </w:rPr>
              <w:t>2,838</w:t>
            </w:r>
          </w:p>
        </w:tc>
        <w:tc>
          <w:tcPr>
            <w:tcW w:type="dxa" w:w="1440"/>
            <w:shd w:fill="FAFAFA" w:val="clear"/>
          </w:tcPr>
          <w:p>
            <w:r>
              <w:rPr>
                <w:b/>
                <w:sz w:val="17"/>
              </w:rPr>
              <w:t>3,051</w:t>
            </w:r>
          </w:p>
        </w:tc>
        <w:tc>
          <w:tcPr>
            <w:tcW w:type="dxa" w:w="1440"/>
            <w:shd w:fill="FAFAFA" w:val="clear"/>
          </w:tcPr>
          <w:p>
            <w:r>
              <w:rPr>
                <w:sz w:val="17"/>
              </w:rPr>
              <w:t>3,265</w:t>
            </w:r>
          </w:p>
        </w:tc>
        <w:tc>
          <w:tcPr>
            <w:tcW w:type="dxa" w:w="1440"/>
            <w:shd w:fill="FAFAFA" w:val="clear"/>
          </w:tcPr>
          <w:p>
            <w:r>
              <w:rPr>
                <w:b/>
                <w:color w:val="C00000"/>
                <w:sz w:val="17"/>
              </w:rPr>
              <w:t>-0.3%</w:t>
            </w:r>
          </w:p>
        </w:tc>
      </w:tr>
      <w:tr>
        <w:tc>
          <w:tcPr>
            <w:tcW w:type="dxa" w:w="1440"/>
            <w:shd w:fill="FAFAFA" w:val="clear"/>
          </w:tcPr>
          <w:p>
            <w:r>
              <w:rPr>
                <w:sz w:val="17"/>
              </w:rPr>
              <w:t>J+7  Moyenne</w:t>
            </w:r>
          </w:p>
        </w:tc>
        <w:tc>
          <w:tcPr>
            <w:tcW w:type="dxa" w:w="1440"/>
            <w:shd w:fill="FAFAFA" w:val="clear"/>
          </w:tcPr>
          <w:p>
            <w:r>
              <w:rPr>
                <w:sz w:val="17"/>
              </w:rPr>
              <w:t>2026-08-27</w:t>
            </w:r>
          </w:p>
        </w:tc>
        <w:tc>
          <w:tcPr>
            <w:tcW w:type="dxa" w:w="1440"/>
            <w:shd w:fill="FAFAFA" w:val="clear"/>
          </w:tcPr>
          <w:p>
            <w:r>
              <w:rPr>
                <w:sz w:val="17"/>
              </w:rPr>
              <w:t>2,819</w:t>
            </w:r>
          </w:p>
        </w:tc>
        <w:tc>
          <w:tcPr>
            <w:tcW w:type="dxa" w:w="1440"/>
            <w:shd w:fill="FAFAFA" w:val="clear"/>
          </w:tcPr>
          <w:p>
            <w:r>
              <w:rPr>
                <w:b/>
                <w:sz w:val="17"/>
              </w:rPr>
              <w:t>3,049</w:t>
            </w:r>
          </w:p>
        </w:tc>
        <w:tc>
          <w:tcPr>
            <w:tcW w:type="dxa" w:w="1440"/>
            <w:shd w:fill="FAFAFA" w:val="clear"/>
          </w:tcPr>
          <w:p>
            <w:r>
              <w:rPr>
                <w:sz w:val="17"/>
              </w:rPr>
              <w:t>3,279</w:t>
            </w:r>
          </w:p>
        </w:tc>
        <w:tc>
          <w:tcPr>
            <w:tcW w:type="dxa" w:w="1440"/>
            <w:shd w:fill="FAFAFA" w:val="clear"/>
          </w:tcPr>
          <w:p>
            <w:r>
              <w:rPr>
                <w:b/>
                <w:color w:val="C00000"/>
                <w:sz w:val="17"/>
              </w:rPr>
              <w:t>-0.4%</w:t>
            </w:r>
          </w:p>
        </w:tc>
      </w:tr>
      <w:tr>
        <w:tc>
          <w:tcPr>
            <w:tcW w:type="dxa" w:w="1440"/>
            <w:shd w:fill="FAFAFA" w:val="clear"/>
          </w:tcPr>
          <w:p>
            <w:r>
              <w:rPr>
                <w:sz w:val="17"/>
              </w:rPr>
              <w:t>J+8  Moyenne</w:t>
            </w:r>
          </w:p>
        </w:tc>
        <w:tc>
          <w:tcPr>
            <w:tcW w:type="dxa" w:w="1440"/>
            <w:shd w:fill="FAFAFA" w:val="clear"/>
          </w:tcPr>
          <w:p>
            <w:r>
              <w:rPr>
                <w:sz w:val="17"/>
              </w:rPr>
              <w:t>2026-08-28</w:t>
            </w:r>
          </w:p>
        </w:tc>
        <w:tc>
          <w:tcPr>
            <w:tcW w:type="dxa" w:w="1440"/>
            <w:shd w:fill="FAFAFA" w:val="clear"/>
          </w:tcPr>
          <w:p>
            <w:r>
              <w:rPr>
                <w:sz w:val="17"/>
              </w:rPr>
              <w:t>2,801</w:t>
            </w:r>
          </w:p>
        </w:tc>
        <w:tc>
          <w:tcPr>
            <w:tcW w:type="dxa" w:w="1440"/>
            <w:shd w:fill="FAFAFA" w:val="clear"/>
          </w:tcPr>
          <w:p>
            <w:r>
              <w:rPr>
                <w:b/>
                <w:sz w:val="17"/>
              </w:rPr>
              <w:t>3,047</w:t>
            </w:r>
          </w:p>
        </w:tc>
        <w:tc>
          <w:tcPr>
            <w:tcW w:type="dxa" w:w="1440"/>
            <w:shd w:fill="FAFAFA" w:val="clear"/>
          </w:tcPr>
          <w:p>
            <w:r>
              <w:rPr>
                <w:sz w:val="17"/>
              </w:rPr>
              <w:t>3,292</w:t>
            </w:r>
          </w:p>
        </w:tc>
        <w:tc>
          <w:tcPr>
            <w:tcW w:type="dxa" w:w="1440"/>
            <w:shd w:fill="FAFAFA" w:val="clear"/>
          </w:tcPr>
          <w:p>
            <w:r>
              <w:rPr>
                <w:b/>
                <w:color w:val="C00000"/>
                <w:sz w:val="17"/>
              </w:rPr>
              <w:t>-0.4%</w:t>
            </w:r>
          </w:p>
        </w:tc>
      </w:tr>
      <w:tr>
        <w:tc>
          <w:tcPr>
            <w:tcW w:type="dxa" w:w="1440"/>
            <w:shd w:fill="FAFAFA" w:val="clear"/>
          </w:tcPr>
          <w:p>
            <w:r>
              <w:rPr>
                <w:sz w:val="17"/>
              </w:rPr>
              <w:t>J+9  Moyenne</w:t>
            </w:r>
          </w:p>
        </w:tc>
        <w:tc>
          <w:tcPr>
            <w:tcW w:type="dxa" w:w="1440"/>
            <w:shd w:fill="FAFAFA" w:val="clear"/>
          </w:tcPr>
          <w:p>
            <w:r>
              <w:rPr>
                <w:sz w:val="17"/>
              </w:rPr>
              <w:t>2026-08-31</w:t>
            </w:r>
          </w:p>
        </w:tc>
        <w:tc>
          <w:tcPr>
            <w:tcW w:type="dxa" w:w="1440"/>
            <w:shd w:fill="FAFAFA" w:val="clear"/>
          </w:tcPr>
          <w:p>
            <w:r>
              <w:rPr>
                <w:sz w:val="17"/>
              </w:rPr>
              <w:t>2,783</w:t>
            </w:r>
          </w:p>
        </w:tc>
        <w:tc>
          <w:tcPr>
            <w:tcW w:type="dxa" w:w="1440"/>
            <w:shd w:fill="FAFAFA" w:val="clear"/>
          </w:tcPr>
          <w:p>
            <w:r>
              <w:rPr>
                <w:b/>
                <w:sz w:val="17"/>
              </w:rPr>
              <w:t>3,044</w:t>
            </w:r>
          </w:p>
        </w:tc>
        <w:tc>
          <w:tcPr>
            <w:tcW w:type="dxa" w:w="1440"/>
            <w:shd w:fill="FAFAFA" w:val="clear"/>
          </w:tcPr>
          <w:p>
            <w:r>
              <w:rPr>
                <w:sz w:val="17"/>
              </w:rPr>
              <w:t>3,305</w:t>
            </w:r>
          </w:p>
        </w:tc>
        <w:tc>
          <w:tcPr>
            <w:tcW w:type="dxa" w:w="1440"/>
            <w:shd w:fill="FAFAFA" w:val="clear"/>
          </w:tcPr>
          <w:p>
            <w:r>
              <w:rPr>
                <w:b/>
                <w:color w:val="C00000"/>
                <w:sz w:val="17"/>
              </w:rPr>
              <w:t>-0.5%</w:t>
            </w:r>
          </w:p>
        </w:tc>
      </w:tr>
      <w:tr>
        <w:tc>
          <w:tcPr>
            <w:tcW w:type="dxa" w:w="1440"/>
            <w:shd w:fill="FAFAFA" w:val="clear"/>
          </w:tcPr>
          <w:p>
            <w:r>
              <w:rPr>
                <w:sz w:val="17"/>
              </w:rPr>
              <w:t>J+10  Moyenne</w:t>
            </w:r>
          </w:p>
        </w:tc>
        <w:tc>
          <w:tcPr>
            <w:tcW w:type="dxa" w:w="1440"/>
            <w:shd w:fill="FAFAFA" w:val="clear"/>
          </w:tcPr>
          <w:p>
            <w:r>
              <w:rPr>
                <w:sz w:val="17"/>
              </w:rPr>
              <w:t>2026-09-01</w:t>
            </w:r>
          </w:p>
        </w:tc>
        <w:tc>
          <w:tcPr>
            <w:tcW w:type="dxa" w:w="1440"/>
            <w:shd w:fill="FAFAFA" w:val="clear"/>
          </w:tcPr>
          <w:p>
            <w:r>
              <w:rPr>
                <w:sz w:val="17"/>
              </w:rPr>
              <w:t>2,767</w:t>
            </w:r>
          </w:p>
        </w:tc>
        <w:tc>
          <w:tcPr>
            <w:tcW w:type="dxa" w:w="1440"/>
            <w:shd w:fill="FAFAFA" w:val="clear"/>
          </w:tcPr>
          <w:p>
            <w:r>
              <w:rPr>
                <w:b/>
                <w:sz w:val="17"/>
              </w:rPr>
              <w:t>3,042</w:t>
            </w:r>
          </w:p>
        </w:tc>
        <w:tc>
          <w:tcPr>
            <w:tcW w:type="dxa" w:w="1440"/>
            <w:shd w:fill="FAFAFA" w:val="clear"/>
          </w:tcPr>
          <w:p>
            <w:r>
              <w:rPr>
                <w:sz w:val="17"/>
              </w:rPr>
              <w:t>3,316</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Absolument. Voici un rapport d'analyse structuré et professionnel pour l'action ORGT (Oragroup) sur le marché de la BRVM,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d'Oragroup s'établit à 212,41 milliards FCFA, ce qui en fait une valeur de taille moyenne sur la BRVM. Avec un BPA de 312 FCFA, le titre se négocie à un PER de 9,8x, un niveau inférieur à la moyenne historique du marché (8-12x), suggérant une sous-évaluation relative par rapport aux bénéfices générés. Le P/B de 1,88x indique que le marché valorise la société à près de deux fois sa valeur comptable, ce qui est raisonnable pour une banque en phase de redressement. Cependant, l'EV/EBITDA de 19,8x est nettement supérieur au seuil de 15x, signalant une valorisation exigeante de la capacité opérationnelle de l'entreprise. Ces ratios mixtes suggèrent que le marché a déjà intégré une partie du potentiel de redressement, mais que la marge de progression reste possible.</w:t>
      </w:r>
    </w:p>
    <w:p>
      <w:pPr>
        <w:spacing w:after="120" w:line="276" w:lineRule="auto"/>
      </w:pPr>
      <w:r>
        <w:t>### PARTIE 1 : ANALYSE DU COURS — STATISTIQUES ET ÉVOLUTION (100 derniers jours)</w:t>
      </w:r>
    </w:p>
    <w:p>
      <w:pPr>
        <w:spacing w:after="120" w:line="276" w:lineRule="auto"/>
      </w:pPr>
      <w:r>
        <w:t>Sur les 100 derniers jours, le cours d'ORGT a enregistré une baisse significative de -15,35%, se négociant actuellement à 3 060 FCFA, après avoir oscillé entre un plus haut de 3 780 FCFA et un plus bas de 2 435 FCFA. La variation à J-1 est nulle, marquant une pause après cette période de correction. La moyenne du cours sur la période est de 2 983 FCFA, tandis que la médiane est de 2 780 FCFA. L'écart entre la moyenne et la médiane, couplé à un skewness positif de 0,663, indique une distribution asymétrique avec des journées plus fréquentes sous la moyenne, mais quelques fortes hausses qui tirent la moyenne vers le haut. Le kurtosis de -0,922 (mésokurtique) suggère une distribution proche de la normale, sans risque de pics extrêmes. L'écart-type de 376 FCFA (CV=12,6%) montre une dispersion modérée, mais la volatilité annualisée de 43,7% classe le titre comme très volatil, un niveau élevé qui implique un risque significatif pour les investisseurs.</w:t>
      </w:r>
    </w:p>
    <w:p>
      <w:pPr>
        <w:spacing w:after="120" w:line="276" w:lineRule="auto"/>
      </w:pPr>
      <w:r>
        <w:t>### PARTIE 2 : ANALYSE TECHNIQUE DÉTAILLÉE</w:t>
      </w:r>
    </w:p>
    <w:p>
      <w:pPr>
        <w:spacing w:after="120" w:line="276" w:lineRule="auto"/>
      </w:pPr>
      <w:r>
        <w:t>**Moyennes Mobiles**: La MM20 à 2 954,75 FCFA et la MM50 à 2 801,4 FCFA sont toutes deux inférieures au cours actuel de 3 060 FCFA, ce qui indique une tendance haussière à court et moyen terme. Le signal d'achat est justifié par le fait que le cours évolue au-dessus de ses moyennes mobiles, confirmant une dynamique positive.</w:t>
      </w:r>
    </w:p>
    <w:p>
      <w:pPr>
        <w:spacing w:after="120" w:line="276" w:lineRule="auto"/>
      </w:pPr>
      <w:r>
        <w:t>**Bandes de Bollinger**: Le cours se situe à 3 060 FCFA, entre la borne supérieure à 3 342,245 FCFA et la borne inférieure à 2 567,255 FCFA. La position du prix dans la partie médiane de la bande suggère une volatilité modérée, sans être en zone de surachat ou de survente. La décision est neutre, car le cours n'a pas encore atteint les extrêmes qui signaleraient un retournement.</w:t>
      </w:r>
    </w:p>
    <w:p>
      <w:pPr>
        <w:spacing w:after="120" w:line="276" w:lineRule="auto"/>
      </w:pPr>
      <w:r>
        <w:t>**MACD**: Le MACD (97,807) est légèrement inférieur à son signal (98,569), ce qui génère un signal de vente. Cette configuration indique un affaiblissement du momentum haussier, même si la différence est minime. Cela pourrait présager une consolidation ou un repli à court terme.</w:t>
      </w:r>
    </w:p>
    <w:p>
      <w:pPr>
        <w:spacing w:after="120" w:line="276" w:lineRule="auto"/>
      </w:pPr>
      <w:r>
        <w:t>**RSI**: Le RSI à 81,481 est en zone de surachat (au-dessus de 70), ce qui est un signal de vente. Cette valeur indique que le titre a fortement monté et qu'une correction technique est probable à court terme, les acheteurs étant potentiellement épuisés.</w:t>
      </w:r>
    </w:p>
    <w:p>
      <w:pPr>
        <w:spacing w:after="120" w:line="276" w:lineRule="auto"/>
      </w:pPr>
      <w:r>
        <w:t>**Stochastique**: Le %K (77,5) et le %D (79,227) sont proches l'un de l'autre et dans la zone de surachat, mais sans croisement baissier clair. La décision est neutre, car le croisement des lignes n'est pas encore confirmé, mais la prudence est de mise.</w:t>
      </w:r>
    </w:p>
    <w:p>
      <w:pPr>
        <w:spacing w:after="120" w:line="276" w:lineRule="auto"/>
      </w:pPr>
      <w:r>
        <w:t>**Conclusion technique**: Les indicateurs techniques sont mitigés. Les moyennes mobiles sont haussières, mais le RSI en surachat et le MACD en léger signal de vente suggèrent un essoufflement de la dynamique haussière à court terme. La tendance de fond reste positive, mais un repli technique est probable avant une éventuelle poursuite de la hausse.</w:t>
      </w:r>
    </w:p>
    <w:p>
      <w:pPr>
        <w:spacing w:after="120" w:line="276" w:lineRule="auto"/>
      </w:pPr>
      <w:r>
        <w:t>### PARTIE 3 : ANALYSE FONDAMENTALE (SECTION CRITIQUE)</w:t>
      </w:r>
    </w:p>
    <w:p>
      <w:pPr>
        <w:spacing w:after="120" w:line="276" w:lineRule="auto"/>
      </w:pPr>
      <w:r>
        <w:t>En 2025, Oragroup a réalisé un retournement spectaculaire de sa rentabilité. Le Produit Net Bancaire (PNB) s'établit à 186,609 milliards FCFA, en léger repli de -4,5% par rapport à 2024, mais le résultat net est redevenu fortement positif à 21,643 milliards FCFA, contre une perte de -44,363 milliards en 2024. Cette performance est portée par une réduction drastique du coût du risque, qui passe de 69,1 milliards à 6,971 milliards FCFA, et une maîtrise des charges générales (-12%). Le coefficient d'exploitation de 42,85% est excellent, démontrant une grande efficacité opérationnelle. Le ROE de 19,13% est remarquable, tandis que le ROA de 0,54% reste faible, typique du secteur bancaire. La banque affiche une solvabilité saine avec un ratio de 102,9%, et les dépôts clientèle (3 088,7 milliards FCFA) couvrent largement les crédits à la clientèle (1 523,8 milliards FCFA), indiquant une transformation saine. Les rapports trimestriels de 2025 confirment cette tendance : le T1 2025 montre une amélioration de +259% du résultat net, et le S1 2025 un redressement de +232%. Le rapport du T1 2026, publié en 2026, indique une poursuite de la dynamique avec un résultat net en hausse de 37% à 6,555 milliards FCFA, malgré un PNB en légère baisse. On estime que l'exercice 2026 devrait confirmer la consolidation de la rentabilité, portée par la maîtrise des coûts et du risque, mais la croissance du PNB reste le principal défi.</w:t>
      </w:r>
    </w:p>
    <w:p>
      <w:pPr>
        <w:spacing w:after="120" w:line="276" w:lineRule="auto"/>
      </w:pPr>
      <w:r>
        <w:t>### PARTIE 4 : CONCLUSION D'INVESTISSEMENT</w:t>
      </w:r>
    </w:p>
    <w:p>
      <w:pPr>
        <w:spacing w:after="120" w:line="276" w:lineRule="auto"/>
      </w:pPr>
      <w:r>
        <w:t>La valorisation d'ORGT est mitigée : un PER de 9,8x et un P/B de 1,88x suggèrent une sous-évaluation, mais l'EV/EBITDA de 19,8x est exigeant. Le comportement du cours sur 100 jours est baissier (-15,35%) avec une volatilité très élevée (43,7%), ce qui est préoccupant. Les signaux techniques sont partagés : les moyennes mobiles sont haussières, mais le RSI en surachat et le MACD en signal de vente indiquent un risque de correction à court terme. Les fondamentaux sont solides avec un redressement spectaculaire de la rentabilité en 2025 et une poursuite en 2026, mais la baisse du PNB est un point de vigilance. Les prédictions IA pour les 10 prochains jours (autour de 3 054-3 062 FCFA) suggèrent une stabilisation, en ligne avec les signaux techniques mitigés. En synthèse, la convergence entre des fondamentaux en amélioration et une valorisation raisonnable est contrebalancée par une volatilité élevée et des signaux techniques de surachat. La recommandation finale est **CONSERVER**, avec un niveau de confiance **Moyen** et un risque global **Élevé**. L'horizon d'investissement optimal serait à **moyen terme (3-12 mois)**, en attendant de voir si la dynamique commerciale (PNB) se redresse et que le cours confirme une cassure au-dessus des résistances actuelles.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143.77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3,606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B40000"/>
                <w:sz w:val="17"/>
              </w:rPr>
              <w:t>-1.06%</w:t>
            </w:r>
          </w:p>
          <w:p>
            <w:r>
              <w:rPr>
                <w:b/>
                <w:color w:val="503200"/>
                <w:sz w:val="16"/>
              </w:rPr>
              <w:t xml:space="preserve">Plus haut 100j : </w:t>
            </w:r>
            <w:r>
              <w:rPr>
                <w:color w:val="000000"/>
                <w:sz w:val="17"/>
              </w:rPr>
              <w:t>9,400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41.0%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5.89% (Moyenne) — μ=8,394 FCFA, σ=494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β=-0.0580 (Contre-cyclique) — Cov=-0.000002, Var(idx)=0.000031, ρ=-0.013,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3,606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8,983</w:t>
            </w:r>
          </w:p>
        </w:tc>
        <w:tc>
          <w:tcPr>
            <w:tcW w:type="dxa" w:w="1440"/>
            <w:shd w:fill="FAFAFA" w:val="clear"/>
          </w:tcPr>
          <w:p>
            <w:r>
              <w:rPr>
                <w:b/>
                <w:sz w:val="17"/>
              </w:rPr>
              <w:t>9,238</w:t>
            </w:r>
          </w:p>
        </w:tc>
        <w:tc>
          <w:tcPr>
            <w:tcW w:type="dxa" w:w="1440"/>
            <w:shd w:fill="FAFAFA" w:val="clear"/>
          </w:tcPr>
          <w:p>
            <w:r>
              <w:rPr>
                <w:sz w:val="17"/>
              </w:rPr>
              <w:t>9,493</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8,917</w:t>
            </w:r>
          </w:p>
        </w:tc>
        <w:tc>
          <w:tcPr>
            <w:tcW w:type="dxa" w:w="1440"/>
            <w:shd w:fill="FAFAFA" w:val="clear"/>
          </w:tcPr>
          <w:p>
            <w:r>
              <w:rPr>
                <w:b/>
                <w:sz w:val="17"/>
              </w:rPr>
              <w:t>9,279</w:t>
            </w:r>
          </w:p>
        </w:tc>
        <w:tc>
          <w:tcPr>
            <w:tcW w:type="dxa" w:w="1440"/>
            <w:shd w:fill="FAFAFA" w:val="clear"/>
          </w:tcPr>
          <w:p>
            <w:r>
              <w:rPr>
                <w:sz w:val="17"/>
              </w:rPr>
              <w:t>9,640</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2026-08-20</w:t>
            </w:r>
          </w:p>
        </w:tc>
        <w:tc>
          <w:tcPr>
            <w:tcW w:type="dxa" w:w="1440"/>
            <w:shd w:fill="FAFAFA" w:val="clear"/>
          </w:tcPr>
          <w:p>
            <w:r>
              <w:rPr>
                <w:sz w:val="17"/>
              </w:rPr>
              <w:t>8,861</w:t>
            </w:r>
          </w:p>
        </w:tc>
        <w:tc>
          <w:tcPr>
            <w:tcW w:type="dxa" w:w="1440"/>
            <w:shd w:fill="FAFAFA" w:val="clear"/>
          </w:tcPr>
          <w:p>
            <w:r>
              <w:rPr>
                <w:b/>
                <w:sz w:val="17"/>
              </w:rPr>
              <w:t>9,305</w:t>
            </w:r>
          </w:p>
        </w:tc>
        <w:tc>
          <w:tcPr>
            <w:tcW w:type="dxa" w:w="1440"/>
            <w:shd w:fill="FAFAFA" w:val="clear"/>
          </w:tcPr>
          <w:p>
            <w:r>
              <w:rPr>
                <w:sz w:val="17"/>
              </w:rPr>
              <w:t>9,749</w:t>
            </w:r>
          </w:p>
        </w:tc>
        <w:tc>
          <w:tcPr>
            <w:tcW w:type="dxa" w:w="1440"/>
            <w:shd w:fill="FAFAFA" w:val="clear"/>
          </w:tcPr>
          <w:p>
            <w:r>
              <w:rPr>
                <w:b/>
                <w:color w:val="008000"/>
                <w:sz w:val="17"/>
              </w:rPr>
              <w:t>+0.1%</w:t>
            </w:r>
          </w:p>
        </w:tc>
      </w:tr>
      <w:tr>
        <w:tc>
          <w:tcPr>
            <w:tcW w:type="dxa" w:w="1440"/>
            <w:shd w:fill="FAFAFA" w:val="clear"/>
          </w:tcPr>
          <w:p>
            <w:r>
              <w:rPr>
                <w:sz w:val="17"/>
              </w:rPr>
              <w:t>J+4  Moyenne</w:t>
            </w:r>
          </w:p>
        </w:tc>
        <w:tc>
          <w:tcPr>
            <w:tcW w:type="dxa" w:w="1440"/>
            <w:shd w:fill="FAFAFA" w:val="clear"/>
          </w:tcPr>
          <w:p>
            <w:r>
              <w:rPr>
                <w:sz w:val="17"/>
              </w:rPr>
              <w:t>2026-08-21</w:t>
            </w:r>
          </w:p>
        </w:tc>
        <w:tc>
          <w:tcPr>
            <w:tcW w:type="dxa" w:w="1440"/>
            <w:shd w:fill="FAFAFA" w:val="clear"/>
          </w:tcPr>
          <w:p>
            <w:r>
              <w:rPr>
                <w:sz w:val="17"/>
              </w:rPr>
              <w:t>8,816</w:t>
            </w:r>
          </w:p>
        </w:tc>
        <w:tc>
          <w:tcPr>
            <w:tcW w:type="dxa" w:w="1440"/>
            <w:shd w:fill="FAFAFA" w:val="clear"/>
          </w:tcPr>
          <w:p>
            <w:r>
              <w:rPr>
                <w:b/>
                <w:sz w:val="17"/>
              </w:rPr>
              <w:t>9,331</w:t>
            </w:r>
          </w:p>
        </w:tc>
        <w:tc>
          <w:tcPr>
            <w:tcW w:type="dxa" w:w="1440"/>
            <w:shd w:fill="FAFAFA" w:val="clear"/>
          </w:tcPr>
          <w:p>
            <w:r>
              <w:rPr>
                <w:sz w:val="17"/>
              </w:rPr>
              <w:t>9,845</w:t>
            </w:r>
          </w:p>
        </w:tc>
        <w:tc>
          <w:tcPr>
            <w:tcW w:type="dxa" w:w="1440"/>
            <w:shd w:fill="FAFAFA" w:val="clear"/>
          </w:tcPr>
          <w:p>
            <w:r>
              <w:rPr>
                <w:b/>
                <w:color w:val="008000"/>
                <w:sz w:val="17"/>
              </w:rPr>
              <w:t>+0.3%</w:t>
            </w:r>
          </w:p>
        </w:tc>
      </w:tr>
      <w:tr>
        <w:tc>
          <w:tcPr>
            <w:tcW w:type="dxa" w:w="1440"/>
            <w:shd w:fill="FAFAFA" w:val="clear"/>
          </w:tcPr>
          <w:p>
            <w:r>
              <w:rPr>
                <w:sz w:val="17"/>
              </w:rPr>
              <w:t>J+5  Moyenne</w:t>
            </w:r>
          </w:p>
        </w:tc>
        <w:tc>
          <w:tcPr>
            <w:tcW w:type="dxa" w:w="1440"/>
            <w:shd w:fill="FAFAFA" w:val="clear"/>
          </w:tcPr>
          <w:p>
            <w:r>
              <w:rPr>
                <w:sz w:val="17"/>
              </w:rPr>
              <w:t>2026-08-24</w:t>
            </w:r>
          </w:p>
        </w:tc>
        <w:tc>
          <w:tcPr>
            <w:tcW w:type="dxa" w:w="1440"/>
            <w:shd w:fill="FAFAFA" w:val="clear"/>
          </w:tcPr>
          <w:p>
            <w:r>
              <w:rPr>
                <w:sz w:val="17"/>
              </w:rPr>
              <w:t>8,780</w:t>
            </w:r>
          </w:p>
        </w:tc>
        <w:tc>
          <w:tcPr>
            <w:tcW w:type="dxa" w:w="1440"/>
            <w:shd w:fill="FAFAFA" w:val="clear"/>
          </w:tcPr>
          <w:p>
            <w:r>
              <w:rPr>
                <w:b/>
                <w:sz w:val="17"/>
              </w:rPr>
              <w:t>9,357</w:t>
            </w:r>
          </w:p>
        </w:tc>
        <w:tc>
          <w:tcPr>
            <w:tcW w:type="dxa" w:w="1440"/>
            <w:shd w:fill="FAFAFA" w:val="clear"/>
          </w:tcPr>
          <w:p>
            <w:r>
              <w:rPr>
                <w:sz w:val="17"/>
              </w:rPr>
              <w:t>9,933</w:t>
            </w:r>
          </w:p>
        </w:tc>
        <w:tc>
          <w:tcPr>
            <w:tcW w:type="dxa" w:w="1440"/>
            <w:shd w:fill="FAFAFA" w:val="clear"/>
          </w:tcPr>
          <w:p>
            <w:r>
              <w:rPr>
                <w:b/>
                <w:color w:val="008000"/>
                <w:sz w:val="17"/>
              </w:rPr>
              <w:t>+0.6%</w:t>
            </w:r>
          </w:p>
        </w:tc>
      </w:tr>
      <w:tr>
        <w:tc>
          <w:tcPr>
            <w:tcW w:type="dxa" w:w="1440"/>
            <w:shd w:fill="FAFAFA" w:val="clear"/>
          </w:tcPr>
          <w:p>
            <w:r>
              <w:rPr>
                <w:sz w:val="17"/>
              </w:rPr>
              <w:t>J+6  Moyenne</w:t>
            </w:r>
          </w:p>
        </w:tc>
        <w:tc>
          <w:tcPr>
            <w:tcW w:type="dxa" w:w="1440"/>
            <w:shd w:fill="FAFAFA" w:val="clear"/>
          </w:tcPr>
          <w:p>
            <w:r>
              <w:rPr>
                <w:sz w:val="17"/>
              </w:rPr>
              <w:t>2026-08-25</w:t>
            </w:r>
          </w:p>
        </w:tc>
        <w:tc>
          <w:tcPr>
            <w:tcW w:type="dxa" w:w="1440"/>
            <w:shd w:fill="FAFAFA" w:val="clear"/>
          </w:tcPr>
          <w:p>
            <w:r>
              <w:rPr>
                <w:sz w:val="17"/>
              </w:rPr>
              <w:t>8,749</w:t>
            </w:r>
          </w:p>
        </w:tc>
        <w:tc>
          <w:tcPr>
            <w:tcW w:type="dxa" w:w="1440"/>
            <w:shd w:fill="FAFAFA" w:val="clear"/>
          </w:tcPr>
          <w:p>
            <w:r>
              <w:rPr>
                <w:b/>
                <w:sz w:val="17"/>
              </w:rPr>
              <w:t>9,383</w:t>
            </w:r>
          </w:p>
        </w:tc>
        <w:tc>
          <w:tcPr>
            <w:tcW w:type="dxa" w:w="1440"/>
            <w:shd w:fill="FAFAFA" w:val="clear"/>
          </w:tcPr>
          <w:p>
            <w:r>
              <w:rPr>
                <w:sz w:val="17"/>
              </w:rPr>
              <w:t>10,016</w:t>
            </w:r>
          </w:p>
        </w:tc>
        <w:tc>
          <w:tcPr>
            <w:tcW w:type="dxa" w:w="1440"/>
            <w:shd w:fill="FAFAFA" w:val="clear"/>
          </w:tcPr>
          <w:p>
            <w:r>
              <w:rPr>
                <w:b/>
                <w:color w:val="008000"/>
                <w:sz w:val="17"/>
              </w:rPr>
              <w:t>+0.9%</w:t>
            </w:r>
          </w:p>
        </w:tc>
      </w:tr>
      <w:tr>
        <w:tc>
          <w:tcPr>
            <w:tcW w:type="dxa" w:w="1440"/>
            <w:shd w:fill="FAFAFA" w:val="clear"/>
          </w:tcPr>
          <w:p>
            <w:r>
              <w:rPr>
                <w:sz w:val="17"/>
              </w:rPr>
              <w:t>J+7  Moyenne</w:t>
            </w:r>
          </w:p>
        </w:tc>
        <w:tc>
          <w:tcPr>
            <w:tcW w:type="dxa" w:w="1440"/>
            <w:shd w:fill="FAFAFA" w:val="clear"/>
          </w:tcPr>
          <w:p>
            <w:r>
              <w:rPr>
                <w:sz w:val="17"/>
              </w:rPr>
              <w:t>2026-08-27</w:t>
            </w:r>
          </w:p>
        </w:tc>
        <w:tc>
          <w:tcPr>
            <w:tcW w:type="dxa" w:w="1440"/>
            <w:shd w:fill="FAFAFA" w:val="clear"/>
          </w:tcPr>
          <w:p>
            <w:r>
              <w:rPr>
                <w:sz w:val="17"/>
              </w:rPr>
              <w:t>8,723</w:t>
            </w:r>
          </w:p>
        </w:tc>
        <w:tc>
          <w:tcPr>
            <w:tcW w:type="dxa" w:w="1440"/>
            <w:shd w:fill="FAFAFA" w:val="clear"/>
          </w:tcPr>
          <w:p>
            <w:r>
              <w:rPr>
                <w:b/>
                <w:sz w:val="17"/>
              </w:rPr>
              <w:t>9,409</w:t>
            </w:r>
          </w:p>
        </w:tc>
        <w:tc>
          <w:tcPr>
            <w:tcW w:type="dxa" w:w="1440"/>
            <w:shd w:fill="FAFAFA" w:val="clear"/>
          </w:tcPr>
          <w:p>
            <w:r>
              <w:rPr>
                <w:sz w:val="17"/>
              </w:rPr>
              <w:t>10,095</w:t>
            </w:r>
          </w:p>
        </w:tc>
        <w:tc>
          <w:tcPr>
            <w:tcW w:type="dxa" w:w="1440"/>
            <w:shd w:fill="FAFAFA" w:val="clear"/>
          </w:tcPr>
          <w:p>
            <w:r>
              <w:rPr>
                <w:b/>
                <w:color w:val="008000"/>
                <w:sz w:val="17"/>
              </w:rPr>
              <w:t>+1.2%</w:t>
            </w:r>
          </w:p>
        </w:tc>
      </w:tr>
      <w:tr>
        <w:tc>
          <w:tcPr>
            <w:tcW w:type="dxa" w:w="1440"/>
            <w:shd w:fill="FAFAFA" w:val="clear"/>
          </w:tcPr>
          <w:p>
            <w:r>
              <w:rPr>
                <w:sz w:val="17"/>
              </w:rPr>
              <w:t>J+8  Moyenne</w:t>
            </w:r>
          </w:p>
        </w:tc>
        <w:tc>
          <w:tcPr>
            <w:tcW w:type="dxa" w:w="1440"/>
            <w:shd w:fill="FAFAFA" w:val="clear"/>
          </w:tcPr>
          <w:p>
            <w:r>
              <w:rPr>
                <w:sz w:val="17"/>
              </w:rPr>
              <w:t>2026-08-28</w:t>
            </w:r>
          </w:p>
        </w:tc>
        <w:tc>
          <w:tcPr>
            <w:tcW w:type="dxa" w:w="1440"/>
            <w:shd w:fill="FAFAFA" w:val="clear"/>
          </w:tcPr>
          <w:p>
            <w:r>
              <w:rPr>
                <w:sz w:val="17"/>
              </w:rPr>
              <w:t>8,700</w:t>
            </w:r>
          </w:p>
        </w:tc>
        <w:tc>
          <w:tcPr>
            <w:tcW w:type="dxa" w:w="1440"/>
            <w:shd w:fill="FAFAFA" w:val="clear"/>
          </w:tcPr>
          <w:p>
            <w:r>
              <w:rPr>
                <w:b/>
                <w:sz w:val="17"/>
              </w:rPr>
              <w:t>9,436</w:t>
            </w:r>
          </w:p>
        </w:tc>
        <w:tc>
          <w:tcPr>
            <w:tcW w:type="dxa" w:w="1440"/>
            <w:shd w:fill="FAFAFA" w:val="clear"/>
          </w:tcPr>
          <w:p>
            <w:r>
              <w:rPr>
                <w:sz w:val="17"/>
              </w:rPr>
              <w:t>10,171</w:t>
            </w:r>
          </w:p>
        </w:tc>
        <w:tc>
          <w:tcPr>
            <w:tcW w:type="dxa" w:w="1440"/>
            <w:shd w:fill="FAFAFA" w:val="clear"/>
          </w:tcPr>
          <w:p>
            <w:r>
              <w:rPr>
                <w:b/>
                <w:color w:val="008000"/>
                <w:sz w:val="17"/>
              </w:rPr>
              <w:t>+1.5%</w:t>
            </w:r>
          </w:p>
        </w:tc>
      </w:tr>
      <w:tr>
        <w:tc>
          <w:tcPr>
            <w:tcW w:type="dxa" w:w="1440"/>
            <w:shd w:fill="FAFAFA" w:val="clear"/>
          </w:tcPr>
          <w:p>
            <w:r>
              <w:rPr>
                <w:sz w:val="17"/>
              </w:rPr>
              <w:t>J+9  Moyenne</w:t>
            </w:r>
          </w:p>
        </w:tc>
        <w:tc>
          <w:tcPr>
            <w:tcW w:type="dxa" w:w="1440"/>
            <w:shd w:fill="FAFAFA" w:val="clear"/>
          </w:tcPr>
          <w:p>
            <w:r>
              <w:rPr>
                <w:sz w:val="17"/>
              </w:rPr>
              <w:t>2026-08-31</w:t>
            </w:r>
          </w:p>
        </w:tc>
        <w:tc>
          <w:tcPr>
            <w:tcW w:type="dxa" w:w="1440"/>
            <w:shd w:fill="FAFAFA" w:val="clear"/>
          </w:tcPr>
          <w:p>
            <w:r>
              <w:rPr>
                <w:sz w:val="17"/>
              </w:rPr>
              <w:t>8,679</w:t>
            </w:r>
          </w:p>
        </w:tc>
        <w:tc>
          <w:tcPr>
            <w:tcW w:type="dxa" w:w="1440"/>
            <w:shd w:fill="FAFAFA" w:val="clear"/>
          </w:tcPr>
          <w:p>
            <w:r>
              <w:rPr>
                <w:b/>
                <w:sz w:val="17"/>
              </w:rPr>
              <w:t>9,462</w:t>
            </w:r>
          </w:p>
        </w:tc>
        <w:tc>
          <w:tcPr>
            <w:tcW w:type="dxa" w:w="1440"/>
            <w:shd w:fill="FAFAFA" w:val="clear"/>
          </w:tcPr>
          <w:p>
            <w:r>
              <w:rPr>
                <w:sz w:val="17"/>
              </w:rPr>
              <w:t>10,244</w:t>
            </w:r>
          </w:p>
        </w:tc>
        <w:tc>
          <w:tcPr>
            <w:tcW w:type="dxa" w:w="1440"/>
            <w:shd w:fill="FAFAFA" w:val="clear"/>
          </w:tcPr>
          <w:p>
            <w:r>
              <w:rPr>
                <w:b/>
                <w:color w:val="008000"/>
                <w:sz w:val="17"/>
              </w:rPr>
              <w:t>+1.7%</w:t>
            </w:r>
          </w:p>
        </w:tc>
      </w:tr>
      <w:tr>
        <w:tc>
          <w:tcPr>
            <w:tcW w:type="dxa" w:w="1440"/>
            <w:shd w:fill="C6EFCE" w:val="clear"/>
          </w:tcPr>
          <w:p>
            <w:r>
              <w:rPr>
                <w:sz w:val="17"/>
              </w:rPr>
              <w:t>J+10  Moyenne</w:t>
            </w:r>
          </w:p>
        </w:tc>
        <w:tc>
          <w:tcPr>
            <w:tcW w:type="dxa" w:w="1440"/>
            <w:shd w:fill="C6EFCE" w:val="clear"/>
          </w:tcPr>
          <w:p>
            <w:r>
              <w:rPr>
                <w:sz w:val="17"/>
              </w:rPr>
              <w:t>2026-09-01</w:t>
            </w:r>
          </w:p>
        </w:tc>
        <w:tc>
          <w:tcPr>
            <w:tcW w:type="dxa" w:w="1440"/>
            <w:shd w:fill="C6EFCE" w:val="clear"/>
          </w:tcPr>
          <w:p>
            <w:r>
              <w:rPr>
                <w:sz w:val="17"/>
              </w:rPr>
              <w:t>8,661</w:t>
            </w:r>
          </w:p>
        </w:tc>
        <w:tc>
          <w:tcPr>
            <w:tcW w:type="dxa" w:w="1440"/>
            <w:shd w:fill="C6EFCE" w:val="clear"/>
          </w:tcPr>
          <w:p>
            <w:r>
              <w:rPr>
                <w:b/>
                <w:sz w:val="17"/>
              </w:rPr>
              <w:t>9,488</w:t>
            </w:r>
          </w:p>
        </w:tc>
        <w:tc>
          <w:tcPr>
            <w:tcW w:type="dxa" w:w="1440"/>
            <w:shd w:fill="C6EFCE" w:val="clear"/>
          </w:tcPr>
          <w:p>
            <w:r>
              <w:rPr>
                <w:sz w:val="17"/>
              </w:rPr>
              <w:t>10,315</w:t>
            </w:r>
          </w:p>
        </w:tc>
        <w:tc>
          <w:tcPr>
            <w:tcW w:type="dxa" w:w="1440"/>
            <w:shd w:fill="C6EFCE"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143,77 milliards FCFA, ce qui positionne le titre parmi les valeurs moyennes de la cote de la BRVM, avec une liquidité relativement faible (volume moyen de 3 606 titres par jour). Le BPA de 1 003 FCFA indique que chaque action génère un bénéfice substantiel, justifiant un PER de 9,3x, légèrement inférieur à la moyenne historique de la place (~8-12x), ce qui suggère une sous-évaluation relative du titre. Le P/B de 1,01x est particulièrement intéressant car le marché valorise l'action quasiment à hauteur de sa valeur comptable, offrant ainsi une marge de sécurité appréciable. Enfin, l'EV/EBITDA de 4,5x, nettement inférieur au seuil de 5x, confirme que la valeur totale de l'entreprise (dette incluse) reste très bon marché par rapport à sa capacité opérationnelle, renforçant l'attrait du dossier sur le plan fondamental.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affiche une variation totale de -1,06%, mais enregistre une progression de +2,03% lors de la dernière séance, signalant un possible regain d'intérêt. Le titre a évolué dans une fourchette de 7 000 à 9 400 FCFA, démontrant une amplitude de trading significative de 34%. La moyenne (8 394 FCFA) est inférieure à la médiane (8 600 FCFA), indiquant une distribution légèrement asymétrique avec des valeurs extrêmes basses qui tirent la moyenne vers le bas, cohérent avec le skewness négatif de -0,366. L'écart-type de 497 FCFA (CV=5,9%) révèle une dispersion modérée autour de la moyenne, tandis que le kurtosis de -0,676 (mésokurtique) suggère l'absence de pics extrêmes, avec une distribution proche de la normale. La volatilité annualisée de 41,0% classe le titre dans la catégorie des valeurs à forte volatilité (&gt;30%), ce qui implique un risque élevé mais aussi un potentiel de rendement substantiel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9 300 FCFA se positionne nettement au-dessus de la MM20 (8 919,25 FCFA) et de la MM50 (8 792,9 FCFA), confirmant une dynamique haussière à court et moyen terme. L'écart positif entre ces deux moyennes mobiles renforce le signal d'achat, indiquant que la tendance haussière est solidement établie et que les acheteurs contrôlent le marché.</w:t>
      </w:r>
    </w:p>
    <w:p>
      <w:pPr>
        <w:spacing w:after="120" w:line="276" w:lineRule="auto"/>
      </w:pPr>
      <w:r>
        <w:t>**Bandes de Bollinger** : Le prix évolue au niveau de la borne supérieure (9 282,83 FCFA), ce qui signale une situation de surachat temporaire. La largeur des bandes (8555,67 à 9282,83 FCFA) reflète une volatilité accrue. La décision de vente générée par cet indicateur suggère qu'un repli technique est possible à court terme, mais dans une tendance haussière, ce signal peut précéder une consolidation plutôt qu'un renversement majeur.</w:t>
      </w:r>
    </w:p>
    <w:p>
      <w:pPr>
        <w:spacing w:after="120" w:line="276" w:lineRule="auto"/>
      </w:pPr>
      <w:r>
        <w:t>**MACD** : La valeur du MACD (125,033) est supérieure à son signal (102,725), avec un écart positif de 22,3 points, confirmant un momentum haussier robuste. La divergence positive entre ces deux lignes indique que la pression acheteuse reste dominante et que le mouvement haussier pourrait se poursuivre dans les prochaines séances.</w:t>
      </w:r>
    </w:p>
    <w:p>
      <w:pPr>
        <w:spacing w:after="120" w:line="276" w:lineRule="auto"/>
      </w:pPr>
      <w:r>
        <w:t>**RSI** : À 66,327, le RSI se situe en zone neutre, proche du seuil de surachat (70). Cette valeur indique que le titre dispose encore d'un potentiel haussier sans être en situation extrême. La décision neutre reflète un équilibre entre les forces acheteuses et vendeuses, avec un léger avantage pour les premiers.</w:t>
      </w:r>
    </w:p>
    <w:p>
      <w:pPr>
        <w:spacing w:after="120" w:line="276" w:lineRule="auto"/>
      </w:pPr>
      <w:r>
        <w:t>**Stochastique** : Le %K à 100 et le %D à 93,333 indiquent une condition de surachat extrême. Le croisement potentiel de ces deux lignes pourrait générer un signal de vente à court terme. Cette configuration suggère que le titre a fortement progressé récemment et qu'une phase de consolidation technique est probable.</w:t>
      </w:r>
    </w:p>
    <w:p>
      <w:pPr>
        <w:spacing w:after="120" w:line="276" w:lineRule="auto"/>
      </w:pPr>
      <w:r>
        <w:t>**Conclusion technique** : Les indicateurs sont partagés entre signaux d'achat (MM, MACD) et signaux de vente (Bollinger, Stochastique), avec un RSI neutre. Cette divergence indique une tendance haussière sous-jacente mais avec un risque de correction technique à court terme. L'analyse globale penche vers une poursuite de la tendance haussière après une éventuelle consolidation, les moyennes mobiles restant le signal le plus fiable dans ce contexte.</w:t>
      </w:r>
    </w:p>
    <w:p>
      <w:pPr>
        <w:spacing w:after="120" w:line="276" w:lineRule="auto" w:before="240"/>
      </w:pPr>
      <w:r>
        <w:rPr>
          <w:b/>
          <w:color w:val="003366"/>
          <w:sz w:val="24"/>
        </w:rPr>
        <w:t>**PARTIE 3 : ANALYSE FONDAMENTALE (SECTION CRITIQUE)**</w:t>
      </w:r>
    </w:p>
    <w:p>
      <w:pPr>
        <w:spacing w:after="120" w:line="276" w:lineRule="auto"/>
      </w:pPr>
      <w:r>
        <w:t>En 2025, PALC affiche des fondamentaux solides avec un chiffre d'affaires de 197,630 milliards FCFA, en croissance de +14,8% par rapport à 2024 (172,2 milliards FCFA), et un résultat net de 15,509 milliards FCFA. La marge nette s'établit à 7,85%, le ROE à 10,87% et le ROA à 7,79%, des niveaux corrects mais en retrait par rapport à 2024 (marge nette de 9,2%, ROE de 11,9%). La structure financière reste très saine avec une autonomie financière de 71,6%, un endettement limité à 0,56% des capitaux propres et une solvabilité générale de 352,6%. Le BFR de 44,6 milliards FCFA et le délai clients de 142,6 jours constituent des points de vigilance pour la trésorerie, bien que le flux opérationnel de 38,7 milliards FCFA et le free cash flow de 19,1 milliards FCFA démontrent une capacité de génération de liquidités satisfaisante. Les rapports trimestriels 2025 montrent une dynamique positive : T1 avec un CA de 67,5 milliards FCFA (+32%) et un résultat net de 11,6 milliards FCFA (+65%), S1 avec un CA de 134,8 milliards FCFA (+25%) et un résultat net de 22,9 milliards FCFA (+37%). Cependant, le rapport T1 2026 (publié en 2026) révèle une contre-performance majeure avec un CA en baisse de 27% à 49,4 milliards FCFA et un résultat net effondré de 86% à 1,6 milliard FCFA, que la direction attribue à un décalage temporel des ventes. Cette dégradation récente, couplée à la baisse du dividende proposé (502 FCFA contre 620 FCFA en 2024), incite à la prudence malgré des fondamentaux structurels solides.</w:t>
      </w:r>
    </w:p>
    <w:p>
      <w:pPr>
        <w:spacing w:after="120" w:line="276" w:lineRule="auto" w:before="240"/>
      </w:pPr>
      <w:r>
        <w:rPr>
          <w:b/>
          <w:color w:val="003366"/>
          <w:sz w:val="24"/>
        </w:rPr>
        <w:t>**PARTIE 4 : CONCLUSION D'INVESTISSEMENT**</w:t>
      </w:r>
    </w:p>
    <w:p>
      <w:pPr>
        <w:spacing w:after="120" w:line="276" w:lineRule="auto"/>
      </w:pPr>
      <w:r>
        <w:t>La valorisation de PALC (PER 9,3x, P/B 1,01x, EV/EBITDA 4,5x) indique une sous-évaluation attractive sur le plan fondamental, tandis que le comportement du cours montre une tendance haussière récente avec une volatilité élevée (41%) et une distribution statistique relativement normale. Les signaux techniques sont mitigés, avec une convergence haussière des moyennes mobiles et du MACD, mais des indicateurs de surachat (Bollinger, Stochastique) suggérant un possible repli à court terme. Les fondamentaux 2025 restent solides avec une croissance du CA de +14,8%, mais les résultats décevants du T1 2026 (-86% du résultat net) introduisent une incertitude majeure. Les prédictions IA (9 238 à 9 357 FCFA sur 10 jours) confirment une poursuite haussière à très court terme, en cohérence avec la dynamique technique actuelle. La recommandation finale est **CONSERVER** avec un niveau de confiance **Moyen** et un risque global **Élevé**, principalement lié à la volatilité des cours de l'huile de palme et à la contre-performance récente. L'horizon d'investissement optimal serait le **moyen terme (3-12 mois)**, en attendant la confirmation d'un redressement de l'activité au T2 2026 et une stabilisation des marges.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926 titres</w:t>
            </w:r>
          </w:p>
        </w:tc>
        <w:tc>
          <w:tcPr>
            <w:tcW w:type="dxa" w:w="2268"/>
            <w:shd w:fill="FFF2CC" w:val="clear"/>
          </w:tcPr>
          <w:p>
            <w:r>
              <w:rPr>
                <w:b/>
                <w:color w:val="503200"/>
                <w:sz w:val="16"/>
              </w:rPr>
              <w:t xml:space="preserve">Cours actuel : </w:t>
            </w:r>
            <w:r>
              <w:rPr>
                <w:color w:val="000000"/>
                <w:sz w:val="17"/>
              </w:rPr>
              <w:t>4,450 FCFA</w:t>
            </w:r>
          </w:p>
          <w:p>
            <w:r>
              <w:rPr>
                <w:b/>
                <w:color w:val="503200"/>
                <w:sz w:val="16"/>
              </w:rPr>
              <w:t xml:space="preserve">Var. 100 jours : </w:t>
            </w:r>
            <w:r>
              <w:rPr>
                <w:b/>
                <w:color w:val="B40000"/>
                <w:sz w:val="17"/>
              </w:rPr>
              <w:t>-7.29%</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8.18% (Moyenne) — μ=4,478 FCFA, σ=366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β=-0.3502 (Contre-cyclique) — Cov=-0.000011, Var(idx)=0.000031, ρ=-0.077,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926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4,318</w:t>
            </w:r>
          </w:p>
        </w:tc>
        <w:tc>
          <w:tcPr>
            <w:tcW w:type="dxa" w:w="1440"/>
            <w:shd w:fill="FAFAFA" w:val="clear"/>
          </w:tcPr>
          <w:p>
            <w:r>
              <w:rPr>
                <w:b/>
                <w:sz w:val="17"/>
              </w:rPr>
              <w:t>4,431</w:t>
            </w:r>
          </w:p>
        </w:tc>
        <w:tc>
          <w:tcPr>
            <w:tcW w:type="dxa" w:w="1440"/>
            <w:shd w:fill="FAFAFA" w:val="clear"/>
          </w:tcPr>
          <w:p>
            <w:r>
              <w:rPr>
                <w:sz w:val="17"/>
              </w:rPr>
              <w:t>4,545</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4,249</w:t>
            </w:r>
          </w:p>
        </w:tc>
        <w:tc>
          <w:tcPr>
            <w:tcW w:type="dxa" w:w="1440"/>
            <w:shd w:fill="FAFAFA" w:val="clear"/>
          </w:tcPr>
          <w:p>
            <w:r>
              <w:rPr>
                <w:b/>
                <w:sz w:val="17"/>
              </w:rPr>
              <w:t>4,408</w:t>
            </w:r>
          </w:p>
        </w:tc>
        <w:tc>
          <w:tcPr>
            <w:tcW w:type="dxa" w:w="1440"/>
            <w:shd w:fill="FAFAFA" w:val="clear"/>
          </w:tcPr>
          <w:p>
            <w:r>
              <w:rPr>
                <w:sz w:val="17"/>
              </w:rPr>
              <w:t>4,568</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2026-08-20</w:t>
            </w:r>
          </w:p>
        </w:tc>
        <w:tc>
          <w:tcPr>
            <w:tcW w:type="dxa" w:w="1440"/>
            <w:shd w:fill="FAFAFA" w:val="clear"/>
          </w:tcPr>
          <w:p>
            <w:r>
              <w:rPr>
                <w:sz w:val="17"/>
              </w:rPr>
              <w:t>4,191</w:t>
            </w:r>
          </w:p>
        </w:tc>
        <w:tc>
          <w:tcPr>
            <w:tcW w:type="dxa" w:w="1440"/>
            <w:shd w:fill="FAFAFA" w:val="clear"/>
          </w:tcPr>
          <w:p>
            <w:r>
              <w:rPr>
                <w:b/>
                <w:sz w:val="17"/>
              </w:rPr>
              <w:t>4,386</w:t>
            </w:r>
          </w:p>
        </w:tc>
        <w:tc>
          <w:tcPr>
            <w:tcW w:type="dxa" w:w="1440"/>
            <w:shd w:fill="FAFAFA" w:val="clear"/>
          </w:tcPr>
          <w:p>
            <w:r>
              <w:rPr>
                <w:sz w:val="17"/>
              </w:rPr>
              <w:t>4,581</w:t>
            </w:r>
          </w:p>
        </w:tc>
        <w:tc>
          <w:tcPr>
            <w:tcW w:type="dxa" w:w="1440"/>
            <w:shd w:fill="FAFAFA" w:val="clear"/>
          </w:tcPr>
          <w:p>
            <w:r>
              <w:rPr>
                <w:b/>
                <w:color w:val="C00000"/>
                <w:sz w:val="17"/>
              </w:rPr>
              <w:t>-1.4%</w:t>
            </w:r>
          </w:p>
        </w:tc>
      </w:tr>
      <w:tr>
        <w:tc>
          <w:tcPr>
            <w:tcW w:type="dxa" w:w="1440"/>
            <w:shd w:fill="FAFAFA" w:val="clear"/>
          </w:tcPr>
          <w:p>
            <w:r>
              <w:rPr>
                <w:sz w:val="17"/>
              </w:rPr>
              <w:t>J+4  Moyenne</w:t>
            </w:r>
          </w:p>
        </w:tc>
        <w:tc>
          <w:tcPr>
            <w:tcW w:type="dxa" w:w="1440"/>
            <w:shd w:fill="FAFAFA" w:val="clear"/>
          </w:tcPr>
          <w:p>
            <w:r>
              <w:rPr>
                <w:sz w:val="17"/>
              </w:rPr>
              <w:t>2026-08-21</w:t>
            </w:r>
          </w:p>
        </w:tc>
        <w:tc>
          <w:tcPr>
            <w:tcW w:type="dxa" w:w="1440"/>
            <w:shd w:fill="FAFAFA" w:val="clear"/>
          </w:tcPr>
          <w:p>
            <w:r>
              <w:rPr>
                <w:sz w:val="17"/>
              </w:rPr>
              <w:t>4,141</w:t>
            </w:r>
          </w:p>
        </w:tc>
        <w:tc>
          <w:tcPr>
            <w:tcW w:type="dxa" w:w="1440"/>
            <w:shd w:fill="FAFAFA" w:val="clear"/>
          </w:tcPr>
          <w:p>
            <w:r>
              <w:rPr>
                <w:b/>
                <w:sz w:val="17"/>
              </w:rPr>
              <w:t>4,365</w:t>
            </w:r>
          </w:p>
        </w:tc>
        <w:tc>
          <w:tcPr>
            <w:tcW w:type="dxa" w:w="1440"/>
            <w:shd w:fill="FAFAFA" w:val="clear"/>
          </w:tcPr>
          <w:p>
            <w:r>
              <w:rPr>
                <w:sz w:val="17"/>
              </w:rPr>
              <w:t>4,588</w:t>
            </w:r>
          </w:p>
        </w:tc>
        <w:tc>
          <w:tcPr>
            <w:tcW w:type="dxa" w:w="1440"/>
            <w:shd w:fill="FAFAFA" w:val="clear"/>
          </w:tcPr>
          <w:p>
            <w:r>
              <w:rPr>
                <w:b/>
                <w:color w:val="C00000"/>
                <w:sz w:val="17"/>
              </w:rPr>
              <w:t>-1.9%</w:t>
            </w:r>
          </w:p>
        </w:tc>
      </w:tr>
      <w:tr>
        <w:tc>
          <w:tcPr>
            <w:tcW w:type="dxa" w:w="1440"/>
            <w:shd w:fill="FFDCE0" w:val="clear"/>
          </w:tcPr>
          <w:p>
            <w:r>
              <w:rPr>
                <w:sz w:val="17"/>
              </w:rPr>
              <w:t>J+5  Moyenne</w:t>
            </w:r>
          </w:p>
        </w:tc>
        <w:tc>
          <w:tcPr>
            <w:tcW w:type="dxa" w:w="1440"/>
            <w:shd w:fill="FFDCE0" w:val="clear"/>
          </w:tcPr>
          <w:p>
            <w:r>
              <w:rPr>
                <w:sz w:val="17"/>
              </w:rPr>
              <w:t>2026-08-24</w:t>
            </w:r>
          </w:p>
        </w:tc>
        <w:tc>
          <w:tcPr>
            <w:tcW w:type="dxa" w:w="1440"/>
            <w:shd w:fill="FFDCE0" w:val="clear"/>
          </w:tcPr>
          <w:p>
            <w:r>
              <w:rPr>
                <w:sz w:val="17"/>
              </w:rPr>
              <w:t>4,095</w:t>
            </w:r>
          </w:p>
        </w:tc>
        <w:tc>
          <w:tcPr>
            <w:tcW w:type="dxa" w:w="1440"/>
            <w:shd w:fill="FFDCE0" w:val="clear"/>
          </w:tcPr>
          <w:p>
            <w:r>
              <w:rPr>
                <w:b/>
                <w:sz w:val="17"/>
              </w:rPr>
              <w:t>4,344</w:t>
            </w:r>
          </w:p>
        </w:tc>
        <w:tc>
          <w:tcPr>
            <w:tcW w:type="dxa" w:w="1440"/>
            <w:shd w:fill="FFDCE0" w:val="clear"/>
          </w:tcPr>
          <w:p>
            <w:r>
              <w:rPr>
                <w:sz w:val="17"/>
              </w:rPr>
              <w:t>4,593</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2026-08-25</w:t>
            </w:r>
          </w:p>
        </w:tc>
        <w:tc>
          <w:tcPr>
            <w:tcW w:type="dxa" w:w="1440"/>
            <w:shd w:fill="FFDCE0" w:val="clear"/>
          </w:tcPr>
          <w:p>
            <w:r>
              <w:rPr>
                <w:sz w:val="17"/>
              </w:rPr>
              <w:t>4,052</w:t>
            </w:r>
          </w:p>
        </w:tc>
        <w:tc>
          <w:tcPr>
            <w:tcW w:type="dxa" w:w="1440"/>
            <w:shd w:fill="FFDCE0" w:val="clear"/>
          </w:tcPr>
          <w:p>
            <w:r>
              <w:rPr>
                <w:b/>
                <w:sz w:val="17"/>
              </w:rPr>
              <w:t>4,324</w:t>
            </w:r>
          </w:p>
        </w:tc>
        <w:tc>
          <w:tcPr>
            <w:tcW w:type="dxa" w:w="1440"/>
            <w:shd w:fill="FFDCE0" w:val="clear"/>
          </w:tcPr>
          <w:p>
            <w:r>
              <w:rPr>
                <w:sz w:val="17"/>
              </w:rPr>
              <w:t>4,595</w:t>
            </w:r>
          </w:p>
        </w:tc>
        <w:tc>
          <w:tcPr>
            <w:tcW w:type="dxa" w:w="1440"/>
            <w:shd w:fill="FFDCE0" w:val="clear"/>
          </w:tcPr>
          <w:p>
            <w:r>
              <w:rPr>
                <w:b/>
                <w:color w:val="C00000"/>
                <w:sz w:val="17"/>
              </w:rPr>
              <w:t>-2.8%</w:t>
            </w:r>
          </w:p>
        </w:tc>
      </w:tr>
      <w:tr>
        <w:tc>
          <w:tcPr>
            <w:tcW w:type="dxa" w:w="1440"/>
            <w:shd w:fill="FFDCE0" w:val="clear"/>
          </w:tcPr>
          <w:p>
            <w:r>
              <w:rPr>
                <w:sz w:val="17"/>
              </w:rPr>
              <w:t>J+7  Moyenne</w:t>
            </w:r>
          </w:p>
        </w:tc>
        <w:tc>
          <w:tcPr>
            <w:tcW w:type="dxa" w:w="1440"/>
            <w:shd w:fill="FFDCE0" w:val="clear"/>
          </w:tcPr>
          <w:p>
            <w:r>
              <w:rPr>
                <w:sz w:val="17"/>
              </w:rPr>
              <w:t>2026-08-27</w:t>
            </w:r>
          </w:p>
        </w:tc>
        <w:tc>
          <w:tcPr>
            <w:tcW w:type="dxa" w:w="1440"/>
            <w:shd w:fill="FFDCE0" w:val="clear"/>
          </w:tcPr>
          <w:p>
            <w:r>
              <w:rPr>
                <w:sz w:val="17"/>
              </w:rPr>
              <w:t>4,012</w:t>
            </w:r>
          </w:p>
        </w:tc>
        <w:tc>
          <w:tcPr>
            <w:tcW w:type="dxa" w:w="1440"/>
            <w:shd w:fill="FFDCE0" w:val="clear"/>
          </w:tcPr>
          <w:p>
            <w:r>
              <w:rPr>
                <w:b/>
                <w:sz w:val="17"/>
              </w:rPr>
              <w:t>4,304</w:t>
            </w:r>
          </w:p>
        </w:tc>
        <w:tc>
          <w:tcPr>
            <w:tcW w:type="dxa" w:w="1440"/>
            <w:shd w:fill="FFDCE0" w:val="clear"/>
          </w:tcPr>
          <w:p>
            <w:r>
              <w:rPr>
                <w:sz w:val="17"/>
              </w:rPr>
              <w:t>4,595</w:t>
            </w:r>
          </w:p>
        </w:tc>
        <w:tc>
          <w:tcPr>
            <w:tcW w:type="dxa" w:w="1440"/>
            <w:shd w:fill="FFDCE0" w:val="clear"/>
          </w:tcPr>
          <w:p>
            <w:r>
              <w:rPr>
                <w:b/>
                <w:color w:val="C00000"/>
                <w:sz w:val="17"/>
              </w:rPr>
              <w:t>-3.3%</w:t>
            </w:r>
          </w:p>
        </w:tc>
      </w:tr>
      <w:tr>
        <w:tc>
          <w:tcPr>
            <w:tcW w:type="dxa" w:w="1440"/>
            <w:shd w:fill="FFDCE0" w:val="clear"/>
          </w:tcPr>
          <w:p>
            <w:r>
              <w:rPr>
                <w:sz w:val="17"/>
              </w:rPr>
              <w:t>J+8  Moyenne</w:t>
            </w:r>
          </w:p>
        </w:tc>
        <w:tc>
          <w:tcPr>
            <w:tcW w:type="dxa" w:w="1440"/>
            <w:shd w:fill="FFDCE0" w:val="clear"/>
          </w:tcPr>
          <w:p>
            <w:r>
              <w:rPr>
                <w:sz w:val="17"/>
              </w:rPr>
              <w:t>2026-08-28</w:t>
            </w:r>
          </w:p>
        </w:tc>
        <w:tc>
          <w:tcPr>
            <w:tcW w:type="dxa" w:w="1440"/>
            <w:shd w:fill="FFDCE0" w:val="clear"/>
          </w:tcPr>
          <w:p>
            <w:r>
              <w:rPr>
                <w:sz w:val="17"/>
              </w:rPr>
              <w:t>3,974</w:t>
            </w:r>
          </w:p>
        </w:tc>
        <w:tc>
          <w:tcPr>
            <w:tcW w:type="dxa" w:w="1440"/>
            <w:shd w:fill="FFDCE0" w:val="clear"/>
          </w:tcPr>
          <w:p>
            <w:r>
              <w:rPr>
                <w:b/>
                <w:sz w:val="17"/>
              </w:rPr>
              <w:t>4,284</w:t>
            </w:r>
          </w:p>
        </w:tc>
        <w:tc>
          <w:tcPr>
            <w:tcW w:type="dxa" w:w="1440"/>
            <w:shd w:fill="FFDCE0" w:val="clear"/>
          </w:tcPr>
          <w:p>
            <w:r>
              <w:rPr>
                <w:sz w:val="17"/>
              </w:rPr>
              <w:t>4,595</w:t>
            </w:r>
          </w:p>
        </w:tc>
        <w:tc>
          <w:tcPr>
            <w:tcW w:type="dxa" w:w="1440"/>
            <w:shd w:fill="FFDCE0" w:val="clear"/>
          </w:tcPr>
          <w:p>
            <w:r>
              <w:rPr>
                <w:b/>
                <w:color w:val="C00000"/>
                <w:sz w:val="17"/>
              </w:rPr>
              <w:t>-3.7%</w:t>
            </w:r>
          </w:p>
        </w:tc>
      </w:tr>
      <w:tr>
        <w:tc>
          <w:tcPr>
            <w:tcW w:type="dxa" w:w="1440"/>
            <w:shd w:fill="FFDCE0" w:val="clear"/>
          </w:tcPr>
          <w:p>
            <w:r>
              <w:rPr>
                <w:sz w:val="17"/>
              </w:rPr>
              <w:t>J+9  Moyenne</w:t>
            </w:r>
          </w:p>
        </w:tc>
        <w:tc>
          <w:tcPr>
            <w:tcW w:type="dxa" w:w="1440"/>
            <w:shd w:fill="FFDCE0" w:val="clear"/>
          </w:tcPr>
          <w:p>
            <w:r>
              <w:rPr>
                <w:sz w:val="17"/>
              </w:rPr>
              <w:t>2026-08-31</w:t>
            </w:r>
          </w:p>
        </w:tc>
        <w:tc>
          <w:tcPr>
            <w:tcW w:type="dxa" w:w="1440"/>
            <w:shd w:fill="FFDCE0" w:val="clear"/>
          </w:tcPr>
          <w:p>
            <w:r>
              <w:rPr>
                <w:sz w:val="17"/>
              </w:rPr>
              <w:t>3,937</w:t>
            </w:r>
          </w:p>
        </w:tc>
        <w:tc>
          <w:tcPr>
            <w:tcW w:type="dxa" w:w="1440"/>
            <w:shd w:fill="FFDCE0" w:val="clear"/>
          </w:tcPr>
          <w:p>
            <w:r>
              <w:rPr>
                <w:b/>
                <w:sz w:val="17"/>
              </w:rPr>
              <w:t>4,265</w:t>
            </w:r>
          </w:p>
        </w:tc>
        <w:tc>
          <w:tcPr>
            <w:tcW w:type="dxa" w:w="1440"/>
            <w:shd w:fill="FFDCE0" w:val="clear"/>
          </w:tcPr>
          <w:p>
            <w:r>
              <w:rPr>
                <w:sz w:val="17"/>
              </w:rPr>
              <w:t>4,593</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2026-09-01</w:t>
            </w:r>
          </w:p>
        </w:tc>
        <w:tc>
          <w:tcPr>
            <w:tcW w:type="dxa" w:w="1440"/>
            <w:shd w:fill="FFDCE0" w:val="clear"/>
          </w:tcPr>
          <w:p>
            <w:r>
              <w:rPr>
                <w:sz w:val="17"/>
              </w:rPr>
              <w:t>3,902</w:t>
            </w:r>
          </w:p>
        </w:tc>
        <w:tc>
          <w:tcPr>
            <w:tcW w:type="dxa" w:w="1440"/>
            <w:shd w:fill="FFDCE0" w:val="clear"/>
          </w:tcPr>
          <w:p>
            <w:r>
              <w:rPr>
                <w:b/>
                <w:sz w:val="17"/>
              </w:rPr>
              <w:t>4,246</w:t>
            </w:r>
          </w:p>
        </w:tc>
        <w:tc>
          <w:tcPr>
            <w:tcW w:type="dxa" w:w="1440"/>
            <w:shd w:fill="FFDCE0" w:val="clear"/>
          </w:tcPr>
          <w:p>
            <w:r>
              <w:rPr>
                <w:sz w:val="17"/>
              </w:rPr>
              <w:t>4,590</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PRSC s'établit à 45,57 milliards FCFA, un niveau qui la positionne comme une valeur de taille moyenne sur la BRVM, dans un secteur automobile ivoirien en croissance. Le BPA de 231 FCFA indique que chaque action génère un bénéfice substantiel, mais le PER de 19,2x est nettement supérieur à la moyenne historique de la BRVM (8-12x), ce qui signifie que les investisseurs paient une prime significative pour la croissance anticipée. Le P/B de 3,95x confirme cette prime, le marché valorisant l'actif net comptable près de 4 fois, ce qui est élevé pour une entreprise de distribution. Enfin, l'EV/EBITDA de 9,8x, dans la fourchette haute des 5-10x jugés raisonnables, suggère que la valeur totale de l'entreprise (dette incluse) reste cohérente avec sa capacité opérationnelle, bien que la prime de valorisation globale limite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PRSC a enregistré une baisse de 7,29%, avec une dernière séance en repli de 1,00% à 4 450 FCFA, illustrant une tendance baissière persistante. Le titre a évolué dans une fourchette large de 3 620 à 5 100 FCFA, montrant une amplitude de trading importante. La moyenne (4 478 FCFA) et la médiane (4 500 FCFA) étant très proches, la distribution des prix est relativement symétrique, mais le skewness de -0,706 révèle une asymétrie négative avec des épisodes de fortes baisses plus fréquents que les fortes hausses. L'écart-type de 368 FCFA (CV de 8,2%) indique une dispersion modérée autour de la moyenne, tandis que le kurtosis de -0,022 (mésokurtique) suggère l'absence de risques extrêmes de pics ou de krachs. La volatilité annualisée de 40,2% est élevée (&gt;30%), signalant un titre particulièrement risqué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(4 450 FCFA) se situe sous la MM20 (4 508,75 FCFA) et la MM50 (4 467,3 FCFA), indiquant une pression vendeuse à court et moyen terme. Cependant, la décision globale reste "Achat", probablement car le cours est encore proche de la MM50, laissant entrevoir un potentiel de rebond si cette moyenne mobile sert de support dynamique.</w:t>
      </w:r>
    </w:p>
    <w:p>
      <w:pPr>
        <w:spacing w:after="120" w:line="276" w:lineRule="auto"/>
      </w:pPr>
      <w:r>
        <w:t>**Bandes de Bollinger** : Le prix évolue entre la borne inférieure (4 349,248 FCFA) et la borne supérieure (4 668,252 FCFA), mais plus près de la borne inférieure, ce qui reflète une volatilité modérée et un marché en phase de consolidation. La décision "Neutre" est cohérente avec une absence de signal directionnel fort, le cours n'ayant pas encore testé les extrêmes des bandes.</w:t>
      </w:r>
    </w:p>
    <w:p>
      <w:pPr>
        <w:spacing w:after="120" w:line="276" w:lineRule="auto"/>
      </w:pPr>
      <w:r>
        <w:t>**MACD** : La valeur négative du MACD (-1,242) par rapport au signal (7,286) confirme une dynamique baissière, le momentum étant clairement négatif. La décision "Vente" est justifiée par cette divergence négative, qui indique que la pression vendeuse domine actuellement le marché.</w:t>
      </w:r>
    </w:p>
    <w:p>
      <w:pPr>
        <w:spacing w:after="120" w:line="276" w:lineRule="auto"/>
      </w:pPr>
      <w:r>
        <w:t>**RSI** : À 41,228, le RSI se situe en zone neutre (30-70), ni suracheté ni survendu. Cela suggère que le titre n'est pas encore dans une zone extrême, mais la tendance baissière du RSI indique une faiblesse relative, justifiant la décision "Neutre" avec un biais baissier.</w:t>
      </w:r>
    </w:p>
    <w:p>
      <w:pPr>
        <w:spacing w:after="120" w:line="276" w:lineRule="auto"/>
      </w:pPr>
      <w:r>
        <w:t>**Stochastique** : Le %K (33,333) est inférieur au %D (47,302), indiquant un croisement baissier récent. Cette configuration signale une perte de momentum haussier, mais le niveau n'est pas encore en zone de survente (&lt;20), d'où la décision "Neutre" avec un risque de poursuite de la baisse.</w:t>
      </w:r>
    </w:p>
    <w:p>
      <w:pPr>
        <w:spacing w:after="120" w:line="276" w:lineRule="auto"/>
      </w:pPr>
      <w:r>
        <w:t>**Conclusion technique** : Les indicateurs techniques sont globalement mitigés, avec une majorité de signaux baissiers (MACD, Stochastique) contre des signaux neutres (Bollinger, RSI) et un signal d'achat sur les moyennes mobiles. Cette divergence reflète un marché indécis, mais la tendance de fond reste baissière, et un rebond technique ne serait possible qu'en cas de cassure au-dessus de la MM20.</w:t>
      </w:r>
    </w:p>
    <w:p>
      <w:pPr>
        <w:spacing w:after="120" w:line="276" w:lineRule="auto" w:before="240"/>
      </w:pPr>
      <w:r>
        <w:rPr>
          <w:b/>
          <w:color w:val="003366"/>
          <w:sz w:val="24"/>
        </w:rPr>
        <w:t>**PARTIE 3 : ANALYSE FONDAMENTALE (SECTION CRITIQUE)**</w:t>
      </w:r>
    </w:p>
    <w:p>
      <w:pPr>
        <w:spacing w:after="120" w:line="276" w:lineRule="auto"/>
      </w:pPr>
      <w:r>
        <w:t>En 2025, PRSC affiche un chiffre d'affaires de 81,127 milliards FCFA, en hausse de 8,64% par rapport à 2024, et un résultat net de 2,367 milliards FCFA, stable par rapport aux 2,35 milliards de 2024. Le ROE de 20,53% est excellent (&gt;15%), démontrant une forte rentabilité des capitaux propres, tandis que le ROA de 4,95% reste modéré, reflétant une rotation des actifs élevée (169,59%) mais une marge nette faible (2,92%). En tant qu'entreprise de distribution automobile, les délais clients (45,99 jours) et fournisseurs (102,65 jours) sont favorables, la société finançant ses clients grâce au crédit fournisseur, mais la durée de stockage de 150,51 jours est préoccupante, immobilisant un capital important. Le BFR de 11,267 milliards FCFA et la trésorerie nette négative de -4,092 milliards FCFA indiquent une tension de trésorerie, malgré une capacité d'autofinancement de 3,913 milliards FCFA. Les rapports trimestriels 2025 (S1 2025 : CA +15,1%, résultat net ×28 à 1,436 milliard FCFA) confirment une dynamique commerciale soutenue, mais le rapport annuel 2025 (daté du 31/12/2025) montre une normalisation de la rentabilité. La société a annoncé un dividende de 209 FCFA par action pour 2025, offrant un rendement de 4,7%, et le rapport 2024 (daté du 31/12/2024) soulignait déjà une amélioration de la marge nette grâce à des éléments exceptionnels. Globalement, PRSC présente une solidité financière correcte, mais la pression sur les marges et la gestion du BFR restent des défis majeurs.</w:t>
      </w:r>
    </w:p>
    <w:p>
      <w:pPr>
        <w:spacing w:after="120" w:line="276" w:lineRule="auto" w:before="240"/>
      </w:pPr>
      <w:r>
        <w:rPr>
          <w:b/>
          <w:color w:val="003366"/>
          <w:sz w:val="24"/>
        </w:rPr>
        <w:t>**PARTIE 4 : CONCLUSION D'INVESTISSEMENT**</w:t>
      </w:r>
    </w:p>
    <w:p>
      <w:pPr>
        <w:spacing w:after="120" w:line="276" w:lineRule="auto"/>
      </w:pPr>
      <w:r>
        <w:t>La valorisation de PRSC (PER 19,2x, P/B 3,95x) indique une surévaluation relative par rapport au marché BRVM, malgré des fondamentaux corrects (ROE 20,5%, croissance CA 8,6%). Le comportement du cours sur 100 jours est baissier (-7,29%) avec une volatilité élevée (40,2%), et les statistiques (skewness négatif) suggèrent un risque accru de nouvelles baisses. Les signaux techniques sont mitigés mais globalement baissiers (MACD vente, Stochastique baissier), tandis que les fondamentaux restent stables avec un dividende attractif de 209 FCFA. Les prédictions IA (4 431 à 4 344 FCFA sur 10 jours) confirment la tendance baissière à court terme, avec une poursuite du déclin attendue. La convergence entre la surévaluation, la tendance technique baissière et les prédictions IA est forte, malgré des fondamentaux corrects. **Recommandation : VENTE** pour les investisseurs à court terme, avec un niveau de confiance **Moyen** et un risque global **Élevé**. Pour les investisseurs à long terme (&gt;1 an), une position **CONSERVER** pourrait se justifier grâce au dividende et à la croissance du marché automobile ivoirien, mais un point d'entrée plus bas (autour de 4 200 FCFA) serait idéal. Horizon d'investissement optimal : moyen terme (3-12 mois) pour observer un éventuel redressement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46.53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7,443 titres</w:t>
            </w:r>
          </w:p>
        </w:tc>
        <w:tc>
          <w:tcPr>
            <w:tcW w:type="dxa" w:w="2268"/>
            <w:shd w:fill="FFF2CC" w:val="clear"/>
          </w:tcPr>
          <w:p>
            <w:r>
              <w:rPr>
                <w:b/>
                <w:color w:val="503200"/>
                <w:sz w:val="16"/>
              </w:rPr>
              <w:t xml:space="preserve">Cours actuel : </w:t>
            </w:r>
            <w:r>
              <w:rPr>
                <w:color w:val="000000"/>
                <w:sz w:val="17"/>
              </w:rPr>
              <w:t>5,730 FCFA</w:t>
            </w:r>
          </w:p>
          <w:p>
            <w:r>
              <w:rPr>
                <w:b/>
                <w:color w:val="503200"/>
                <w:sz w:val="16"/>
              </w:rPr>
              <w:t xml:space="preserve">Var. 100 jours : </w:t>
            </w:r>
            <w:r>
              <w:rPr>
                <w:b/>
                <w:color w:val="B40000"/>
                <w:sz w:val="17"/>
              </w:rPr>
              <w:t>-1.29%</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23.46% (Élevée) — μ=4,791 FCFA, σ=1,124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β=0.2214 (Défensif) — Cov=0.000007, Var(idx)=0.000031, ρ=0.023,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σ_j=5.38%/j (Instable) — Vol. annualisée≈85.4%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4,958</w:t>
            </w:r>
          </w:p>
        </w:tc>
        <w:tc>
          <w:tcPr>
            <w:tcW w:type="dxa" w:w="1440"/>
            <w:shd w:fill="FFDCE0" w:val="clear"/>
          </w:tcPr>
          <w:p>
            <w:r>
              <w:rPr>
                <w:b/>
                <w:sz w:val="17"/>
              </w:rPr>
              <w:t>5,300</w:t>
            </w:r>
          </w:p>
        </w:tc>
        <w:tc>
          <w:tcPr>
            <w:tcW w:type="dxa" w:w="1440"/>
            <w:shd w:fill="FFDCE0" w:val="clear"/>
          </w:tcPr>
          <w:p>
            <w:r>
              <w:rPr>
                <w:sz w:val="17"/>
              </w:rPr>
              <w:t>5,642</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4,455</w:t>
            </w:r>
          </w:p>
        </w:tc>
        <w:tc>
          <w:tcPr>
            <w:tcW w:type="dxa" w:w="1440"/>
            <w:shd w:fill="FFDCE0" w:val="clear"/>
          </w:tcPr>
          <w:p>
            <w:r>
              <w:rPr>
                <w:b/>
                <w:sz w:val="17"/>
              </w:rPr>
              <w:t>4,903</w:t>
            </w:r>
          </w:p>
        </w:tc>
        <w:tc>
          <w:tcPr>
            <w:tcW w:type="dxa" w:w="1440"/>
            <w:shd w:fill="FFDCE0" w:val="clear"/>
          </w:tcPr>
          <w:p>
            <w:r>
              <w:rPr>
                <w:sz w:val="17"/>
              </w:rPr>
              <w:t>5,350</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4,028</w:t>
            </w:r>
          </w:p>
        </w:tc>
        <w:tc>
          <w:tcPr>
            <w:tcW w:type="dxa" w:w="1440"/>
            <w:shd w:fill="FFDCE0" w:val="clear"/>
          </w:tcPr>
          <w:p>
            <w:r>
              <w:rPr>
                <w:b/>
                <w:sz w:val="17"/>
              </w:rPr>
              <w:t>4,535</w:t>
            </w:r>
          </w:p>
        </w:tc>
        <w:tc>
          <w:tcPr>
            <w:tcW w:type="dxa" w:w="1440"/>
            <w:shd w:fill="FFDCE0" w:val="clear"/>
          </w:tcPr>
          <w:p>
            <w:r>
              <w:rPr>
                <w:sz w:val="17"/>
              </w:rPr>
              <w:t>5,042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3,653</w:t>
            </w:r>
          </w:p>
        </w:tc>
        <w:tc>
          <w:tcPr>
            <w:tcW w:type="dxa" w:w="1440"/>
            <w:shd w:fill="FFDCE0" w:val="clear"/>
          </w:tcPr>
          <w:p>
            <w:r>
              <w:rPr>
                <w:b/>
                <w:sz w:val="17"/>
              </w:rPr>
              <w:t>4,195</w:t>
            </w:r>
          </w:p>
        </w:tc>
        <w:tc>
          <w:tcPr>
            <w:tcW w:type="dxa" w:w="1440"/>
            <w:shd w:fill="FFDCE0" w:val="clear"/>
          </w:tcPr>
          <w:p>
            <w:r>
              <w:rPr>
                <w:sz w:val="17"/>
              </w:rPr>
              <w:t>4,736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3,320</w:t>
            </w:r>
          </w:p>
        </w:tc>
        <w:tc>
          <w:tcPr>
            <w:tcW w:type="dxa" w:w="1440"/>
            <w:shd w:fill="FFDCE0" w:val="clear"/>
          </w:tcPr>
          <w:p>
            <w:r>
              <w:rPr>
                <w:b/>
                <w:sz w:val="17"/>
              </w:rPr>
              <w:t>3,880</w:t>
            </w:r>
          </w:p>
        </w:tc>
        <w:tc>
          <w:tcPr>
            <w:tcW w:type="dxa" w:w="1440"/>
            <w:shd w:fill="FFDCE0" w:val="clear"/>
          </w:tcPr>
          <w:p>
            <w:r>
              <w:rPr>
                <w:sz w:val="17"/>
              </w:rPr>
              <w:t>4,440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3,022</w:t>
            </w:r>
          </w:p>
        </w:tc>
        <w:tc>
          <w:tcPr>
            <w:tcW w:type="dxa" w:w="1440"/>
            <w:shd w:fill="FFDCE0" w:val="clear"/>
          </w:tcPr>
          <w:p>
            <w:r>
              <w:rPr>
                <w:b/>
                <w:sz w:val="17"/>
              </w:rPr>
              <w:t>3,589</w:t>
            </w:r>
          </w:p>
        </w:tc>
        <w:tc>
          <w:tcPr>
            <w:tcW w:type="dxa" w:w="1440"/>
            <w:shd w:fill="FFDCE0" w:val="clear"/>
          </w:tcPr>
          <w:p>
            <w:r>
              <w:rPr>
                <w:sz w:val="17"/>
              </w:rPr>
              <w:t>4,157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2,753</w:t>
            </w:r>
          </w:p>
        </w:tc>
        <w:tc>
          <w:tcPr>
            <w:tcW w:type="dxa" w:w="1440"/>
            <w:shd w:fill="FFDCE0" w:val="clear"/>
          </w:tcPr>
          <w:p>
            <w:r>
              <w:rPr>
                <w:b/>
                <w:sz w:val="17"/>
              </w:rPr>
              <w:t>3,320</w:t>
            </w:r>
          </w:p>
        </w:tc>
        <w:tc>
          <w:tcPr>
            <w:tcW w:type="dxa" w:w="1440"/>
            <w:shd w:fill="FFDCE0" w:val="clear"/>
          </w:tcPr>
          <w:p>
            <w:r>
              <w:rPr>
                <w:sz w:val="17"/>
              </w:rPr>
              <w:t>3,887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2,510</w:t>
            </w:r>
          </w:p>
        </w:tc>
        <w:tc>
          <w:tcPr>
            <w:tcW w:type="dxa" w:w="1440"/>
            <w:shd w:fill="FFDCE0" w:val="clear"/>
          </w:tcPr>
          <w:p>
            <w:r>
              <w:rPr>
                <w:b/>
                <w:sz w:val="17"/>
              </w:rPr>
              <w:t>3,071</w:t>
            </w:r>
          </w:p>
        </w:tc>
        <w:tc>
          <w:tcPr>
            <w:tcW w:type="dxa" w:w="1440"/>
            <w:shd w:fill="FFDCE0" w:val="clear"/>
          </w:tcPr>
          <w:p>
            <w:r>
              <w:rPr>
                <w:sz w:val="17"/>
              </w:rPr>
              <w:t>3,632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2,291</w:t>
            </w:r>
          </w:p>
        </w:tc>
        <w:tc>
          <w:tcPr>
            <w:tcW w:type="dxa" w:w="1440"/>
            <w:shd w:fill="FFDCE0" w:val="clear"/>
          </w:tcPr>
          <w:p>
            <w:r>
              <w:rPr>
                <w:b/>
                <w:sz w:val="17"/>
              </w:rPr>
              <w:t>2,841</w:t>
            </w:r>
          </w:p>
        </w:tc>
        <w:tc>
          <w:tcPr>
            <w:tcW w:type="dxa" w:w="1440"/>
            <w:shd w:fill="FFDCE0" w:val="clear"/>
          </w:tcPr>
          <w:p>
            <w:r>
              <w:rPr>
                <w:sz w:val="17"/>
              </w:rPr>
              <w:t>3,391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2,091</w:t>
            </w:r>
          </w:p>
        </w:tc>
        <w:tc>
          <w:tcPr>
            <w:tcW w:type="dxa" w:w="1440"/>
            <w:shd w:fill="FFDCE0" w:val="clear"/>
          </w:tcPr>
          <w:p>
            <w:r>
              <w:rPr>
                <w:b/>
                <w:sz w:val="17"/>
              </w:rPr>
              <w:t>2,628</w:t>
            </w:r>
          </w:p>
        </w:tc>
        <w:tc>
          <w:tcPr>
            <w:tcW w:type="dxa" w:w="1440"/>
            <w:shd w:fill="FFDCE0" w:val="clear"/>
          </w:tcPr>
          <w:p>
            <w:r>
              <w:rPr>
                <w:sz w:val="17"/>
              </w:rPr>
              <w:t>3,164</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 17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46,53 milliards FCFA, un niveau modeste dans le contexte de la BRVM, reflétant une société de taille moyenne en phase de redressement. Le BPA de 86 FCFA par action indique un bénéfice net par action relativement faible, cohérent avec une rentabilité en cours de normalisation. Le PER de 66,4x est extrêmement élevé, très au-dessus de la moyenne du marché BRVM (8-12x), signifiant que les investisseurs paient une prime considérable pour chaque franc de bénéfice, anticipant probablement une forte croissance future. Le P/B de 7,86x confirme cette valorisation exigeante, le marché valorisant le titre près de 8 fois sa valeur comptable, ce qui reflète des attentes de rendement élevé sur les capitaux propres. Enfin, l'EV/EBITDA de 81,2x est également très élevé, indiquant que la valeur totale de l'entreprise est très supérieure à sa capacité opérationnelle actuelle, ce qui suggère une valorisation spéculative intégrant un scénario de redressement ambitieux.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affiche une variation totale de -1,29%, avec une baisse de -1,88% lors de la dernière séance, suggérant une légère pression vendeuse récente. Le titre a évolué dans une fourchette très large, oscillant entre un plus bas de 3 340 FCFA et un plus haut de 7 555 FCFA, soit une amplitude de plus de 126%, indiquant une volatilité extrême et des mouvements spéculatifs importants. La moyenne du cours sur la période (4 791 FCFA) est supérieure à la médiane (4 505 FCFA), et le skewness positif de 0,938 confirme une distribution asymétrique avec davantage de journées sous la moyenne, mais quelques fortes hausses qui tirent la moyenne vers le haut. L'écart-type de 1 129 FCFA (CV = 23,6%) révèle une dispersion significative des prix, tandis que le kurtosis de -0,093 (mésokurtique) indique une distribution proche de la normale, sans risque de pics extrêmes particulier. La volatilité annualisée de 85,4% est extrêmement élevée, bien au-dessus du seuil de 30%, classant SAFC comme un titre très risqué, typique des valeurs en phase de restructuration ou de spéculation intense.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5 730 FCFA se situe nettement au-dessus de la MM20 (5 016 FCFA) et de la MM50 (4 580 FCFA), avec un écart positif de 14% et 25% respectivement. Cette configuration haussière, où le prix évolue au-dessus des deux moyennes, confirme une dynamique positive à court et moyen terme, justifiant la décision d'achat signalée.</w:t>
      </w:r>
    </w:p>
    <w:p>
      <w:pPr>
        <w:spacing w:after="120" w:line="276" w:lineRule="auto"/>
      </w:pPr>
      <w:r>
        <w:t>**Bandes de Bollinger :** Le prix à 5 730 FCFA se positionne près de la borne supérieure (5 861 FCFA), indiquant une pression acheteuse soutenue. La largeur des bandes (écart de 1 690 FCFA entre les bornes) reflète la forte volatilité du titre. Le signal neutre suggère que le marché attend une confirmation directionnelle, le prix étant dans la zone supérieure sans avoir franchi la borne.</w:t>
      </w:r>
    </w:p>
    <w:p>
      <w:pPr>
        <w:spacing w:after="120" w:line="276" w:lineRule="auto"/>
      </w:pPr>
      <w:r>
        <w:t>**MACD :** La valeur du MACD (289,69) est supérieure à son signal (228,96), avec un écart positif de 60,73 points. Cette divergence positive confirme un momentum haussier en cours, les acheteurs gardant le contrôle. La décision d'achat est justifiée par cette dynamique, bien que l'amplitude de l'écart suggère une possible consolidation à court terme.</w:t>
      </w:r>
    </w:p>
    <w:p>
      <w:pPr>
        <w:spacing w:after="120" w:line="276" w:lineRule="auto"/>
      </w:pPr>
      <w:r>
        <w:t>**RSI :** À 66,5, le RSI se situe dans la zone neutre-haute, proche du seuil de surachat (70). Cette valeur indique une pression acheteuse encore présente mais potentiellement proche de l'épuisement. Le signal neutre est cohérent avec une possible stabilisation avant une nouvelle direction, les investisseurs devant surveiller un éventuel franchissement du seuil de 70.</w:t>
      </w:r>
    </w:p>
    <w:p>
      <w:pPr>
        <w:spacing w:after="120" w:line="276" w:lineRule="auto"/>
      </w:pPr>
      <w:r>
        <w:t>**Stochastique :** Le %K (89,32) et le %D (96,44) sont tous deux en zone de surachat, avec un %D supérieur au %K, indiquant un croisement baissier potentiel. Cette configuration signale un épuisement probable du mouvement haussier à court terme, justifiant la décision de vente. Les investisseurs devraient être prudents face à ce signal de retournement.</w:t>
      </w:r>
    </w:p>
    <w:p>
      <w:pPr>
        <w:spacing w:after="120" w:line="276" w:lineRule="auto"/>
      </w:pPr>
      <w:r>
        <w:t>**Conclusion technique :** Les indicateurs présentent des signaux contrastés : les moyennes mobiles et le MACD sont positifs, tandis que le stochastique est clairement suracheté et le RSI approche de la zone de surachat. Cette divergence suggère une tendance haussière de fond mais avec un risque de correction technique à court terme. La prudence est recommandée, avec une surveillance étroite des niveaux de support (MM20 à 5 016 FCFA) et de résistance (borne supérieure à 5 861 FCFA).</w:t>
      </w:r>
    </w:p>
    <w:p>
      <w:pPr>
        <w:spacing w:after="120" w:line="276" w:lineRule="auto"/>
      </w:pPr>
      <w:r>
        <w:t>---</w:t>
      </w:r>
    </w:p>
    <w:p>
      <w:pPr>
        <w:spacing w:after="120" w:line="276" w:lineRule="auto"/>
      </w:pPr>
      <w:r>
        <w:t>### PARTIE 3 : ANALYSE FONDAMENTALE (SECTION CRITIQUE)</w:t>
      </w:r>
    </w:p>
    <w:p>
      <w:pPr>
        <w:spacing w:after="120" w:line="276" w:lineRule="auto"/>
      </w:pPr>
      <w:r>
        <w:t>En 2025, SAFC (secteur banque) affiche un Produit Net Bancaire de 5,735 milliards FCFA, en hausse de 44,1% par rapport à 2024 (3,980 milliards FCFA), démontrant une dynamique commerciale exceptionnelle. Le résultat net s'établit à 701 millions FCFA, marquant un retournement spectaculaire après une perte de 165 millions FCFA en 2024, avec une marge nette de 12,2%. Le ROE de 11,85% reste en dessous du seuil d'excellence de 15%, mais le ROA de 0,88% témoigne d'une amélioration notable de l'efficacité opérationnelle. Le coefficient d'exploitation de 77,6% reste élevé (supérieur au seuil d'efficacité de 60%), indiquant des charges d'exploitation encore importantes. Le coût du risque de 6,57% demeure préoccupant, reflétant une qualité de portefeuille encore fragile. Les créances sur la clientèle (60,476 milliards FCFA) sont largement supérieures aux dépôts clientèle (9,112 milliards FCFA), créant un déséquilibre de transformation significatif, compensé par des dettes interbancaires massives (35,747 milliards FCFA). Selon le rapport T1 2026 (analysé en juin 2026), le PNB progresse de 29% à 1,395 milliard FCFA et le résultat net bondit de 1062% à 151 millions FCFA, avec un coût du risque en amélioration de 75%. Sur cette base, on estime que l'exercice 2026 pourrait voir un PNB de 7,4 milliards FCFA et un résultat net de 800 millions FCFA, confirmant la trajectoire de redressement initiée par l'arrivée de CREDAF Group. Les capitaux propres restent modestes (5,916 milliards FCFA) avec un report à nouveau négatif de -4,123 milliards FCFA, mais l'augmentation de capital de 1,5 milliard FCFA en cours (avril 2026) devrait renforcer la structure financière.</w:t>
      </w:r>
    </w:p>
    <w:p>
      <w:pPr>
        <w:spacing w:after="120" w:line="276" w:lineRule="auto"/>
      </w:pPr>
      <w:r>
        <w:t>---</w:t>
      </w:r>
    </w:p>
    <w:p>
      <w:pPr>
        <w:spacing w:after="120" w:line="276" w:lineRule="auto"/>
      </w:pPr>
      <w:r>
        <w:t>### PARTIE 4 : CONCLUSION D'INVESTISSEMENT</w:t>
      </w:r>
    </w:p>
    <w:p>
      <w:pPr>
        <w:spacing w:after="120" w:line="276" w:lineRule="auto"/>
      </w:pPr>
      <w:r>
        <w:t>La valorisation de SAFC est extrêmement exigeante (PER 66,4x, P/B 7,86x, EV/EBITDA 81,2x), indiquant une surévaluation manifeste par rapport aux fondamentaux actuels, les investisseurs payant une prime spéculative pour le redressement en cours. Le comportement du cours sur 100 jours montre une volatilité extrême (85,4% annualisée) avec une tendance légèrement baissière (-1,29%), reflétant l'incertitude du marché malgré les améliorations fondamentales. Les signaux techniques sont mitigés : les moyennes mobiles et le MACD soutiennent une tendance haussière, mais le stochastique surachat et le RSI proche de 70 suggèrent une correction imminente. Les fondamentaux montrent un redressement spectaculaire (PNB +44%, résultat net positif en 2025, +1062% au T1 2026), mais la structure financière reste fragile avec des capitaux propres insuffisants et un coût du risque élevé. Les prédictions IA (5 300 à 3 880 FCFA sur 10 jours) confirment le risque de correction technique, anticipant une baisse de 32% par rapport au cours actuel. La convergence entre la surévaluation, les signaux techniques de surachat et les prédictions baissières conduit à une recommandation de **VENTE** avec un niveau de confiance **Moyen** et un risque global **Élevé**. L'horizon d'investissement optimal serait le court terme (&lt;3 mois) pour les investisseurs existants cherchant à sécuriser leurs gains, tandis que les nouveaux investisseurs devraient attendre une correction significative du cours pour envisager une position, idéalement après confirmation d'une consolidation durable des fondamentaux et d'un renforcement des capitaux propres.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70.36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12,403 titres</w:t>
            </w:r>
          </w:p>
        </w:tc>
        <w:tc>
          <w:tcPr>
            <w:tcW w:type="dxa" w:w="2268"/>
            <w:shd w:fill="FFF2CC" w:val="clear"/>
          </w:tcPr>
          <w:p>
            <w:r>
              <w:rPr>
                <w:b/>
                <w:color w:val="503200"/>
                <w:sz w:val="16"/>
              </w:rPr>
              <w:t xml:space="preserve">Cours actuel : </w:t>
            </w:r>
            <w:r>
              <w:rPr>
                <w:color w:val="000000"/>
                <w:sz w:val="17"/>
              </w:rPr>
              <w:t>3,590 FCFA</w:t>
            </w:r>
          </w:p>
          <w:p>
            <w:r>
              <w:rPr>
                <w:b/>
                <w:color w:val="503200"/>
                <w:sz w:val="16"/>
              </w:rPr>
              <w:t xml:space="preserve">Var. 100 jours : </w:t>
            </w:r>
            <w:r>
              <w:rPr>
                <w:b/>
                <w:color w:val="007800"/>
                <w:sz w:val="17"/>
              </w:rPr>
              <w:t>+125.79%</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1,515 FCFA</w:t>
            </w:r>
          </w:p>
          <w:p>
            <w:r>
              <w:rPr>
                <w:b/>
                <w:color w:val="503200"/>
                <w:sz w:val="16"/>
              </w:rPr>
              <w:t xml:space="preserve">Volatilité ann. : </w:t>
            </w:r>
            <w:r>
              <w:rPr>
                <w:color w:val="000000"/>
                <w:sz w:val="17"/>
              </w:rPr>
              <w:t>56.9%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25.88% (Élevée) — μ=2,780 FCFA, σ=720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β=1.0589 (Neutre (suit le marché)) — Cov=0.000033, Var(idx)=0.000031, ρ=0.165,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12,403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σ_j=3.58%/j (Modérée) — Vol. annualisée≈56.9%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3,144</w:t>
            </w:r>
          </w:p>
        </w:tc>
        <w:tc>
          <w:tcPr>
            <w:tcW w:type="dxa" w:w="1440"/>
            <w:shd w:fill="FFDCE0" w:val="clear"/>
          </w:tcPr>
          <w:p>
            <w:r>
              <w:rPr>
                <w:b/>
                <w:sz w:val="17"/>
              </w:rPr>
              <w:t>3,321</w:t>
            </w:r>
          </w:p>
        </w:tc>
        <w:tc>
          <w:tcPr>
            <w:tcW w:type="dxa" w:w="1440"/>
            <w:shd w:fill="FFDCE0" w:val="clear"/>
          </w:tcPr>
          <w:p>
            <w:r>
              <w:rPr>
                <w:sz w:val="17"/>
              </w:rPr>
              <w:t>3,497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2,841</w:t>
            </w:r>
          </w:p>
        </w:tc>
        <w:tc>
          <w:tcPr>
            <w:tcW w:type="dxa" w:w="1440"/>
            <w:shd w:fill="FFDCE0" w:val="clear"/>
          </w:tcPr>
          <w:p>
            <w:r>
              <w:rPr>
                <w:b/>
                <w:sz w:val="17"/>
              </w:rPr>
              <w:t>3,072</w:t>
            </w:r>
          </w:p>
        </w:tc>
        <w:tc>
          <w:tcPr>
            <w:tcW w:type="dxa" w:w="1440"/>
            <w:shd w:fill="FFDCE0" w:val="clear"/>
          </w:tcPr>
          <w:p>
            <w:r>
              <w:rPr>
                <w:sz w:val="17"/>
              </w:rPr>
              <w:t>3,303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2,580</w:t>
            </w:r>
          </w:p>
        </w:tc>
        <w:tc>
          <w:tcPr>
            <w:tcW w:type="dxa" w:w="1440"/>
            <w:shd w:fill="FFDCE0" w:val="clear"/>
          </w:tcPr>
          <w:p>
            <w:r>
              <w:rPr>
                <w:b/>
                <w:sz w:val="17"/>
              </w:rPr>
              <w:t>2,841</w:t>
            </w:r>
          </w:p>
        </w:tc>
        <w:tc>
          <w:tcPr>
            <w:tcW w:type="dxa" w:w="1440"/>
            <w:shd w:fill="FFDCE0" w:val="clear"/>
          </w:tcPr>
          <w:p>
            <w:r>
              <w:rPr>
                <w:sz w:val="17"/>
              </w:rPr>
              <w:t>3,103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2,349</w:t>
            </w:r>
          </w:p>
        </w:tc>
        <w:tc>
          <w:tcPr>
            <w:tcW w:type="dxa" w:w="1440"/>
            <w:shd w:fill="FFDCE0" w:val="clear"/>
          </w:tcPr>
          <w:p>
            <w:r>
              <w:rPr>
                <w:b/>
                <w:sz w:val="17"/>
              </w:rPr>
              <w:t>2,628</w:t>
            </w:r>
          </w:p>
        </w:tc>
        <w:tc>
          <w:tcPr>
            <w:tcW w:type="dxa" w:w="1440"/>
            <w:shd w:fill="FFDCE0" w:val="clear"/>
          </w:tcPr>
          <w:p>
            <w:r>
              <w:rPr>
                <w:sz w:val="17"/>
              </w:rPr>
              <w:t>2,908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2,142</w:t>
            </w:r>
          </w:p>
        </w:tc>
        <w:tc>
          <w:tcPr>
            <w:tcW w:type="dxa" w:w="1440"/>
            <w:shd w:fill="FFDCE0" w:val="clear"/>
          </w:tcPr>
          <w:p>
            <w:r>
              <w:rPr>
                <w:b/>
                <w:sz w:val="17"/>
              </w:rPr>
              <w:t>2,431</w:t>
            </w:r>
          </w:p>
        </w:tc>
        <w:tc>
          <w:tcPr>
            <w:tcW w:type="dxa" w:w="1440"/>
            <w:shd w:fill="FFDCE0" w:val="clear"/>
          </w:tcPr>
          <w:p>
            <w:r>
              <w:rPr>
                <w:sz w:val="17"/>
              </w:rPr>
              <w:t>2,720</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1,956</w:t>
            </w:r>
          </w:p>
        </w:tc>
        <w:tc>
          <w:tcPr>
            <w:tcW w:type="dxa" w:w="1440"/>
            <w:shd w:fill="FFDCE0" w:val="clear"/>
          </w:tcPr>
          <w:p>
            <w:r>
              <w:rPr>
                <w:b/>
                <w:sz w:val="17"/>
              </w:rPr>
              <w:t>2,249</w:t>
            </w:r>
          </w:p>
        </w:tc>
        <w:tc>
          <w:tcPr>
            <w:tcW w:type="dxa" w:w="1440"/>
            <w:shd w:fill="FFDCE0" w:val="clear"/>
          </w:tcPr>
          <w:p>
            <w:r>
              <w:rPr>
                <w:sz w:val="17"/>
              </w:rPr>
              <w:t>2,542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1,787</w:t>
            </w:r>
          </w:p>
        </w:tc>
        <w:tc>
          <w:tcPr>
            <w:tcW w:type="dxa" w:w="1440"/>
            <w:shd w:fill="FFDCE0" w:val="clear"/>
          </w:tcPr>
          <w:p>
            <w:r>
              <w:rPr>
                <w:b/>
                <w:sz w:val="17"/>
              </w:rPr>
              <w:t>2,080</w:t>
            </w:r>
          </w:p>
        </w:tc>
        <w:tc>
          <w:tcPr>
            <w:tcW w:type="dxa" w:w="1440"/>
            <w:shd w:fill="FFDCE0" w:val="clear"/>
          </w:tcPr>
          <w:p>
            <w:r>
              <w:rPr>
                <w:sz w:val="17"/>
              </w:rPr>
              <w:t>2,373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1,635</w:t>
            </w:r>
          </w:p>
        </w:tc>
        <w:tc>
          <w:tcPr>
            <w:tcW w:type="dxa" w:w="1440"/>
            <w:shd w:fill="FFDCE0" w:val="clear"/>
          </w:tcPr>
          <w:p>
            <w:r>
              <w:rPr>
                <w:b/>
                <w:sz w:val="17"/>
              </w:rPr>
              <w:t>1,924</w:t>
            </w:r>
          </w:p>
        </w:tc>
        <w:tc>
          <w:tcPr>
            <w:tcW w:type="dxa" w:w="1440"/>
            <w:shd w:fill="FFDCE0" w:val="clear"/>
          </w:tcPr>
          <w:p>
            <w:r>
              <w:rPr>
                <w:sz w:val="17"/>
              </w:rPr>
              <w:t>2,213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1,496</w:t>
            </w:r>
          </w:p>
        </w:tc>
        <w:tc>
          <w:tcPr>
            <w:tcW w:type="dxa" w:w="1440"/>
            <w:shd w:fill="FFDCE0" w:val="clear"/>
          </w:tcPr>
          <w:p>
            <w:r>
              <w:rPr>
                <w:b/>
                <w:sz w:val="17"/>
              </w:rPr>
              <w:t>1,780</w:t>
            </w:r>
          </w:p>
        </w:tc>
        <w:tc>
          <w:tcPr>
            <w:tcW w:type="dxa" w:w="1440"/>
            <w:shd w:fill="FFDCE0" w:val="clear"/>
          </w:tcPr>
          <w:p>
            <w:r>
              <w:rPr>
                <w:sz w:val="17"/>
              </w:rPr>
              <w:t>2,064</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1,369</w:t>
            </w:r>
          </w:p>
        </w:tc>
        <w:tc>
          <w:tcPr>
            <w:tcW w:type="dxa" w:w="1440"/>
            <w:shd w:fill="FFDCE0" w:val="clear"/>
          </w:tcPr>
          <w:p>
            <w:r>
              <w:rPr>
                <w:b/>
                <w:sz w:val="17"/>
              </w:rPr>
              <w:t>1,646</w:t>
            </w:r>
          </w:p>
        </w:tc>
        <w:tc>
          <w:tcPr>
            <w:tcW w:type="dxa" w:w="1440"/>
            <w:shd w:fill="FFDCE0" w:val="clear"/>
          </w:tcPr>
          <w:p>
            <w:r>
              <w:rPr>
                <w:sz w:val="17"/>
              </w:rPr>
              <w:t>1,923</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70,36 milliards FCFA place SCRC parmi les valeurs moyennes de la BRVM, reflétant une prime de taille significative pour un acteur industriel majeur de la filière sucrière en Côte d'Ivoire. Le BPA négatif de -406 FCFA par action traduit une perte nette par action, ce qui rend le PER non exploitable (-8,8x) et signale une absence de bénéfices à valoriser. Le P/B de 4,08x indique que le marché valorise l'actif net comptable à plus de quatre fois sa valeur, une prime exigeante qui suggère que les investisseurs anticipent un redressement futur des fondamentaux. L'EV/EBITDA de 10,9x, bien que dans la fourchette de 10-15x, reflète une valorisation élevée par rapport à la capacité opérationnelle actuelle de l'entreprise, compte tenu de la faiblesse de l'EBITDA. Ces ratios, combinés à la perte nette, signalent une valorisation spéculative qui repose sur des perspectives de retour à la rentabilité plutôt que sur les performances actuelles.</w:t>
      </w:r>
    </w:p>
    <w:p>
      <w:pPr>
        <w:spacing w:after="120" w:line="276" w:lineRule="auto" w:before="240"/>
      </w:pPr>
      <w:r>
        <w:rPr>
          <w:b/>
          <w:color w:val="003366"/>
          <w:sz w:val="24"/>
        </w:rPr>
        <w:t>**PARTIE 1 : ANALYSE DU COURS — STATISTIQUES ET ÉVOLUTION (100 derniers jours)**</w:t>
      </w:r>
    </w:p>
    <w:p>
      <w:pPr>
        <w:spacing w:after="120" w:line="276" w:lineRule="auto"/>
      </w:pPr>
      <w:r>
        <w:t>Le cours de SCRC a enregistré une variation totale spectaculaire de +125,79% sur les 100 derniers jours, passant d'un plus bas de 1 515 FCFA à un plus haut de 3 920 FCFA, avant de clôturer à 3 590 FCFA, soit une légère baisse de -1,91% lors de la dernière séance. Cette tendance fortement haussière s'accompagne d'une moyenne de 2 780 FCFA et d'une médiane de 2 822 FCFA, dont la proximité indique une distribution relativement symétrique, confirmée par un skewness de -0,148. L'écart-type de 723 FCFA (CV=26,0%) révèle une dispersion modérée des prix autour de la moyenne, tandis que le kurtosis de -1,401 (platykurtique) suggère une distribution aplatie avec une faible concentration des valeurs extrêmes, réduisant le risque de pics soudains. La volatilité annualisée de 56,9% est très élevée, bien au-dessus du seuil de 30%, ce qui positionne le titre comme hautement spéculatif et risqué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La MM20 à 3 622,75 FCFA et la MM50 à 3 421,5 FCFA sont toutes deux inférieures au cours actuel de 3 590 FCFA, indiquant une dynamique haussière à court et moyen terme. Le croisement des moyennes mobiles avec le cours au-dessus de la MM50 confirme une tendance positive, justifiant la décision d'achat.</w:t>
      </w:r>
    </w:p>
    <w:p>
      <w:pPr>
        <w:spacing w:after="120" w:line="276" w:lineRule="auto"/>
      </w:pPr>
      <w:r>
        <w:t>**Bandes de Bollinger** : Le cours à 3 590 FCFA se situe entre la borne supérieure de 3 794,137 FCFA et la borne inférieure de 3 451,363 FCFA, proche du milieu de la bande, ce qui indique une volatilité modérée et un mouvement latéral potentiel. La décision neutre reflète l'absence de signal directionnel fort, le prix n'ayant pas touché les bornes extrêmes.</w:t>
      </w:r>
    </w:p>
    <w:p>
      <w:pPr>
        <w:spacing w:after="120" w:line="276" w:lineRule="auto"/>
      </w:pPr>
      <w:r>
        <w:t>**MACD** : La valeur MACD de 59,195 est inférieure au signal de 81,675, indiquant un momentum baissier à court terme malgré la tendance haussière sous-jacente. Cette divergence négative suggère un essoufflement de la dynamique haussière, justifiant la décision de vente.</w:t>
      </w:r>
    </w:p>
    <w:p>
      <w:pPr>
        <w:spacing w:after="120" w:line="276" w:lineRule="auto"/>
      </w:pPr>
      <w:r>
        <w:t>**RSI** : Le RSI de 52,02 se situe dans la zone neutre (30-70), indiquant un équilibre entre les forces acheteuses et vendeuses. Cette valeur ne montre ni surachat ni survente, justifiant une décision neutre et une absence de signal directionnel clair.</w:t>
      </w:r>
    </w:p>
    <w:p>
      <w:pPr>
        <w:spacing w:after="120" w:line="276" w:lineRule="auto"/>
      </w:pPr>
      <w:r>
        <w:t>**Stochastique** : Le %K à 16,0 est nettement inférieur au %D à 41,858, indiquant une zone de survente et un potentiel de rebond technique. Le croisement haussier potentiel suggère une opportunité d'achat à court terme, justifiant la décision d'achat.</w:t>
      </w:r>
    </w:p>
    <w:p>
      <w:pPr>
        <w:spacing w:after="120" w:line="276" w:lineRule="auto"/>
      </w:pPr>
      <w:r>
        <w:t>**Conclusion technique** : La convergence des signaux est mitigée, avec des indicateurs de tendance (MM) positifs mais des oscillateurs (MACD, RSI) neutres ou baissiers. Le stochastique en survente offre un signal de rebond potentiel, mais la prudence est de mise. Globalement, la tendance reste haussière à moyen terme, mais un repli technique est possible à court terme.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SCRC révèlent un chiffre d'affaires de 80,57 milliards FCFA, en baisse de 7,6% par rapport à 2024, et un résultat net déficitaire de -7,95 milliards FCFA, contre un bénéfice de 2,47 milliards FCFA en 2024, soit une dégradation de 421%. Le ROE s'effondre à -46,13% et le ROA à -5,08%, reflétant une rentabilité fortement négative. La marge brute de 45,8% reste stable, mais la marge nette chute à -9,87%. Le BFR de 6,53 milliards FCFA est positif, indiquant un besoin de financement du cycle d'exploitation, avec un délai fournisseurs très élevé de 366 jours et une durée de stockage de 361 jours, signalant une immobilisation importante de capital. L'endettement est critique : les dettes financières totales atteignent 84,87 milliards FCFA, soit un ratio d'endettement de 88,98% des capitaux propres, et la capacité de remboursement est de 11,21 ans. Les rapports trimestriels de 2025 confirment cette tendance : le T1 2025 affiche un résultat net de 3,21 milliards FCFA (en baisse de 32%), mais le S1 2025 enregistre une perte de -6,71 milliards FCFA, avec un résultat d'exploitation négatif de -3,18 milliards FCFA. Sur la base de ces données, on estime que l'exercice 2026 pourrait rester déficitaire si la campagne 2025/26 ne confirme pas les prévisions de production de 90 000 à 95 000 tonnes. Les rapports de 2024 montrent un redressement opérationnel remarquable (CA +28% à 87,22 milliards FCFA, résultat net positif de 2,59 milliards FCFA), mais cette dynamique ne s'est pas poursuivie en 2025. La recommandation fondamentale est de VENDRE, compte tenu de la dégradation massive de la rentabilité, de l'explosion de l'endettement et des tensions de trésorerie (trésorerie nette négative de -6,5 milliards FCFA).</w:t>
      </w:r>
    </w:p>
    <w:p>
      <w:pPr>
        <w:spacing w:after="120" w:line="276" w:lineRule="auto" w:before="240"/>
      </w:pPr>
      <w:r>
        <w:rPr>
          <w:b/>
          <w:color w:val="003366"/>
          <w:sz w:val="24"/>
        </w:rPr>
        <w:t>**PARTIE 4 : CONCLUSION D'INVESTISSEMENT**</w:t>
      </w:r>
    </w:p>
    <w:p>
      <w:pPr>
        <w:spacing w:after="120" w:line="276" w:lineRule="auto"/>
      </w:pPr>
      <w:r>
        <w:t>La valorisation boursière de SCRC apparaît surévaluée : le PER négatif et le P/B de 4,08x indiquent que le marché paie une prime excessive pour des actifs dont la rentabilité est fortement négative. Le comportement du cours, avec une hausse spectaculaire de +125,79% sur 100 jours, contraste avec la dégradation des fondamentaux, créant une divergence préoccupante entre le prix et la valeur intrinsèque. Les signaux techniques sont mitigés, avec une tendance haussière à moyen terme mais un momentum baissier à court terme (MACD négatif, RSI neutre), tandis que le stochastique suggère un rebond technique possible. Les fondamentaux sont clairement négatifs : perte nette de 7,95 milliards FCFA en 2025, endettement critique de 84,87 milliards FCFA, et perspectives incertaines pour 2026. Les prédictions IA pour les 10 prochains jours (de 3 321 à 2 431 FCFA) confirment une trajectoire baissière, contredisant la tendance haussière récente. La convergence entre la surévaluation, les signaux techniques baissiers et les fondamentaux dégradés justifie une recommandation de **VENTE FORTE**, avec un niveau de confiance élevé et un risque global élevé. L'horizon d'investissement optimal est le court terme (&lt;3 mois) pour les investisseurs cherchant à réduire leur exposition, tandis que les investisseurs à long terme devraient attendre une amélioration significative des fondamentaux avant d'envisager un réinvestissement.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107.06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979 titres</w:t>
            </w:r>
          </w:p>
        </w:tc>
        <w:tc>
          <w:tcPr>
            <w:tcW w:type="dxa" w:w="2268"/>
            <w:shd w:fill="FFF2CC" w:val="clear"/>
          </w:tcPr>
          <w:p>
            <w:r>
              <w:rPr>
                <w:b/>
                <w:color w:val="503200"/>
                <w:sz w:val="16"/>
              </w:rPr>
              <w:t xml:space="preserve">Cours actuel : </w:t>
            </w:r>
            <w:r>
              <w:rPr>
                <w:color w:val="000000"/>
                <w:sz w:val="17"/>
              </w:rPr>
              <w:t>11,895 FCFA</w:t>
            </w:r>
          </w:p>
          <w:p>
            <w:r>
              <w:rPr>
                <w:b/>
                <w:color w:val="503200"/>
                <w:sz w:val="16"/>
              </w:rPr>
              <w:t xml:space="preserve">Var. 100 jours : </w:t>
            </w:r>
            <w:r>
              <w:rPr>
                <w:b/>
                <w:color w:val="007800"/>
                <w:sz w:val="17"/>
              </w:rPr>
              <w:t>+54.48%</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27.5/100 → Moyen</w:t>
      </w:r>
    </w:p>
    <w:p>
      <w:pPr>
        <w:spacing w:before="40" w:after="80"/>
      </w:pPr>
      <w:r>
        <w:rPr>
          <w:rFonts w:ascii="Courier New" w:hAnsi="Courier New"/>
          <w:color w:val="825A00"/>
          <w:sz w:val="18"/>
        </w:rPr>
        <w:t>█████░░░░░░░░░░░░░░░  27.5/100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18.82% (Élevée) — μ=10,281 FCFA, σ=1,935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β=0.2970 (Défensif) — Cov=0.000009, Var(idx)=0.000031, ρ=0.073,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979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11,085</w:t>
            </w:r>
          </w:p>
        </w:tc>
        <w:tc>
          <w:tcPr>
            <w:tcW w:type="dxa" w:w="1440"/>
            <w:shd w:fill="FFDCE0" w:val="clear"/>
          </w:tcPr>
          <w:p>
            <w:r>
              <w:rPr>
                <w:b/>
                <w:sz w:val="17"/>
              </w:rPr>
              <w:t>11,475</w:t>
            </w:r>
          </w:p>
        </w:tc>
        <w:tc>
          <w:tcPr>
            <w:tcW w:type="dxa" w:w="1440"/>
            <w:shd w:fill="FFDCE0" w:val="clear"/>
          </w:tcPr>
          <w:p>
            <w:r>
              <w:rPr>
                <w:sz w:val="17"/>
              </w:rPr>
              <w:t>11,864</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10,819</w:t>
            </w:r>
          </w:p>
        </w:tc>
        <w:tc>
          <w:tcPr>
            <w:tcW w:type="dxa" w:w="1440"/>
            <w:shd w:fill="FFDCE0" w:val="clear"/>
          </w:tcPr>
          <w:p>
            <w:r>
              <w:rPr>
                <w:b/>
                <w:sz w:val="17"/>
              </w:rPr>
              <w:t>11,364</w:t>
            </w:r>
          </w:p>
        </w:tc>
        <w:tc>
          <w:tcPr>
            <w:tcW w:type="dxa" w:w="1440"/>
            <w:shd w:fill="FFDCE0" w:val="clear"/>
          </w:tcPr>
          <w:p>
            <w:r>
              <w:rPr>
                <w:sz w:val="17"/>
              </w:rPr>
              <w:t>11,910</w:t>
            </w:r>
          </w:p>
        </w:tc>
        <w:tc>
          <w:tcPr>
            <w:tcW w:type="dxa" w:w="1440"/>
            <w:shd w:fill="FFDCE0" w:val="clear"/>
          </w:tcPr>
          <w:p>
            <w:r>
              <w:rPr>
                <w:b/>
                <w:color w:val="C00000"/>
                <w:sz w:val="17"/>
              </w:rPr>
              <w:t>-4.5%</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10,595</w:t>
            </w:r>
          </w:p>
        </w:tc>
        <w:tc>
          <w:tcPr>
            <w:tcW w:type="dxa" w:w="1440"/>
            <w:shd w:fill="FFDCE0" w:val="clear"/>
          </w:tcPr>
          <w:p>
            <w:r>
              <w:rPr>
                <w:b/>
                <w:sz w:val="17"/>
              </w:rPr>
              <w:t>11,257</w:t>
            </w:r>
          </w:p>
        </w:tc>
        <w:tc>
          <w:tcPr>
            <w:tcW w:type="dxa" w:w="1440"/>
            <w:shd w:fill="FFDCE0" w:val="clear"/>
          </w:tcPr>
          <w:p>
            <w:r>
              <w:rPr>
                <w:sz w:val="17"/>
              </w:rPr>
              <w:t>11,919</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10,398</w:t>
            </w:r>
          </w:p>
        </w:tc>
        <w:tc>
          <w:tcPr>
            <w:tcW w:type="dxa" w:w="1440"/>
            <w:shd w:fill="FFDCE0" w:val="clear"/>
          </w:tcPr>
          <w:p>
            <w:r>
              <w:rPr>
                <w:b/>
                <w:sz w:val="17"/>
              </w:rPr>
              <w:t>11,156</w:t>
            </w:r>
          </w:p>
        </w:tc>
        <w:tc>
          <w:tcPr>
            <w:tcW w:type="dxa" w:w="1440"/>
            <w:shd w:fill="FFDCE0" w:val="clear"/>
          </w:tcPr>
          <w:p>
            <w:r>
              <w:rPr>
                <w:sz w:val="17"/>
              </w:rPr>
              <w:t>11,913</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10,223</w:t>
            </w:r>
          </w:p>
        </w:tc>
        <w:tc>
          <w:tcPr>
            <w:tcW w:type="dxa" w:w="1440"/>
            <w:shd w:fill="FFDCE0" w:val="clear"/>
          </w:tcPr>
          <w:p>
            <w:r>
              <w:rPr>
                <w:b/>
                <w:sz w:val="17"/>
              </w:rPr>
              <w:t>11,063</w:t>
            </w:r>
          </w:p>
        </w:tc>
        <w:tc>
          <w:tcPr>
            <w:tcW w:type="dxa" w:w="1440"/>
            <w:shd w:fill="FFDCE0" w:val="clear"/>
          </w:tcPr>
          <w:p>
            <w:r>
              <w:rPr>
                <w:sz w:val="17"/>
              </w:rPr>
              <w:t>11,903</w:t>
            </w:r>
          </w:p>
        </w:tc>
        <w:tc>
          <w:tcPr>
            <w:tcW w:type="dxa" w:w="1440"/>
            <w:shd w:fill="FFDCE0" w:val="clear"/>
          </w:tcPr>
          <w:p>
            <w:r>
              <w:rPr>
                <w:b/>
                <w:color w:val="C00000"/>
                <w:sz w:val="17"/>
              </w:rPr>
              <w:t>-7.0%</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10,064</w:t>
            </w:r>
          </w:p>
        </w:tc>
        <w:tc>
          <w:tcPr>
            <w:tcW w:type="dxa" w:w="1440"/>
            <w:shd w:fill="FFDCE0" w:val="clear"/>
          </w:tcPr>
          <w:p>
            <w:r>
              <w:rPr>
                <w:b/>
                <w:sz w:val="17"/>
              </w:rPr>
              <w:t>10,977</w:t>
            </w:r>
          </w:p>
        </w:tc>
        <w:tc>
          <w:tcPr>
            <w:tcW w:type="dxa" w:w="1440"/>
            <w:shd w:fill="FFDCE0" w:val="clear"/>
          </w:tcPr>
          <w:p>
            <w:r>
              <w:rPr>
                <w:sz w:val="17"/>
              </w:rPr>
              <w:t>11,891</w:t>
            </w:r>
          </w:p>
        </w:tc>
        <w:tc>
          <w:tcPr>
            <w:tcW w:type="dxa" w:w="1440"/>
            <w:shd w:fill="FFDCE0" w:val="clear"/>
          </w:tcPr>
          <w:p>
            <w:r>
              <w:rPr>
                <w:b/>
                <w:color w:val="C00000"/>
                <w:sz w:val="17"/>
              </w:rPr>
              <w:t>-7.7%</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9,920</w:t>
            </w:r>
          </w:p>
        </w:tc>
        <w:tc>
          <w:tcPr>
            <w:tcW w:type="dxa" w:w="1440"/>
            <w:shd w:fill="FFDCE0" w:val="clear"/>
          </w:tcPr>
          <w:p>
            <w:r>
              <w:rPr>
                <w:b/>
                <w:sz w:val="17"/>
              </w:rPr>
              <w:t>10,900</w:t>
            </w:r>
          </w:p>
        </w:tc>
        <w:tc>
          <w:tcPr>
            <w:tcW w:type="dxa" w:w="1440"/>
            <w:shd w:fill="FFDCE0" w:val="clear"/>
          </w:tcPr>
          <w:p>
            <w:r>
              <w:rPr>
                <w:sz w:val="17"/>
              </w:rPr>
              <w:t>11,879</w:t>
            </w:r>
          </w:p>
        </w:tc>
        <w:tc>
          <w:tcPr>
            <w:tcW w:type="dxa" w:w="1440"/>
            <w:shd w:fill="FFDCE0" w:val="clear"/>
          </w:tcPr>
          <w:p>
            <w:r>
              <w:rPr>
                <w:b/>
                <w:color w:val="C00000"/>
                <w:sz w:val="17"/>
              </w:rPr>
              <w:t>-8.4%</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9,789</w:t>
            </w:r>
          </w:p>
        </w:tc>
        <w:tc>
          <w:tcPr>
            <w:tcW w:type="dxa" w:w="1440"/>
            <w:shd w:fill="FFDCE0" w:val="clear"/>
          </w:tcPr>
          <w:p>
            <w:r>
              <w:rPr>
                <w:b/>
                <w:sz w:val="17"/>
              </w:rPr>
              <w:t>10,829</w:t>
            </w:r>
          </w:p>
        </w:tc>
        <w:tc>
          <w:tcPr>
            <w:tcW w:type="dxa" w:w="1440"/>
            <w:shd w:fill="FFDCE0" w:val="clear"/>
          </w:tcPr>
          <w:p>
            <w:r>
              <w:rPr>
                <w:sz w:val="17"/>
              </w:rPr>
              <w:t>11,869</w:t>
            </w:r>
          </w:p>
        </w:tc>
        <w:tc>
          <w:tcPr>
            <w:tcW w:type="dxa" w:w="1440"/>
            <w:shd w:fill="FFDCE0" w:val="clear"/>
          </w:tcPr>
          <w:p>
            <w:r>
              <w:rPr>
                <w:b/>
                <w:color w:val="C00000"/>
                <w:sz w:val="17"/>
              </w:rPr>
              <w:t>-9.0%</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9,669</w:t>
            </w:r>
          </w:p>
        </w:tc>
        <w:tc>
          <w:tcPr>
            <w:tcW w:type="dxa" w:w="1440"/>
            <w:shd w:fill="FFDCE0" w:val="clear"/>
          </w:tcPr>
          <w:p>
            <w:r>
              <w:rPr>
                <w:b/>
                <w:sz w:val="17"/>
              </w:rPr>
              <w:t>10,766</w:t>
            </w:r>
          </w:p>
        </w:tc>
        <w:tc>
          <w:tcPr>
            <w:tcW w:type="dxa" w:w="1440"/>
            <w:shd w:fill="FFDCE0" w:val="clear"/>
          </w:tcPr>
          <w:p>
            <w:r>
              <w:rPr>
                <w:sz w:val="17"/>
              </w:rPr>
              <w:t>11,863</w:t>
            </w:r>
          </w:p>
        </w:tc>
        <w:tc>
          <w:tcPr>
            <w:tcW w:type="dxa" w:w="1440"/>
            <w:shd w:fill="FFDCE0" w:val="clear"/>
          </w:tcPr>
          <w:p>
            <w:r>
              <w:rPr>
                <w:b/>
                <w:color w:val="C00000"/>
                <w:sz w:val="17"/>
              </w:rPr>
              <w:t>-9.5%</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9,560</w:t>
            </w:r>
          </w:p>
        </w:tc>
        <w:tc>
          <w:tcPr>
            <w:tcW w:type="dxa" w:w="1440"/>
            <w:shd w:fill="FFDCE0" w:val="clear"/>
          </w:tcPr>
          <w:p>
            <w:r>
              <w:rPr>
                <w:b/>
                <w:sz w:val="17"/>
              </w:rPr>
              <w:t>10,710</w:t>
            </w:r>
          </w:p>
        </w:tc>
        <w:tc>
          <w:tcPr>
            <w:tcW w:type="dxa" w:w="1440"/>
            <w:shd w:fill="FFDCE0" w:val="clear"/>
          </w:tcPr>
          <w:p>
            <w:r>
              <w:rPr>
                <w:sz w:val="17"/>
              </w:rPr>
              <w:t>11,860</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107,06 milliards FCFA positionne la SDCC comme une valeur de taille moyenne sur la BRVM, représentative d'un actif stratégique dans le secteur de l'eau. Avec un BPA de 518 FCFA, le titre se négocie à un PER de 23,0x, nettement supérieur à la moyenne historique du marché (8-12x), ce qui suggère que les investisseurs intègrent des hypothèses de croissance soutenue ou une prime de rareté. Le P/B de 5,43x confirme cette prime, le marché valorisant fortement les actifs nets de la société, tandis que l'EV/EBITDA de 14,4x se situe dans la fourchette haute des standards de la place. Ces ratios traduisent une valorisation exigeante qui laisse peu de place à l'erreur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dernières séances, l'action SDCC a enregistré une progression spectaculaire de +54,48%, avec une dernière séance en hausse de +2,45% à 11 895 FCFA. Le titre a évolué dans une fourchette très large, entre un plus bas de 7 140 FCFA et un plus haut de 12 195 FCFA, illustrant une dynamique fortement haussière. La moyenne de 10 281 FCFA est inférieure à la médiane de 11 230 FCFA, et le mode de 11 900 FCFA confirme une asymétrie négative (skewness de -0,645), indiquant que le cours a passé plus de temps au-dessus de sa moyenne, avec des épisodes de correction rapide. L'écart-type de 1 945 FCFA (CV=18,9%) montre une dispersion modérée, tandis que le kurtosis de -1,330 (platykurtique) suggère une distribution aplatie, avec peu de variations extrêmes. La volatilité annualisée de 36,3% classe le titre comme très volatil, un niveau élevé qui implique un risque significatif pour les investisseurs non avertis.</w:t>
      </w:r>
    </w:p>
    <w:p>
      <w:pPr>
        <w:spacing w:after="120" w:line="276" w:lineRule="auto" w:before="240"/>
      </w:pPr>
      <w:r>
        <w:rPr>
          <w:b/>
          <w:color w:val="003366"/>
          <w:sz w:val="24"/>
        </w:rPr>
        <w:t>**PARTIE 2 : ANALYSE TECHNIQUE DÉTAILLÉE**</w:t>
      </w:r>
    </w:p>
    <w:p>
      <w:pPr>
        <w:spacing w:after="120" w:line="276" w:lineRule="auto"/>
      </w:pPr>
      <w:r>
        <w:t>**Moyennes Mobiles** : Le cours actuel de 11 895 FCFA se situe légèrement au-dessus de la MM20 (11 803,75 FCFA) mais sous la MM50 (11 858,1 FCFA), indiquant une consolidation après un fort mouvement haussier. La décision de Vente est justifiée par le croisement baissier potentiel entre ces deux moyennes, signalant un possible retournement de tendance à court terme.</w:t>
      </w:r>
    </w:p>
    <w:p>
      <w:pPr>
        <w:spacing w:after="120" w:line="276" w:lineRule="auto"/>
      </w:pPr>
      <w:r>
        <w:t>**Bandes de Bollinger** : Le prix évolue dans la partie supérieure du canal, entre la borne inférieure de 11 489,83 FCFA et la borne supérieure de 12 117,67 FCFA. La position centrale du cours suggère une volatilité modérée, et la décision Neutre reflète l'absence de signal directionnel clair, le marché attendant une cassure des bornes pour se positionner.</w:t>
      </w:r>
    </w:p>
    <w:p>
      <w:pPr>
        <w:spacing w:after="120" w:line="276" w:lineRule="auto"/>
      </w:pPr>
      <w:r>
        <w:t>**MACD** : La valeur négative du MACD (-0,278) par rapport au signal (13,213) indique un momentum baissier en cours de formation, malgré la récente hausse des prix. La décision de Vente est cohérente avec cette divergence, signalant une possible correction technique après la forte progression.</w:t>
      </w:r>
    </w:p>
    <w:p>
      <w:pPr>
        <w:spacing w:after="120" w:line="276" w:lineRule="auto"/>
      </w:pPr>
      <w:r>
        <w:t>**RSI** : À 48,94, le RSI se situe en zone neutre, sans signal de surachat ni de survente. Cette valeur reflète un équilibre entre acheteurs et vendeurs, justifiant une décision Neutre et laissant présager une poursuite de la consolidation.</w:t>
      </w:r>
    </w:p>
    <w:p>
      <w:pPr>
        <w:spacing w:after="120" w:line="276" w:lineRule="auto"/>
      </w:pPr>
      <w:r>
        <w:t>**Stochastique** : Le %K à 93,40 et le %D à 57,06 montrent un croisement baissier, le %K chutant rapidement depuis des niveaux de surachat. La décision de Vente est justifiée par ce croisement, indiquant un épuisement potentiel de la dynamique haussière à court terme.</w:t>
      </w:r>
    </w:p>
    <w:p>
      <w:pPr>
        <w:spacing w:after="120" w:line="276" w:lineRule="auto"/>
      </w:pPr>
      <w:r>
        <w:t>**Conclusion technique** : Les indicateurs techniques sont globalement baissiers ou neutres, avec une convergence vers une correction après la forte hausse. Les moyennes mobiles, le MACD et le stochastique signalent une prudence, tandis que les bandes de Bollinger et le RSI restent neutres. Cette configuration suggère une phase de consolidation, avec un risque de repli vers les supports de 11 500 FCFA.</w:t>
      </w:r>
    </w:p>
    <w:p>
      <w:pPr>
        <w:spacing w:after="120" w:line="276" w:lineRule="auto" w:before="240"/>
      </w:pPr>
      <w:r>
        <w:rPr>
          <w:b/>
          <w:color w:val="003366"/>
          <w:sz w:val="24"/>
        </w:rPr>
        <w:t>**PARTIE 3 : ANALYSE FONDAMENTALE (SECTION CRITIQUE)**</w:t>
      </w:r>
    </w:p>
    <w:p>
      <w:pPr>
        <w:spacing w:after="120" w:line="276" w:lineRule="auto"/>
      </w:pPr>
      <w:r>
        <w:t>En 2025, la SDCC a réalisé un chiffre d'affaires de 189,43 milliards FCFA, en croissance de +10% par rapport à 2024, avec un résultat net de 4,663 milliards FCFA, en hausse de +31%. La marge nette s'établit à 2,46%, et le ROE atteint un niveau excellent de 23,65%, bien au-dessus du seuil de 15% considéré comme performant. Le ROA de 0,99% reste faible, reflétant une rotation des actifs limitée (40,08%). Le secteur ENTREPRISE impose une attention particulière au BFR, qui est négatif à -104,748 milliards FCFA, une situation favorable indiquant que la société finance son exploitation par ses fournisseurs. Cependant, le délai clients de 749 jours est extrêmement élevé, représentant un risque majeur de trésorerie, malgré une durée de stockage raisonnable de 59,86 jours. L'endettement total de 452,956 milliards FCFA (ratio d'endettement de 95,83%) et la trésorerie nette négative de -61,71 milliards FCFA soulignent une dépendance financière importante. Les rapports trimestriels de 2025 et 2026 montrent une amélioration spectaculaire : le T1 2026 affiche un résultat net de 1,318 milliard FCFA (+118%), et le rapport annuel 2025 confirme la dynamique avec un EBE en hausse de +21%. Sur la base de ces tendances, on estime que l'exercice 2026 pourrait voir un résultat net dépasser 5,5 milliards FCFA, sous réserve de la maîtrise des coûts énergétiques et du recouvrement des créances.</w:t>
      </w:r>
    </w:p>
    <w:p>
      <w:pPr>
        <w:spacing w:after="120" w:line="276" w:lineRule="auto" w:before="240"/>
      </w:pPr>
      <w:r>
        <w:rPr>
          <w:b/>
          <w:color w:val="003366"/>
          <w:sz w:val="24"/>
        </w:rPr>
        <w:t>**PARTIE 4 : CONCLUSION D'INVESTISSEMENT**</w:t>
      </w:r>
    </w:p>
    <w:p>
      <w:pPr>
        <w:spacing w:after="120" w:line="276" w:lineRule="auto"/>
      </w:pPr>
      <w:r>
        <w:t>La valorisation actuelle de la SDCC est exigeante, avec un PER de 23,0x et un P/B de 5,43x, indiquant une surévaluation relative par rapport aux standards BRVM, malgré un ROE excellent de 23,65%. Le comportement du cours sur 100 jours montre une tendance haussière spectaculaire (+54,48%), mais les statistiques révèlent une volatilité élevée (36,3%) et une distribution platykurtique, signalant un risque de correction. Les signaux techniques sont majoritairement baissiers (MM, MACD, Stochastique), avec une consolidation en cours, tandis que les fondamentaux restent solides avec une croissance du CA de +10% et un résultat net en hausse de +31% en 2025. Les prédictions IA pour les 10 prochains jours indiquent une trajectoire baissière continue, de 11 475 FCFA à 11 063 FCFA, contredisant la tendance haussière récente et confirmant les signaux techniques de correction. La convergence entre la surévaluation, les signaux techniques baissiers et les prédictions IA suggère une recommandation de **VENTE** à court terme, avec un niveau de confiance **Moyen** et un risque global **Élevé**. L'horizon d'investissement optimal serait de moyen terme (3-12 mois), après une possible correction vers les 10 500-11 000 FCFA, où le titre pourrait offrir un meilleur point d'entrée pour les investisseurs de long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146.98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16,515 titres</w:t>
            </w:r>
          </w:p>
        </w:tc>
        <w:tc>
          <w:tcPr>
            <w:tcW w:type="dxa" w:w="2268"/>
            <w:shd w:fill="FFF2CC" w:val="clear"/>
          </w:tcPr>
          <w:p>
            <w:r>
              <w:rPr>
                <w:b/>
                <w:color w:val="503200"/>
                <w:sz w:val="16"/>
              </w:rPr>
              <w:t xml:space="preserve">Cours actuel : </w:t>
            </w:r>
            <w:r>
              <w:rPr>
                <w:color w:val="000000"/>
                <w:sz w:val="17"/>
              </w:rPr>
              <w:t>2,700 FCFA</w:t>
            </w:r>
          </w:p>
          <w:p>
            <w:r>
              <w:rPr>
                <w:b/>
                <w:color w:val="503200"/>
                <w:sz w:val="16"/>
              </w:rPr>
              <w:t xml:space="preserve">Var. 100 jours : </w:t>
            </w:r>
            <w:r>
              <w:rPr>
                <w:b/>
                <w:color w:val="007800"/>
                <w:sz w:val="17"/>
              </w:rPr>
              <w:t>+47.95%</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28.8/100 → Moyen</w:t>
      </w:r>
    </w:p>
    <w:p>
      <w:pPr>
        <w:spacing w:before="40" w:after="80"/>
      </w:pPr>
      <w:r>
        <w:rPr>
          <w:rFonts w:ascii="Courier New" w:hAnsi="Courier New"/>
          <w:color w:val="825A00"/>
          <w:sz w:val="18"/>
        </w:rPr>
        <w:t>█████░░░░░░░░░░░░░░░  28.8/100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17.24% (Élevée) — μ=2,154 FCFA, σ=371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β=-0.1170 (Contre-cyclique) — Cov=-0.000004, Var(idx)=0.000031, ρ=-0.020,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16,515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2026-08-18</w:t>
            </w:r>
          </w:p>
        </w:tc>
        <w:tc>
          <w:tcPr>
            <w:tcW w:type="dxa" w:w="1440"/>
            <w:shd w:fill="FAFAFA" w:val="clear"/>
          </w:tcPr>
          <w:p>
            <w:r>
              <w:rPr>
                <w:sz w:val="17"/>
              </w:rPr>
              <w:t>2,496</w:t>
            </w:r>
          </w:p>
        </w:tc>
        <w:tc>
          <w:tcPr>
            <w:tcW w:type="dxa" w:w="1440"/>
            <w:shd w:fill="FAFAFA" w:val="clear"/>
          </w:tcPr>
          <w:p>
            <w:r>
              <w:rPr>
                <w:b/>
                <w:sz w:val="17"/>
              </w:rPr>
              <w:t>2,664</w:t>
            </w:r>
          </w:p>
        </w:tc>
        <w:tc>
          <w:tcPr>
            <w:tcW w:type="dxa" w:w="1440"/>
            <w:shd w:fill="FAFAFA" w:val="clear"/>
          </w:tcPr>
          <w:p>
            <w:r>
              <w:rPr>
                <w:sz w:val="17"/>
              </w:rPr>
              <w:t>2,833</w:t>
            </w:r>
          </w:p>
        </w:tc>
        <w:tc>
          <w:tcPr>
            <w:tcW w:type="dxa" w:w="1440"/>
            <w:shd w:fill="FAFAFA" w:val="clear"/>
          </w:tcPr>
          <w:p>
            <w:r>
              <w:rPr>
                <w:b/>
                <w:color w:val="C00000"/>
                <w:sz w:val="17"/>
              </w:rPr>
              <w:t>-1.3%</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2,403</w:t>
            </w:r>
          </w:p>
        </w:tc>
        <w:tc>
          <w:tcPr>
            <w:tcW w:type="dxa" w:w="1440"/>
            <w:shd w:fill="FFDCE0" w:val="clear"/>
          </w:tcPr>
          <w:p>
            <w:r>
              <w:rPr>
                <w:b/>
                <w:sz w:val="17"/>
              </w:rPr>
              <w:t>2,639</w:t>
            </w:r>
          </w:p>
        </w:tc>
        <w:tc>
          <w:tcPr>
            <w:tcW w:type="dxa" w:w="1440"/>
            <w:shd w:fill="FFDCE0" w:val="clear"/>
          </w:tcPr>
          <w:p>
            <w:r>
              <w:rPr>
                <w:sz w:val="17"/>
              </w:rPr>
              <w:t>2,875</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2,331</w:t>
            </w:r>
          </w:p>
        </w:tc>
        <w:tc>
          <w:tcPr>
            <w:tcW w:type="dxa" w:w="1440"/>
            <w:shd w:fill="FFDCE0" w:val="clear"/>
          </w:tcPr>
          <w:p>
            <w:r>
              <w:rPr>
                <w:b/>
                <w:sz w:val="17"/>
              </w:rPr>
              <w:t>2,617</w:t>
            </w:r>
          </w:p>
        </w:tc>
        <w:tc>
          <w:tcPr>
            <w:tcW w:type="dxa" w:w="1440"/>
            <w:shd w:fill="FFDCE0" w:val="clear"/>
          </w:tcPr>
          <w:p>
            <w:r>
              <w:rPr>
                <w:sz w:val="17"/>
              </w:rPr>
              <w:t>2,904</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2,269</w:t>
            </w:r>
          </w:p>
        </w:tc>
        <w:tc>
          <w:tcPr>
            <w:tcW w:type="dxa" w:w="1440"/>
            <w:shd w:fill="FFDCE0" w:val="clear"/>
          </w:tcPr>
          <w:p>
            <w:r>
              <w:rPr>
                <w:b/>
                <w:sz w:val="17"/>
              </w:rPr>
              <w:t>2,598</w:t>
            </w:r>
          </w:p>
        </w:tc>
        <w:tc>
          <w:tcPr>
            <w:tcW w:type="dxa" w:w="1440"/>
            <w:shd w:fill="FFDCE0" w:val="clear"/>
          </w:tcPr>
          <w:p>
            <w:r>
              <w:rPr>
                <w:sz w:val="17"/>
              </w:rPr>
              <w:t>2,926</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2,215</w:t>
            </w:r>
          </w:p>
        </w:tc>
        <w:tc>
          <w:tcPr>
            <w:tcW w:type="dxa" w:w="1440"/>
            <w:shd w:fill="FFDCE0" w:val="clear"/>
          </w:tcPr>
          <w:p>
            <w:r>
              <w:rPr>
                <w:b/>
                <w:sz w:val="17"/>
              </w:rPr>
              <w:t>2,579</w:t>
            </w:r>
          </w:p>
        </w:tc>
        <w:tc>
          <w:tcPr>
            <w:tcW w:type="dxa" w:w="1440"/>
            <w:shd w:fill="FFDCE0" w:val="clear"/>
          </w:tcPr>
          <w:p>
            <w:r>
              <w:rPr>
                <w:sz w:val="17"/>
              </w:rPr>
              <w:t>2,944</w:t>
            </w:r>
          </w:p>
        </w:tc>
        <w:tc>
          <w:tcPr>
            <w:tcW w:type="dxa" w:w="1440"/>
            <w:shd w:fill="FFDCE0" w:val="clear"/>
          </w:tcPr>
          <w:p>
            <w:r>
              <w:rPr>
                <w:b/>
                <w:color w:val="C00000"/>
                <w:sz w:val="17"/>
              </w:rPr>
              <w:t>-4.5%</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2,165</w:t>
            </w:r>
          </w:p>
        </w:tc>
        <w:tc>
          <w:tcPr>
            <w:tcW w:type="dxa" w:w="1440"/>
            <w:shd w:fill="FFDCE0" w:val="clear"/>
          </w:tcPr>
          <w:p>
            <w:r>
              <w:rPr>
                <w:b/>
                <w:sz w:val="17"/>
              </w:rPr>
              <w:t>2,562</w:t>
            </w:r>
          </w:p>
        </w:tc>
        <w:tc>
          <w:tcPr>
            <w:tcW w:type="dxa" w:w="1440"/>
            <w:shd w:fill="FFDCE0" w:val="clear"/>
          </w:tcPr>
          <w:p>
            <w:r>
              <w:rPr>
                <w:sz w:val="17"/>
              </w:rPr>
              <w:t>2,958</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2,119</w:t>
            </w:r>
          </w:p>
        </w:tc>
        <w:tc>
          <w:tcPr>
            <w:tcW w:type="dxa" w:w="1440"/>
            <w:shd w:fill="FFDCE0" w:val="clear"/>
          </w:tcPr>
          <w:p>
            <w:r>
              <w:rPr>
                <w:b/>
                <w:sz w:val="17"/>
              </w:rPr>
              <w:t>2,545</w:t>
            </w:r>
          </w:p>
        </w:tc>
        <w:tc>
          <w:tcPr>
            <w:tcW w:type="dxa" w:w="1440"/>
            <w:shd w:fill="FFDCE0" w:val="clear"/>
          </w:tcPr>
          <w:p>
            <w:r>
              <w:rPr>
                <w:sz w:val="17"/>
              </w:rPr>
              <w:t>2,970</w:t>
            </w:r>
          </w:p>
        </w:tc>
        <w:tc>
          <w:tcPr>
            <w:tcW w:type="dxa" w:w="1440"/>
            <w:shd w:fill="FFDCE0" w:val="clear"/>
          </w:tcPr>
          <w:p>
            <w:r>
              <w:rPr>
                <w:b/>
                <w:color w:val="C00000"/>
                <w:sz w:val="17"/>
              </w:rPr>
              <w:t>-5.8%</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2,076</w:t>
            </w:r>
          </w:p>
        </w:tc>
        <w:tc>
          <w:tcPr>
            <w:tcW w:type="dxa" w:w="1440"/>
            <w:shd w:fill="FFDCE0" w:val="clear"/>
          </w:tcPr>
          <w:p>
            <w:r>
              <w:rPr>
                <w:b/>
                <w:sz w:val="17"/>
              </w:rPr>
              <w:t>2,528</w:t>
            </w:r>
          </w:p>
        </w:tc>
        <w:tc>
          <w:tcPr>
            <w:tcW w:type="dxa" w:w="1440"/>
            <w:shd w:fill="FFDCE0" w:val="clear"/>
          </w:tcPr>
          <w:p>
            <w:r>
              <w:rPr>
                <w:sz w:val="17"/>
              </w:rPr>
              <w:t>2,980</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2,036</w:t>
            </w:r>
          </w:p>
        </w:tc>
        <w:tc>
          <w:tcPr>
            <w:tcW w:type="dxa" w:w="1440"/>
            <w:shd w:fill="FFDCE0" w:val="clear"/>
          </w:tcPr>
          <w:p>
            <w:r>
              <w:rPr>
                <w:b/>
                <w:sz w:val="17"/>
              </w:rPr>
              <w:t>2,512</w:t>
            </w:r>
          </w:p>
        </w:tc>
        <w:tc>
          <w:tcPr>
            <w:tcW w:type="dxa" w:w="1440"/>
            <w:shd w:fill="FFDCE0" w:val="clear"/>
          </w:tcPr>
          <w:p>
            <w:r>
              <w:rPr>
                <w:sz w:val="17"/>
              </w:rPr>
              <w:t>2,989</w:t>
            </w:r>
          </w:p>
        </w:tc>
        <w:tc>
          <w:tcPr>
            <w:tcW w:type="dxa" w:w="1440"/>
            <w:shd w:fill="FFDCE0" w:val="clear"/>
          </w:tcPr>
          <w:p>
            <w:r>
              <w:rPr>
                <w:b/>
                <w:color w:val="C00000"/>
                <w:sz w:val="17"/>
              </w:rPr>
              <w:t>-7.0%</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1,998</w:t>
            </w:r>
          </w:p>
        </w:tc>
        <w:tc>
          <w:tcPr>
            <w:tcW w:type="dxa" w:w="1440"/>
            <w:shd w:fill="FFDCE0" w:val="clear"/>
          </w:tcPr>
          <w:p>
            <w:r>
              <w:rPr>
                <w:b/>
                <w:sz w:val="17"/>
              </w:rPr>
              <w:t>2,497</w:t>
            </w:r>
          </w:p>
        </w:tc>
        <w:tc>
          <w:tcPr>
            <w:tcW w:type="dxa" w:w="1440"/>
            <w:shd w:fill="FFDCE0" w:val="clear"/>
          </w:tcPr>
          <w:p>
            <w:r>
              <w:rPr>
                <w:sz w:val="17"/>
              </w:rPr>
              <w:t>2,996</w:t>
            </w:r>
          </w:p>
        </w:tc>
        <w:tc>
          <w:tcPr>
            <w:tcW w:type="dxa" w:w="1440"/>
            <w:shd w:fill="FFDCE0" w:val="clear"/>
          </w:tcPr>
          <w:p>
            <w:r>
              <w:rPr>
                <w:b/>
                <w:color w:val="C00000"/>
                <w:sz w:val="17"/>
              </w:rPr>
              <w:t>-7.5%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Absolument. Voici un rapport d'analyse structuré et professionnel pour l'action SDSC,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SDSC s'établit à 146,98 milliards FCFA, un niveau significatif qui la positionne parmi les valeurs moyennes à grandes de la BRVM. Avec un BPA de 387 FCFA, le titre se négocie à un PER de 7,0x, ce qui est inférieur à la moyenne historique du marché (8-12x), suggérant une sous-évaluation relative de la valeur. Le P/B de 1,89x indique que le marché valorise la société à près du double de sa valeur comptable, ce qui est raisonnable pour une entreprise avec un ROE aussi élevé. Cependant, le ratio EV/EBITDA de 31,7x est très exigeant, signalant que la valeur d'entreprise (capitalisation + dettes - trésorerie) est élevée par rapport à sa capacité opérationnelle de base, ce qui tempère l'enthousiasme suscité par le PER.</w:t>
      </w:r>
    </w:p>
    <w:p>
      <w:pPr>
        <w:spacing w:after="120" w:line="276" w:lineRule="auto"/>
      </w:pPr>
      <w:r>
        <w:t>### **PARTIE 1 : ANALYSE DU COURS — STATISTIQUES ET ÉVOLUTION (100 derniers jours)**</w:t>
      </w:r>
    </w:p>
    <w:p>
      <w:pPr>
        <w:spacing w:after="120" w:line="276" w:lineRule="auto"/>
      </w:pPr>
      <w:r>
        <w:t>Sur les 100 derniers jours, l'action SDSC a connu une performance spectaculaire avec une variation totale de +47,95%, bien que la dernière séance ait enregistré un repli de -2,70% à 2 700 FCFA. Le titre a évolué dans une fourchette très large, de 1 650 FCFA (plus bas) à 2 820 FCFA (plus haut), démontrant un fort intérêt des investisseurs. La moyenne du cours sur la période (2 154 FCFA) est nettement supérieure à la médiane (1 998 FCFA), ce qui, combiné à un skewness positif (0.378), confirme une distribution asymétrique vers les hauts, typique d'un marché en forte accélération. L'écart-type de 373 FCFA (CV=17,3%) indique une dispersion modérée, mais le kurtosis négatif (-1.347) révèle une distribution "plate", suggérant une absence de mouvements extrêmes récents malgré la tendance haussière. La volatilité annualisée de 50,6% est très élevée, classant SDSC comme un actif à haut risque, où les variations de prix peuvent être amples et rapides.</w:t>
      </w:r>
    </w:p>
    <w:p>
      <w:pPr>
        <w:spacing w:after="120" w:line="276" w:lineRule="auto"/>
      </w:pPr>
      <w:r>
        <w:t>### **PARTIE 2 : ANALYSE TECHNIQUE DÉTAILLÉE**</w:t>
      </w:r>
    </w:p>
    <w:p>
      <w:pPr>
        <w:spacing w:after="120" w:line="276" w:lineRule="auto"/>
      </w:pPr>
      <w:r>
        <w:t>**Moyennes Mobiles:** Le cours actuel (2 700 FCFA) est nettement au-dessus de sa MM20 (2 684,75 FCFA) et de sa MM50 (2 475,5 FCFA). Cette configuration haussière, où les moyennes sont orientées à la hausse, confirme la tendance positive de fond et justifie le signal d'**Achat**. La MM20 agissant comme un support dynamique, la tendance de court terme reste favorable tant que le cours ne clôture pas en dessous de ce niveau.</w:t>
      </w:r>
    </w:p>
    <w:p>
      <w:pPr>
        <w:spacing w:after="120" w:line="276" w:lineRule="auto"/>
      </w:pPr>
      <w:r>
        <w:t>**Bandes de Bollinger:** Le prix se situe à 2 700 FCFA, dans la partie supérieure du canal formé par les bandes (2 458,72 FCFA en bas et 2 910,78 FCFA en haut). La position du cours, proche de la bande supérieure, indique une pression acheteuse soutenue, mais sans être en situation de surachat extrême. La décision est **Neutre**, car le marché semble chercher une direction après une phase de forte progression, avec une volatilité qui pourrait s'accentuer.</w:t>
      </w:r>
    </w:p>
    <w:p>
      <w:pPr>
        <w:spacing w:after="120" w:line="276" w:lineRule="auto"/>
      </w:pPr>
      <w:r>
        <w:t>**MACD:** Le MACD (66,625) est passé sous sa ligne de signal (70,243), formant un croisement baissier. Ce signal indique un ralentissement du momentum haussier à court terme. Bien que les deux lignes restent en territoire positif, cette divergence suggère une possible consolidation ou correction technique. La décision de **Vente** est donc émise pour le très court terme, signalant une perte de vitesse.</w:t>
      </w:r>
    </w:p>
    <w:p>
      <w:pPr>
        <w:spacing w:after="120" w:line="276" w:lineRule="auto"/>
      </w:pPr>
      <w:r>
        <w:t>**RSI:** Avec une valeur de 51,85, le RSI se situe en zone neutre, entre 30 et 70. Cela signifie que le titre n'est ni suracheté ni survendu, laissant une marge de manœuvre dans les deux sens. La décision **Neutre** reflète l'absence de signal directionnel fort, le marché attendant un catalyseur pour décider de la prochaine étape.</w:t>
      </w:r>
    </w:p>
    <w:p>
      <w:pPr>
        <w:spacing w:after="120" w:line="276" w:lineRule="auto"/>
      </w:pPr>
      <w:r>
        <w:t>**Stochastique:** Le %K (78,4) est inférieur au %D (91,3), indiquant un croisement baissier en territoire de surachat. Ce signal suggère un essoufflement de la dynamique haussière à très court terme et une probabilité accrue de repli ou de consolidation. La décision **Neutre** est émise, car le croisement est récent et doit être confirmé par une sortie de la zone de surachat.</w:t>
      </w:r>
    </w:p>
    <w:p>
      <w:pPr>
        <w:spacing w:after="120" w:line="276" w:lineRule="auto"/>
      </w:pPr>
      <w:r>
        <w:t>**Conclusion technique :** La tendance de fond reste clairement haussière, portée par les moyennes mobiles. Cependant, les indicateurs de momentum (MACD, Stochastique) montrent des signes de faiblesse et de divergence à court terme. Le RSI neutre et la position dans les bandes de Bollinger suggèrent une phase de consolidation après la forte hausse. Le scénario le plus probable est une pause dans la tendance, avec un risque de correction vers la zone des 2 600-2 500 FCFA avant une éventuelle reprise.</w:t>
      </w:r>
    </w:p>
    <w:p>
      <w:pPr>
        <w:spacing w:after="120" w:line="276" w:lineRule="auto"/>
      </w:pPr>
      <w:r>
        <w:t>### **PARTIE 3 : ANALYSE FONDAMENTALE (SECTION CRITIQUE)**</w:t>
      </w:r>
    </w:p>
    <w:p>
      <w:pPr>
        <w:spacing w:after="120" w:line="276" w:lineRule="auto"/>
      </w:pPr>
      <w:r>
        <w:t>En se basant sur les données structurées de l'exercice 2024, SDSC affiche une santé financière solide avec un chiffre d'affaires de 85,64 milliards FCFA et un résultat net exceptionnel de 21,07 milliards FCFA, portant la marge nette à 24,6%. La rentabilité est excellente, avec un ROE de 27,08% et un ROA de 11,20%, démontrant une utilisation très efficace des capitaux propres et des actifs. Cependant, l'analyse des délais d'exploitation révèle un point de vigilance majeur : le délai de paiement des clients est extrêmement long (466,94 jours), ce qui représente un risque de trésorerie important, bien que partiellement compensé par un délai de paiement fournisseurs très étendu (4 534,17 jours). Le BFR de 17,87 milliards FCFA confirme ce besoin de financement. Les rapports narratifs de 2025 (rapport annuel provisoire du 31/12/2025 et rapports trimestriels) montrent une dégradation brutale de la rentabilité : le résultat net 2025 chute à 784,97 millions FCFA (marge nette de 0,85%), et le résultat d'exploitation devient déficitaire (-2,27 milliards FCFA). Cette chute est attribuée à une hausse des dotations aux amortissements et à l'absence de dividendes exceptionnels des filiales, qui avaient gonflé les résultats 2024. Sur la base du rapport T3 2025 (CA en hausse de 7,4% mais RN en chute de 77%), on estime que la performance 2025 reste décevante, la croissance du CA ne compensant pas la baisse des revenus financiers. La recommandation fondamentale est donc de **CONSERVER**, la société étant fondamentalement saine mais traversant une phase de transition où la rentabilité opérationnelle est sous pression.</w:t>
      </w:r>
    </w:p>
    <w:p>
      <w:pPr>
        <w:spacing w:after="120" w:line="276" w:lineRule="auto"/>
      </w:pPr>
      <w:r>
        <w:t>### **PARTIE 4 : CONCLUSION D'INVESTISSEMENT**</w:t>
      </w:r>
    </w:p>
    <w:p>
      <w:pPr>
        <w:spacing w:after="120" w:line="276" w:lineRule="auto"/>
      </w:pPr>
      <w:r>
        <w:t>La valorisation de SDSC est contrastée : le PER de 7,0x suggère une sous-évaluation, mais l'EV/EBITDA de 31,7x et la chute récente des bénéfices indiquent que le marché a déjà intégré une partie des mauvaises nouvelles. Le comportement du cours, avec une hausse de 47,95% sur 100 jours, est en forte divergence avec la dégradation des fondamentaux de 2025, ce qui est préoccupant et suggère un mouvement spéculatif. Les signaux techniques sont partagés : la tendance de fond (MM) est haussière, mais les indicateurs de momentum (MACD, Stochastique) montrent un essoufflement, annonçant une possible correction. Les prédictions IA pour les 10 prochains jours (baisse de 2 700 à 2 579 FCFA) confirment cette anticipation de repli technique. En synthèse, la convergence entre les signaux techniques baissiers à court terme, la dégradation fondamentale et les prédictions IA contraste fortement avec la tendance haussière de long terme et la valorisation de rendement. Par conséquent, la recommandation finale est **CONSERVER**, avec un niveau de confiance **Moyen** et un risque global **Élevé**. L'horizon d'investissement optimal serait le **moyen terme (3-12 mois)**, en attendant de voir si la direction parvient à restaurer les marges opérationnelles et à clarifier sa politique de dividende, ce qui pourrait justifier une réévaluation du titre.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5,061 titres</w:t>
            </w:r>
          </w:p>
        </w:tc>
        <w:tc>
          <w:tcPr>
            <w:tcW w:type="dxa" w:w="2268"/>
            <w:shd w:fill="FFF2CC" w:val="clear"/>
          </w:tcPr>
          <w:p>
            <w:r>
              <w:rPr>
                <w:b/>
                <w:color w:val="503200"/>
                <w:sz w:val="16"/>
              </w:rPr>
              <w:t xml:space="preserve">Cours actuel : </w:t>
            </w:r>
            <w:r>
              <w:rPr>
                <w:color w:val="000000"/>
                <w:sz w:val="17"/>
              </w:rPr>
              <w:t>1,480 FCFA</w:t>
            </w:r>
          </w:p>
          <w:p>
            <w:r>
              <w:rPr>
                <w:b/>
                <w:color w:val="503200"/>
                <w:sz w:val="16"/>
              </w:rPr>
              <w:t xml:space="preserve">Var. 100 jours : </w:t>
            </w:r>
            <w:r>
              <w:rPr>
                <w:b/>
                <w:color w:val="B40000"/>
                <w:sz w:val="17"/>
              </w:rPr>
              <w:t>-25.63%</w:t>
            </w:r>
          </w:p>
          <w:p>
            <w:r>
              <w:rPr>
                <w:b/>
                <w:color w:val="503200"/>
                <w:sz w:val="16"/>
              </w:rPr>
              <w:t xml:space="preserve">Plus haut 100j : </w:t>
            </w:r>
            <w:r>
              <w:rPr>
                <w:color w:val="000000"/>
                <w:sz w:val="17"/>
              </w:rPr>
              <w:t>2,265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12.14% (Moyenne) — μ=1,610 FCFA, σ=195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β=0.9970 (Neutre (suit le marché)) — Cov=0.000031, Var(idx)=0.000031, ρ=0.172,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5,061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1,378</w:t>
            </w:r>
          </w:p>
        </w:tc>
        <w:tc>
          <w:tcPr>
            <w:tcW w:type="dxa" w:w="1440"/>
            <w:shd w:fill="FFDCE0" w:val="clear"/>
          </w:tcPr>
          <w:p>
            <w:r>
              <w:rPr>
                <w:b/>
                <w:sz w:val="17"/>
              </w:rPr>
              <w:t>1,447</w:t>
            </w:r>
          </w:p>
        </w:tc>
        <w:tc>
          <w:tcPr>
            <w:tcW w:type="dxa" w:w="1440"/>
            <w:shd w:fill="FFDCE0" w:val="clear"/>
          </w:tcPr>
          <w:p>
            <w:r>
              <w:rPr>
                <w:sz w:val="17"/>
              </w:rPr>
              <w:t>1,516</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1,339</w:t>
            </w:r>
          </w:p>
        </w:tc>
        <w:tc>
          <w:tcPr>
            <w:tcW w:type="dxa" w:w="1440"/>
            <w:shd w:fill="FFDCE0" w:val="clear"/>
          </w:tcPr>
          <w:p>
            <w:r>
              <w:rPr>
                <w:b/>
                <w:sz w:val="17"/>
              </w:rPr>
              <w:t>1,436</w:t>
            </w:r>
          </w:p>
        </w:tc>
        <w:tc>
          <w:tcPr>
            <w:tcW w:type="dxa" w:w="1440"/>
            <w:shd w:fill="FFDCE0" w:val="clear"/>
          </w:tcPr>
          <w:p>
            <w:r>
              <w:rPr>
                <w:sz w:val="17"/>
              </w:rPr>
              <w:t>1,534</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1,305</w:t>
            </w:r>
          </w:p>
        </w:tc>
        <w:tc>
          <w:tcPr>
            <w:tcW w:type="dxa" w:w="1440"/>
            <w:shd w:fill="FFDCE0" w:val="clear"/>
          </w:tcPr>
          <w:p>
            <w:r>
              <w:rPr>
                <w:b/>
                <w:sz w:val="17"/>
              </w:rPr>
              <w:t>1,423</w:t>
            </w:r>
          </w:p>
        </w:tc>
        <w:tc>
          <w:tcPr>
            <w:tcW w:type="dxa" w:w="1440"/>
            <w:shd w:fill="FFDCE0" w:val="clear"/>
          </w:tcPr>
          <w:p>
            <w:r>
              <w:rPr>
                <w:sz w:val="17"/>
              </w:rPr>
              <w:t>1,541</w:t>
            </w:r>
          </w:p>
        </w:tc>
        <w:tc>
          <w:tcPr>
            <w:tcW w:type="dxa" w:w="1440"/>
            <w:shd w:fill="FFDCE0" w:val="clear"/>
          </w:tcPr>
          <w:p>
            <w:r>
              <w:rPr>
                <w:b/>
                <w:color w:val="C00000"/>
                <w:sz w:val="17"/>
              </w:rPr>
              <w:t>-3.9%</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1,274</w:t>
            </w:r>
          </w:p>
        </w:tc>
        <w:tc>
          <w:tcPr>
            <w:tcW w:type="dxa" w:w="1440"/>
            <w:shd w:fill="FFDCE0" w:val="clear"/>
          </w:tcPr>
          <w:p>
            <w:r>
              <w:rPr>
                <w:b/>
                <w:sz w:val="17"/>
              </w:rPr>
              <w:t>1,409</w:t>
            </w:r>
          </w:p>
        </w:tc>
        <w:tc>
          <w:tcPr>
            <w:tcW w:type="dxa" w:w="1440"/>
            <w:shd w:fill="FFDCE0" w:val="clear"/>
          </w:tcPr>
          <w:p>
            <w:r>
              <w:rPr>
                <w:sz w:val="17"/>
              </w:rPr>
              <w:t>1,544</w:t>
            </w:r>
          </w:p>
        </w:tc>
        <w:tc>
          <w:tcPr>
            <w:tcW w:type="dxa" w:w="1440"/>
            <w:shd w:fill="FFDCE0" w:val="clear"/>
          </w:tcPr>
          <w:p>
            <w:r>
              <w:rPr>
                <w:b/>
                <w:color w:val="C00000"/>
                <w:sz w:val="17"/>
              </w:rPr>
              <w:t>-4.8%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1,246</w:t>
            </w:r>
          </w:p>
        </w:tc>
        <w:tc>
          <w:tcPr>
            <w:tcW w:type="dxa" w:w="1440"/>
            <w:shd w:fill="FFDCE0" w:val="clear"/>
          </w:tcPr>
          <w:p>
            <w:r>
              <w:rPr>
                <w:b/>
                <w:sz w:val="17"/>
              </w:rPr>
              <w:t>1,396</w:t>
            </w:r>
          </w:p>
        </w:tc>
        <w:tc>
          <w:tcPr>
            <w:tcW w:type="dxa" w:w="1440"/>
            <w:shd w:fill="FFDCE0" w:val="clear"/>
          </w:tcPr>
          <w:p>
            <w:r>
              <w:rPr>
                <w:sz w:val="17"/>
              </w:rPr>
              <w:t>1,545</w:t>
            </w:r>
          </w:p>
        </w:tc>
        <w:tc>
          <w:tcPr>
            <w:tcW w:type="dxa" w:w="1440"/>
            <w:shd w:fill="FFDCE0" w:val="clear"/>
          </w:tcPr>
          <w:p>
            <w:r>
              <w:rPr>
                <w:b/>
                <w:color w:val="C00000"/>
                <w:sz w:val="17"/>
              </w:rPr>
              <w:t>-5.7%</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1,220</w:t>
            </w:r>
          </w:p>
        </w:tc>
        <w:tc>
          <w:tcPr>
            <w:tcW w:type="dxa" w:w="1440"/>
            <w:shd w:fill="FFDCE0" w:val="clear"/>
          </w:tcPr>
          <w:p>
            <w:r>
              <w:rPr>
                <w:b/>
                <w:sz w:val="17"/>
              </w:rPr>
              <w:t>1,382</w:t>
            </w:r>
          </w:p>
        </w:tc>
        <w:tc>
          <w:tcPr>
            <w:tcW w:type="dxa" w:w="1440"/>
            <w:shd w:fill="FFDCE0" w:val="clear"/>
          </w:tcPr>
          <w:p>
            <w:r>
              <w:rPr>
                <w:sz w:val="17"/>
              </w:rPr>
              <w:t>1,544</w:t>
            </w:r>
          </w:p>
        </w:tc>
        <w:tc>
          <w:tcPr>
            <w:tcW w:type="dxa" w:w="1440"/>
            <w:shd w:fill="FFDCE0" w:val="clear"/>
          </w:tcPr>
          <w:p>
            <w:r>
              <w:rPr>
                <w:b/>
                <w:color w:val="C00000"/>
                <w:sz w:val="17"/>
              </w:rPr>
              <w:t>-6.6%</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1,196</w:t>
            </w:r>
          </w:p>
        </w:tc>
        <w:tc>
          <w:tcPr>
            <w:tcW w:type="dxa" w:w="1440"/>
            <w:shd w:fill="FFDCE0" w:val="clear"/>
          </w:tcPr>
          <w:p>
            <w:r>
              <w:rPr>
                <w:b/>
                <w:sz w:val="17"/>
              </w:rPr>
              <w:t>1,369</w:t>
            </w:r>
          </w:p>
        </w:tc>
        <w:tc>
          <w:tcPr>
            <w:tcW w:type="dxa" w:w="1440"/>
            <w:shd w:fill="FFDCE0" w:val="clear"/>
          </w:tcPr>
          <w:p>
            <w:r>
              <w:rPr>
                <w:sz w:val="17"/>
              </w:rPr>
              <w:t>1,543</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1,173</w:t>
            </w:r>
          </w:p>
        </w:tc>
        <w:tc>
          <w:tcPr>
            <w:tcW w:type="dxa" w:w="1440"/>
            <w:shd w:fill="FFDCE0" w:val="clear"/>
          </w:tcPr>
          <w:p>
            <w:r>
              <w:rPr>
                <w:b/>
                <w:sz w:val="17"/>
              </w:rPr>
              <w:t>1,356</w:t>
            </w:r>
          </w:p>
        </w:tc>
        <w:tc>
          <w:tcPr>
            <w:tcW w:type="dxa" w:w="1440"/>
            <w:shd w:fill="FFDCE0" w:val="clear"/>
          </w:tcPr>
          <w:p>
            <w:r>
              <w:rPr>
                <w:sz w:val="17"/>
              </w:rPr>
              <w:t>1,540</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1,151</w:t>
            </w:r>
          </w:p>
        </w:tc>
        <w:tc>
          <w:tcPr>
            <w:tcW w:type="dxa" w:w="1440"/>
            <w:shd w:fill="FFDCE0" w:val="clear"/>
          </w:tcPr>
          <w:p>
            <w:r>
              <w:rPr>
                <w:b/>
                <w:sz w:val="17"/>
              </w:rPr>
              <w:t>1,344</w:t>
            </w:r>
          </w:p>
        </w:tc>
        <w:tc>
          <w:tcPr>
            <w:tcW w:type="dxa" w:w="1440"/>
            <w:shd w:fill="FFDCE0" w:val="clear"/>
          </w:tcPr>
          <w:p>
            <w:r>
              <w:rPr>
                <w:sz w:val="17"/>
              </w:rPr>
              <w:t>1,537</w:t>
            </w:r>
          </w:p>
        </w:tc>
        <w:tc>
          <w:tcPr>
            <w:tcW w:type="dxa" w:w="1440"/>
            <w:shd w:fill="FFDCE0" w:val="clear"/>
          </w:tcPr>
          <w:p>
            <w:r>
              <w:rPr>
                <w:b/>
                <w:color w:val="C00000"/>
                <w:sz w:val="17"/>
              </w:rPr>
              <w:t>-9.2%</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1,130</w:t>
            </w:r>
          </w:p>
        </w:tc>
        <w:tc>
          <w:tcPr>
            <w:tcW w:type="dxa" w:w="1440"/>
            <w:shd w:fill="FFDCE0" w:val="clear"/>
          </w:tcPr>
          <w:p>
            <w:r>
              <w:rPr>
                <w:b/>
                <w:sz w:val="17"/>
              </w:rPr>
              <w:t>1,332</w:t>
            </w:r>
          </w:p>
        </w:tc>
        <w:tc>
          <w:tcPr>
            <w:tcW w:type="dxa" w:w="1440"/>
            <w:shd w:fill="FFDCE0" w:val="clear"/>
          </w:tcPr>
          <w:p>
            <w:r>
              <w:rPr>
                <w:sz w:val="17"/>
              </w:rPr>
              <w:t>1,534</w:t>
            </w:r>
          </w:p>
        </w:tc>
        <w:tc>
          <w:tcPr>
            <w:tcW w:type="dxa" w:w="1440"/>
            <w:shd w:fill="FFDCE0" w:val="clear"/>
          </w:tcPr>
          <w:p>
            <w:r>
              <w:rPr>
                <w:b/>
                <w:color w:val="C00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SEMC (EVIOSYS PACKAGING SIEM)**</w:t>
        <w:br/>
        <w:t>**Date de l'analyse : 18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37,28 milliards FCFA, un niveau modeste qui la classe parmi les valeurs moyennes de la cote BRVM. Les ratios de valorisation (BPA, PER, P/B, EV/EBITDA) ne sont pas calculables dans notre base de données structurée, faute de données financières normalisées disponibles à la date de l'analyse. Cette absence est regrettable car elle prive l'investisseur d'une comparaison directe avec les références du marché (PER moyen BRVM de 8 à 12 fois). Toutefois, sur la base des rapports financiers disponibles, le bénéfice net de l'exercice 2023 (1,01 milliard FCFA) rapporté au nombre d'actions en circulation (environ 25,2 millions) suggère un BPA d'environ 40 FCFA, ce qui impliquerait un PER élevé d'environ 37 fois, nettement supérieur à la moyenne du marché, signalant une valorisation exigeante au regard des bénéfices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SEMC a enregistré une baisse significative de 25,63%, avec une dernière séance en repli de 0,67% à 1 480 FCFA. Le cours a évolué dans une fourchette large de 1 350 à 2 265 FCFA, illustrant une forte amplitude de trading. La tendance est clairement baissière, le titre ayant perdu plus d'un quart de sa valeur sur la période. Les statistiques descriptives confirment cette faiblesse : la moyenne (1 610 FCFA) est supérieure à la médiane (1 538 FCFA), indiquant une asymétrie positive (skewness de 1,469) avec des journées majoritairement sous la moyenne, mais quelques fortes hausses ponctuelles. L'écart-type de 196 FCFA (CV de 12,2%) révèle une dispersion modérée, tandis que le kurtosis de 1,299 signale un risque de mouvements extrêmes. La volatilité annualisée de 51,2% est très élevée, classant SEMC parmi les titres les plus risqués de la cote.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(1 480 FCFA) évolue sous la MM20 (1 477,5 FCFA) et surtout sous la MM50 (1 506,9 FCFA), confirmant une dynamique baissière de moyen terme. La décision de "Vente" est justifiée par cette configuration où le prix ne parvient pas à se maintenir au-dessus des moyennes, signe d'une pression vendeuse persistante.</w:t>
      </w:r>
    </w:p>
    <w:p>
      <w:pPr>
        <w:spacing w:after="120" w:line="276" w:lineRule="auto"/>
      </w:pPr>
      <w:r>
        <w:t>**Bandes de Bollinger** : Le prix se situe à l'intérieur des bandes (borne supérieure à 1 544,8 et borne inférieure à 1 410,2), proche de la zone médiane. La décision "Neutre" reflète une volatilité modérée sans cassure directionnelle. Le resserrement des bandes pourrait toutefois précéder un mouvement significatif à court terme.</w:t>
      </w:r>
    </w:p>
    <w:p>
      <w:pPr>
        <w:spacing w:after="120" w:line="276" w:lineRule="auto"/>
      </w:pPr>
      <w:r>
        <w:t>**MACD** : La valeur du MACD (-1,853) est supérieure à son signal (-4,911), indiquant un momentum positif en cours de construction. La décision "Achat" suggère que la dynamique baissière s'essouffle et qu'un retournement haussier pourrait se matérialiser, même si les valeurs restent en territoire négatif.</w:t>
      </w:r>
    </w:p>
    <w:p>
      <w:pPr>
        <w:spacing w:after="120" w:line="276" w:lineRule="auto"/>
      </w:pPr>
      <w:r>
        <w:t>**RSI** : À 43,55, le RSI se situe en zone neutre (30-70), sans signal de surachat ni de survente. La décision "Neutre" est cohérente avec une absence de pression directionnelle forte, laissant place à une possible consolidation avant un mouvement plus franc.</w:t>
      </w:r>
    </w:p>
    <w:p>
      <w:pPr>
        <w:spacing w:after="120" w:line="276" w:lineRule="auto"/>
      </w:pPr>
      <w:r>
        <w:t>**Stochastique** : Avec %K à 73,33 et %D à 71,81, l'oscillateur approche la zone de surachat (au-dessus de 80). La décision "Neutre" suggère que le mouvement haussier récent pourrait manquer de vigueur pour se prolonger, d'autant que les deux lignes sont proches, indiquant une possible convergence.</w:t>
      </w:r>
    </w:p>
    <w:p>
      <w:pPr>
        <w:spacing w:after="120" w:line="276" w:lineRule="auto"/>
      </w:pPr>
      <w:r>
        <w:t>**Conclusion technique** : Les signaux sont mitigés, avec une prédominance baissière sur les moyennes mobiles mais des indicateurs de momentum (MACD, Stochastique) montrant des signes de stabilisation. La configuration globale reste fragile, le titre n'ayant pas encore confirmé de retournement haussier. La prudence est de mise, avec un biais vendeur tant que le cours n'aura pas repris la MM50.</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la base officielle ne sont pas disponibles pour SEMC, mais les rapports financiers fournis permettent une analyse approfondie. Le rapport annuel daté du 31/12/2024 (analysé le 15/03/2026) présente les résultats de l'exercice 2023 : le chiffre d'affaires s'établit à 27,88 milliards FCFA, en baisse de 6% par rapport à 2022 (29,60 milliards FCFA), avec un résultat net de 1,01 milliard FCFA, en chute de 74% (contre 3,86 milliards FCFA en 2022). La marge nette s'est effondrée à 3,6% (contre 13% en 2022), traduisant une dégradation marquée de la rentabilité. Le rapport du 31/12/2023 (analysé le 15/03/2026) fait état d'un CA consolidé de 125,4 milliards FCFA pour 2023, avec un résultat net de 12,8 milliards FCFA et un ROE de 18,5%, mais ces chiffres semblent incohérents avec les données de l'exercice 2023 présentées précédemment, suggérant des périmètres différents (consolidé vs social). Le rapport trimestriel du 31/12/2023 (T1 2023) indique un CA de 7,65 milliards FCFA (+16,5%) et un bénéfice net de 855,65 millions FCFA (+37,9%). Sur la base de ces éléments, l'exercice 2024 devrait montrer une amélioration progressive, portée par la relance des bouchons couronnes et les exportations, avec un objectif de CA de 32 milliards FCFA. Cependant, la suspension de la cote BRVM et le rachat par Sonoco (finalisé en décembre 2024) créent une incertitude majeure. La recommandation fondamentale est de **CONSERVER avec vigilance**, compte tenu des perspectives de rebond mais aussi des risques opérationnels et de gouvernance.</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de risque élevé pour SEMC. La valorisation boursière (PER estimé à 37 fois) apparaît surévaluée au regard des bénéfices actuels, malgré une capitalisation modeste de 37,28 milliards FCFA. Le comportement du cours est préoccupant : baisse de 25,63% sur 100 jours, volatilité annualisée de 51,2%, et statistiques (kurtosis élevé, asymétrie positive) indiquant une forte instabilité. Les signaux techniques sont mitigés, avec une tendance baissière dominante mais des indicateurs de momentum (MACD, Stochastique) montrant des signes de stabilisation. Les fondamentaux sont fragiles : CA en baisse de 6% en 2023, résultat net en chute de 74%, et une rentabilité très dégradée (marge nette à 3,6%), même si les perspectives 2024 (objectif de CA de 32 milliards FCFA) et le rachat par Sonoco offrent des leviers de relance. Les prédictions IA pour les 10 prochains jours (1 447 à 1 396 FCFA) confirment la tendance baissière, anticipant une poursuite du repli. La convergence entre la faiblesse technique, la dégradation fondamentale et les prédictions IA conduit à une recommandation de **VENTE**, avec un niveau de confiance **Moyen** et un risque global **Élevé**. L'horizon d'investissement optimal est le **court terme (&lt;3 mois)**, dans l'attente de signaux plus clairs sur la levée de la suspension de cote et l'impact du nouveau management.</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1222.67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4,642 titres</w:t>
            </w:r>
          </w:p>
        </w:tc>
        <w:tc>
          <w:tcPr>
            <w:tcW w:type="dxa" w:w="2268"/>
            <w:shd w:fill="FFF2CC" w:val="clear"/>
          </w:tcPr>
          <w:p>
            <w:r>
              <w:rPr>
                <w:b/>
                <w:color w:val="503200"/>
                <w:sz w:val="16"/>
              </w:rPr>
              <w:t xml:space="preserve">Cours actuel : </w:t>
            </w:r>
            <w:r>
              <w:rPr>
                <w:color w:val="000000"/>
                <w:sz w:val="17"/>
              </w:rPr>
              <w:t>39,300 FCFA</w:t>
            </w:r>
          </w:p>
          <w:p>
            <w:r>
              <w:rPr>
                <w:b/>
                <w:color w:val="503200"/>
                <w:sz w:val="16"/>
              </w:rPr>
              <w:t xml:space="preserve">Var. 100 jours : </w:t>
            </w:r>
            <w:r>
              <w:rPr>
                <w:b/>
                <w:color w:val="007800"/>
                <w:sz w:val="17"/>
              </w:rPr>
              <w:t>+12.29%</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5.74% (Moyenne) — μ=36,723 FCFA, σ=2,108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β=0.4888 (Défensif) — Cov=0.000015, Var(idx)=0.000031, ρ=0.191,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4,642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σ_j=1.42%/j (Stable) — Vol. annualisée≈22.6%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37,972</w:t>
            </w:r>
          </w:p>
        </w:tc>
        <w:tc>
          <w:tcPr>
            <w:tcW w:type="dxa" w:w="1440"/>
            <w:shd w:fill="FAFAFA" w:val="clear"/>
          </w:tcPr>
          <w:p>
            <w:r>
              <w:rPr>
                <w:b/>
                <w:sz w:val="17"/>
              </w:rPr>
              <w:t>38,610</w:t>
            </w:r>
          </w:p>
        </w:tc>
        <w:tc>
          <w:tcPr>
            <w:tcW w:type="dxa" w:w="1440"/>
            <w:shd w:fill="FAFAFA" w:val="clear"/>
          </w:tcPr>
          <w:p>
            <w:r>
              <w:rPr>
                <w:sz w:val="17"/>
              </w:rPr>
              <w:t>39,249</w:t>
            </w:r>
          </w:p>
        </w:tc>
        <w:tc>
          <w:tcPr>
            <w:tcW w:type="dxa" w:w="1440"/>
            <w:shd w:fill="FAFAFA" w:val="clear"/>
          </w:tcPr>
          <w:p>
            <w:r>
              <w:rPr>
                <w:b/>
                <w:color w:val="C00000"/>
                <w:sz w:val="17"/>
              </w:rPr>
              <w:t>-1.8%</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37,615</w:t>
            </w:r>
          </w:p>
        </w:tc>
        <w:tc>
          <w:tcPr>
            <w:tcW w:type="dxa" w:w="1440"/>
            <w:shd w:fill="FAFAFA" w:val="clear"/>
          </w:tcPr>
          <w:p>
            <w:r>
              <w:rPr>
                <w:b/>
                <w:sz w:val="17"/>
              </w:rPr>
              <w:t>38,516</w:t>
            </w:r>
          </w:p>
        </w:tc>
        <w:tc>
          <w:tcPr>
            <w:tcW w:type="dxa" w:w="1440"/>
            <w:shd w:fill="FAFAFA" w:val="clear"/>
          </w:tcPr>
          <w:p>
            <w:r>
              <w:rPr>
                <w:sz w:val="17"/>
              </w:rPr>
              <w:t>39,417</w:t>
            </w:r>
          </w:p>
        </w:tc>
        <w:tc>
          <w:tcPr>
            <w:tcW w:type="dxa" w:w="1440"/>
            <w:shd w:fill="FAFAFA"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37,308</w:t>
            </w:r>
          </w:p>
        </w:tc>
        <w:tc>
          <w:tcPr>
            <w:tcW w:type="dxa" w:w="1440"/>
            <w:shd w:fill="FFDCE0" w:val="clear"/>
          </w:tcPr>
          <w:p>
            <w:r>
              <w:rPr>
                <w:b/>
                <w:sz w:val="17"/>
              </w:rPr>
              <w:t>38,408</w:t>
            </w:r>
          </w:p>
        </w:tc>
        <w:tc>
          <w:tcPr>
            <w:tcW w:type="dxa" w:w="1440"/>
            <w:shd w:fill="FFDCE0" w:val="clear"/>
          </w:tcPr>
          <w:p>
            <w:r>
              <w:rPr>
                <w:sz w:val="17"/>
              </w:rPr>
              <w:t>39,508</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2026-08-21</w:t>
            </w:r>
          </w:p>
        </w:tc>
        <w:tc>
          <w:tcPr>
            <w:tcW w:type="dxa" w:w="1440"/>
            <w:shd w:fill="FFDCE0" w:val="clear"/>
          </w:tcPr>
          <w:p>
            <w:r>
              <w:rPr>
                <w:sz w:val="17"/>
              </w:rPr>
              <w:t>37,040</w:t>
            </w:r>
          </w:p>
        </w:tc>
        <w:tc>
          <w:tcPr>
            <w:tcW w:type="dxa" w:w="1440"/>
            <w:shd w:fill="FFDCE0" w:val="clear"/>
          </w:tcPr>
          <w:p>
            <w:r>
              <w:rPr>
                <w:b/>
                <w:sz w:val="17"/>
              </w:rPr>
              <w:t>38,306</w:t>
            </w:r>
          </w:p>
        </w:tc>
        <w:tc>
          <w:tcPr>
            <w:tcW w:type="dxa" w:w="1440"/>
            <w:shd w:fill="FFDCE0" w:val="clear"/>
          </w:tcPr>
          <w:p>
            <w:r>
              <w:rPr>
                <w:sz w:val="17"/>
              </w:rPr>
              <w:t>39,573</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2026-08-24</w:t>
            </w:r>
          </w:p>
        </w:tc>
        <w:tc>
          <w:tcPr>
            <w:tcW w:type="dxa" w:w="1440"/>
            <w:shd w:fill="FFDCE0" w:val="clear"/>
          </w:tcPr>
          <w:p>
            <w:r>
              <w:rPr>
                <w:sz w:val="17"/>
              </w:rPr>
              <w:t>36,799</w:t>
            </w:r>
          </w:p>
        </w:tc>
        <w:tc>
          <w:tcPr>
            <w:tcW w:type="dxa" w:w="1440"/>
            <w:shd w:fill="FFDCE0" w:val="clear"/>
          </w:tcPr>
          <w:p>
            <w:r>
              <w:rPr>
                <w:b/>
                <w:sz w:val="17"/>
              </w:rPr>
              <w:t>38,212</w:t>
            </w:r>
          </w:p>
        </w:tc>
        <w:tc>
          <w:tcPr>
            <w:tcW w:type="dxa" w:w="1440"/>
            <w:shd w:fill="FFDCE0" w:val="clear"/>
          </w:tcPr>
          <w:p>
            <w:r>
              <w:rPr>
                <w:sz w:val="17"/>
              </w:rPr>
              <w:t>39,625</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2026-08-25</w:t>
            </w:r>
          </w:p>
        </w:tc>
        <w:tc>
          <w:tcPr>
            <w:tcW w:type="dxa" w:w="1440"/>
            <w:shd w:fill="FFDCE0" w:val="clear"/>
          </w:tcPr>
          <w:p>
            <w:r>
              <w:rPr>
                <w:sz w:val="17"/>
              </w:rPr>
              <w:t>36,579</w:t>
            </w:r>
          </w:p>
        </w:tc>
        <w:tc>
          <w:tcPr>
            <w:tcW w:type="dxa" w:w="1440"/>
            <w:shd w:fill="FFDCE0" w:val="clear"/>
          </w:tcPr>
          <w:p>
            <w:r>
              <w:rPr>
                <w:b/>
                <w:sz w:val="17"/>
              </w:rPr>
              <w:t>38,123</w:t>
            </w:r>
          </w:p>
        </w:tc>
        <w:tc>
          <w:tcPr>
            <w:tcW w:type="dxa" w:w="1440"/>
            <w:shd w:fill="FFDCE0" w:val="clear"/>
          </w:tcPr>
          <w:p>
            <w:r>
              <w:rPr>
                <w:sz w:val="17"/>
              </w:rPr>
              <w:t>39,667</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2026-08-27</w:t>
            </w:r>
          </w:p>
        </w:tc>
        <w:tc>
          <w:tcPr>
            <w:tcW w:type="dxa" w:w="1440"/>
            <w:shd w:fill="FFDCE0" w:val="clear"/>
          </w:tcPr>
          <w:p>
            <w:r>
              <w:rPr>
                <w:sz w:val="17"/>
              </w:rPr>
              <w:t>36,373</w:t>
            </w:r>
          </w:p>
        </w:tc>
        <w:tc>
          <w:tcPr>
            <w:tcW w:type="dxa" w:w="1440"/>
            <w:shd w:fill="FFDCE0" w:val="clear"/>
          </w:tcPr>
          <w:p>
            <w:r>
              <w:rPr>
                <w:b/>
                <w:sz w:val="17"/>
              </w:rPr>
              <w:t>38,038</w:t>
            </w:r>
          </w:p>
        </w:tc>
        <w:tc>
          <w:tcPr>
            <w:tcW w:type="dxa" w:w="1440"/>
            <w:shd w:fill="FFDCE0" w:val="clear"/>
          </w:tcPr>
          <w:p>
            <w:r>
              <w:rPr>
                <w:sz w:val="17"/>
              </w:rPr>
              <w:t>39,702</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2026-08-28</w:t>
            </w:r>
          </w:p>
        </w:tc>
        <w:tc>
          <w:tcPr>
            <w:tcW w:type="dxa" w:w="1440"/>
            <w:shd w:fill="FFDCE0" w:val="clear"/>
          </w:tcPr>
          <w:p>
            <w:r>
              <w:rPr>
                <w:sz w:val="17"/>
              </w:rPr>
              <w:t>36,179</w:t>
            </w:r>
          </w:p>
        </w:tc>
        <w:tc>
          <w:tcPr>
            <w:tcW w:type="dxa" w:w="1440"/>
            <w:shd w:fill="FFDCE0" w:val="clear"/>
          </w:tcPr>
          <w:p>
            <w:r>
              <w:rPr>
                <w:b/>
                <w:sz w:val="17"/>
              </w:rPr>
              <w:t>37,954</w:t>
            </w:r>
          </w:p>
        </w:tc>
        <w:tc>
          <w:tcPr>
            <w:tcW w:type="dxa" w:w="1440"/>
            <w:shd w:fill="FFDCE0" w:val="clear"/>
          </w:tcPr>
          <w:p>
            <w:r>
              <w:rPr>
                <w:sz w:val="17"/>
              </w:rPr>
              <w:t>39,729</w:t>
            </w:r>
          </w:p>
        </w:tc>
        <w:tc>
          <w:tcPr>
            <w:tcW w:type="dxa" w:w="1440"/>
            <w:shd w:fill="FFDCE0" w:val="clear"/>
          </w:tcPr>
          <w:p>
            <w:r>
              <w:rPr>
                <w:b/>
                <w:color w:val="C00000"/>
                <w:sz w:val="17"/>
              </w:rPr>
              <w:t>-3.4%</w:t>
            </w:r>
          </w:p>
        </w:tc>
      </w:tr>
      <w:tr>
        <w:tc>
          <w:tcPr>
            <w:tcW w:type="dxa" w:w="1440"/>
            <w:shd w:fill="FFDCE0" w:val="clear"/>
          </w:tcPr>
          <w:p>
            <w:r>
              <w:rPr>
                <w:sz w:val="17"/>
              </w:rPr>
              <w:t>J+9  Moyenne</w:t>
            </w:r>
          </w:p>
        </w:tc>
        <w:tc>
          <w:tcPr>
            <w:tcW w:type="dxa" w:w="1440"/>
            <w:shd w:fill="FFDCE0" w:val="clear"/>
          </w:tcPr>
          <w:p>
            <w:r>
              <w:rPr>
                <w:sz w:val="17"/>
              </w:rPr>
              <w:t>2026-08-31</w:t>
            </w:r>
          </w:p>
        </w:tc>
        <w:tc>
          <w:tcPr>
            <w:tcW w:type="dxa" w:w="1440"/>
            <w:shd w:fill="FFDCE0" w:val="clear"/>
          </w:tcPr>
          <w:p>
            <w:r>
              <w:rPr>
                <w:sz w:val="17"/>
              </w:rPr>
              <w:t>35,994</w:t>
            </w:r>
          </w:p>
        </w:tc>
        <w:tc>
          <w:tcPr>
            <w:tcW w:type="dxa" w:w="1440"/>
            <w:shd w:fill="FFDCE0" w:val="clear"/>
          </w:tcPr>
          <w:p>
            <w:r>
              <w:rPr>
                <w:b/>
                <w:sz w:val="17"/>
              </w:rPr>
              <w:t>37,873</w:t>
            </w:r>
          </w:p>
        </w:tc>
        <w:tc>
          <w:tcPr>
            <w:tcW w:type="dxa" w:w="1440"/>
            <w:shd w:fill="FFDCE0" w:val="clear"/>
          </w:tcPr>
          <w:p>
            <w:r>
              <w:rPr>
                <w:sz w:val="17"/>
              </w:rPr>
              <w:t>39,752</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2026-09-01</w:t>
            </w:r>
          </w:p>
        </w:tc>
        <w:tc>
          <w:tcPr>
            <w:tcW w:type="dxa" w:w="1440"/>
            <w:shd w:fill="FFDCE0" w:val="clear"/>
          </w:tcPr>
          <w:p>
            <w:r>
              <w:rPr>
                <w:sz w:val="17"/>
              </w:rPr>
              <w:t>35,817</w:t>
            </w:r>
          </w:p>
        </w:tc>
        <w:tc>
          <w:tcPr>
            <w:tcW w:type="dxa" w:w="1440"/>
            <w:shd w:fill="FFDCE0" w:val="clear"/>
          </w:tcPr>
          <w:p>
            <w:r>
              <w:rPr>
                <w:b/>
                <w:sz w:val="17"/>
              </w:rPr>
              <w:t>37,793</w:t>
            </w:r>
          </w:p>
        </w:tc>
        <w:tc>
          <w:tcPr>
            <w:tcW w:type="dxa" w:w="1440"/>
            <w:shd w:fill="FFDCE0" w:val="clear"/>
          </w:tcPr>
          <w:p>
            <w:r>
              <w:rPr>
                <w:sz w:val="17"/>
              </w:rPr>
              <w:t>39,770</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**Date de l'analyse : 17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1 222,67 milliards FCFA, ce qui en fait l'une des plus importantes capitalisations de la BRVM, reflétant son statut de leader bancaire régional. Avec un BPA de 3 258 FCFA, chaque action génère un bénéfice substantiel. Le PER de 12,1x se situe dans la fourchette haute des références BRVM (8-12x), indiquant que les investisseurs paient un prix légèrement premium pour la qualité des bénéfices, mais sans excès. Le P/B de 2,47x, dans la zone 2-4x, traduit une prime de croissance accordée par le marché, qui valorise la rentabilité élevée de la banque au-dessus de sa valeur comptable. Enfin, l'EV/EBITDA de 24,7x est très exigeant, signalant que la valeur totale de l'entreprise (dette incluse) est élevée par rapport à sa capacité opérationnelle, ce qui peut refléter des attentes de croissance future importantes ou une prime de rareté sur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totale de +12,29%, avec une dernière séance en hausse de +0,77% pour clôturer à 39 300 FCFA. Le titre a évolué dans une fourchette de 32 800 FCFA (plus bas) à 39 300 FCFA (plus haut), démontrant une tendance haussière soutenue. La moyenne du cours sur la période est de 36 723 FCFA, tandis que la médiane s'établit à 37 452 FCFA ; cet écart, avec une moyenne inférieure à la médiane, suggère une distribution légèrement asymétrique à gauche, confirmée par le skewness de -0,399. L'écart-type de 2 118 FCFA, avec un coefficient de variation de 5,8%, indique une dispersion modérée autour de la moyenne. Le kurtosis en excès de -1,327 (platykurtique) révèle une distribution aplatie avec une faible concentration des valeurs, donc un risque de pics limité. La volatilité annualisée de 22,6% classe le titre dans la catégorie modérée (15-30%), offrant un équilibre entre potentiel de rendement et maîtrise du risque.</w:t>
      </w:r>
    </w:p>
    <w:p>
      <w:pPr>
        <w:spacing w:after="120" w:line="276" w:lineRule="auto"/>
      </w:pPr>
      <w:r>
        <w:t>---</w:t>
      </w:r>
    </w:p>
    <w:p>
      <w:pPr>
        <w:spacing w:after="120" w:line="276" w:lineRule="auto"/>
      </w:pPr>
      <w:r>
        <w:t>### PARTIE 2 : ANALYSE TECHNIQUE DÉTAILLÉE</w:t>
      </w:r>
    </w:p>
    <w:p>
      <w:pPr>
        <w:spacing w:after="120" w:line="276" w:lineRule="auto"/>
      </w:pPr>
      <w:r>
        <w:t>**Moyennes Mobiles** : Les MM20 (38 297 FCFA) et MM50 (38 575,2 FCFA) sont toutes deux inférieures au cours actuel de 39 300 FCFA, indiquant une tendance haussière de moyen terme. Cependant, la MM50 est supérieure à la MM20, suggérant un possible ralentissement du momentum à court terme. La décision de "Vente" signalée par ce croisement baissier des moyennes mobiles appelle à la prudence, malgré la position du prix au-dessus de ces niveaux.</w:t>
      </w:r>
    </w:p>
    <w:p>
      <w:pPr>
        <w:spacing w:after="120" w:line="276" w:lineRule="auto"/>
      </w:pPr>
      <w:r>
        <w:t>**Bandes de Bollinger** : Le cours actuel (39 300 FCFA) se situe très proche de la borne supérieure (39 284,5 FCFA), indiquant que le titre est en zone de surachat technique. Cette position extrême, couplée à la décision de "Vente", suggère un risque de correction à court terme. La largeur des bandes reflète une volatilité modérée, cohérente avec le CV de 5,8% observé sur la période.</w:t>
      </w:r>
    </w:p>
    <w:p>
      <w:pPr>
        <w:spacing w:after="120" w:line="276" w:lineRule="auto"/>
      </w:pPr>
      <w:r>
        <w:t>**MACD** : Le MACD (218,2) est nettement supérieur à sa ligne de signal (85,2), avec un écart positif important. Cette configuration haussière indique un momentum positif soutenu et une dynamique d'achat toujours active. La décision "Achat" est cohérente avec la tendance haussière observée, bien que l'ampleur de l'écart puisse signaler une possible saturation à court terme.</w:t>
      </w:r>
    </w:p>
    <w:p>
      <w:pPr>
        <w:spacing w:after="120" w:line="276" w:lineRule="auto"/>
      </w:pPr>
      <w:r>
        <w:t>**RSI** : À 69,3, le RSI se situe en zone neutre, proche du seuil de surachat (70). Cette valeur indique que le titre a connu une forte appréciation récente mais n'est pas encore en situation de surachat extrême. La décision "Neutre" reflète un équilibre entre la pression acheteuse et le risque de correction, suggérant une stabilisation possible.</w:t>
      </w:r>
    </w:p>
    <w:p>
      <w:pPr>
        <w:spacing w:after="120" w:line="276" w:lineRule="auto"/>
      </w:pPr>
      <w:r>
        <w:t>**Stochastique** : Le %K (100,0) et le %D (94,9) sont tous deux à des niveaux extrêmement élevés, indiquant une condition de surachat sévère. Le croisement potentiel de ces lignes pourrait signaler un retournement baissier imminent. La décision "Vente" est justifiée par cette configuration extrême, qui suggère que le titre est temporairement survendu.</w:t>
      </w:r>
    </w:p>
    <w:p>
      <w:pPr>
        <w:spacing w:after="120" w:line="276" w:lineRule="auto"/>
      </w:pPr>
      <w:r>
        <w:t>**Conclusion technique** : Les indicateurs techniques sont mitigés, avec un MACD haussier mais des oscillateurs (RSI, Stochastique) et des bandes de Bollinger en zone de surachat. Cette divergence suggère que la tendance haussière de fond reste intacte, mais qu'une consolidation ou correction technique est probable à court terme. Les moyennes mobiles, bien que positives, montrent un ralentissement du momentum.</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SGBC affiche un Produit Net Bancaire (PNB) de 276,048 milliards FCFA, en croissance de +4,88% par rapport à 2024. Le résultat net atteint 101,352 milliards FCFA, franchissant le seuil des 100 milliards pour la deuxième année consécutive. La rentabilité est excellente avec un ROE de 20,47% et un ROA de 2,69%, confirmant une gestion efficace des fonds propres et des actifs. Le coefficient d'exploitation de 38,75% est remarquablement bas (bien en dessous du seuil de 60% considéré comme efficace), démontrant une maîtrise exceptionnelle des coûts. La marge nette de 36,72% et la marge opérationnelle de 44,28% témoignent d'une forte capacité à générer des bénéfices. Le coût du risque, avec des provisions de 17,995 milliards FCFA, reste contenu, et la couverture des intérêts à 255,88% assure une excellente capacité à honorer les charges financières.</w:t>
      </w:r>
    </w:p>
    <w:p>
      <w:pPr>
        <w:spacing w:after="120" w:line="276" w:lineRule="auto"/>
      </w:pPr>
      <w:r>
        <w:t>**Adaptation au secteur bancaire** : Le ratio de transformation est sain avec des dépôts clientèle de 2 907,675 milliards FCFA contre des créances clientèle de 2 546,290 milliards FCFA, soit un ratio prêts/dépôts d'environ 87,6%, en amélioration par rapport à l'année précédente. La liquidité est renforcée par une trésorerie nette positive de 178,821 milliards FCFA et des créances interbancaires de 37,061 milliards FCFA. La solvabilité générale de 115,12% et l'autonomie financière de 13,14% (bien que modeste) sont compensées par une capacité de remboursement de 27,46 ans, reflétant une structure de financement typique du secteur bancaire.</w:t>
      </w:r>
    </w:p>
    <w:p>
      <w:pPr>
        <w:spacing w:after="120" w:line="276" w:lineRule="auto"/>
      </w:pPr>
      <w:r>
        <w:t>**Estimations basées sur les rapports trimestriels** : Le rapport du 3e trimestre 2025 (cumul 9 mois) montre un PNB de 201,0 milliards FCFA (+2,5% vs 2024) et un résultat net de 83,3 milliards FCFA (+11,7% vs 2024). Sur la base de ces données, on estime que l'exercice 2026 devrait confirmer la trajectoire de croissance, avec un PNB annuel potentiel de 280-285 milliards FCFA et un résultat net de 105-110 milliards FCFA, soit une croissance de 4-8%. Le rapport du 1er trimestre 2025 (PNB de 66,3 milliards FCFA, +1,3%) et celui du 1er semestre 2025 (PNB de 132,0 milliards FCFA, +1,0%) montrent une progression plus modérée en début d'année, mais le rapport annuel 2024 (PNB de 263,2 milliards FCFA, +3,9% et résultat net de 101,2 milliards FCFA, +4,1%) confirme la solidité du modèle économique. La politique de dividende est attractive avec un DPA proposé de 1 863 FCFA pour 2024, en hausse de +8,4%, représentant un taux de distribution de 57,25%.</w:t>
      </w:r>
    </w:p>
    <w:p>
      <w:pPr>
        <w:spacing w:after="120" w:line="276" w:lineRule="auto"/>
      </w:pPr>
      <w:r>
        <w:t>**Recommandation fondamentale** : SGBC présente des fondamentaux exceptionnellement solides avec une croissance rentable, une efficacité opérationnelle remarquable et une notation AAA, unique sur le marché. Les risques principaux concernent la hausse des créances en souffrance (NPL à 7,8% au S1 2025) et la concurrence accrue, mais la solidité financière et la stratégie de digitalisation offrent des perspectives favorables.</w:t>
      </w:r>
    </w:p>
    <w:p>
      <w:pPr>
        <w:spacing w:after="120" w:line="276" w:lineRule="auto"/>
      </w:pPr>
      <w:r>
        <w:t>---</w:t>
      </w:r>
    </w:p>
    <w:p>
      <w:pPr>
        <w:spacing w:after="120" w:line="276" w:lineRule="auto"/>
      </w:pPr>
      <w:r>
        <w:t>### PARTIE 4 : CONCLUSION D'INVESTISSEMENT</w:t>
      </w:r>
    </w:p>
    <w:p>
      <w:pPr>
        <w:spacing w:after="120" w:line="276" w:lineRule="auto"/>
      </w:pPr>
      <w:r>
        <w:t>La valorisation de SGBC (PER 12,1x, P/B 2,47x, EV/EBITDA 24,7x) indique une prime de qualité justifiée par des fondamentaux exceptionnels, mais avec un potentiel de hausse limité à court terme. Le comportement du cours (+12,29% sur 100 jours) montre une tendance haussière soutenue avec une volatilité modérée (22,6%), bien que les statistiques (kurtosis platykurtique, skewness négatif) suggèrent un risque de consolidation. Les signaux techniques sont mitigés : le MACD est haussier, mais le RSI proche du surachat, le Stochastique à des niveaux extrêmes et la position au-dessus de la borne supérieure de Bollinger indiquent un risque de correction. Les fondamentaux sont excellents (ROE 20,47%, coefficient d'exploitation 38,75%, notation AAA), avec des estimations 2026 positives basées sur les rapports trimestriels. Les prédictions IA (38 610 FCFA à J+10, soit -1,8%) confirment la probabilité d'une consolidation technique à court terme. En synthèse, la convergence entre la solidité fondamentale et la tendance haussière de fond, contrebalancée par des signaux techniques de surachat et une valorisation exigeante, conduit à une recommandation de **CONSERVER** avec un niveau de confiance **Moyen**. Le risque global est **Moyen**, et l'horizon d'investissement optimal est le **moyen terme (3-12 mois)**, en attendant une éventuelle correction pour renforcer les positions.</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148.05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4,287 titres</w:t>
            </w:r>
          </w:p>
        </w:tc>
        <w:tc>
          <w:tcPr>
            <w:tcW w:type="dxa" w:w="2268"/>
            <w:shd w:fill="FFF2CC" w:val="clear"/>
          </w:tcPr>
          <w:p>
            <w:r>
              <w:rPr>
                <w:b/>
                <w:color w:val="503200"/>
                <w:sz w:val="16"/>
              </w:rPr>
              <w:t xml:space="preserve">Cours actuel : </w:t>
            </w:r>
            <w:r>
              <w:rPr>
                <w:color w:val="000000"/>
                <w:sz w:val="17"/>
              </w:rPr>
              <w:t>2,350 FCFA</w:t>
            </w:r>
          </w:p>
          <w:p>
            <w:r>
              <w:rPr>
                <w:b/>
                <w:color w:val="503200"/>
                <w:sz w:val="16"/>
              </w:rPr>
              <w:t xml:space="preserve">Var. 100 jours : </w:t>
            </w:r>
            <w:r>
              <w:rPr>
                <w:b/>
                <w:color w:val="007800"/>
                <w:sz w:val="17"/>
              </w:rPr>
              <w:t>+9.30%</w:t>
            </w:r>
          </w:p>
          <w:p>
            <w:r>
              <w:rPr>
                <w:b/>
                <w:color w:val="503200"/>
                <w:sz w:val="16"/>
              </w:rPr>
              <w:t xml:space="preserve">Plus haut 100j : </w:t>
            </w:r>
            <w:r>
              <w:rPr>
                <w:color w:val="000000"/>
                <w:sz w:val="17"/>
              </w:rPr>
              <w:t>2,350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5.90% (Moyenne) — μ=2,104 FCFA, σ=124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β=0.9985 (Neutre (suit le marché)) — Cov=0.000031, Var(idx)=0.000031, ρ=0.250,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4,287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2,112</w:t>
            </w:r>
          </w:p>
        </w:tc>
        <w:tc>
          <w:tcPr>
            <w:tcW w:type="dxa" w:w="1440"/>
            <w:shd w:fill="FFDCE0" w:val="clear"/>
          </w:tcPr>
          <w:p>
            <w:r>
              <w:rPr>
                <w:b/>
                <w:sz w:val="17"/>
              </w:rPr>
              <w:t>2,197</w:t>
            </w:r>
          </w:p>
        </w:tc>
        <w:tc>
          <w:tcPr>
            <w:tcW w:type="dxa" w:w="1440"/>
            <w:shd w:fill="FFDCE0" w:val="clear"/>
          </w:tcPr>
          <w:p>
            <w:r>
              <w:rPr>
                <w:sz w:val="17"/>
              </w:rPr>
              <w:t>2,283</w:t>
            </w:r>
          </w:p>
        </w:tc>
        <w:tc>
          <w:tcPr>
            <w:tcW w:type="dxa" w:w="1440"/>
            <w:shd w:fill="FFDCE0" w:val="clear"/>
          </w:tcPr>
          <w:p>
            <w:r>
              <w:rPr>
                <w:b/>
                <w:color w:val="C00000"/>
                <w:sz w:val="17"/>
              </w:rPr>
              <w:t>-6.5%</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1,991</w:t>
            </w:r>
          </w:p>
        </w:tc>
        <w:tc>
          <w:tcPr>
            <w:tcW w:type="dxa" w:w="1440"/>
            <w:shd w:fill="FFDCE0" w:val="clear"/>
          </w:tcPr>
          <w:p>
            <w:r>
              <w:rPr>
                <w:b/>
                <w:sz w:val="17"/>
              </w:rPr>
              <w:t>2,107</w:t>
            </w:r>
          </w:p>
        </w:tc>
        <w:tc>
          <w:tcPr>
            <w:tcW w:type="dxa" w:w="1440"/>
            <w:shd w:fill="FFDCE0" w:val="clear"/>
          </w:tcPr>
          <w:p>
            <w:r>
              <w:rPr>
                <w:sz w:val="17"/>
              </w:rPr>
              <w:t>2,222</w:t>
            </w:r>
          </w:p>
        </w:tc>
        <w:tc>
          <w:tcPr>
            <w:tcW w:type="dxa" w:w="1440"/>
            <w:shd w:fill="FFDCE0" w:val="clear"/>
          </w:tcPr>
          <w:p>
            <w:r>
              <w:rPr>
                <w:b/>
                <w:color w:val="C00000"/>
                <w:sz w:val="17"/>
              </w:rPr>
              <w:t>-10.4%</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1,882</w:t>
            </w:r>
          </w:p>
        </w:tc>
        <w:tc>
          <w:tcPr>
            <w:tcW w:type="dxa" w:w="1440"/>
            <w:shd w:fill="FFDCE0" w:val="clear"/>
          </w:tcPr>
          <w:p>
            <w:r>
              <w:rPr>
                <w:b/>
                <w:sz w:val="17"/>
              </w:rPr>
              <w:t>2,018</w:t>
            </w:r>
          </w:p>
        </w:tc>
        <w:tc>
          <w:tcPr>
            <w:tcW w:type="dxa" w:w="1440"/>
            <w:shd w:fill="FFDCE0" w:val="clear"/>
          </w:tcPr>
          <w:p>
            <w:r>
              <w:rPr>
                <w:sz w:val="17"/>
              </w:rPr>
              <w:t>2,153</w:t>
            </w:r>
          </w:p>
        </w:tc>
        <w:tc>
          <w:tcPr>
            <w:tcW w:type="dxa" w:w="1440"/>
            <w:shd w:fill="FFDCE0" w:val="clear"/>
          </w:tcPr>
          <w:p>
            <w:r>
              <w:rPr>
                <w:b/>
                <w:color w:val="C00000"/>
                <w:sz w:val="17"/>
              </w:rPr>
              <w:t>-14.1%</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1,791</w:t>
            </w:r>
          </w:p>
        </w:tc>
        <w:tc>
          <w:tcPr>
            <w:tcW w:type="dxa" w:w="1440"/>
            <w:shd w:fill="FFDCE0" w:val="clear"/>
          </w:tcPr>
          <w:p>
            <w:r>
              <w:rPr>
                <w:b/>
                <w:sz w:val="17"/>
              </w:rPr>
              <w:t>1,942</w:t>
            </w:r>
          </w:p>
        </w:tc>
        <w:tc>
          <w:tcPr>
            <w:tcW w:type="dxa" w:w="1440"/>
            <w:shd w:fill="FFDCE0" w:val="clear"/>
          </w:tcPr>
          <w:p>
            <w:r>
              <w:rPr>
                <w:sz w:val="17"/>
              </w:rPr>
              <w:t>2,092</w:t>
            </w:r>
          </w:p>
        </w:tc>
        <w:tc>
          <w:tcPr>
            <w:tcW w:type="dxa" w:w="1440"/>
            <w:shd w:fill="FFDCE0" w:val="clear"/>
          </w:tcPr>
          <w:p>
            <w:r>
              <w:rPr>
                <w:b/>
                <w:color w:val="C00000"/>
                <w:sz w:val="17"/>
              </w:rPr>
              <w:t>-17.4%</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1,715</w:t>
            </w:r>
          </w:p>
        </w:tc>
        <w:tc>
          <w:tcPr>
            <w:tcW w:type="dxa" w:w="1440"/>
            <w:shd w:fill="FFDCE0" w:val="clear"/>
          </w:tcPr>
          <w:p>
            <w:r>
              <w:rPr>
                <w:b/>
                <w:sz w:val="17"/>
              </w:rPr>
              <w:t>1,878</w:t>
            </w:r>
          </w:p>
        </w:tc>
        <w:tc>
          <w:tcPr>
            <w:tcW w:type="dxa" w:w="1440"/>
            <w:shd w:fill="FFDCE0" w:val="clear"/>
          </w:tcPr>
          <w:p>
            <w:r>
              <w:rPr>
                <w:sz w:val="17"/>
              </w:rPr>
              <w:t>2,041</w:t>
            </w:r>
          </w:p>
        </w:tc>
        <w:tc>
          <w:tcPr>
            <w:tcW w:type="dxa" w:w="1440"/>
            <w:shd w:fill="FFDCE0" w:val="clear"/>
          </w:tcPr>
          <w:p>
            <w:r>
              <w:rPr>
                <w:b/>
                <w:color w:val="C00000"/>
                <w:sz w:val="17"/>
              </w:rPr>
              <w:t>-20.1%</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1,652</w:t>
            </w:r>
          </w:p>
        </w:tc>
        <w:tc>
          <w:tcPr>
            <w:tcW w:type="dxa" w:w="1440"/>
            <w:shd w:fill="FFDCE0" w:val="clear"/>
          </w:tcPr>
          <w:p>
            <w:r>
              <w:rPr>
                <w:b/>
                <w:sz w:val="17"/>
              </w:rPr>
              <w:t>1,825</w:t>
            </w:r>
          </w:p>
        </w:tc>
        <w:tc>
          <w:tcPr>
            <w:tcW w:type="dxa" w:w="1440"/>
            <w:shd w:fill="FFDCE0" w:val="clear"/>
          </w:tcPr>
          <w:p>
            <w:r>
              <w:rPr>
                <w:sz w:val="17"/>
              </w:rPr>
              <w:t>1,998</w:t>
            </w:r>
          </w:p>
        </w:tc>
        <w:tc>
          <w:tcPr>
            <w:tcW w:type="dxa" w:w="1440"/>
            <w:shd w:fill="FFDCE0" w:val="clear"/>
          </w:tcPr>
          <w:p>
            <w:r>
              <w:rPr>
                <w:b/>
                <w:color w:val="C00000"/>
                <w:sz w:val="17"/>
              </w:rPr>
              <w:t>-22.3%</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1,597</w:t>
            </w:r>
          </w:p>
        </w:tc>
        <w:tc>
          <w:tcPr>
            <w:tcW w:type="dxa" w:w="1440"/>
            <w:shd w:fill="FFDCE0" w:val="clear"/>
          </w:tcPr>
          <w:p>
            <w:r>
              <w:rPr>
                <w:b/>
                <w:sz w:val="17"/>
              </w:rPr>
              <w:t>1,779</w:t>
            </w:r>
          </w:p>
        </w:tc>
        <w:tc>
          <w:tcPr>
            <w:tcW w:type="dxa" w:w="1440"/>
            <w:shd w:fill="FFDCE0" w:val="clear"/>
          </w:tcPr>
          <w:p>
            <w:r>
              <w:rPr>
                <w:sz w:val="17"/>
              </w:rPr>
              <w:t>1,962</w:t>
            </w:r>
          </w:p>
        </w:tc>
        <w:tc>
          <w:tcPr>
            <w:tcW w:type="dxa" w:w="1440"/>
            <w:shd w:fill="FFDCE0" w:val="clear"/>
          </w:tcPr>
          <w:p>
            <w:r>
              <w:rPr>
                <w:b/>
                <w:color w:val="C00000"/>
                <w:sz w:val="17"/>
              </w:rPr>
              <w:t>-24.3%</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1,548</w:t>
            </w:r>
          </w:p>
        </w:tc>
        <w:tc>
          <w:tcPr>
            <w:tcW w:type="dxa" w:w="1440"/>
            <w:shd w:fill="FFDCE0" w:val="clear"/>
          </w:tcPr>
          <w:p>
            <w:r>
              <w:rPr>
                <w:b/>
                <w:sz w:val="17"/>
              </w:rPr>
              <w:t>1,739</w:t>
            </w:r>
          </w:p>
        </w:tc>
        <w:tc>
          <w:tcPr>
            <w:tcW w:type="dxa" w:w="1440"/>
            <w:shd w:fill="FFDCE0" w:val="clear"/>
          </w:tcPr>
          <w:p>
            <w:r>
              <w:rPr>
                <w:sz w:val="17"/>
              </w:rPr>
              <w:t>1,930</w:t>
            </w:r>
          </w:p>
        </w:tc>
        <w:tc>
          <w:tcPr>
            <w:tcW w:type="dxa" w:w="1440"/>
            <w:shd w:fill="FFDCE0" w:val="clear"/>
          </w:tcPr>
          <w:p>
            <w:r>
              <w:rPr>
                <w:b/>
                <w:color w:val="C00000"/>
                <w:sz w:val="17"/>
              </w:rPr>
              <w:t>-26.0%</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1,505</w:t>
            </w:r>
          </w:p>
        </w:tc>
        <w:tc>
          <w:tcPr>
            <w:tcW w:type="dxa" w:w="1440"/>
            <w:shd w:fill="FFDCE0" w:val="clear"/>
          </w:tcPr>
          <w:p>
            <w:r>
              <w:rPr>
                <w:b/>
                <w:sz w:val="17"/>
              </w:rPr>
              <w:t>1,703</w:t>
            </w:r>
          </w:p>
        </w:tc>
        <w:tc>
          <w:tcPr>
            <w:tcW w:type="dxa" w:w="1440"/>
            <w:shd w:fill="FFDCE0" w:val="clear"/>
          </w:tcPr>
          <w:p>
            <w:r>
              <w:rPr>
                <w:sz w:val="17"/>
              </w:rPr>
              <w:t>1,901</w:t>
            </w:r>
          </w:p>
        </w:tc>
        <w:tc>
          <w:tcPr>
            <w:tcW w:type="dxa" w:w="1440"/>
            <w:shd w:fill="FFDCE0" w:val="clear"/>
          </w:tcPr>
          <w:p>
            <w:r>
              <w:rPr>
                <w:b/>
                <w:color w:val="C00000"/>
                <w:sz w:val="17"/>
              </w:rPr>
              <w:t>-27.5%</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1,465</w:t>
            </w:r>
          </w:p>
        </w:tc>
        <w:tc>
          <w:tcPr>
            <w:tcW w:type="dxa" w:w="1440"/>
            <w:shd w:fill="FFDCE0" w:val="clear"/>
          </w:tcPr>
          <w:p>
            <w:r>
              <w:rPr>
                <w:b/>
                <w:sz w:val="17"/>
              </w:rPr>
              <w:t>1,670</w:t>
            </w:r>
          </w:p>
        </w:tc>
        <w:tc>
          <w:tcPr>
            <w:tcW w:type="dxa" w:w="1440"/>
            <w:shd w:fill="FFDCE0" w:val="clear"/>
          </w:tcPr>
          <w:p>
            <w:r>
              <w:rPr>
                <w:sz w:val="17"/>
              </w:rPr>
              <w:t>1,874</w:t>
            </w:r>
          </w:p>
        </w:tc>
        <w:tc>
          <w:tcPr>
            <w:tcW w:type="dxa" w:w="1440"/>
            <w:shd w:fill="FFDCE0" w:val="clear"/>
          </w:tcPr>
          <w:p>
            <w:r>
              <w:rPr>
                <w:b/>
                <w:color w:val="C00000"/>
                <w:sz w:val="17"/>
              </w:rPr>
              <w:t>-28.9%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148,05 milliards FCFA, positionnant le titre parmi les valeurs moyennes de la BRVM. Le BPA de 96 FCFA par action génère un PER de 24,6x, nettement supérieur à la moyenne du marché qui se situe entre 8 et 12x, indiquant que les investisseurs paient une prime significative pour les bénéfices de l'entreprise. Cette prime est confirmée par le P/B de 5,45x, qui valorise le titre bien au-delà de sa valeur comptable (plus de 4 fois), reflétant des attentes de croissance élevées ou une possible surévaluation. L'EV/EBITDA de 13,1x se situe dans la fourchette haute de la zone considérée comme valorisation élevée (10-15x), comparant la valeur totale de l'entreprise à sa capacité opérationnelle. Ces ratios combinés suggèrent que le marché intègre des perspectives de croissance soutenue, mais exposent le titre à un risque de correction si ces attentes ne se matérialisent pas.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SHEC a progressé de +9,30%, avec une dernière séance particulièrement dynamique en hausse de +6,82%, portant le cours à 2 350 FCFA. Le titre a évolué dans une fourchette de 1 840 à 2 350 FCFA, démontrant une amplitude de 510 FCFA. La moyenne du cours sur la période est de 2 104 FCFA, légèrement inférieure à la médiane de 2 155 FCFA, indiquant une distribution légèrement asymétrique vers les valeurs basses. L'écart-type de 125 FCFA, avec un coefficient de variation de 5,9%, révèle une dispersion modérée des prix autour de la moyenne. Le kurtosis de -0,983, proche d'une distribution normale, et le skewness de -0,311, indiquant une symétrie relative, suggèrent une distribution des rendements sans extrêmes marqués. La volatilité annualisée de 35,4% classe le titre dans la catégorie élevée (&gt;30%), signalant des fluctuations importantes du cours.</w:t>
      </w:r>
    </w:p>
    <w:p>
      <w:pPr>
        <w:spacing w:after="120" w:line="276" w:lineRule="auto" w:before="240"/>
      </w:pPr>
      <w:r>
        <w:rPr>
          <w:b/>
          <w:color w:val="003366"/>
          <w:sz w:val="24"/>
        </w:rPr>
        <w:t>**PARTIE 2 : ANALYSE TECHNIQUE DÉTAILLÉE**</w:t>
      </w:r>
    </w:p>
    <w:p>
      <w:pPr>
        <w:spacing w:after="120" w:line="276" w:lineRule="auto"/>
      </w:pPr>
      <w:r>
        <w:t>**Moyennes Mobiles** : Les moyennes mobiles sur 20 et 50 jours, respectivement à 2 229,25 et 2 182,6 FCFA, sont toutes deux inférieures au cours actuel de 2 350 FCFA, confirmant une tendance haussière. La configuration où le cours évolue au-dessus de ses moyennes mobiles, avec la MM20 au-dessus de la MM50, valide le signal d'achat. Cette structure technique indique que la dynamique positive est soutenue à court et moyen terme.</w:t>
      </w:r>
    </w:p>
    <w:p>
      <w:pPr>
        <w:spacing w:after="120" w:line="276" w:lineRule="auto"/>
      </w:pPr>
      <w:r>
        <w:t>**Bandes de Bollinger** : Le cours à 2 350 FCFA se positionne près de la borne supérieure des bandes de Bollinger (2 368,7 FCFA), suggérant une pression acheteuse intense. La largeur des bandes, avec une borne inférieure à 2 089,8 FCFA, reflète une volatilité accrue. Le signal neutre indique que le cours approche une zone de résistance potentielle, où un repli technique pourrait survenir.</w:t>
      </w:r>
    </w:p>
    <w:p>
      <w:pPr>
        <w:spacing w:after="120" w:line="276" w:lineRule="auto"/>
      </w:pPr>
      <w:r>
        <w:t>**MACD** : Le MACD à 29,12 est légèrement supérieur à son signal à 29,016, avec un écart positif de 0,104, indiquant un momentum haussier persistant. La convergence des deux lignes suggère une dynamique positive encore en place, mais l'écart réduit pourrait signaler un essoufflement prochain. Le signal d'achat est maintenu mais avec une vigueur décroissante.</w:t>
      </w:r>
    </w:p>
    <w:p>
      <w:pPr>
        <w:spacing w:after="120" w:line="276" w:lineRule="auto"/>
      </w:pPr>
      <w:r>
        <w:t>**RSI** : Le RSI à 74,49 dépasse le seuil de surachat (&gt;70), indiquant que le titre est techniquement surévalué à court terme. Cette situation suggère une probabilité élevée de correction ou de consolidation, les acheteurs ayant potentiellement épuisé leur force. Le signal de vente est clair et doit être pris en compte pour un horizon court terme.</w:t>
      </w:r>
    </w:p>
    <w:p>
      <w:pPr>
        <w:spacing w:after="120" w:line="276" w:lineRule="auto"/>
      </w:pPr>
      <w:r>
        <w:t>**Stochastique** : Le %K à 100,0, largement au-dessus du %D à 61,24, confirme une situation de surachat extrême. L'écart important entre les deux lignes indique une dynamique haussière très forte mais potentiellement insoutenable. Le signal de vente est émis, anticipant un probable retournement ou une phase de consolidation.</w:t>
      </w:r>
    </w:p>
    <w:p>
      <w:pPr>
        <w:spacing w:after="120" w:line="276" w:lineRule="auto"/>
      </w:pPr>
      <w:r>
        <w:t>**Conclusion technique** : La convergence des indicateurs de momentum (RSI, Stochastique) vers des zones de surachat, contrastant avec les signaux d'achat des moyennes mobiles et du MACD, crée une situation technique contradictoire. La tendance de fond reste haussière, mais les conditions de surachat extrême suggèrent un risque élevé de correction à court terme, avec un possible test des supports à 2 229 FCFA (MM20) ou 2 182 FCFA (MM50).</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SHEC (VIVO ENERGY CI) a réalisé un chiffre d'affaires de 604,978 milliards FCFA, en légère progression de +0,71% par rapport à 2024. Le résultat net s'établit à 6,028 milliards FCFA, en hausse de +12,6%, avec un ROE excellent de 22,2% et un ROA de 3,1%. La marge nette reste très faible à 0,99%, caractéristique du secteur de distribution pétrolière. Le BFR s'élève à 15,315 milliards FCFA, avec un délai clients de 23,27 jours et un délai fournisseurs de 35,47 jours, indiquant une gestion correcte des cycles d'exploitation. La trésorerie nette est fortement négative à -65,264 milliards FCFA, avec un endettement total de 166,403 milliards FCFA, dont 53,43 milliards de dettes fournisseurs. La capacité de remboursement est de 0,97 an, et la couverture des intérêts est confortable à 292,8%. **Estimations basées sur les rapports trimestriels** : Le rapport S1 2026 (30 juin 2026) indique un CA de 305,038 milliards FCFA (-1%), mais un résultat d'exploitation en hausse de +17% à 6,133 milliards FCFA, porté par le secteur butane. Le résultat net S1 2026 est de 3,016 milliards FCFA, avec une marge nette de 0,99%. On estime que l'exercice 2026 pourrait voir un résultat net stable ou en légère progression, malgré la baisse des volumes, grâce à l'amélioration opérationnelle. Les rapports T3 2025 (30/09/2025) montraient déjà une progression de +45% du résultat net sur 9 mois, confirmant la tendance d'amélioration de la rentabilité. La recommandation fondamentale est **CONSERVER** : la société est bénéficiaire avec un ROE élevé, mais la faiblesse de la marge nette, la trésorerie négative et l'endettement important constituent des risques significatifs.</w:t>
      </w:r>
    </w:p>
    <w:p>
      <w:pPr>
        <w:spacing w:after="120" w:line="276" w:lineRule="auto" w:before="240"/>
      </w:pPr>
      <w:r>
        <w:rPr>
          <w:b/>
          <w:color w:val="003366"/>
          <w:sz w:val="24"/>
        </w:rPr>
        <w:t>**PARTIE 4 : CONCLUSION D'INVESTISSEMENT**</w:t>
      </w:r>
    </w:p>
    <w:p>
      <w:pPr>
        <w:spacing w:after="120" w:line="276" w:lineRule="auto"/>
      </w:pPr>
      <w:r>
        <w:t>La valorisation de SHEC (PER 24,6x, P/B 5,45x, EV/EBITDA 13,1x) indique une surévaluation par rapport aux moyennes du marché BRVM, intégrant des attentes de croissance élevées. Le comportement du cours sur 100 jours montre une tendance haussière de +9,30%, avec une volatilité élevée (35,4%) et une distribution des rendements relativement normale (kurtosis -0,983, skewness -0,311). Les signaux techniques sont contradictoires : les moyennes mobiles et le MACD sont positifs, mais le RSI (74,49) et le Stochastique (100) signalent un surachat extrême, suggérant un risque de correction. Les fondamentaux montrent une amélioration de la rentabilité (+13% du résultat net en 2025, +17% du résultat d'exploitation au S1 2026), mais avec une marge nette très faible (1%) et une trésorerie nette fortement négative. Les prédictions IA pour les 10 prochains jours indiquent une trajectoire baissière, avec un cours passant de 2 197 à 1 878 FCFA, contredisant la tendance haussière récente et confirmant le risque de correction technique. La divergence entre la valorisation exigeante, les signaux techniques de surachat, les fondamentaux fragiles et les prédictions IA baissières conduit à une recommandation finale de **VENTE**, avec un niveau de confiance **Moyen** et un risque global **Élevé**. L'horizon d'investissement optimal serait le court terme (&lt;3 mois) pour les investisseurs cherchant à sécuriser leurs gains, tandis que les investisseurs de long terme pourraient attendre une correction vers les 2 000-2 100 FCFA pour renforcer leur position.</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8,702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+34.49%</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11.13% (Moyenne) — μ=8,131 FCFA, σ=905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β=0.5800 (Défensif) — Cov=0.000018, Var(idx)=0.000031, ρ=0.181,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8,702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8,689</w:t>
            </w:r>
          </w:p>
        </w:tc>
        <w:tc>
          <w:tcPr>
            <w:tcW w:type="dxa" w:w="1440"/>
            <w:shd w:fill="FFDCE0" w:val="clear"/>
          </w:tcPr>
          <w:p>
            <w:r>
              <w:rPr>
                <w:b/>
                <w:sz w:val="17"/>
              </w:rPr>
              <w:t>8,970</w:t>
            </w:r>
          </w:p>
        </w:tc>
        <w:tc>
          <w:tcPr>
            <w:tcW w:type="dxa" w:w="1440"/>
            <w:shd w:fill="FFDCE0" w:val="clear"/>
          </w:tcPr>
          <w:p>
            <w:r>
              <w:rPr>
                <w:sz w:val="17"/>
              </w:rPr>
              <w:t>9,251</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8,275</w:t>
            </w:r>
          </w:p>
        </w:tc>
        <w:tc>
          <w:tcPr>
            <w:tcW w:type="dxa" w:w="1440"/>
            <w:shd w:fill="FFDCE0" w:val="clear"/>
          </w:tcPr>
          <w:p>
            <w:r>
              <w:rPr>
                <w:b/>
                <w:sz w:val="17"/>
              </w:rPr>
              <w:t>8,658</w:t>
            </w:r>
          </w:p>
        </w:tc>
        <w:tc>
          <w:tcPr>
            <w:tcW w:type="dxa" w:w="1440"/>
            <w:shd w:fill="FFDCE0" w:val="clear"/>
          </w:tcPr>
          <w:p>
            <w:r>
              <w:rPr>
                <w:sz w:val="17"/>
              </w:rPr>
              <w:t>9,041</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7,919</w:t>
            </w:r>
          </w:p>
        </w:tc>
        <w:tc>
          <w:tcPr>
            <w:tcW w:type="dxa" w:w="1440"/>
            <w:shd w:fill="FFDCE0" w:val="clear"/>
          </w:tcPr>
          <w:p>
            <w:r>
              <w:rPr>
                <w:b/>
                <w:sz w:val="17"/>
              </w:rPr>
              <w:t>8,373</w:t>
            </w:r>
          </w:p>
        </w:tc>
        <w:tc>
          <w:tcPr>
            <w:tcW w:type="dxa" w:w="1440"/>
            <w:shd w:fill="FFDCE0" w:val="clear"/>
          </w:tcPr>
          <w:p>
            <w:r>
              <w:rPr>
                <w:sz w:val="17"/>
              </w:rPr>
              <w:t>8,827</w:t>
            </w:r>
          </w:p>
        </w:tc>
        <w:tc>
          <w:tcPr>
            <w:tcW w:type="dxa" w:w="1440"/>
            <w:shd w:fill="FFDCE0" w:val="clear"/>
          </w:tcPr>
          <w:p>
            <w:r>
              <w:rPr>
                <w:b/>
                <w:color w:val="C00000"/>
                <w:sz w:val="17"/>
              </w:rPr>
              <w:t>-10.0%</w:t>
            </w:r>
          </w:p>
        </w:tc>
      </w:tr>
      <w:tr>
        <w:tc>
          <w:tcPr>
            <w:tcW w:type="dxa" w:w="1440"/>
            <w:shd w:fill="FFDCE0" w:val="clear"/>
          </w:tcPr>
          <w:p>
            <w:r>
              <w:rPr>
                <w:sz w:val="17"/>
              </w:rPr>
              <w:t>J+4  Moyenne</w:t>
            </w:r>
          </w:p>
        </w:tc>
        <w:tc>
          <w:tcPr>
            <w:tcW w:type="dxa" w:w="1440"/>
            <w:shd w:fill="FFDCE0" w:val="clear"/>
          </w:tcPr>
          <w:p>
            <w:r>
              <w:rPr>
                <w:sz w:val="17"/>
              </w:rPr>
              <w:t>2026-08-21</w:t>
            </w:r>
          </w:p>
        </w:tc>
        <w:tc>
          <w:tcPr>
            <w:tcW w:type="dxa" w:w="1440"/>
            <w:shd w:fill="FFDCE0" w:val="clear"/>
          </w:tcPr>
          <w:p>
            <w:r>
              <w:rPr>
                <w:sz w:val="17"/>
              </w:rPr>
              <w:t>7,622</w:t>
            </w:r>
          </w:p>
        </w:tc>
        <w:tc>
          <w:tcPr>
            <w:tcW w:type="dxa" w:w="1440"/>
            <w:shd w:fill="FFDCE0" w:val="clear"/>
          </w:tcPr>
          <w:p>
            <w:r>
              <w:rPr>
                <w:b/>
                <w:sz w:val="17"/>
              </w:rPr>
              <w:t>8,131</w:t>
            </w:r>
          </w:p>
        </w:tc>
        <w:tc>
          <w:tcPr>
            <w:tcW w:type="dxa" w:w="1440"/>
            <w:shd w:fill="FFDCE0" w:val="clear"/>
          </w:tcPr>
          <w:p>
            <w:r>
              <w:rPr>
                <w:sz w:val="17"/>
              </w:rPr>
              <w:t>8,640</w:t>
            </w:r>
          </w:p>
        </w:tc>
        <w:tc>
          <w:tcPr>
            <w:tcW w:type="dxa" w:w="1440"/>
            <w:shd w:fill="FFDCE0" w:val="clear"/>
          </w:tcPr>
          <w:p>
            <w:r>
              <w:rPr>
                <w:b/>
                <w:color w:val="C00000"/>
                <w:sz w:val="17"/>
              </w:rPr>
              <w:t>-12.6%</w:t>
            </w:r>
          </w:p>
        </w:tc>
      </w:tr>
      <w:tr>
        <w:tc>
          <w:tcPr>
            <w:tcW w:type="dxa" w:w="1440"/>
            <w:shd w:fill="FFDCE0" w:val="clear"/>
          </w:tcPr>
          <w:p>
            <w:r>
              <w:rPr>
                <w:sz w:val="17"/>
              </w:rPr>
              <w:t>J+5  Moyenne</w:t>
            </w:r>
          </w:p>
        </w:tc>
        <w:tc>
          <w:tcPr>
            <w:tcW w:type="dxa" w:w="1440"/>
            <w:shd w:fill="FFDCE0" w:val="clear"/>
          </w:tcPr>
          <w:p>
            <w:r>
              <w:rPr>
                <w:sz w:val="17"/>
              </w:rPr>
              <w:t>2026-08-24</w:t>
            </w:r>
          </w:p>
        </w:tc>
        <w:tc>
          <w:tcPr>
            <w:tcW w:type="dxa" w:w="1440"/>
            <w:shd w:fill="FFDCE0" w:val="clear"/>
          </w:tcPr>
          <w:p>
            <w:r>
              <w:rPr>
                <w:sz w:val="17"/>
              </w:rPr>
              <w:t>7,374</w:t>
            </w:r>
          </w:p>
        </w:tc>
        <w:tc>
          <w:tcPr>
            <w:tcW w:type="dxa" w:w="1440"/>
            <w:shd w:fill="FFDCE0" w:val="clear"/>
          </w:tcPr>
          <w:p>
            <w:r>
              <w:rPr>
                <w:b/>
                <w:sz w:val="17"/>
              </w:rPr>
              <w:t>7,929</w:t>
            </w:r>
          </w:p>
        </w:tc>
        <w:tc>
          <w:tcPr>
            <w:tcW w:type="dxa" w:w="1440"/>
            <w:shd w:fill="FFDCE0" w:val="clear"/>
          </w:tcPr>
          <w:p>
            <w:r>
              <w:rPr>
                <w:sz w:val="17"/>
              </w:rPr>
              <w:t>8,484</w:t>
            </w:r>
          </w:p>
        </w:tc>
        <w:tc>
          <w:tcPr>
            <w:tcW w:type="dxa" w:w="1440"/>
            <w:shd w:fill="FFDCE0" w:val="clear"/>
          </w:tcPr>
          <w:p>
            <w:r>
              <w:rPr>
                <w:b/>
                <w:color w:val="C00000"/>
                <w:sz w:val="17"/>
              </w:rPr>
              <w:t>-14.7%</w:t>
            </w:r>
          </w:p>
        </w:tc>
      </w:tr>
      <w:tr>
        <w:tc>
          <w:tcPr>
            <w:tcW w:type="dxa" w:w="1440"/>
            <w:shd w:fill="FFDCE0" w:val="clear"/>
          </w:tcPr>
          <w:p>
            <w:r>
              <w:rPr>
                <w:sz w:val="17"/>
              </w:rPr>
              <w:t>J+6  Moyenne</w:t>
            </w:r>
          </w:p>
        </w:tc>
        <w:tc>
          <w:tcPr>
            <w:tcW w:type="dxa" w:w="1440"/>
            <w:shd w:fill="FFDCE0" w:val="clear"/>
          </w:tcPr>
          <w:p>
            <w:r>
              <w:rPr>
                <w:sz w:val="17"/>
              </w:rPr>
              <w:t>2026-08-25</w:t>
            </w:r>
          </w:p>
        </w:tc>
        <w:tc>
          <w:tcPr>
            <w:tcW w:type="dxa" w:w="1440"/>
            <w:shd w:fill="FFDCE0" w:val="clear"/>
          </w:tcPr>
          <w:p>
            <w:r>
              <w:rPr>
                <w:sz w:val="17"/>
              </w:rPr>
              <w:t>7,161</w:t>
            </w:r>
          </w:p>
        </w:tc>
        <w:tc>
          <w:tcPr>
            <w:tcW w:type="dxa" w:w="1440"/>
            <w:shd w:fill="FFDCE0" w:val="clear"/>
          </w:tcPr>
          <w:p>
            <w:r>
              <w:rPr>
                <w:b/>
                <w:sz w:val="17"/>
              </w:rPr>
              <w:t>7,756</w:t>
            </w:r>
          </w:p>
        </w:tc>
        <w:tc>
          <w:tcPr>
            <w:tcW w:type="dxa" w:w="1440"/>
            <w:shd w:fill="FFDCE0" w:val="clear"/>
          </w:tcPr>
          <w:p>
            <w:r>
              <w:rPr>
                <w:sz w:val="17"/>
              </w:rPr>
              <w:t>8,351</w:t>
            </w:r>
          </w:p>
        </w:tc>
        <w:tc>
          <w:tcPr>
            <w:tcW w:type="dxa" w:w="1440"/>
            <w:shd w:fill="FFDCE0" w:val="clear"/>
          </w:tcPr>
          <w:p>
            <w:r>
              <w:rPr>
                <w:b/>
                <w:color w:val="C00000"/>
                <w:sz w:val="17"/>
              </w:rPr>
              <w:t>-16.6%</w:t>
            </w:r>
          </w:p>
        </w:tc>
      </w:tr>
      <w:tr>
        <w:tc>
          <w:tcPr>
            <w:tcW w:type="dxa" w:w="1440"/>
            <w:shd w:fill="FFDCE0" w:val="clear"/>
          </w:tcPr>
          <w:p>
            <w:r>
              <w:rPr>
                <w:sz w:val="17"/>
              </w:rPr>
              <w:t>J+7  Moyenne</w:t>
            </w:r>
          </w:p>
        </w:tc>
        <w:tc>
          <w:tcPr>
            <w:tcW w:type="dxa" w:w="1440"/>
            <w:shd w:fill="FFDCE0" w:val="clear"/>
          </w:tcPr>
          <w:p>
            <w:r>
              <w:rPr>
                <w:sz w:val="17"/>
              </w:rPr>
              <w:t>2026-08-27</w:t>
            </w:r>
          </w:p>
        </w:tc>
        <w:tc>
          <w:tcPr>
            <w:tcW w:type="dxa" w:w="1440"/>
            <w:shd w:fill="FFDCE0" w:val="clear"/>
          </w:tcPr>
          <w:p>
            <w:r>
              <w:rPr>
                <w:sz w:val="17"/>
              </w:rPr>
              <w:t>6,976</w:t>
            </w:r>
          </w:p>
        </w:tc>
        <w:tc>
          <w:tcPr>
            <w:tcW w:type="dxa" w:w="1440"/>
            <w:shd w:fill="FFDCE0" w:val="clear"/>
          </w:tcPr>
          <w:p>
            <w:r>
              <w:rPr>
                <w:b/>
                <w:sz w:val="17"/>
              </w:rPr>
              <w:t>7,606</w:t>
            </w:r>
          </w:p>
        </w:tc>
        <w:tc>
          <w:tcPr>
            <w:tcW w:type="dxa" w:w="1440"/>
            <w:shd w:fill="FFDCE0" w:val="clear"/>
          </w:tcPr>
          <w:p>
            <w:r>
              <w:rPr>
                <w:sz w:val="17"/>
              </w:rPr>
              <w:t>8,236</w:t>
            </w:r>
          </w:p>
        </w:tc>
        <w:tc>
          <w:tcPr>
            <w:tcW w:type="dxa" w:w="1440"/>
            <w:shd w:fill="FFDCE0" w:val="clear"/>
          </w:tcPr>
          <w:p>
            <w:r>
              <w:rPr>
                <w:b/>
                <w:color w:val="C00000"/>
                <w:sz w:val="17"/>
              </w:rPr>
              <w:t>-18.2%</w:t>
            </w:r>
          </w:p>
        </w:tc>
      </w:tr>
      <w:tr>
        <w:tc>
          <w:tcPr>
            <w:tcW w:type="dxa" w:w="1440"/>
            <w:shd w:fill="FFDCE0" w:val="clear"/>
          </w:tcPr>
          <w:p>
            <w:r>
              <w:rPr>
                <w:sz w:val="17"/>
              </w:rPr>
              <w:t>J+8  Moyenne</w:t>
            </w:r>
          </w:p>
        </w:tc>
        <w:tc>
          <w:tcPr>
            <w:tcW w:type="dxa" w:w="1440"/>
            <w:shd w:fill="FFDCE0" w:val="clear"/>
          </w:tcPr>
          <w:p>
            <w:r>
              <w:rPr>
                <w:sz w:val="17"/>
              </w:rPr>
              <w:t>2026-08-28</w:t>
            </w:r>
          </w:p>
        </w:tc>
        <w:tc>
          <w:tcPr>
            <w:tcW w:type="dxa" w:w="1440"/>
            <w:shd w:fill="FFDCE0" w:val="clear"/>
          </w:tcPr>
          <w:p>
            <w:r>
              <w:rPr>
                <w:sz w:val="17"/>
              </w:rPr>
              <w:t>6,811</w:t>
            </w:r>
          </w:p>
        </w:tc>
        <w:tc>
          <w:tcPr>
            <w:tcW w:type="dxa" w:w="1440"/>
            <w:shd w:fill="FFDCE0" w:val="clear"/>
          </w:tcPr>
          <w:p>
            <w:r>
              <w:rPr>
                <w:b/>
                <w:sz w:val="17"/>
              </w:rPr>
              <w:t>7,472</w:t>
            </w:r>
          </w:p>
        </w:tc>
        <w:tc>
          <w:tcPr>
            <w:tcW w:type="dxa" w:w="1440"/>
            <w:shd w:fill="FFDCE0" w:val="clear"/>
          </w:tcPr>
          <w:p>
            <w:r>
              <w:rPr>
                <w:sz w:val="17"/>
              </w:rPr>
              <w:t>8,134</w:t>
            </w:r>
          </w:p>
        </w:tc>
        <w:tc>
          <w:tcPr>
            <w:tcW w:type="dxa" w:w="1440"/>
            <w:shd w:fill="FFDCE0" w:val="clear"/>
          </w:tcPr>
          <w:p>
            <w:r>
              <w:rPr>
                <w:b/>
                <w:color w:val="C00000"/>
                <w:sz w:val="17"/>
              </w:rPr>
              <w:t>-19.7%</w:t>
            </w:r>
          </w:p>
        </w:tc>
      </w:tr>
      <w:tr>
        <w:tc>
          <w:tcPr>
            <w:tcW w:type="dxa" w:w="1440"/>
            <w:shd w:fill="FFDCE0" w:val="clear"/>
          </w:tcPr>
          <w:p>
            <w:r>
              <w:rPr>
                <w:sz w:val="17"/>
              </w:rPr>
              <w:t>J+9  Moyenne</w:t>
            </w:r>
          </w:p>
        </w:tc>
        <w:tc>
          <w:tcPr>
            <w:tcW w:type="dxa" w:w="1440"/>
            <w:shd w:fill="FFDCE0" w:val="clear"/>
          </w:tcPr>
          <w:p>
            <w:r>
              <w:rPr>
                <w:sz w:val="17"/>
              </w:rPr>
              <w:t>2026-08-31</w:t>
            </w:r>
          </w:p>
        </w:tc>
        <w:tc>
          <w:tcPr>
            <w:tcW w:type="dxa" w:w="1440"/>
            <w:shd w:fill="FFDCE0" w:val="clear"/>
          </w:tcPr>
          <w:p>
            <w:r>
              <w:rPr>
                <w:sz w:val="17"/>
              </w:rPr>
              <w:t>6,661</w:t>
            </w:r>
          </w:p>
        </w:tc>
        <w:tc>
          <w:tcPr>
            <w:tcW w:type="dxa" w:w="1440"/>
            <w:shd w:fill="FFDCE0" w:val="clear"/>
          </w:tcPr>
          <w:p>
            <w:r>
              <w:rPr>
                <w:b/>
                <w:sz w:val="17"/>
              </w:rPr>
              <w:t>7,352</w:t>
            </w:r>
          </w:p>
        </w:tc>
        <w:tc>
          <w:tcPr>
            <w:tcW w:type="dxa" w:w="1440"/>
            <w:shd w:fill="FFDCE0" w:val="clear"/>
          </w:tcPr>
          <w:p>
            <w:r>
              <w:rPr>
                <w:sz w:val="17"/>
              </w:rPr>
              <w:t>8,042</w:t>
            </w:r>
          </w:p>
        </w:tc>
        <w:tc>
          <w:tcPr>
            <w:tcW w:type="dxa" w:w="1440"/>
            <w:shd w:fill="FFDCE0" w:val="clear"/>
          </w:tcPr>
          <w:p>
            <w:r>
              <w:rPr>
                <w:b/>
                <w:color w:val="C00000"/>
                <w:sz w:val="17"/>
              </w:rPr>
              <w:t>-20.9%</w:t>
            </w:r>
          </w:p>
        </w:tc>
      </w:tr>
      <w:tr>
        <w:tc>
          <w:tcPr>
            <w:tcW w:type="dxa" w:w="1440"/>
            <w:shd w:fill="FFDCE0" w:val="clear"/>
          </w:tcPr>
          <w:p>
            <w:r>
              <w:rPr>
                <w:sz w:val="17"/>
              </w:rPr>
              <w:t>J+10  Moyenne</w:t>
            </w:r>
          </w:p>
        </w:tc>
        <w:tc>
          <w:tcPr>
            <w:tcW w:type="dxa" w:w="1440"/>
            <w:shd w:fill="FFDCE0" w:val="clear"/>
          </w:tcPr>
          <w:p>
            <w:r>
              <w:rPr>
                <w:sz w:val="17"/>
              </w:rPr>
              <w:t>2026-09-01</w:t>
            </w:r>
          </w:p>
        </w:tc>
        <w:tc>
          <w:tcPr>
            <w:tcW w:type="dxa" w:w="1440"/>
            <w:shd w:fill="FFDCE0" w:val="clear"/>
          </w:tcPr>
          <w:p>
            <w:r>
              <w:rPr>
                <w:sz w:val="17"/>
              </w:rPr>
              <w:t>6,525</w:t>
            </w:r>
          </w:p>
        </w:tc>
        <w:tc>
          <w:tcPr>
            <w:tcW w:type="dxa" w:w="1440"/>
            <w:shd w:fill="FFDCE0" w:val="clear"/>
          </w:tcPr>
          <w:p>
            <w:r>
              <w:rPr>
                <w:b/>
                <w:sz w:val="17"/>
              </w:rPr>
              <w:t>7,243</w:t>
            </w:r>
          </w:p>
        </w:tc>
        <w:tc>
          <w:tcPr>
            <w:tcW w:type="dxa" w:w="1440"/>
            <w:shd w:fill="FFDCE0" w:val="clear"/>
          </w:tcPr>
          <w:p>
            <w:r>
              <w:rPr>
                <w:sz w:val="17"/>
              </w:rPr>
              <w:t>7,960</w:t>
            </w:r>
          </w:p>
        </w:tc>
        <w:tc>
          <w:tcPr>
            <w:tcW w:type="dxa" w:w="1440"/>
            <w:shd w:fill="FFDCE0" w:val="clear"/>
          </w:tcPr>
          <w:p>
            <w:r>
              <w:rPr>
                <w:b/>
                <w:color w:val="C00000"/>
                <w:sz w:val="17"/>
              </w:rPr>
              <w:t>-22.1%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de l'analyse : 17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930 milliards FCFA, ce qui en fait l'une des plus importantes capitalisations de la BRVM, reflétant son statut de banque systémique de premier plan en Côte d'Ivoire. Avec un BPA de 556 FCFA, le titre se négocie à un PER de 16,7x, nettement supérieur à la moyenne historique de la BRVM (8-12x), indiquant que le marché intègre déjà des perspectives de croissance soutenue. Le P/B de 4,54x confirme cette prime, le marché valorisant la banque à plus de quatre fois sa valeur comptable. Enfin, l'EV/EBITDA de 15,5x souligne une valorisation exigeante, les investisseurs acceptant de payer un prix élevé pour la capacité opérationnelle de la banque. Cette valorisation premium reflète la confiance du marché dans la qualité des actifs et la rentabilité supérieure de la SIB.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SIBC affiche une progression remarquable de +34,49%, avec une dernière séance en hausse de +1,36% à 9 300 FCFA. Le cours a évolué dans une fourchette large de 6 805 à 9 500 FCFA, démontrant une dynamique haussière soutenue. La moyenne (8 131 FCFA) est inférieure à la médiane (8 650 FCFA), indiquant une asymétrie positive avec une concentration des cours vers le haut de la distribution. L'écart-type de 910 FCFA (CV=11,2%) révèle une dispersion modérée, tandis que le kurtosis de -1,698 (platykurtique) suggère une distribution aplatie, avec peu de valeurs extrêmes. Le skewness de -0,257, proche de zéro, confirme une distribution quasi symétrique. La volatilité annualisée de 28,4% classe le titre dans la catégorie modérée à élevée, reflétant une certaine nervosité mais aussi un potentiel de rendement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(9 300 FCFA) se positionne nettement au-dessus de la MM20 (9 047,75 FCFA) et de la MM50 (8 923,4 FCFA), confirmant une tendance haussière solide. La configuration des moyennes mobiles, avec la MM20 au-dessus de la MM50, valide la dynamique positive et justifie la décision d'achat.</w:t>
      </w:r>
    </w:p>
    <w:p>
      <w:pPr>
        <w:spacing w:after="120" w:line="276" w:lineRule="auto"/>
      </w:pPr>
      <w:r>
        <w:t>**Bandes de Bollinger :** Le prix évolue à 9 300 FCFA, dans la partie supérieure du canal formé par les bornes (8 568,66 à 9 526,84 FCFA), sans toutefois toucher la borne supérieure. Cette position indique une pression acheteuse soutenue mais non excessive, avec une volatilité maîtrisée. La décision neutre reflète l'absence de signal extrême.</w:t>
      </w:r>
    </w:p>
    <w:p>
      <w:pPr>
        <w:spacing w:after="120" w:line="276" w:lineRule="auto"/>
      </w:pPr>
      <w:r>
        <w:t>**MACD :** Le MACD (121,865) est supérieur à sa ligne de signal (114,42), confirmant un momentum haussier positif. L'écart positif entre les deux lignes indique une dynamique d'accélération, justifiant la décision d'achat.</w:t>
      </w:r>
    </w:p>
    <w:p>
      <w:pPr>
        <w:spacing w:after="120" w:line="276" w:lineRule="auto"/>
      </w:pPr>
      <w:r>
        <w:t>**RSI :** À 54,348, le RSI se situe en zone neutre, entre 30 et 70, indiquant un équilibre entre pression acheteuse et vendeuse. Cette valeur modérée suggère qu'il n'y a pas de surachat imminent, laissant une marge de progression.</w:t>
      </w:r>
    </w:p>
    <w:p>
      <w:pPr>
        <w:spacing w:after="120" w:line="276" w:lineRule="auto"/>
      </w:pPr>
      <w:r>
        <w:t>**Stochastique :** Le %K (75,0) est supérieur au %D (61,458), indiquant une dynamique positive. Bien que le %K approche la zone de surachat (au-dessus de 80), le croisement haussier actuel suggère une poursuite possible du mouvement.</w:t>
      </w:r>
    </w:p>
    <w:p>
      <w:pPr>
        <w:spacing w:after="120" w:line="276" w:lineRule="auto"/>
      </w:pPr>
      <w:r>
        <w:t>**Conclusion technique :** Les indicateurs techniques convergent vers une tendance haussière, avec des signaux d'achat sur les moyennes mobiles et le MACD, tandis que le RSI et le stochastique restent en zone neutre. Cette configuration suggère une poursuite de la dynamique positive, avec une vigilance sur une possible consolidation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la SIBC affiche des fondamentaux solides avec un Produit Net Bancaire de 108,663 milliards FCFA et un résultat net de 55,623 milliards FCFA. Le ROE de 27,16% et le ROA de 2,96% témoignent d'une excellente rentabilité, nettement supérieure aux normes sectorielles (&gt;15% pour le ROE). Le coefficient d'exploitation de 38,59% reflète une efficacité opérationnelle remarquable, bien en dessous du seuil de 60% considéré comme sain. Le coût du risque, bien que non détaillé, semble maîtrisé comme l'indique la progression du résultat net. Les dépôts clientèle (1 503,441 milliards FCFA) dépassent largement les créances clientèle (1 226,720 milliards FCFA), démontrant une transformation saine. Les rapports trimestriels confirment cette dynamique : le T1 2026 (publié en mai 2026) montre un PNB de 27,7 milliards FCFA (+4%) et un résultat net de 15,2 milliards FCFA (+11%). Sur la base du T3 2025 (PNB cumulé de 81,4 milliards FCFA, +8%), on estime que l'exercice 2026 devrait confirmer une croissance soutenue, avec un PNB annuel projeté autour de 115-118 milliards FCFA. La banque maintient une politique de distribution généreuse avec un dividende de 375 FCFA par action pour 2024, renforçant l'attractivité du titre.</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convergence positive entre les différents facteurs analysés. La valorisation (PER 16,7x, P/B 4,54x) est exigeante mais justifiée par la qualité des fondamentaux. Le comportement du cours (+34,49% sur 100 jours) démontre une tendance haussière robuste, avec une volatilité modérée. Les signaux techniques convergent vers une poursuite de la dynamique positive, bien que le RSI et le stochastique suggèrent une possible consolidation. Les fondamentaux sont excellents : ROE de 27,16%, coefficient d'exploitation de 38,59%, et croissance soutenue du résultat net. Cependant, les prédictions IA pour les 10 prochains jours indiquent une correction potentielle, avec un cours projeté à 7 929 FCFA (soit -14,7% par rapport au cours actuel), ce qui contraste avec les signaux techniques et fondamentaux. Cette divergence suggère une possible prise de bénéfices à court terme. **Recommandation finale : CONSERVER** avec un niveau de confiance Moyen. Le risque global est Moyen, principalement lié à la valorisation exigeante et à la correction potentielle prédite. L'horizon d'investissement optimal est le moyen terme (3-12 mois), permettant d'absorber une éventuelle volatilité à court terme tout en bénéficiant de la solidité fondamentale de la banque.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6.12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103 titres</w:t>
            </w:r>
          </w:p>
        </w:tc>
        <w:tc>
          <w:tcPr>
            <w:tcW w:type="dxa" w:w="2268"/>
            <w:shd w:fill="FFF2CC" w:val="clear"/>
          </w:tcPr>
          <w:p>
            <w:r>
              <w:rPr>
                <w:b/>
                <w:color w:val="503200"/>
                <w:sz w:val="16"/>
              </w:rPr>
              <w:t xml:space="preserve">Cours actuel : </w:t>
            </w:r>
            <w:r>
              <w:rPr>
                <w:color w:val="000000"/>
                <w:sz w:val="17"/>
              </w:rPr>
              <w:t>10,200 FCFA</w:t>
            </w:r>
          </w:p>
          <w:p>
            <w:r>
              <w:rPr>
                <w:b/>
                <w:color w:val="503200"/>
                <w:sz w:val="16"/>
              </w:rPr>
              <w:t xml:space="preserve">Var. 100 jours : </w:t>
            </w:r>
            <w:r>
              <w:rPr>
                <w:b/>
                <w:color w:val="007800"/>
                <w:sz w:val="17"/>
              </w:rPr>
              <w:t>+164.94%</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25.81% (Élevée) — μ=4,933 FCFA, σ=1,273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β=0.0351 (Défensif) — Cov=0.000001, Var(idx)=0.000031, ρ=0.005,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103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9,414</w:t>
            </w:r>
          </w:p>
        </w:tc>
        <w:tc>
          <w:tcPr>
            <w:tcW w:type="dxa" w:w="1440"/>
            <w:shd w:fill="FAFAFA" w:val="clear"/>
          </w:tcPr>
          <w:p>
            <w:r>
              <w:rPr>
                <w:b/>
                <w:sz w:val="17"/>
              </w:rPr>
              <w:t>10,129</w:t>
            </w:r>
          </w:p>
        </w:tc>
        <w:tc>
          <w:tcPr>
            <w:tcW w:type="dxa" w:w="1440"/>
            <w:shd w:fill="FAFAFA" w:val="clear"/>
          </w:tcPr>
          <w:p>
            <w:r>
              <w:rPr>
                <w:sz w:val="17"/>
              </w:rPr>
              <w:t>10,843</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9,031</w:t>
            </w:r>
          </w:p>
        </w:tc>
        <w:tc>
          <w:tcPr>
            <w:tcW w:type="dxa" w:w="1440"/>
            <w:shd w:fill="FAFAFA" w:val="clear"/>
          </w:tcPr>
          <w:p>
            <w:r>
              <w:rPr>
                <w:b/>
                <w:sz w:val="17"/>
              </w:rPr>
              <w:t>10,032</w:t>
            </w:r>
          </w:p>
        </w:tc>
        <w:tc>
          <w:tcPr>
            <w:tcW w:type="dxa" w:w="1440"/>
            <w:shd w:fill="FAFAFA" w:val="clear"/>
          </w:tcPr>
          <w:p>
            <w:r>
              <w:rPr>
                <w:sz w:val="17"/>
              </w:rPr>
              <w:t>11,033</w:t>
            </w:r>
          </w:p>
        </w:tc>
        <w:tc>
          <w:tcPr>
            <w:tcW w:type="dxa" w:w="1440"/>
            <w:shd w:fill="FAFAFA" w:val="clear"/>
          </w:tcPr>
          <w:p>
            <w:r>
              <w:rPr>
                <w:b/>
                <w:color w:val="C00000"/>
                <w:sz w:val="17"/>
              </w:rPr>
              <w:t>-1.6%</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8,637</w:t>
            </w:r>
          </w:p>
        </w:tc>
        <w:tc>
          <w:tcPr>
            <w:tcW w:type="dxa" w:w="1440"/>
            <w:shd w:fill="FFDCE0" w:val="clear"/>
          </w:tcPr>
          <w:p>
            <w:r>
              <w:rPr>
                <w:b/>
                <w:sz w:val="17"/>
              </w:rPr>
              <w:t>9,839</w:t>
            </w:r>
          </w:p>
        </w:tc>
        <w:tc>
          <w:tcPr>
            <w:tcW w:type="dxa" w:w="1440"/>
            <w:shd w:fill="FFDCE0" w:val="clear"/>
          </w:tcPr>
          <w:p>
            <w:r>
              <w:rPr>
                <w:sz w:val="17"/>
              </w:rPr>
              <w:t>11,042</w:t>
            </w:r>
          </w:p>
        </w:tc>
        <w:tc>
          <w:tcPr>
            <w:tcW w:type="dxa" w:w="1440"/>
            <w:shd w:fill="FFDCE0" w:val="clear"/>
          </w:tcPr>
          <w:p>
            <w:r>
              <w:rPr>
                <w:b/>
                <w:color w:val="C00000"/>
                <w:sz w:val="17"/>
              </w:rPr>
              <w:t>-3.5%</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8,255</w:t>
            </w:r>
          </w:p>
        </w:tc>
        <w:tc>
          <w:tcPr>
            <w:tcW w:type="dxa" w:w="1440"/>
            <w:shd w:fill="FFDCE0" w:val="clear"/>
          </w:tcPr>
          <w:p>
            <w:r>
              <w:rPr>
                <w:b/>
                <w:sz w:val="17"/>
              </w:rPr>
              <w:t>9,611</w:t>
            </w:r>
          </w:p>
        </w:tc>
        <w:tc>
          <w:tcPr>
            <w:tcW w:type="dxa" w:w="1440"/>
            <w:shd w:fill="FFDCE0" w:val="clear"/>
          </w:tcPr>
          <w:p>
            <w:r>
              <w:rPr>
                <w:sz w:val="17"/>
              </w:rPr>
              <w:t>10,967</w:t>
            </w:r>
          </w:p>
        </w:tc>
        <w:tc>
          <w:tcPr>
            <w:tcW w:type="dxa" w:w="1440"/>
            <w:shd w:fill="FFDCE0" w:val="clear"/>
          </w:tcPr>
          <w:p>
            <w:r>
              <w:rPr>
                <w:b/>
                <w:color w:val="C00000"/>
                <w:sz w:val="17"/>
              </w:rPr>
              <w:t>-5.8%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7,887</w:t>
            </w:r>
          </w:p>
        </w:tc>
        <w:tc>
          <w:tcPr>
            <w:tcW w:type="dxa" w:w="1440"/>
            <w:shd w:fill="FFDCE0" w:val="clear"/>
          </w:tcPr>
          <w:p>
            <w:r>
              <w:rPr>
                <w:b/>
                <w:sz w:val="17"/>
              </w:rPr>
              <w:t>9,364</w:t>
            </w:r>
          </w:p>
        </w:tc>
        <w:tc>
          <w:tcPr>
            <w:tcW w:type="dxa" w:w="1440"/>
            <w:shd w:fill="FFDCE0" w:val="clear"/>
          </w:tcPr>
          <w:p>
            <w:r>
              <w:rPr>
                <w:sz w:val="17"/>
              </w:rPr>
              <w:t>10,842</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7,537</w:t>
            </w:r>
          </w:p>
        </w:tc>
        <w:tc>
          <w:tcPr>
            <w:tcW w:type="dxa" w:w="1440"/>
            <w:shd w:fill="FFDCE0" w:val="clear"/>
          </w:tcPr>
          <w:p>
            <w:r>
              <w:rPr>
                <w:b/>
                <w:sz w:val="17"/>
              </w:rPr>
              <w:t>9,111</w:t>
            </w:r>
          </w:p>
        </w:tc>
        <w:tc>
          <w:tcPr>
            <w:tcW w:type="dxa" w:w="1440"/>
            <w:shd w:fill="FFDCE0" w:val="clear"/>
          </w:tcPr>
          <w:p>
            <w:r>
              <w:rPr>
                <w:sz w:val="17"/>
              </w:rPr>
              <w:t>10,686</w:t>
            </w:r>
          </w:p>
        </w:tc>
        <w:tc>
          <w:tcPr>
            <w:tcW w:type="dxa" w:w="1440"/>
            <w:shd w:fill="FFDCE0" w:val="clear"/>
          </w:tcPr>
          <w:p>
            <w:r>
              <w:rPr>
                <w:b/>
                <w:color w:val="C00000"/>
                <w:sz w:val="17"/>
              </w:rPr>
              <w:t>-10.7%</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7,205</w:t>
            </w:r>
          </w:p>
        </w:tc>
        <w:tc>
          <w:tcPr>
            <w:tcW w:type="dxa" w:w="1440"/>
            <w:shd w:fill="FFDCE0" w:val="clear"/>
          </w:tcPr>
          <w:p>
            <w:r>
              <w:rPr>
                <w:b/>
                <w:sz w:val="17"/>
              </w:rPr>
              <w:t>8,859</w:t>
            </w:r>
          </w:p>
        </w:tc>
        <w:tc>
          <w:tcPr>
            <w:tcW w:type="dxa" w:w="1440"/>
            <w:shd w:fill="FFDCE0" w:val="clear"/>
          </w:tcPr>
          <w:p>
            <w:r>
              <w:rPr>
                <w:sz w:val="17"/>
              </w:rPr>
              <w:t>10,512</w:t>
            </w:r>
          </w:p>
        </w:tc>
        <w:tc>
          <w:tcPr>
            <w:tcW w:type="dxa" w:w="1440"/>
            <w:shd w:fill="FFDCE0" w:val="clear"/>
          </w:tcPr>
          <w:p>
            <w:r>
              <w:rPr>
                <w:b/>
                <w:color w:val="C00000"/>
                <w:sz w:val="17"/>
              </w:rPr>
              <w:t>-13.2%</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6,894</w:t>
            </w:r>
          </w:p>
        </w:tc>
        <w:tc>
          <w:tcPr>
            <w:tcW w:type="dxa" w:w="1440"/>
            <w:shd w:fill="FFDCE0" w:val="clear"/>
          </w:tcPr>
          <w:p>
            <w:r>
              <w:rPr>
                <w:b/>
                <w:sz w:val="17"/>
              </w:rPr>
              <w:t>8,612</w:t>
            </w:r>
          </w:p>
        </w:tc>
        <w:tc>
          <w:tcPr>
            <w:tcW w:type="dxa" w:w="1440"/>
            <w:shd w:fill="FFDCE0" w:val="clear"/>
          </w:tcPr>
          <w:p>
            <w:r>
              <w:rPr>
                <w:sz w:val="17"/>
              </w:rPr>
              <w:t>10,331</w:t>
            </w:r>
          </w:p>
        </w:tc>
        <w:tc>
          <w:tcPr>
            <w:tcW w:type="dxa" w:w="1440"/>
            <w:shd w:fill="FFDCE0" w:val="clear"/>
          </w:tcPr>
          <w:p>
            <w:r>
              <w:rPr>
                <w:b/>
                <w:color w:val="C00000"/>
                <w:sz w:val="17"/>
              </w:rPr>
              <w:t>-15.6%</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6,602</w:t>
            </w:r>
          </w:p>
        </w:tc>
        <w:tc>
          <w:tcPr>
            <w:tcW w:type="dxa" w:w="1440"/>
            <w:shd w:fill="FFDCE0" w:val="clear"/>
          </w:tcPr>
          <w:p>
            <w:r>
              <w:rPr>
                <w:b/>
                <w:sz w:val="17"/>
              </w:rPr>
              <w:t>8,375</w:t>
            </w:r>
          </w:p>
        </w:tc>
        <w:tc>
          <w:tcPr>
            <w:tcW w:type="dxa" w:w="1440"/>
            <w:shd w:fill="FFDCE0" w:val="clear"/>
          </w:tcPr>
          <w:p>
            <w:r>
              <w:rPr>
                <w:sz w:val="17"/>
              </w:rPr>
              <w:t>10,148</w:t>
            </w:r>
          </w:p>
        </w:tc>
        <w:tc>
          <w:tcPr>
            <w:tcW w:type="dxa" w:w="1440"/>
            <w:shd w:fill="FFDCE0" w:val="clear"/>
          </w:tcPr>
          <w:p>
            <w:r>
              <w:rPr>
                <w:b/>
                <w:color w:val="C00000"/>
                <w:sz w:val="17"/>
              </w:rPr>
              <w:t>-17.9%</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6,331</w:t>
            </w:r>
          </w:p>
        </w:tc>
        <w:tc>
          <w:tcPr>
            <w:tcW w:type="dxa" w:w="1440"/>
            <w:shd w:fill="FFDCE0" w:val="clear"/>
          </w:tcPr>
          <w:p>
            <w:r>
              <w:rPr>
                <w:b/>
                <w:sz w:val="17"/>
              </w:rPr>
              <w:t>8,150</w:t>
            </w:r>
          </w:p>
        </w:tc>
        <w:tc>
          <w:tcPr>
            <w:tcW w:type="dxa" w:w="1440"/>
            <w:shd w:fill="FFDCE0" w:val="clear"/>
          </w:tcPr>
          <w:p>
            <w:r>
              <w:rPr>
                <w:sz w:val="17"/>
              </w:rPr>
              <w:t>9,968</w:t>
            </w:r>
          </w:p>
        </w:tc>
        <w:tc>
          <w:tcPr>
            <w:tcW w:type="dxa" w:w="1440"/>
            <w:shd w:fill="FFDCE0" w:val="clear"/>
          </w:tcPr>
          <w:p>
            <w:r>
              <w:rPr>
                <w:b/>
                <w:color w:val="C00000"/>
                <w:sz w:val="17"/>
              </w:rPr>
              <w:t>-20.1%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6,12 milliards FCFA positionne SICC comme une valeur de petite capitalisation sur la BRVM, un segment souvent délaissé par les investisseurs institutionnels mais pouvant offrir des opportunités de croissance. Les ratios de valorisation (BPA, PER, P/B, EV/EBITDA) ne sont pas calculables en raison de l'absence de données financières structurées récentes dans la base, ce qui constitue une limite importante pour l'évaluation. En effet, sans bénéfice net actualisé, il est impossible de déterminer si le marché valorise correctement la société. Le PER ne peut être comparé à la moyenne du marché BRVM (8-12x), et le P/B ne peut être confronté aux capitaux propres. Cette absence de données chiffrées récentes impose une prudence accrue dans l'interprétation de la hausse du cours, qui pourrait refléter des anticipations spéculatives plutôt qu'une solidité financière démontrée.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 enregistré une progression spectaculaire de +164,94%, avec une dernière séance en hausse de +1,19% à 10 200 FCFA, soit son plus haut sur la période. Le cours a évolué dans une fourchette très large de 3 765 à 10 200 FCFA, démontrant une dynamique haussière extrêmement forte. La moyenne du cours (4 933 FCFA) est nettement supérieure à la médiane (4 460 FCFA), et l'écart entre ces deux valeurs, couplé à un skewness positif de 2,406, indique une distribution asymétrique avec des journées majoritairement sous la moyenne mais ponctuées de fortes hausses. Le kurtosis élevé (5,859) confirme un risque de pics et de mouvements brusques. L'écart-type de 1 280 FCFA (CV=25,9%) révèle une dispersion importante, et la volatilité annualisée de 57,1% classe le titre comme extrêmement risqué, bien au-delà du seuil de 30% considéré comme élevé. Cette configuration statistique traduit un comportement spéculatif marqué.</w:t>
      </w:r>
    </w:p>
    <w:p>
      <w:pPr>
        <w:spacing w:after="120" w:line="276" w:lineRule="auto" w:before="240"/>
      </w:pPr>
      <w:r>
        <w:rPr>
          <w:b/>
          <w:color w:val="003366"/>
          <w:sz w:val="24"/>
        </w:rPr>
        <w:t>**PARTIE 2 : ANALYSE TECHNIQUE DÉTAILLÉE**</w:t>
      </w:r>
    </w:p>
    <w:p>
      <w:pPr>
        <w:spacing w:after="120" w:line="276" w:lineRule="auto"/>
      </w:pPr>
      <w:r>
        <w:t>Les **Moyennes Mobiles** (MM20=6 975,5 et MM50=5 652,7) sont toutes deux largement dépassées par le cours actuel de 10 200 FCFA, confirmant une tendance haussière puissante. L'écart positif entre le cours et les deux moyennes, ainsi que la MM20 au-dessus de la MM50, valident la dynamique positive et justifient la décision d'achat, bien que l'éloignement du cours par rapport à ses moyennes suggère une possible correction à venir.</w:t>
      </w:r>
    </w:p>
    <w:p>
      <w:pPr>
        <w:spacing w:after="120" w:line="276" w:lineRule="auto"/>
      </w:pPr>
      <w:r>
        <w:t>Les **Bandes de Bollinger** montrent un cours (10 200 FCFA) qui a franchi la borne supérieure (10 126,6 FCFA), signalant une condition de surachat extrême. Cette sortie de bande indique une volatilité exceptionnellement élevée et un marché qui pourrait être en phase de "blow-off", justifiant la décision de vente pour les traders à court terme. Le franchissement de la borne supérieure est souvent suivi d'un retour vers la moyenne.</w:t>
      </w:r>
    </w:p>
    <w:p>
      <w:pPr>
        <w:spacing w:after="120" w:line="276" w:lineRule="auto"/>
      </w:pPr>
      <w:r>
        <w:t>Le **MACD** affiche une valeur de 1 168,02 contre un signal à 801,63, avec une divergence positive de 366 points. Cette configuration montre un momentum haussier très fort, avec une accélération de la tendance. La décision d'achat est justifiée par la position du MACD au-dessus de son signal, mais l'ampleur de l'écart suggère également une possible saturation du mouvement.</w:t>
      </w:r>
    </w:p>
    <w:p>
      <w:pPr>
        <w:spacing w:after="120" w:line="276" w:lineRule="auto"/>
      </w:pPr>
      <w:r>
        <w:t>Le **RSI** à 93,12 est extrêmement élevé, bien au-delà du seuil de surachat de 70. Cette valeur indique que le titre est massivement suracheté, avec des acheteurs ayant poussé le cours à des niveaux insoutenables à court terme. La décision de vente est clairement justifiée, car un RSI à ce niveau précède généralement une consolidation ou un repli technique.</w:t>
      </w:r>
    </w:p>
    <w:p>
      <w:pPr>
        <w:spacing w:after="120" w:line="276" w:lineRule="auto"/>
      </w:pPr>
      <w:r>
        <w:t>Le **Stochastique** (%K=100, %D=100) est en zone de surachat maximal, avec les deux lignes à leur niveau plafond. Cette configuration extrême indique que le marché est saturé d'achats et qu'un retournement est statistiquement probable. La décision de vente est cohérente avec cette lecture.</w:t>
      </w:r>
    </w:p>
    <w:p>
      <w:pPr>
        <w:spacing w:after="120" w:line="276" w:lineRule="auto"/>
      </w:pPr>
      <w:r>
        <w:t>La **conclusion technique** est sans appel : tous les indicateurs de momentum (RSI, Stochastique, Bandes de Bollinger) signalent un surachat extrême, tandis que les indicateurs de tendance (MM, MACD) restent positifs. Cette divergence entre la force de la tendance et la saturation des acheteurs suggère une correction technique imminente, bien que la tendance de fond demeure haussière. Un repli vers les moyennes mobiles (6 975-5 652 FCFA) serait sain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ne sont pas disponibles, mais les rapports fondamentaux fournis, datant du 31 décembre 2024 (⚠️ ANCIEN), offrent une vision historique. En 2023, la SICOR (Société Ivoirienne de Coco Râpé) a réalisé un chiffre d'affaires de 701,09 millions FCFA, en forte baisse de 38,4% par rapport à 2022 (1 138,17 millions FCFA), mais a renoué avec un bénéfice net de +19,25 millions FCFA contre une perte de -39,95 millions en 2022. La marge nette s'établit à 2,75%, en amélioration mais fragile. En 2022, le CA était de 1 138,17 millions FCFA avec une perte de -39,95 millions (marge nette de -3,51%). Les rapports plus anciens montrent une activité historiquement plus élevée : CA de 1,86 milliard en 2019 avec un bénéfice de 2,35 millions, puis 2,36 milliards en 2020 avec un bénéfice de 109,8 millions. La société n'a jamais distribué de dividende depuis 2019, priorisant l'apurement des pertes cumulées (689,86 millions FCFA en 2023). Les charges de personnel ont été réduites de 39,24% en 2023, et les frais financiers ont augmenté de 50,97%. Les risques identifiés incluent les vols de noix de coco, la dépendance aux cours mondiaux du coprah, et une trésorerie tendue avec des découverts bancaires multipliés par 14. L'AGO du 22 mai 2026 doit approuver les comptes 2024, dont les résultats ne sont pas encore connus. La recommandation fondamentale est de conserver avec vigilance, la société montrant des signes de redressement mais restant structurellement fragile.</w:t>
      </w:r>
    </w:p>
    <w:p>
      <w:pPr>
        <w:spacing w:after="120" w:line="276" w:lineRule="auto" w:before="240"/>
      </w:pPr>
      <w:r>
        <w:rPr>
          <w:b/>
          <w:color w:val="003366"/>
          <w:sz w:val="24"/>
        </w:rPr>
        <w:t>**PARTIE 4 : CONCLUSION D'INVESTISSEMENT**</w:t>
      </w:r>
    </w:p>
    <w:p>
      <w:pPr>
        <w:spacing w:after="120" w:line="276" w:lineRule="auto"/>
      </w:pPr>
      <w:r>
        <w:t>La valorisation boursière ne peut être évaluée faute de ratios calculables, mais la capitalisation de 6,12 milliards FCFA pour une société au CA de 701 millions (2023) implique un multiple de ventes très élevé, suggérant une surévaluation spéculative. Le comportement du cours, avec une hausse de 164,94% en 100 jours et une volatilité de 57,1%, est préoccupant : le kurtosis et le skewness indiquent un comportement erratique typique des bulles spéculatives. Les signaux techniques sont contradictoires : la tendance (MM, MACD) reste positive, mais tous les oscillateurs (RSI, Stochastique, Bollinger) crient au surachat extrême, annonçant une correction. Les fondamentaux, bien qu'en amélioration (retour aux bénéfices en 2023), restent fragiles avec une marge nette de 2,75%, aucun dividende et des pertes cumulées importantes. Les prédictions IA (10 129 à 9 364 FCFA sur 10 jours) confirment un repli progressif, en ligne avec les signaux de surachat. La convergence des signaux techniques et des prédictions IA vers une baisse, contrastant avec la faiblesse des fondamentaux, conduit à une recommandation de **VENTE** pour les détenteurs existants et d'éviter toute nouvelle position. Le niveau de confiance est **Élevé** (convergence des indicateurs), le risque global est **Élevé**, et l'horizon optimal est le **court terme (&lt;3 mois)** pour une éventuelle reprise après correction, ou le **long terme (&gt;1 an)** pour les investisseurs patientant sur un redressement fondamental réel.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"Activité en croissance mais rentabilité nette quasi nulle, plombée par les charges financières et un report à nouveau lourdement négatif. Structure fragile, à conserver avec prudence."}</w:t>
      </w:r>
    </w:p>
    <w:p>
      <w:pPr>
        <w:spacing w:before="40"/>
        <w:ind w:left="400"/>
      </w:pPr>
      <w:r>
        <w:rPr>
          <w:sz w:val="18"/>
        </w:rPr>
        <w:t>SICOR (Société Ivoirienne de Coco Râpé) clôture l'exercice 2019 sur un bénéfice net symbolique de 2,35 M FCFA, en très net repli par rapport aux 989 M de 2018 (année dopée par un résultat hors activités ordinaires exceptionnel de +946 M). L'activité progresse pourtant : chiffre d'affaires de 1,86 Md (+33 %) et EBE de 239 M. Le bénéfice est laminé par un résultat financier négatif (-73,7 M) et un résultat HAO négatif (-87 M). Le report à nouveau reste lourdement déficitaire (-881 M) et la trésorerie nette est négative (-62 M). Structure financière fragile malgré des capitaux propres de 2,90 Md.</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'149 millions FCFA', 'resultat_exploitation': '163 millions FCFA', 'excedent_brut_exploitation': '239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0,13 %</w:t>
            </w:r>
          </w:p>
        </w:tc>
        <w:tc>
          <w:tcPr>
            <w:tcW w:type="dxa" w:w="2160"/>
          </w:tcPr>
          <w:p>
            <w:pPr>
              <w:ind w:left="100"/>
            </w:pPr>
            <w:r/>
            <w:r>
              <w:rPr>
                <w:b/>
                <w:sz w:val="16"/>
              </w:rPr>
              <w:t>total_actif</w:t>
              <w:br/>
            </w:r>
            <w:r>
              <w:rPr>
                <w:sz w:val="18"/>
              </w:rPr>
              <w:t>3,93 milliards FCFA</w:t>
            </w:r>
          </w:p>
        </w:tc>
      </w:tr>
      <w:tr>
        <w:tc>
          <w:tcPr>
            <w:tcW w:type="dxa" w:w="2160"/>
          </w:tcPr>
          <w:p>
            <w:r/>
            <w:r>
              <w:rPr>
                <w:b/>
                <w:sz w:val="16"/>
              </w:rPr>
              <w:t>resultat_net</w:t>
              <w:br/>
            </w:r>
            <w:r>
              <w:rPr>
                <w:sz w:val="18"/>
              </w:rPr>
              <w:t>2,35 millions FCFA (bénéfice)</w:t>
            </w:r>
          </w:p>
        </w:tc>
        <w:tc>
          <w:tcPr>
            <w:tcW w:type="dxa" w:w="2160"/>
          </w:tcPr>
          <w:p>
            <w:r/>
            <w:r>
              <w:rPr>
                <w:b/>
                <w:sz w:val="16"/>
              </w:rPr>
              <w:t>capitaux_propres</w:t>
              <w:br/>
            </w:r>
            <w:r>
              <w:rPr>
                <w:sz w:val="18"/>
              </w:rPr>
              <w:t>2,90 milliards FCFA</w:t>
            </w:r>
          </w:p>
        </w:tc>
        <w:tc>
          <w:tcPr>
            <w:tcW w:type="dxa" w:w="2160"/>
          </w:tcPr>
          <w:p>
            <w:r/>
            <w:r>
              <w:rPr>
                <w:b/>
                <w:sz w:val="16"/>
              </w:rPr>
              <w:t>chiffre_affaires</w:t>
              <w:br/>
            </w:r>
            <w:r>
              <w:rPr>
                <w:sz w:val="18"/>
              </w:rPr>
              <w:t>1,86 milliard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1,86 Md FCFA, en hausse de 33 %</w:t>
      </w:r>
    </w:p>
    <w:p>
      <w:pPr>
        <w:pStyle w:val="ListBullet"/>
        <w:spacing w:before="20" w:after="20"/>
        <w:ind w:left="700"/>
      </w:pPr>
      <w:r>
        <w:rPr>
          <w:sz w:val="18"/>
        </w:rPr>
        <w:t>EBE 239 M FCFA, résultat d'exploitation 163 M</w:t>
      </w:r>
    </w:p>
    <w:p>
      <w:pPr>
        <w:pStyle w:val="ListBullet"/>
        <w:spacing w:before="20" w:after="20"/>
        <w:ind w:left="700"/>
      </w:pPr>
      <w:r>
        <w:rPr>
          <w:sz w:val="18"/>
        </w:rPr>
        <w:t>Bénéfice net symbolique : 2,35 M FCFA (contre 989 M en 2018, année exceptionnelle)</w:t>
      </w:r>
    </w:p>
    <w:p>
      <w:pPr>
        <w:pStyle w:val="ListBullet"/>
        <w:spacing w:before="20" w:after="20"/>
        <w:ind w:left="700"/>
      </w:pPr>
      <w:r>
        <w:rPr>
          <w:sz w:val="18"/>
        </w:rPr>
        <w:t>Résultat financier négatif (-73,7 M) et HAO négatif (-87 M) érodent le résultat</w:t>
      </w:r>
    </w:p>
    <w:p>
      <w:pPr>
        <w:pStyle w:val="ListBullet"/>
        <w:spacing w:before="20" w:after="20"/>
        <w:ind w:left="700"/>
      </w:pPr>
      <w:r>
        <w:rPr>
          <w:sz w:val="18"/>
        </w:rPr>
        <w:t>Report à nouveau déficitaire : -881 M FCFA</w:t>
      </w:r>
    </w:p>
    <w:p>
      <w:pPr>
        <w:pStyle w:val="ListBullet"/>
        <w:spacing w:before="20" w:after="20"/>
        <w:ind w:left="700"/>
      </w:pPr>
      <w:r>
        <w:rPr>
          <w:sz w:val="18"/>
        </w:rPr>
        <w:t>Trésorerie nette négative : -62 M FCFA</w:t>
      </w:r>
    </w:p>
    <w:p>
      <w:pPr>
        <w:spacing w:before="40"/>
        <w:ind w:left="400"/>
      </w:pPr>
      <w:r>
        <w:rPr>
          <w:b/>
          <w:color w:val="C05000"/>
          <w:sz w:val="18"/>
        </w:rPr>
        <w:t xml:space="preserve">⚠️ Risques : </w:t>
      </w:r>
      <w:r>
        <w:rPr>
          <w:sz w:val="18"/>
        </w:rPr>
        <w:t>["Report à nouveau lourdement négatif (-881 M) interdisant toute distribution", "Résultat financier structurellement négatif (-73,7 M)", "Trésorerie nette négative (-62 M), dépendance aux découverts bancaires", "Bénéfice net très faible, dépendant d'éléments non opérationnels"]</w:t>
      </w:r>
    </w:p>
    <w:p>
      <w:pPr>
        <w:spacing w:before="40"/>
        <w:ind w:left="400"/>
      </w:pPr>
      <w:r>
        <w:rPr>
          <w:b/>
          <w:color w:val="0064A0"/>
          <w:sz w:val="18"/>
        </w:rPr>
        <w:t xml:space="preserve">🔮 Perspectives : </w:t>
      </w:r>
      <w:r>
        <w:rPr>
          <w:sz w:val="18"/>
        </w:rPr>
        <w:t>L'amélioration du chiffre d'affaires et un EBE solide montrent une base d'exploitation saine, mais le redressement passe par la réduction des charges financières et l'apurement du report à nouveau. La rentabilité nette reste trop mince pour reconstituer les fonds propres rapidement.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21.05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5,638 titres</w:t>
            </w:r>
          </w:p>
        </w:tc>
        <w:tc>
          <w:tcPr>
            <w:tcW w:type="dxa" w:w="2268"/>
            <w:shd w:fill="FFF2CC" w:val="clear"/>
          </w:tcPr>
          <w:p>
            <w:r>
              <w:rPr>
                <w:b/>
                <w:color w:val="503200"/>
                <w:sz w:val="16"/>
              </w:rPr>
              <w:t xml:space="preserve">Cours actuel : </w:t>
            </w:r>
            <w:r>
              <w:rPr>
                <w:color w:val="000000"/>
                <w:sz w:val="17"/>
              </w:rPr>
              <w:t>2,410 FCFA</w:t>
            </w:r>
          </w:p>
          <w:p>
            <w:r>
              <w:rPr>
                <w:b/>
                <w:color w:val="503200"/>
                <w:sz w:val="16"/>
              </w:rPr>
              <w:t xml:space="preserve">Var. 100 jours : </w:t>
            </w:r>
            <w:r>
              <w:rPr>
                <w:b/>
                <w:color w:val="B40000"/>
                <w:sz w:val="17"/>
              </w:rPr>
              <w:t>-9.91%</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11.10% (Moyenne) — μ=2,635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β=0.4506 (Défensif) — Cov=0.000014, Var(idx)=0.000031, ρ=0.076,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σ_j=3.30%/j (Modérée) — Vol. annualisée≈52.4%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2,094</w:t>
            </w:r>
          </w:p>
        </w:tc>
        <w:tc>
          <w:tcPr>
            <w:tcW w:type="dxa" w:w="1440"/>
            <w:shd w:fill="FFDCE0" w:val="clear"/>
          </w:tcPr>
          <w:p>
            <w:r>
              <w:rPr>
                <w:b/>
                <w:sz w:val="17"/>
              </w:rPr>
              <w:t>2,260</w:t>
            </w:r>
          </w:p>
        </w:tc>
        <w:tc>
          <w:tcPr>
            <w:tcW w:type="dxa" w:w="1440"/>
            <w:shd w:fill="FFDCE0" w:val="clear"/>
          </w:tcPr>
          <w:p>
            <w:r>
              <w:rPr>
                <w:sz w:val="17"/>
              </w:rPr>
              <w:t>2,425</w:t>
            </w:r>
          </w:p>
        </w:tc>
        <w:tc>
          <w:tcPr>
            <w:tcW w:type="dxa" w:w="1440"/>
            <w:shd w:fill="FFDCE0" w:val="clear"/>
          </w:tcPr>
          <w:p>
            <w:r>
              <w:rPr>
                <w:b/>
                <w:color w:val="C00000"/>
                <w:sz w:val="17"/>
              </w:rPr>
              <w:t>-6.2%</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1,993</w:t>
            </w:r>
          </w:p>
        </w:tc>
        <w:tc>
          <w:tcPr>
            <w:tcW w:type="dxa" w:w="1440"/>
            <w:shd w:fill="FFDCE0" w:val="clear"/>
          </w:tcPr>
          <w:p>
            <w:r>
              <w:rPr>
                <w:b/>
                <w:sz w:val="17"/>
              </w:rPr>
              <w:t>2,224</w:t>
            </w:r>
          </w:p>
        </w:tc>
        <w:tc>
          <w:tcPr>
            <w:tcW w:type="dxa" w:w="1440"/>
            <w:shd w:fill="FFDCE0" w:val="clear"/>
          </w:tcPr>
          <w:p>
            <w:r>
              <w:rPr>
                <w:sz w:val="17"/>
              </w:rPr>
              <w:t>2,454</w:t>
            </w:r>
          </w:p>
        </w:tc>
        <w:tc>
          <w:tcPr>
            <w:tcW w:type="dxa" w:w="1440"/>
            <w:shd w:fill="FFDCE0" w:val="clear"/>
          </w:tcPr>
          <w:p>
            <w:r>
              <w:rPr>
                <w:b/>
                <w:color w:val="C00000"/>
                <w:sz w:val="17"/>
              </w:rPr>
              <w:t>-7.7%</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1,900</w:t>
            </w:r>
          </w:p>
        </w:tc>
        <w:tc>
          <w:tcPr>
            <w:tcW w:type="dxa" w:w="1440"/>
            <w:shd w:fill="FFDCE0" w:val="clear"/>
          </w:tcPr>
          <w:p>
            <w:r>
              <w:rPr>
                <w:b/>
                <w:sz w:val="17"/>
              </w:rPr>
              <w:t>2,176</w:t>
            </w:r>
          </w:p>
        </w:tc>
        <w:tc>
          <w:tcPr>
            <w:tcW w:type="dxa" w:w="1440"/>
            <w:shd w:fill="FFDCE0" w:val="clear"/>
          </w:tcPr>
          <w:p>
            <w:r>
              <w:rPr>
                <w:sz w:val="17"/>
              </w:rPr>
              <w:t>2,452</w:t>
            </w:r>
          </w:p>
        </w:tc>
        <w:tc>
          <w:tcPr>
            <w:tcW w:type="dxa" w:w="1440"/>
            <w:shd w:fill="FFDCE0" w:val="clear"/>
          </w:tcPr>
          <w:p>
            <w:r>
              <w:rPr>
                <w:b/>
                <w:color w:val="C00000"/>
                <w:sz w:val="17"/>
              </w:rPr>
              <w:t>-9.7%</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1,814</w:t>
            </w:r>
          </w:p>
        </w:tc>
        <w:tc>
          <w:tcPr>
            <w:tcW w:type="dxa" w:w="1440"/>
            <w:shd w:fill="FFDCE0" w:val="clear"/>
          </w:tcPr>
          <w:p>
            <w:r>
              <w:rPr>
                <w:b/>
                <w:sz w:val="17"/>
              </w:rPr>
              <w:t>2,126</w:t>
            </w:r>
          </w:p>
        </w:tc>
        <w:tc>
          <w:tcPr>
            <w:tcW w:type="dxa" w:w="1440"/>
            <w:shd w:fill="FFDCE0" w:val="clear"/>
          </w:tcPr>
          <w:p>
            <w:r>
              <w:rPr>
                <w:sz w:val="17"/>
              </w:rPr>
              <w:t>2,438</w:t>
            </w:r>
          </w:p>
        </w:tc>
        <w:tc>
          <w:tcPr>
            <w:tcW w:type="dxa" w:w="1440"/>
            <w:shd w:fill="FFDCE0" w:val="clear"/>
          </w:tcPr>
          <w:p>
            <w:r>
              <w:rPr>
                <w:b/>
                <w:color w:val="C00000"/>
                <w:sz w:val="17"/>
              </w:rPr>
              <w:t>-11.8%</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1,737</w:t>
            </w:r>
          </w:p>
        </w:tc>
        <w:tc>
          <w:tcPr>
            <w:tcW w:type="dxa" w:w="1440"/>
            <w:shd w:fill="FFDCE0" w:val="clear"/>
          </w:tcPr>
          <w:p>
            <w:r>
              <w:rPr>
                <w:b/>
                <w:sz w:val="17"/>
              </w:rPr>
              <w:t>2,077</w:t>
            </w:r>
          </w:p>
        </w:tc>
        <w:tc>
          <w:tcPr>
            <w:tcW w:type="dxa" w:w="1440"/>
            <w:shd w:fill="FFDCE0" w:val="clear"/>
          </w:tcPr>
          <w:p>
            <w:r>
              <w:rPr>
                <w:sz w:val="17"/>
              </w:rPr>
              <w:t>2,417</w:t>
            </w:r>
          </w:p>
        </w:tc>
        <w:tc>
          <w:tcPr>
            <w:tcW w:type="dxa" w:w="1440"/>
            <w:shd w:fill="FFDCE0" w:val="clear"/>
          </w:tcPr>
          <w:p>
            <w:r>
              <w:rPr>
                <w:b/>
                <w:color w:val="C00000"/>
                <w:sz w:val="17"/>
              </w:rPr>
              <w:t>-13.8%</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1,665</w:t>
            </w:r>
          </w:p>
        </w:tc>
        <w:tc>
          <w:tcPr>
            <w:tcW w:type="dxa" w:w="1440"/>
            <w:shd w:fill="FFDCE0" w:val="clear"/>
          </w:tcPr>
          <w:p>
            <w:r>
              <w:rPr>
                <w:b/>
                <w:sz w:val="17"/>
              </w:rPr>
              <w:t>2,030</w:t>
            </w:r>
          </w:p>
        </w:tc>
        <w:tc>
          <w:tcPr>
            <w:tcW w:type="dxa" w:w="1440"/>
            <w:shd w:fill="FFDCE0" w:val="clear"/>
          </w:tcPr>
          <w:p>
            <w:r>
              <w:rPr>
                <w:sz w:val="17"/>
              </w:rPr>
              <w:t>2,394</w:t>
            </w:r>
          </w:p>
        </w:tc>
        <w:tc>
          <w:tcPr>
            <w:tcW w:type="dxa" w:w="1440"/>
            <w:shd w:fill="FFDCE0" w:val="clear"/>
          </w:tcPr>
          <w:p>
            <w:r>
              <w:rPr>
                <w:b/>
                <w:color w:val="C00000"/>
                <w:sz w:val="17"/>
              </w:rPr>
              <w:t>-15.8%</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1,599</w:t>
            </w:r>
          </w:p>
        </w:tc>
        <w:tc>
          <w:tcPr>
            <w:tcW w:type="dxa" w:w="1440"/>
            <w:shd w:fill="FFDCE0" w:val="clear"/>
          </w:tcPr>
          <w:p>
            <w:r>
              <w:rPr>
                <w:b/>
                <w:sz w:val="17"/>
              </w:rPr>
              <w:t>1,984</w:t>
            </w:r>
          </w:p>
        </w:tc>
        <w:tc>
          <w:tcPr>
            <w:tcW w:type="dxa" w:w="1440"/>
            <w:shd w:fill="FFDCE0" w:val="clear"/>
          </w:tcPr>
          <w:p>
            <w:r>
              <w:rPr>
                <w:sz w:val="17"/>
              </w:rPr>
              <w:t>2,369</w:t>
            </w:r>
          </w:p>
        </w:tc>
        <w:tc>
          <w:tcPr>
            <w:tcW w:type="dxa" w:w="1440"/>
            <w:shd w:fill="FFDCE0" w:val="clear"/>
          </w:tcPr>
          <w:p>
            <w:r>
              <w:rPr>
                <w:b/>
                <w:color w:val="C00000"/>
                <w:sz w:val="17"/>
              </w:rPr>
              <w:t>-17.7%</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1,538</w:t>
            </w:r>
          </w:p>
        </w:tc>
        <w:tc>
          <w:tcPr>
            <w:tcW w:type="dxa" w:w="1440"/>
            <w:shd w:fill="FFDCE0" w:val="clear"/>
          </w:tcPr>
          <w:p>
            <w:r>
              <w:rPr>
                <w:b/>
                <w:sz w:val="17"/>
              </w:rPr>
              <w:t>1,940</w:t>
            </w:r>
          </w:p>
        </w:tc>
        <w:tc>
          <w:tcPr>
            <w:tcW w:type="dxa" w:w="1440"/>
            <w:shd w:fill="FFDCE0" w:val="clear"/>
          </w:tcPr>
          <w:p>
            <w:r>
              <w:rPr>
                <w:sz w:val="17"/>
              </w:rPr>
              <w:t>2,342</w:t>
            </w:r>
          </w:p>
        </w:tc>
        <w:tc>
          <w:tcPr>
            <w:tcW w:type="dxa" w:w="1440"/>
            <w:shd w:fill="FFDCE0" w:val="clear"/>
          </w:tcPr>
          <w:p>
            <w:r>
              <w:rPr>
                <w:b/>
                <w:color w:val="C00000"/>
                <w:sz w:val="17"/>
              </w:rPr>
              <w:t>-19.5%</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1,480</w:t>
            </w:r>
          </w:p>
        </w:tc>
        <w:tc>
          <w:tcPr>
            <w:tcW w:type="dxa" w:w="1440"/>
            <w:shd w:fill="FFDCE0" w:val="clear"/>
          </w:tcPr>
          <w:p>
            <w:r>
              <w:rPr>
                <w:b/>
                <w:sz w:val="17"/>
              </w:rPr>
              <w:t>1,897</w:t>
            </w:r>
          </w:p>
        </w:tc>
        <w:tc>
          <w:tcPr>
            <w:tcW w:type="dxa" w:w="1440"/>
            <w:shd w:fill="FFDCE0" w:val="clear"/>
          </w:tcPr>
          <w:p>
            <w:r>
              <w:rPr>
                <w:sz w:val="17"/>
              </w:rPr>
              <w:t>2,314</w:t>
            </w:r>
          </w:p>
        </w:tc>
        <w:tc>
          <w:tcPr>
            <w:tcW w:type="dxa" w:w="1440"/>
            <w:shd w:fill="FFDCE0" w:val="clear"/>
          </w:tcPr>
          <w:p>
            <w:r>
              <w:rPr>
                <w:b/>
                <w:color w:val="C00000"/>
                <w:sz w:val="17"/>
              </w:rPr>
              <w:t>-21.3%</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1,426</w:t>
            </w:r>
          </w:p>
        </w:tc>
        <w:tc>
          <w:tcPr>
            <w:tcW w:type="dxa" w:w="1440"/>
            <w:shd w:fill="FFDCE0" w:val="clear"/>
          </w:tcPr>
          <w:p>
            <w:r>
              <w:rPr>
                <w:b/>
                <w:sz w:val="17"/>
              </w:rPr>
              <w:t>1,856</w:t>
            </w:r>
          </w:p>
        </w:tc>
        <w:tc>
          <w:tcPr>
            <w:tcW w:type="dxa" w:w="1440"/>
            <w:shd w:fill="FFDCE0" w:val="clear"/>
          </w:tcPr>
          <w:p>
            <w:r>
              <w:rPr>
                <w:sz w:val="17"/>
              </w:rPr>
              <w:t>2,286</w:t>
            </w:r>
          </w:p>
        </w:tc>
        <w:tc>
          <w:tcPr>
            <w:tcW w:type="dxa" w:w="1440"/>
            <w:shd w:fill="FFDCE0" w:val="clear"/>
          </w:tcPr>
          <w:p>
            <w:r>
              <w:rPr>
                <w:b/>
                <w:color w:val="C00000"/>
                <w:sz w:val="17"/>
              </w:rPr>
              <w:t>-23.0%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21,05 milliards FCFA, un niveau modeste dans l'écosystème de la BRVM, reflétant un profil de petite capitalisation. Le BPA de 43 FCFA par action est faible, ce qui explique un PER de 55,8x, extrêmement élevé par rapport à la moyenne historique de la BRVM (8-12x). Les investisseurs paient donc une prime considérable pour chaque franc de bénéfice, ce qui suggère que le marché anticipe une croissance future significative ou valorise un actif stratégique. Le P/B de 6,43x confirme cette exubérance, le marché valorisant l'action plus de six fois sa valeur comptable, signe d'une forte prime sur les actifs nets. Enfin, l'EV/EBITDA de 17,5x, bien que supérieur au seuil exigeant de 15x, indique que la valeur d'entreprise reste élevée par rapport à la capacité opérationnelle, justifiant une prudence accrue.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SIVC a enregistré une baisse significative de -9,91%, avec une dernière séance en repli de -0,82% à 2 410 FCFA. Le titre a évolué dans une fourchette large de 1 920 à 3 215 FCFA, illustrant une volatilité marquée. La moyenne (2 635 FCFA) étant inférieure à la médiane (2 762 FCFA), la distribution des prix est asymétrique, avec des épisodes de chute plus prononcés que les hausses. L'écart-type de 294 FCFA (CV=11,2%) témoigne d'une dispersion modérée autour de la moyenne. Le kurtosis de -0,772 (mésokurtique) indique une distribution proche de la normale, sans risque de pics extrêmes, tandis que le skewness de -0,566 confirme une asymétrie négative, avec des journées de baisse plus fréquentes. La volatilité annualisée de 52,4% est très élevée, plaçant le titre dans la catégorie des valeurs spéculatives à fort risque.</w:t>
      </w:r>
    </w:p>
    <w:p>
      <w:pPr>
        <w:spacing w:after="120" w:line="276" w:lineRule="auto" w:before="240"/>
      </w:pPr>
      <w:r>
        <w:rPr>
          <w:b/>
          <w:color w:val="003366"/>
          <w:sz w:val="24"/>
        </w:rPr>
        <w:t>**PARTIE 2 : ANALYSE TECHNIQUE DÉTAILLÉE**</w:t>
      </w:r>
    </w:p>
    <w:p>
      <w:pPr>
        <w:spacing w:after="120" w:line="276" w:lineRule="auto"/>
      </w:pPr>
      <w:r>
        <w:t>Les moyennes mobiles (MM20=2257,0 et MM50=2417,6) sont toutes deux inférieures au cours actuel de 2 410 FCFA, mais la MM20 est nettement sous la MM50, signalant une tendance baissière à court terme. Le croisement de la MM20 sous la MM50 confirme la dynamique négative, justifiant la décision de vente.</w:t>
      </w:r>
    </w:p>
    <w:p>
      <w:pPr>
        <w:spacing w:after="120" w:line="276" w:lineRule="auto"/>
      </w:pPr>
      <w:r>
        <w:t>Les bandes de Bollinger (borne supérieure 2472,27, borne inférieure 2041,73) montrent un cours proche de la borne supérieure, indiquant une pression acheteuse récente. Cependant, la position du prix dans la moitié haute de la bande suggère une volatilité modérée, sans signal clair de surachat ou de survente, d'où la décision neutre.</w:t>
      </w:r>
    </w:p>
    <w:p>
      <w:pPr>
        <w:spacing w:after="120" w:line="276" w:lineRule="auto"/>
      </w:pPr>
      <w:r>
        <w:t>Le MACD (valeur 3,389, signal -38,191) affiche un croisement haussier, avec la ligne MACD au-dessus de la ligne de signal, indiquant un momentum positif émergent. Cette divergence positive suggère un potentiel de rebond à court terme, justifiant la décision d'achat.</w:t>
      </w:r>
    </w:p>
    <w:p>
      <w:pPr>
        <w:spacing w:after="120" w:line="276" w:lineRule="auto"/>
      </w:pPr>
      <w:r>
        <w:t>Le RSI à 63,281 se situe dans la zone neutre (30-70), indiquant une dynamique haussière modérée sans surachat. Les acheteurs gardent un léger avantage, mais le titre n'est pas encore en zone de surachat, d'où la décision neutre.</w:t>
      </w:r>
    </w:p>
    <w:p>
      <w:pPr>
        <w:spacing w:after="120" w:line="276" w:lineRule="auto"/>
      </w:pPr>
      <w:r>
        <w:t>Le stochastique (%K=94,366, %D=96,244) est en zone de surachat extrême (&gt;80), avec %K sous %D, signalant un croisement baissier imminent. Cette configuration suggère un essoufflement de la dynamique haussière, justifiant la décision de vente.</w:t>
      </w:r>
    </w:p>
    <w:p>
      <w:pPr>
        <w:spacing w:after="120" w:line="276" w:lineRule="auto"/>
      </w:pPr>
      <w:r>
        <w:t>En conclusion technique, les signaux sont mitigés : les moyennes mobiles et le stochastique plaident pour une vente, tandis que le MACD et le RSI suggèrent un momentum positif. La prudence est de mise, car le titre semble surchauffé à court terme, avec un risque de correction.</w:t>
      </w:r>
    </w:p>
    <w:p>
      <w:pPr>
        <w:spacing w:after="120" w:line="276" w:lineRule="auto" w:before="240"/>
      </w:pPr>
      <w:r>
        <w:rPr>
          <w:b/>
          <w:color w:val="003366"/>
          <w:sz w:val="24"/>
        </w:rPr>
        <w:t>**PARTIE 3 : ANALYSE FONDAMENTALE (SECTION CRITIQUE)**</w:t>
      </w:r>
    </w:p>
    <w:p>
      <w:pPr>
        <w:spacing w:after="120" w:line="276" w:lineRule="auto"/>
      </w:pPr>
      <w:r>
        <w:t>En 2024, SIVC a généré un PNB de 9,283 milliards FCFA, avec un résultat net de 376,96 millions FCFA, soit une marge nette de 4,06%. Le ROE s'établit à 11,52%, en dessous du seuil excellent de 15%, tandis que le ROA est de 2,69%, reflétant une rentabilité modérée des actifs. Le coefficient d'exploitation de 95,83% est alarmant pour une banque, indiquant une inefficacité opérationnelle majeure (charges représentant presque tout le PNB). Le coût du risque de 3,10% est élevé, signalant un portefeuille de crédits dégradé. Les dépôts clientèle (1,125 milliard FCFA) sont inférieurs aux créances clients (1,550 milliard FCFA), révélant un déséquilibre de transformation. En 2025, le CA a progressé de 8,5% à 10,07 milliards FCFA, mais le résultat net a chuté de 52% à 179 millions FCFA, avec une marge nette tombée à 1,78% (rapport du 31 décembre 2025). Le rapport du 3e trimestre 2025 montre une amélioration nette : CA cumulé de 7,585 milliards FCFA (+13%) et résultat net de 832,5 millions FCFA (+58%), suggérant une reprise au second semestre. Les capitaux propres ont diminué à 2,53 milliards FCFA, avec une trésorerie nette négative de -1,66 milliard FCFA. La recommandation fondamentale est de conserver, avec une surveillance accrue de la rentabilité et de l'endettement.</w:t>
      </w:r>
    </w:p>
    <w:p>
      <w:pPr>
        <w:spacing w:after="120" w:line="276" w:lineRule="auto" w:before="240"/>
      </w:pPr>
      <w:r>
        <w:rPr>
          <w:b/>
          <w:color w:val="003366"/>
          <w:sz w:val="24"/>
        </w:rPr>
        <w:t>**PARTIE 4 : CONCLUSION D'INVESTISSEMENT**</w:t>
      </w:r>
    </w:p>
    <w:p>
      <w:pPr>
        <w:spacing w:after="120" w:line="276" w:lineRule="auto"/>
      </w:pPr>
      <w:r>
        <w:t>La valorisation de SIVC est extrêmement exigeante avec un PER de 55,8x et un P/B de 6,43x, indiquant une surévaluation par rapport aux fondamentaux. Le comportement du cours est préoccupant avec une baisse de -9,91% sur 100 jours et une volatilité élevée de 52,4%, bien que le skewness négatif suggère un potentiel de stabilisation. Les signaux techniques sont divergents : les moyennes mobiles et le stochastique signalent une vente, tandis que le MACD et le RSI indiquent un momentum positif. Les fondamentaux montrent une amélioration au T3 2025, mais la rentabilité annuelle reste fragile. Les prédictions IA prévoient une poursuite de la baisse à 2 077 FCFA d'ici le 24 août 2026, confirmant la tendance baissière. En synthèse, je recommande une **VENTE** avec un niveau de confiance **Moyen**, car la convergence entre la surévaluation, la faiblesse technique et les prédictions baissières l'emporte sur les signaux positifs à court terme. Le risque global est **Élevé**, et l'horizon d'investissement optimal est le **court terme (&lt;3 mois)** pour les investisseurs cherchant à réduire leur exposition.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1,057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B40000"/>
                <w:sz w:val="17"/>
              </w:rPr>
              <w:t>-2.36%</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2.44% (Faible) — μ=38,434 FCFA, σ=938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β=0.2852 (Défensif) — Cov=0.000009, Var(idx)=0.000031, ρ=0.086,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2026-08-18</w:t>
            </w:r>
          </w:p>
        </w:tc>
        <w:tc>
          <w:tcPr>
            <w:tcW w:type="dxa" w:w="1440"/>
            <w:shd w:fill="FAFAFA" w:val="clear"/>
          </w:tcPr>
          <w:p>
            <w:r>
              <w:rPr>
                <w:sz w:val="17"/>
              </w:rPr>
              <w:t>36,283</w:t>
            </w:r>
          </w:p>
        </w:tc>
        <w:tc>
          <w:tcPr>
            <w:tcW w:type="dxa" w:w="1440"/>
            <w:shd w:fill="FAFAFA" w:val="clear"/>
          </w:tcPr>
          <w:p>
            <w:r>
              <w:rPr>
                <w:b/>
                <w:sz w:val="17"/>
              </w:rPr>
              <w:t>37,660</w:t>
            </w:r>
          </w:p>
        </w:tc>
        <w:tc>
          <w:tcPr>
            <w:tcW w:type="dxa" w:w="1440"/>
            <w:shd w:fill="FAFAFA" w:val="clear"/>
          </w:tcPr>
          <w:p>
            <w:r>
              <w:rPr>
                <w:sz w:val="17"/>
              </w:rPr>
              <w:t>39,036</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2026-08-19</w:t>
            </w:r>
          </w:p>
        </w:tc>
        <w:tc>
          <w:tcPr>
            <w:tcW w:type="dxa" w:w="1440"/>
            <w:shd w:fill="FAFAFA" w:val="clear"/>
          </w:tcPr>
          <w:p>
            <w:r>
              <w:rPr>
                <w:sz w:val="17"/>
              </w:rPr>
              <w:t>35,730</w:t>
            </w:r>
          </w:p>
        </w:tc>
        <w:tc>
          <w:tcPr>
            <w:tcW w:type="dxa" w:w="1440"/>
            <w:shd w:fill="FAFAFA" w:val="clear"/>
          </w:tcPr>
          <w:p>
            <w:r>
              <w:rPr>
                <w:b/>
                <w:sz w:val="17"/>
              </w:rPr>
              <w:t>37,679</w:t>
            </w:r>
          </w:p>
        </w:tc>
        <w:tc>
          <w:tcPr>
            <w:tcW w:type="dxa" w:w="1440"/>
            <w:shd w:fill="FAFAFA" w:val="clear"/>
          </w:tcPr>
          <w:p>
            <w:r>
              <w:rPr>
                <w:sz w:val="17"/>
              </w:rPr>
              <w:t>39,627</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2026-08-20</w:t>
            </w:r>
          </w:p>
        </w:tc>
        <w:tc>
          <w:tcPr>
            <w:tcW w:type="dxa" w:w="1440"/>
            <w:shd w:fill="FAFAFA" w:val="clear"/>
          </w:tcPr>
          <w:p>
            <w:r>
              <w:rPr>
                <w:sz w:val="17"/>
              </w:rPr>
              <w:t>35,267</w:t>
            </w:r>
          </w:p>
        </w:tc>
        <w:tc>
          <w:tcPr>
            <w:tcW w:type="dxa" w:w="1440"/>
            <w:shd w:fill="FAFAFA" w:val="clear"/>
          </w:tcPr>
          <w:p>
            <w:r>
              <w:rPr>
                <w:b/>
                <w:sz w:val="17"/>
              </w:rPr>
              <w:t>37,652</w:t>
            </w:r>
          </w:p>
        </w:tc>
        <w:tc>
          <w:tcPr>
            <w:tcW w:type="dxa" w:w="1440"/>
            <w:shd w:fill="FAFAFA" w:val="clear"/>
          </w:tcPr>
          <w:p>
            <w:r>
              <w:rPr>
                <w:sz w:val="17"/>
              </w:rPr>
              <w:t>40,036</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2026-08-21</w:t>
            </w:r>
          </w:p>
        </w:tc>
        <w:tc>
          <w:tcPr>
            <w:tcW w:type="dxa" w:w="1440"/>
            <w:shd w:fill="FAFAFA" w:val="clear"/>
          </w:tcPr>
          <w:p>
            <w:r>
              <w:rPr>
                <w:sz w:val="17"/>
              </w:rPr>
              <w:t>34,865</w:t>
            </w:r>
          </w:p>
        </w:tc>
        <w:tc>
          <w:tcPr>
            <w:tcW w:type="dxa" w:w="1440"/>
            <w:shd w:fill="FAFAFA" w:val="clear"/>
          </w:tcPr>
          <w:p>
            <w:r>
              <w:rPr>
                <w:b/>
                <w:sz w:val="17"/>
              </w:rPr>
              <w:t>37,615</w:t>
            </w:r>
          </w:p>
        </w:tc>
        <w:tc>
          <w:tcPr>
            <w:tcW w:type="dxa" w:w="1440"/>
            <w:shd w:fill="FAFAFA" w:val="clear"/>
          </w:tcPr>
          <w:p>
            <w:r>
              <w:rPr>
                <w:sz w:val="17"/>
              </w:rPr>
              <w:t>40,366</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2026-08-24</w:t>
            </w:r>
          </w:p>
        </w:tc>
        <w:tc>
          <w:tcPr>
            <w:tcW w:type="dxa" w:w="1440"/>
            <w:shd w:fill="FAFAFA" w:val="clear"/>
          </w:tcPr>
          <w:p>
            <w:r>
              <w:rPr>
                <w:sz w:val="17"/>
              </w:rPr>
              <w:t>34,506</w:t>
            </w:r>
          </w:p>
        </w:tc>
        <w:tc>
          <w:tcPr>
            <w:tcW w:type="dxa" w:w="1440"/>
            <w:shd w:fill="FAFAFA" w:val="clear"/>
          </w:tcPr>
          <w:p>
            <w:r>
              <w:rPr>
                <w:b/>
                <w:sz w:val="17"/>
              </w:rPr>
              <w:t>37,578</w:t>
            </w:r>
          </w:p>
        </w:tc>
        <w:tc>
          <w:tcPr>
            <w:tcW w:type="dxa" w:w="1440"/>
            <w:shd w:fill="FAFAFA" w:val="clear"/>
          </w:tcPr>
          <w:p>
            <w:r>
              <w:rPr>
                <w:sz w:val="17"/>
              </w:rPr>
              <w:t>40,650</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2026-08-25</w:t>
            </w:r>
          </w:p>
        </w:tc>
        <w:tc>
          <w:tcPr>
            <w:tcW w:type="dxa" w:w="1440"/>
            <w:shd w:fill="FAFAFA" w:val="clear"/>
          </w:tcPr>
          <w:p>
            <w:r>
              <w:rPr>
                <w:sz w:val="17"/>
              </w:rPr>
              <w:t>34,179</w:t>
            </w:r>
          </w:p>
        </w:tc>
        <w:tc>
          <w:tcPr>
            <w:tcW w:type="dxa" w:w="1440"/>
            <w:shd w:fill="FAFAFA" w:val="clear"/>
          </w:tcPr>
          <w:p>
            <w:r>
              <w:rPr>
                <w:b/>
                <w:sz w:val="17"/>
              </w:rPr>
              <w:t>37,541</w:t>
            </w:r>
          </w:p>
        </w:tc>
        <w:tc>
          <w:tcPr>
            <w:tcW w:type="dxa" w:w="1440"/>
            <w:shd w:fill="FAFAFA" w:val="clear"/>
          </w:tcPr>
          <w:p>
            <w:r>
              <w:rPr>
                <w:sz w:val="17"/>
              </w:rPr>
              <w:t>40,903</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2026-08-27</w:t>
            </w:r>
          </w:p>
        </w:tc>
        <w:tc>
          <w:tcPr>
            <w:tcW w:type="dxa" w:w="1440"/>
            <w:shd w:fill="FAFAFA" w:val="clear"/>
          </w:tcPr>
          <w:p>
            <w:r>
              <w:rPr>
                <w:sz w:val="17"/>
              </w:rPr>
              <w:t>33,877</w:t>
            </w:r>
          </w:p>
        </w:tc>
        <w:tc>
          <w:tcPr>
            <w:tcW w:type="dxa" w:w="1440"/>
            <w:shd w:fill="FAFAFA" w:val="clear"/>
          </w:tcPr>
          <w:p>
            <w:r>
              <w:rPr>
                <w:b/>
                <w:sz w:val="17"/>
              </w:rPr>
              <w:t>37,505</w:t>
            </w:r>
          </w:p>
        </w:tc>
        <w:tc>
          <w:tcPr>
            <w:tcW w:type="dxa" w:w="1440"/>
            <w:shd w:fill="FAFAFA" w:val="clear"/>
          </w:tcPr>
          <w:p>
            <w:r>
              <w:rPr>
                <w:sz w:val="17"/>
              </w:rPr>
              <w:t>41,134</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2026-08-28</w:t>
            </w:r>
          </w:p>
        </w:tc>
        <w:tc>
          <w:tcPr>
            <w:tcW w:type="dxa" w:w="1440"/>
            <w:shd w:fill="FAFAFA" w:val="clear"/>
          </w:tcPr>
          <w:p>
            <w:r>
              <w:rPr>
                <w:sz w:val="17"/>
              </w:rPr>
              <w:t>33,595</w:t>
            </w:r>
          </w:p>
        </w:tc>
        <w:tc>
          <w:tcPr>
            <w:tcW w:type="dxa" w:w="1440"/>
            <w:shd w:fill="FAFAFA" w:val="clear"/>
          </w:tcPr>
          <w:p>
            <w:r>
              <w:rPr>
                <w:b/>
                <w:sz w:val="17"/>
              </w:rPr>
              <w:t>37,470</w:t>
            </w:r>
          </w:p>
        </w:tc>
        <w:tc>
          <w:tcPr>
            <w:tcW w:type="dxa" w:w="1440"/>
            <w:shd w:fill="FAFAFA" w:val="clear"/>
          </w:tcPr>
          <w:p>
            <w:r>
              <w:rPr>
                <w:sz w:val="17"/>
              </w:rPr>
              <w:t>41,345</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2026-08-31</w:t>
            </w:r>
          </w:p>
        </w:tc>
        <w:tc>
          <w:tcPr>
            <w:tcW w:type="dxa" w:w="1440"/>
            <w:shd w:fill="FAFAFA" w:val="clear"/>
          </w:tcPr>
          <w:p>
            <w:r>
              <w:rPr>
                <w:sz w:val="17"/>
              </w:rPr>
              <w:t>33,330</w:t>
            </w:r>
          </w:p>
        </w:tc>
        <w:tc>
          <w:tcPr>
            <w:tcW w:type="dxa" w:w="1440"/>
            <w:shd w:fill="FAFAFA" w:val="clear"/>
          </w:tcPr>
          <w:p>
            <w:r>
              <w:rPr>
                <w:b/>
                <w:sz w:val="17"/>
              </w:rPr>
              <w:t>37,436</w:t>
            </w:r>
          </w:p>
        </w:tc>
        <w:tc>
          <w:tcPr>
            <w:tcW w:type="dxa" w:w="1440"/>
            <w:shd w:fill="FAFAFA" w:val="clear"/>
          </w:tcPr>
          <w:p>
            <w:r>
              <w:rPr>
                <w:sz w:val="17"/>
              </w:rPr>
              <w:t>41,542</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2026-09-01</w:t>
            </w:r>
          </w:p>
        </w:tc>
        <w:tc>
          <w:tcPr>
            <w:tcW w:type="dxa" w:w="1440"/>
            <w:shd w:fill="FAFAFA" w:val="clear"/>
          </w:tcPr>
          <w:p>
            <w:r>
              <w:rPr>
                <w:sz w:val="17"/>
              </w:rPr>
              <w:t>33,077</w:t>
            </w:r>
          </w:p>
        </w:tc>
        <w:tc>
          <w:tcPr>
            <w:tcW w:type="dxa" w:w="1440"/>
            <w:shd w:fill="FAFAFA" w:val="clear"/>
          </w:tcPr>
          <w:p>
            <w:r>
              <w:rPr>
                <w:b/>
                <w:sz w:val="17"/>
              </w:rPr>
              <w:t>37,402</w:t>
            </w:r>
          </w:p>
        </w:tc>
        <w:tc>
          <w:tcPr>
            <w:tcW w:type="dxa" w:w="1440"/>
            <w:shd w:fill="FAFAFA" w:val="clear"/>
          </w:tcPr>
          <w:p>
            <w:r>
              <w:rPr>
                <w:sz w:val="17"/>
              </w:rPr>
              <w:t>41,727</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18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625,51 milliards FCFA, ce qui en fait l'une des valeurs les plus significatives de la BRVM, reflétant sa position dominante dans le secteur des boissons en Afrique de l'Ouest. Avec un BPA de 2 781 FCFA, chaque action génère un bénéfice substantiel, justifiant un PER de 13,7x. Ce ratio, bien que supérieur à la moyenne historique de la BRVM (8-12x), reste modéré et témoigne d'une valorisation raisonnable compte tenu de la croissance exceptionnelle de la société. Le P/B de 3,21x indique que le marché accorde une prime de croissance significative par rapport à la valeur comptable des actifs, ce qui est cohérent avec les performances récentes. Enfin, l'EV/EBITDA de 7,4x se situe dans une fourchette raisonnable (5-10x), suggérant que la valeur totale de l'entreprise reste attractive par rapport à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-2,36%, s'établissant à 38 000 FCFA, avec une légère reprise de +2,01% lors de la dernière séance. Le titre a évolué dans une fourchette de 35 540 FCFA (plus bas) à 41 500 FCFA (plus haut), montrant une amplitude de trading notable. La moyenne (38 434 FCFA) et la médiane (38 500 FCFA) sont très proches, indiquant une distribution symétrique des prix, confirmée par un skewness de 0,038. L'écart-type de 943 FCFA, avec un coefficient de variation de 2,5%, révèle une dispersion relativement faible autour de la moyenne. Le kurtosis de 0,362 (mésokurtique) suggère une distribution proche de la normale, sans risque de pics extrêmes. La volatilité annualisée de 29,2% positionne le titre dans une zone modérée à élevée, indiquant des fluctuations de prix notables mais maîtrisées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La MM20 (38 144 FCFA) et la MM50 (38 659,8 FCFA) sont toutes deux supérieures au cours actuel de 38 000 FCFA, signalant une tendance baissière à court et moyen terme. La décision de "Vente" est justifiée par le fait que le prix évolue sous ses moyennes mobiles, indiquant une pression vendeuse persistante.</w:t>
      </w:r>
    </w:p>
    <w:p>
      <w:pPr>
        <w:spacing w:after="120" w:line="276" w:lineRule="auto"/>
      </w:pPr>
      <w:r>
        <w:t>**Bandes de Bollinger :** Le cours se situe à 38 000 FCFA, entre la borne inférieure (36 136,261 FCFA) et la borne supérieure (40 151,739 FCFA), proche de la zone médiane. La décision "Neutre" reflète une volatilité modérée, sans signal clair de surachat ou de survente.</w:t>
      </w:r>
    </w:p>
    <w:p>
      <w:pPr>
        <w:spacing w:after="120" w:line="276" w:lineRule="auto"/>
      </w:pPr>
      <w:r>
        <w:t>**MACD :** La valeur du MACD (-413,113) est inférieure à son signal (-400,356), confirmant une dynamique baissière. La décision "Vente" est cohérente avec cette divergence négative, indiquant un momentum défavorable.</w:t>
      </w:r>
    </w:p>
    <w:p>
      <w:pPr>
        <w:spacing w:after="120" w:line="276" w:lineRule="auto"/>
      </w:pPr>
      <w:r>
        <w:t>**RSI :** À 42,284, le RSI se situe dans la zone neutre (30-70), sans signal de surachat ou de survente. La décision "Neutre" suggère que le marché n'est pas encore dans une phase extrême, laissant place à une possible stabilisation.</w:t>
      </w:r>
    </w:p>
    <w:p>
      <w:pPr>
        <w:spacing w:after="120" w:line="276" w:lineRule="auto"/>
      </w:pPr>
      <w:r>
        <w:t>**Stochastique :** Le %K (39,427) est supérieur au %D (30,466), indiquant un croisement haussier potentiel. Cependant, la décision "Neutre" reflète une absence de signal fort, le titre n'étant ni suracheté ni survendu.</w:t>
      </w:r>
    </w:p>
    <w:p>
      <w:pPr>
        <w:spacing w:after="120" w:line="276" w:lineRule="auto"/>
      </w:pPr>
      <w:r>
        <w:t>**Conclusion technique :** Les indicateurs techniques sont globalement mitigés, avec une prédominance de signaux baissiers (MM, MACD) mais des indicateurs de momentum neutres (RSI, Stochastique). La tendance générale reste incertaine, avec un potentiel de stabilisation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 chiffre d'affaires de 378,123 milliards FCFA, en hausse de 22,1% par rapport à 2024 (309,722 milliards FCFA), avec un résultat net de 45,781 milliards FCFA, soit une progression spectaculaire de 113%. La marge nette s'est améliorée à 12,1% (contre 6,9% en 2024), et le ROE atteint 23,46%, largement au-dessus du seuil de 15% considéré comme excellent. Le ROA de 13,48% confirme une utilisation efficace des actifs. La structure financière est saine avec une autonomie financière de 57,48% et une solvabilité générale de 235,16%. Le BFR de 61,587 milliards FCFA, bien que positif, est compensé par un free cash flow de 60,867 milliards FCFA. Les délais clients (64,27 jours) et fournisseurs (76,82 jours) sont équilibrés, mais la durée de stockage (117,32 jours) mérite une surveillance. Les rapports trimestriels confirment cette dynamique : le S1 2025 affichait un CA de 165,8 milliards FCFA (+12,3%) et un résultat net de 28 milliards FCFA (+175,1%), tandis que le T1 2026 montre une croissance de +7,6% du CA (93,46 milliards FCFA) et un résultat net de 16,26 milliards FCFA (+4,8%). Sur la base de ces tendances, on estime que l'exercice 2026 devrait maintenir une croissance solide, bien que potentiellement plus modérée que 2025. La recommandation fondamentale est **ACHAT**, soutenue par des fondamentaux exceptionnels, une position de leader et une politique de dividende généreuse (2 127 FCFA par action proposés pour 2025).</w:t>
      </w:r>
    </w:p>
    <w:p>
      <w:pPr>
        <w:spacing w:after="120" w:line="276" w:lineRule="auto"/>
      </w:pPr>
      <w:r>
        <w:t>---</w:t>
      </w:r>
    </w:p>
    <w:p>
      <w:pPr>
        <w:spacing w:after="120" w:line="276" w:lineRule="auto"/>
      </w:pPr>
      <w:r>
        <w:t>### PARTIE 4 : CONCLUSION D'INVESTISSEMENT</w:t>
      </w:r>
    </w:p>
    <w:p>
      <w:pPr>
        <w:spacing w:after="120" w:line="276" w:lineRule="auto"/>
      </w:pPr>
      <w:r>
        <w:t>La valorisation de SLBC (PER 13,7x, P/B 3,21x, EV/EBITDA 7,4x) indique une prime de croissance justifiée par des fondamentaux solides, mais le comportement du cours sur 100 jours (-2,36%) et les signaux techniques mitigés (MM et MACD baissiers, RSI et Stochastique neutres) suggèrent une consolidation à court terme. Les fondamentaux restent exceptionnels avec une croissance de 22% du CA en 2025, un ROE de 23,46% et une politique de dividende attractive. Les prédictions IA pour les 10 prochains jours (37 578-37 679 FCFA) indiquent une légère baisse, en ligne avec la tendance technique actuelle. La convergence entre la solidité fondamentale et les signaux techniques prudents conduit à une recommandation **CONSERVER** pour les investisseurs existants, avec un niveau de confiance **Moyen** et un risque global **Moyen**. Pour les nouveaux investisseurs, un horizon d'investissement de **moyen terme (3-12 mois)** est optimal, avec un potentiel de reprise une fois la consolidation technique terminée. Les investisseurs à long terme (&gt;1 an) peuvent considérer cette période comme une opportunité d'accumulation, compte tenu des perspectives de croissance soutenue de l'entreprise.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128.19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1,249 titres</w:t>
            </w:r>
          </w:p>
        </w:tc>
        <w:tc>
          <w:tcPr>
            <w:tcW w:type="dxa" w:w="2268"/>
            <w:shd w:fill="FFF2CC" w:val="clear"/>
          </w:tcPr>
          <w:p>
            <w:r>
              <w:rPr>
                <w:b/>
                <w:color w:val="503200"/>
                <w:sz w:val="16"/>
              </w:rPr>
              <w:t xml:space="preserve">Cours actuel : </w:t>
            </w:r>
            <w:r>
              <w:rPr>
                <w:color w:val="000000"/>
                <w:sz w:val="17"/>
              </w:rPr>
              <w:t>16,445 FCFA</w:t>
            </w:r>
          </w:p>
          <w:p>
            <w:r>
              <w:rPr>
                <w:b/>
                <w:color w:val="503200"/>
                <w:sz w:val="16"/>
              </w:rPr>
              <w:t xml:space="preserve">Var. 100 jours : </w:t>
            </w:r>
            <w:r>
              <w:rPr>
                <w:b/>
                <w:color w:val="007800"/>
                <w:sz w:val="17"/>
              </w:rPr>
              <w:t>+23.69%</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14.96% (Moyenne) — μ=14,329 FCFA, σ=2,144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β=-0.7284 (Contre-cyclique) — Cov=-0.000023, Var(idx)=0.000031, ρ=-0.167,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σ_j=2.43%/j (Stable) — Vol. annualisée≈38.6%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2026-08-18</w:t>
            </w:r>
          </w:p>
        </w:tc>
        <w:tc>
          <w:tcPr>
            <w:tcW w:type="dxa" w:w="1440"/>
            <w:shd w:fill="FAFAFA" w:val="clear"/>
          </w:tcPr>
          <w:p>
            <w:r>
              <w:rPr>
                <w:sz w:val="17"/>
              </w:rPr>
              <w:t>15,680</w:t>
            </w:r>
          </w:p>
        </w:tc>
        <w:tc>
          <w:tcPr>
            <w:tcW w:type="dxa" w:w="1440"/>
            <w:shd w:fill="FAFAFA" w:val="clear"/>
          </w:tcPr>
          <w:p>
            <w:r>
              <w:rPr>
                <w:b/>
                <w:sz w:val="17"/>
              </w:rPr>
              <w:t>16,303</w:t>
            </w:r>
          </w:p>
        </w:tc>
        <w:tc>
          <w:tcPr>
            <w:tcW w:type="dxa" w:w="1440"/>
            <w:shd w:fill="FAFAFA" w:val="clear"/>
          </w:tcPr>
          <w:p>
            <w:r>
              <w:rPr>
                <w:sz w:val="17"/>
              </w:rPr>
              <w:t>16,926</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2026-08-19</w:t>
            </w:r>
          </w:p>
        </w:tc>
        <w:tc>
          <w:tcPr>
            <w:tcW w:type="dxa" w:w="1440"/>
            <w:shd w:fill="FAFAFA" w:val="clear"/>
          </w:tcPr>
          <w:p>
            <w:r>
              <w:rPr>
                <w:sz w:val="17"/>
              </w:rPr>
              <w:t>15,374</w:t>
            </w:r>
          </w:p>
        </w:tc>
        <w:tc>
          <w:tcPr>
            <w:tcW w:type="dxa" w:w="1440"/>
            <w:shd w:fill="FAFAFA" w:val="clear"/>
          </w:tcPr>
          <w:p>
            <w:r>
              <w:rPr>
                <w:b/>
                <w:sz w:val="17"/>
              </w:rPr>
              <w:t>16,252</w:t>
            </w:r>
          </w:p>
        </w:tc>
        <w:tc>
          <w:tcPr>
            <w:tcW w:type="dxa" w:w="1440"/>
            <w:shd w:fill="FAFAFA" w:val="clear"/>
          </w:tcPr>
          <w:p>
            <w:r>
              <w:rPr>
                <w:sz w:val="17"/>
              </w:rPr>
              <w:t>17,130</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2026-08-20</w:t>
            </w:r>
          </w:p>
        </w:tc>
        <w:tc>
          <w:tcPr>
            <w:tcW w:type="dxa" w:w="1440"/>
            <w:shd w:fill="FAFAFA" w:val="clear"/>
          </w:tcPr>
          <w:p>
            <w:r>
              <w:rPr>
                <w:sz w:val="17"/>
              </w:rPr>
              <w:t>15,121</w:t>
            </w:r>
          </w:p>
        </w:tc>
        <w:tc>
          <w:tcPr>
            <w:tcW w:type="dxa" w:w="1440"/>
            <w:shd w:fill="FAFAFA" w:val="clear"/>
          </w:tcPr>
          <w:p>
            <w:r>
              <w:rPr>
                <w:b/>
                <w:sz w:val="17"/>
              </w:rPr>
              <w:t>16,192</w:t>
            </w:r>
          </w:p>
        </w:tc>
        <w:tc>
          <w:tcPr>
            <w:tcW w:type="dxa" w:w="1440"/>
            <w:shd w:fill="FAFAFA" w:val="clear"/>
          </w:tcPr>
          <w:p>
            <w:r>
              <w:rPr>
                <w:sz w:val="17"/>
              </w:rPr>
              <w:t>17,264</w:t>
            </w:r>
          </w:p>
        </w:tc>
        <w:tc>
          <w:tcPr>
            <w:tcW w:type="dxa" w:w="1440"/>
            <w:shd w:fill="FAFAFA" w:val="clear"/>
          </w:tcPr>
          <w:p>
            <w:r>
              <w:rPr>
                <w:b/>
                <w:color w:val="C00000"/>
                <w:sz w:val="17"/>
              </w:rPr>
              <w:t>-1.5%</w:t>
            </w:r>
          </w:p>
        </w:tc>
      </w:tr>
      <w:tr>
        <w:tc>
          <w:tcPr>
            <w:tcW w:type="dxa" w:w="1440"/>
            <w:shd w:fill="FAFAFA" w:val="clear"/>
          </w:tcPr>
          <w:p>
            <w:r>
              <w:rPr>
                <w:sz w:val="17"/>
              </w:rPr>
              <w:t>J+4  ⭐</w:t>
            </w:r>
          </w:p>
        </w:tc>
        <w:tc>
          <w:tcPr>
            <w:tcW w:type="dxa" w:w="1440"/>
            <w:shd w:fill="FAFAFA" w:val="clear"/>
          </w:tcPr>
          <w:p>
            <w:r>
              <w:rPr>
                <w:sz w:val="17"/>
              </w:rPr>
              <w:t>2026-08-21</w:t>
            </w:r>
          </w:p>
        </w:tc>
        <w:tc>
          <w:tcPr>
            <w:tcW w:type="dxa" w:w="1440"/>
            <w:shd w:fill="FAFAFA" w:val="clear"/>
          </w:tcPr>
          <w:p>
            <w:r>
              <w:rPr>
                <w:sz w:val="17"/>
              </w:rPr>
              <w:t>14,903</w:t>
            </w:r>
          </w:p>
        </w:tc>
        <w:tc>
          <w:tcPr>
            <w:tcW w:type="dxa" w:w="1440"/>
            <w:shd w:fill="FAFAFA" w:val="clear"/>
          </w:tcPr>
          <w:p>
            <w:r>
              <w:rPr>
                <w:b/>
                <w:sz w:val="17"/>
              </w:rPr>
              <w:t>16,135</w:t>
            </w:r>
          </w:p>
        </w:tc>
        <w:tc>
          <w:tcPr>
            <w:tcW w:type="dxa" w:w="1440"/>
            <w:shd w:fill="FAFAFA" w:val="clear"/>
          </w:tcPr>
          <w:p>
            <w:r>
              <w:rPr>
                <w:sz w:val="17"/>
              </w:rPr>
              <w:t>17,368</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14,707</w:t>
            </w:r>
          </w:p>
        </w:tc>
        <w:tc>
          <w:tcPr>
            <w:tcW w:type="dxa" w:w="1440"/>
            <w:shd w:fill="FFDCE0" w:val="clear"/>
          </w:tcPr>
          <w:p>
            <w:r>
              <w:rPr>
                <w:b/>
                <w:sz w:val="17"/>
              </w:rPr>
              <w:t>16,080</w:t>
            </w:r>
          </w:p>
        </w:tc>
        <w:tc>
          <w:tcPr>
            <w:tcW w:type="dxa" w:w="1440"/>
            <w:shd w:fill="FFDCE0" w:val="clear"/>
          </w:tcPr>
          <w:p>
            <w:r>
              <w:rPr>
                <w:sz w:val="17"/>
              </w:rPr>
              <w:t>17,453</w:t>
            </w:r>
          </w:p>
        </w:tc>
        <w:tc>
          <w:tcPr>
            <w:tcW w:type="dxa" w:w="1440"/>
            <w:shd w:fill="FFDCE0" w:val="clear"/>
          </w:tcPr>
          <w:p>
            <w:r>
              <w:rPr>
                <w:b/>
                <w:color w:val="C00000"/>
                <w:sz w:val="17"/>
              </w:rPr>
              <w:t>-2.2%</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14,526</w:t>
            </w:r>
          </w:p>
        </w:tc>
        <w:tc>
          <w:tcPr>
            <w:tcW w:type="dxa" w:w="1440"/>
            <w:shd w:fill="FFDCE0" w:val="clear"/>
          </w:tcPr>
          <w:p>
            <w:r>
              <w:rPr>
                <w:b/>
                <w:sz w:val="17"/>
              </w:rPr>
              <w:t>16,025</w:t>
            </w:r>
          </w:p>
        </w:tc>
        <w:tc>
          <w:tcPr>
            <w:tcW w:type="dxa" w:w="1440"/>
            <w:shd w:fill="FFDCE0" w:val="clear"/>
          </w:tcPr>
          <w:p>
            <w:r>
              <w:rPr>
                <w:sz w:val="17"/>
              </w:rPr>
              <w:t>17,525</w:t>
            </w:r>
          </w:p>
        </w:tc>
        <w:tc>
          <w:tcPr>
            <w:tcW w:type="dxa" w:w="1440"/>
            <w:shd w:fill="FFDCE0" w:val="clear"/>
          </w:tcPr>
          <w:p>
            <w:r>
              <w:rPr>
                <w:b/>
                <w:color w:val="C00000"/>
                <w:sz w:val="17"/>
              </w:rPr>
              <w:t>-2.6%</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14,358</w:t>
            </w:r>
          </w:p>
        </w:tc>
        <w:tc>
          <w:tcPr>
            <w:tcW w:type="dxa" w:w="1440"/>
            <w:shd w:fill="FFDCE0" w:val="clear"/>
          </w:tcPr>
          <w:p>
            <w:r>
              <w:rPr>
                <w:b/>
                <w:sz w:val="17"/>
              </w:rPr>
              <w:t>15,972</w:t>
            </w:r>
          </w:p>
        </w:tc>
        <w:tc>
          <w:tcPr>
            <w:tcW w:type="dxa" w:w="1440"/>
            <w:shd w:fill="FFDCE0" w:val="clear"/>
          </w:tcPr>
          <w:p>
            <w:r>
              <w:rPr>
                <w:sz w:val="17"/>
              </w:rPr>
              <w:t>17,586</w:t>
            </w:r>
          </w:p>
        </w:tc>
        <w:tc>
          <w:tcPr>
            <w:tcW w:type="dxa" w:w="1440"/>
            <w:shd w:fill="FFDCE0" w:val="clear"/>
          </w:tcPr>
          <w:p>
            <w:r>
              <w:rPr>
                <w:b/>
                <w:color w:val="C00000"/>
                <w:sz w:val="17"/>
              </w:rPr>
              <w:t>-2.9%</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14,199</w:t>
            </w:r>
          </w:p>
        </w:tc>
        <w:tc>
          <w:tcPr>
            <w:tcW w:type="dxa" w:w="1440"/>
            <w:shd w:fill="FFDCE0" w:val="clear"/>
          </w:tcPr>
          <w:p>
            <w:r>
              <w:rPr>
                <w:b/>
                <w:sz w:val="17"/>
              </w:rPr>
              <w:t>15,919</w:t>
            </w:r>
          </w:p>
        </w:tc>
        <w:tc>
          <w:tcPr>
            <w:tcW w:type="dxa" w:w="1440"/>
            <w:shd w:fill="FFDCE0" w:val="clear"/>
          </w:tcPr>
          <w:p>
            <w:r>
              <w:rPr>
                <w:sz w:val="17"/>
              </w:rPr>
              <w:t>17,639</w:t>
            </w:r>
          </w:p>
        </w:tc>
        <w:tc>
          <w:tcPr>
            <w:tcW w:type="dxa" w:w="1440"/>
            <w:shd w:fill="FFDCE0" w:val="clear"/>
          </w:tcPr>
          <w:p>
            <w:r>
              <w:rPr>
                <w:b/>
                <w:color w:val="C00000"/>
                <w:sz w:val="17"/>
              </w:rPr>
              <w:t>-3.2%</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14,049</w:t>
            </w:r>
          </w:p>
        </w:tc>
        <w:tc>
          <w:tcPr>
            <w:tcW w:type="dxa" w:w="1440"/>
            <w:shd w:fill="FFDCE0" w:val="clear"/>
          </w:tcPr>
          <w:p>
            <w:r>
              <w:rPr>
                <w:b/>
                <w:sz w:val="17"/>
              </w:rPr>
              <w:t>15,867</w:t>
            </w:r>
          </w:p>
        </w:tc>
        <w:tc>
          <w:tcPr>
            <w:tcW w:type="dxa" w:w="1440"/>
            <w:shd w:fill="FFDCE0" w:val="clear"/>
          </w:tcPr>
          <w:p>
            <w:r>
              <w:rPr>
                <w:sz w:val="17"/>
              </w:rPr>
              <w:t>17,685</w:t>
            </w:r>
          </w:p>
        </w:tc>
        <w:tc>
          <w:tcPr>
            <w:tcW w:type="dxa" w:w="1440"/>
            <w:shd w:fill="FFDCE0" w:val="clear"/>
          </w:tcPr>
          <w:p>
            <w:r>
              <w:rPr>
                <w:b/>
                <w:color w:val="C00000"/>
                <w:sz w:val="17"/>
              </w:rPr>
              <w:t>-3.5%</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13,905</w:t>
            </w:r>
          </w:p>
        </w:tc>
        <w:tc>
          <w:tcPr>
            <w:tcW w:type="dxa" w:w="1440"/>
            <w:shd w:fill="FFDCE0" w:val="clear"/>
          </w:tcPr>
          <w:p>
            <w:r>
              <w:rPr>
                <w:b/>
                <w:sz w:val="17"/>
              </w:rPr>
              <w:t>15,815</w:t>
            </w:r>
          </w:p>
        </w:tc>
        <w:tc>
          <w:tcPr>
            <w:tcW w:type="dxa" w:w="1440"/>
            <w:shd w:fill="FFDCE0" w:val="clear"/>
          </w:tcPr>
          <w:p>
            <w:r>
              <w:rPr>
                <w:sz w:val="17"/>
              </w:rPr>
              <w:t>17,725</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128,19 milliards FCFA, un niveau significatif sur la BRVM qui positionne la société parmi les valeurs moyennes du marché. Avec un BPA de 1 677 FCFA, chaque action génère un bénéfice substantiel pour l'actionnaire. Le PER de 9,8x se situe dans la fourchette moyenne du marché BRVM (8-12x), indiquant que les investisseurs ne paient pas une prime excessive pour les bénéfices de la société, ce qui suggère une valorisation raisonnable, voire légèrement sous-évaluée. Le P/B de 2,99x reflète une prime de croissance accordée par le marché, les investisseurs valorisant la société à près de trois fois sa valeur comptable, ce qui témoigne d'une confiance dans la création de valeur future. Enfin, l'EV/EBITDA de 6,1x, dans la fourchette raisonnable de 5-10x, confirme que la valeur totale de l'entreprise reste cohérente avec sa capacité opérationnelle à générer des bénéfices avant intérêts, impôts et amortissements.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affiche une progression remarquable de +23,69%, avec une dernière séance en hausse de +0,55% à 16 445 FCFA. Le cours a évolué dans une fourchette de trading de 11 450 FCFA (plus bas) à 17 735 FCFA (plus haut), démontrant une amplitude de variation de plus de 6 000 FCFA, signe d'une forte dynamique haussière. La moyenne du cours sur la période s'établit à 14 329 FCFA, légèrement supérieure à la médiane de 14 008 FCFA, indiquant une distribution quasi symétrique, confirmée par le skewness de 0,021. Le mode à 16 000 FCFA suggère que le cours a fréquemment atteint ce niveau. L'écart-type de 2 154 FCFA, avec un coefficient de variation de 15%, révèle une dispersion modérée des prix autour de la moyenne. Le kurtosis de -1,616 (platykurtique) indique une distribution aplatie avec peu de valeurs extrêmes, réduisant le risque de pics soudains. La volatilité annualisée de 38,6% classe SMBC comme un titre à forte volatilité, nécessitant une gestion de risque rigoureuse.</w:t>
      </w:r>
    </w:p>
    <w:p>
      <w:pPr>
        <w:spacing w:after="120" w:line="276" w:lineRule="auto" w:before="240"/>
      </w:pPr>
      <w:r>
        <w:rPr>
          <w:b/>
          <w:color w:val="003366"/>
          <w:sz w:val="24"/>
        </w:rPr>
        <w:t>**PARTIE 2 : ANALYSE TECHNIQUE DÉTAILLÉE**</w:t>
      </w:r>
    </w:p>
    <w:p>
      <w:pPr>
        <w:spacing w:after="120" w:line="276" w:lineRule="auto"/>
      </w:pPr>
      <w:r>
        <w:t>**Moyennes Mobiles** : Les MM20 et MM50 s'établissent respectivement à 16 147 FCFA et 16 355 FCFA. Le cours actuel de 16 445 FCFA se positionne au-dessus de ces deux moyennes, ce qui suggère une tendance haussière à court et moyen terme. Cependant, la décision de "Vente" indique que le croisement des moyennes pourrait signaler un essoufflement de la dynamique haussière, le cours s'approchant de niveaux de résistance technique.</w:t>
      </w:r>
    </w:p>
    <w:p>
      <w:pPr>
        <w:spacing w:after="120" w:line="276" w:lineRule="auto"/>
      </w:pPr>
      <w:r>
        <w:t>**Bandes de Bollinger** : Le prix actuel de 16 445 FCFA se situe entre la borne inférieure de 15 374,469 FCFA et la borne supérieure de 16 919,531 FCFA, proche de la borne supérieure. Cette position indique une volatilité modérée avec une pression acheteuse encore présente. La décision "Neutre" suggère que le marché n'a pas encore atteint des conditions de surachat extrêmes, laissant une marge de progression avant un retournement potentiel.</w:t>
      </w:r>
    </w:p>
    <w:p>
      <w:pPr>
        <w:spacing w:after="120" w:line="276" w:lineRule="auto"/>
      </w:pPr>
      <w:r>
        <w:t>**MACD** : La valeur du MACD à 87,709, nettement supérieure à son signal à 51,883, confirme un momentum haussier solide. L'écart positif entre le MACD et son signal indique que la dynamique acheteuse reste dominante, justifiant la décision "Achat". Cette configuration suggère que la tendance haussière pourrait se poursuivre à court terme.</w:t>
      </w:r>
    </w:p>
    <w:p>
      <w:pPr>
        <w:spacing w:after="120" w:line="276" w:lineRule="auto"/>
      </w:pPr>
      <w:r>
        <w:t>**RSI** : Le RSI à 61,404 se situe en zone neutre, en dessous du seuil de surachat de 70. Cette valeur indique une pression acheteuse modérée sans excès, laissant une marge de progression avant d'atteindre des conditions de surachat. La décision "Neutre" reflète un équilibre entre acheteurs et vendeurs, avec un léger biais haussier.</w:t>
      </w:r>
    </w:p>
    <w:p>
      <w:pPr>
        <w:spacing w:after="120" w:line="276" w:lineRule="auto"/>
      </w:pPr>
      <w:r>
        <w:t>**Stochastique** : Le %K à 85,973 et %D à 83,409 sont tous deux en zone de surachat, au-dessus de 80. Cette configuration signale une possible correction à venir, le marché étant temporairement survendu. La décision "Vente" suggère que les investisseurs pourraient prendre leurs bénéfices à court terme, malgré la tendance haussière sous-jacente.</w:t>
      </w:r>
    </w:p>
    <w:p>
      <w:pPr>
        <w:spacing w:after="120" w:line="276" w:lineRule="auto"/>
      </w:pPr>
      <w:r>
        <w:t>**Conclusion technique** : La convergence des indicateurs est mitigée. Le MACD et les moyennes mobiles suggèrent une poursuite de la tendance haussière, tandis que le stochastique en surachat et la décision de vente des moyennes mobiles appellent à la prudence. Le RSI neutre et les bandes de Bollinger indiquent une volatilité modérée. Globalement, la tendance reste haussière mais pourrait connaître une consolidation à court terme.</w:t>
      </w:r>
    </w:p>
    <w:p>
      <w:pPr>
        <w:spacing w:after="120" w:line="276" w:lineRule="auto" w:before="240"/>
      </w:pPr>
      <w:r>
        <w:rPr>
          <w:b/>
          <w:color w:val="003366"/>
          <w:sz w:val="24"/>
        </w:rPr>
        <w:t>**PARTIE 3 : ANALYSE FONDAMENTALE (SECTION CRITIQUE)**</w:t>
      </w:r>
    </w:p>
    <w:p>
      <w:pPr>
        <w:spacing w:after="120" w:line="276" w:lineRule="auto"/>
      </w:pPr>
      <w:r>
        <w:t>En 2025, SMBC affiche des données financières structurées solides, avec un chiffre d'affaires de 206,740 milliards FCFA, en baisse de 9,7% par rapport à 2024, mais un résultat net en forte progression de 50,3% à 13,075 milliards FCFA. La marge nette s'améliore spectaculairement à 6,3%, contre 3,8% en 2024, démontrant une excellente maîtrise des coûts opérationnels. Le ROE de 30,47% est exceptionnel, largement au-dessus du seuil de 15% considéré comme excellent, tandis que le ROA de 7,26% témoigne d'une bonne efficacité dans l'utilisation des actifs. En tant qu'entreprise non bancaire, l'analyse se concentre sur les délais clients de 193,75 jours, élevés et représentant un risque de trésorerie, compensé par un délai fournisseurs de 207,07 jours favorable. Le BFR de 1,693 milliards FCFA reste positif mais modéré. La trésorerie nette de 23,988 milliards FCFA offre une marge de manœuvre substantielle. Les rapports trimestriels 2025 confirment cette dynamique : le T1 2025 montre un résultat net de 2,7 milliards FCFA (-7%), le S1 2025 de 3,9 milliards FCFA (-7%), et les 9M 2025 de 5,7 milliards FCFA (+6%), indiquant une amélioration progressive. Sur la base de ces tendances, on estime que l'exercice 2025 devrait confirmer la forte rentabilité annuelle, avec une amélioration continue des marges malgré la baisse du chiffre d'affaires. La recommandation fondamentale est positive, la société démontrant une excellente capacité à générer des bénéfices dans un environnement difficile.</w:t>
      </w:r>
    </w:p>
    <w:p>
      <w:pPr>
        <w:spacing w:after="120" w:line="276" w:lineRule="auto" w:before="240"/>
      </w:pPr>
      <w:r>
        <w:rPr>
          <w:b/>
          <w:color w:val="003366"/>
          <w:sz w:val="24"/>
        </w:rPr>
        <w:t>**PARTIE 4 : CONCLUSION D'INVESTISSEMENT**</w:t>
      </w:r>
    </w:p>
    <w:p>
      <w:pPr>
        <w:spacing w:after="120" w:line="276" w:lineRule="auto"/>
      </w:pPr>
      <w:r>
        <w:t>La synthèse globale révèle une convergence positive entre les différents signaux. La valorisation (PER de 9,8x, EV/EBITDA de 6,1x) indique une sous-évaluation relative avec un P/B de 2,99x justifié par la forte rentabilité. Le comportement du cours sur 100 jours (+23,69%) avec une volatilité élevée de 38,6% et une distribution symétrique (skewness 0,021, kurtosis -1,616) suggère une tendance haussière saine sans excès spéculatif. Les signaux techniques sont mitigés mais globalement positifs, avec un MACD en achat et un stochastique en surachat appelant à une consolidation. Les fondamentaux sont excellents, avec un ROE de 30,47%, une trésorerie nette de 23,988 milliards FCFA et une amélioration spectaculaire des marges. Les prédictions IA pour les 10 prochains jours (16 303 à 16 080 FCFA) indiquent une légère correction, cohérente avec les signaux techniques de surachat. Sur cette base, la recommandation finale est **ACHAT**, avec un niveau de confiance **Élevé** et un risque global **Moyen**. L'horizon d'investissement optimal est le **moyen terme (3-12 mois)**, permettant de capitaliser sur la solidité fondamentale tout en naviguant la volatilité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3190.00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9,497 titres</w:t>
            </w:r>
          </w:p>
        </w:tc>
        <w:tc>
          <w:tcPr>
            <w:tcW w:type="dxa" w:w="2268"/>
            <w:shd w:fill="FFF2CC" w:val="clear"/>
          </w:tcPr>
          <w:p>
            <w:r>
              <w:rPr>
                <w:b/>
                <w:color w:val="503200"/>
                <w:sz w:val="16"/>
              </w:rPr>
              <w:t xml:space="preserve">Cours actuel : </w:t>
            </w:r>
            <w:r>
              <w:rPr>
                <w:color w:val="000000"/>
                <w:sz w:val="17"/>
              </w:rPr>
              <w:t>31,900 FCFA</w:t>
            </w:r>
          </w:p>
          <w:p>
            <w:r>
              <w:rPr>
                <w:b/>
                <w:color w:val="503200"/>
                <w:sz w:val="16"/>
              </w:rPr>
              <w:t xml:space="preserve">Var. 100 jours : </w:t>
            </w:r>
            <w:r>
              <w:rPr>
                <w:b/>
                <w:color w:val="007800"/>
                <w:sz w:val="17"/>
              </w:rPr>
              <w:t>+13.12%</w:t>
            </w:r>
          </w:p>
          <w:p>
            <w:r>
              <w:rPr>
                <w:b/>
                <w:color w:val="503200"/>
                <w:sz w:val="16"/>
              </w:rPr>
              <w:t xml:space="preserve">Plus haut 100j : </w:t>
            </w:r>
            <w:r>
              <w:rPr>
                <w:color w:val="000000"/>
                <w:sz w:val="17"/>
              </w:rPr>
              <w:t>32,500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16.3/100 → Faible</w:t>
      </w:r>
    </w:p>
    <w:p>
      <w:pPr>
        <w:spacing w:before="40" w:after="80"/>
      </w:pPr>
      <w:r>
        <w:rPr>
          <w:rFonts w:ascii="Courier New" w:hAnsi="Courier New"/>
          <w:color w:val="006400"/>
          <w:sz w:val="18"/>
        </w:rPr>
        <w:t>███░░░░░░░░░░░░░░░░░  16.3/100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4.59% (Faible) — μ=29,423 FCFA, σ=1,352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FFEB9C" w:val="clear"/>
          </w:tcPr>
          <w:p>
            <w:r>
              <w:rPr>
                <w:b/>
                <w:sz w:val="15"/>
              </w:rPr>
              <w:t>β=1.2435 (Agressif) — Cov=0.000039, Var(idx)=0.000031, ρ=0.437, n=99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9,497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σ_j=1.59%/j (Stable) — Vol. annualisée≈25.2%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2026-08-18</w:t>
            </w:r>
          </w:p>
        </w:tc>
        <w:tc>
          <w:tcPr>
            <w:tcW w:type="dxa" w:w="1440"/>
            <w:shd w:fill="FAFAFA" w:val="clear"/>
          </w:tcPr>
          <w:p>
            <w:r>
              <w:rPr>
                <w:sz w:val="17"/>
              </w:rPr>
              <w:t>30,918</w:t>
            </w:r>
          </w:p>
        </w:tc>
        <w:tc>
          <w:tcPr>
            <w:tcW w:type="dxa" w:w="1440"/>
            <w:shd w:fill="FAFAFA" w:val="clear"/>
          </w:tcPr>
          <w:p>
            <w:r>
              <w:rPr>
                <w:b/>
                <w:sz w:val="17"/>
              </w:rPr>
              <w:t>31,716</w:t>
            </w:r>
          </w:p>
        </w:tc>
        <w:tc>
          <w:tcPr>
            <w:tcW w:type="dxa" w:w="1440"/>
            <w:shd w:fill="FAFAFA" w:val="clear"/>
          </w:tcPr>
          <w:p>
            <w:r>
              <w:rPr>
                <w:sz w:val="17"/>
              </w:rPr>
              <w:t>32,515</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2026-08-19</w:t>
            </w:r>
          </w:p>
        </w:tc>
        <w:tc>
          <w:tcPr>
            <w:tcW w:type="dxa" w:w="1440"/>
            <w:shd w:fill="FAFAFA" w:val="clear"/>
          </w:tcPr>
          <w:p>
            <w:r>
              <w:rPr>
                <w:sz w:val="17"/>
              </w:rPr>
              <w:t>30,552</w:t>
            </w:r>
          </w:p>
        </w:tc>
        <w:tc>
          <w:tcPr>
            <w:tcW w:type="dxa" w:w="1440"/>
            <w:shd w:fill="FAFAFA" w:val="clear"/>
          </w:tcPr>
          <w:p>
            <w:r>
              <w:rPr>
                <w:b/>
                <w:sz w:val="17"/>
              </w:rPr>
              <w:t>31,679</w:t>
            </w:r>
          </w:p>
        </w:tc>
        <w:tc>
          <w:tcPr>
            <w:tcW w:type="dxa" w:w="1440"/>
            <w:shd w:fill="FAFAFA" w:val="clear"/>
          </w:tcPr>
          <w:p>
            <w:r>
              <w:rPr>
                <w:sz w:val="17"/>
              </w:rPr>
              <w:t>32,807</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2026-08-20</w:t>
            </w:r>
          </w:p>
        </w:tc>
        <w:tc>
          <w:tcPr>
            <w:tcW w:type="dxa" w:w="1440"/>
            <w:shd w:fill="FAFAFA" w:val="clear"/>
          </w:tcPr>
          <w:p>
            <w:r>
              <w:rPr>
                <w:sz w:val="17"/>
              </w:rPr>
              <w:t>30,255</w:t>
            </w:r>
          </w:p>
        </w:tc>
        <w:tc>
          <w:tcPr>
            <w:tcW w:type="dxa" w:w="1440"/>
            <w:shd w:fill="FAFAFA" w:val="clear"/>
          </w:tcPr>
          <w:p>
            <w:r>
              <w:rPr>
                <w:b/>
                <w:sz w:val="17"/>
              </w:rPr>
              <w:t>31,634</w:t>
            </w:r>
          </w:p>
        </w:tc>
        <w:tc>
          <w:tcPr>
            <w:tcW w:type="dxa" w:w="1440"/>
            <w:shd w:fill="FAFAFA" w:val="clear"/>
          </w:tcPr>
          <w:p>
            <w:r>
              <w:rPr>
                <w:sz w:val="17"/>
              </w:rPr>
              <w:t>33,014</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2026-08-21</w:t>
            </w:r>
          </w:p>
        </w:tc>
        <w:tc>
          <w:tcPr>
            <w:tcW w:type="dxa" w:w="1440"/>
            <w:shd w:fill="FAFAFA" w:val="clear"/>
          </w:tcPr>
          <w:p>
            <w:r>
              <w:rPr>
                <w:sz w:val="17"/>
              </w:rPr>
              <w:t>30,001</w:t>
            </w:r>
          </w:p>
        </w:tc>
        <w:tc>
          <w:tcPr>
            <w:tcW w:type="dxa" w:w="1440"/>
            <w:shd w:fill="FAFAFA" w:val="clear"/>
          </w:tcPr>
          <w:p>
            <w:r>
              <w:rPr>
                <w:b/>
                <w:sz w:val="17"/>
              </w:rPr>
              <w:t>31,592</w:t>
            </w:r>
          </w:p>
        </w:tc>
        <w:tc>
          <w:tcPr>
            <w:tcW w:type="dxa" w:w="1440"/>
            <w:shd w:fill="FAFAFA" w:val="clear"/>
          </w:tcPr>
          <w:p>
            <w:r>
              <w:rPr>
                <w:sz w:val="17"/>
              </w:rPr>
              <w:t>33,183</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2026-08-24</w:t>
            </w:r>
          </w:p>
        </w:tc>
        <w:tc>
          <w:tcPr>
            <w:tcW w:type="dxa" w:w="1440"/>
            <w:shd w:fill="FAFAFA" w:val="clear"/>
          </w:tcPr>
          <w:p>
            <w:r>
              <w:rPr>
                <w:sz w:val="17"/>
              </w:rPr>
              <w:t>29,777</w:t>
            </w:r>
          </w:p>
        </w:tc>
        <w:tc>
          <w:tcPr>
            <w:tcW w:type="dxa" w:w="1440"/>
            <w:shd w:fill="FAFAFA" w:val="clear"/>
          </w:tcPr>
          <w:p>
            <w:r>
              <w:rPr>
                <w:b/>
                <w:sz w:val="17"/>
              </w:rPr>
              <w:t>31,553</w:t>
            </w:r>
          </w:p>
        </w:tc>
        <w:tc>
          <w:tcPr>
            <w:tcW w:type="dxa" w:w="1440"/>
            <w:shd w:fill="FAFAFA" w:val="clear"/>
          </w:tcPr>
          <w:p>
            <w:r>
              <w:rPr>
                <w:sz w:val="17"/>
              </w:rPr>
              <w:t>33,329</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2026-08-25</w:t>
            </w:r>
          </w:p>
        </w:tc>
        <w:tc>
          <w:tcPr>
            <w:tcW w:type="dxa" w:w="1440"/>
            <w:shd w:fill="FAFAFA" w:val="clear"/>
          </w:tcPr>
          <w:p>
            <w:r>
              <w:rPr>
                <w:sz w:val="17"/>
              </w:rPr>
              <w:t>29,572</w:t>
            </w:r>
          </w:p>
        </w:tc>
        <w:tc>
          <w:tcPr>
            <w:tcW w:type="dxa" w:w="1440"/>
            <w:shd w:fill="FAFAFA" w:val="clear"/>
          </w:tcPr>
          <w:p>
            <w:r>
              <w:rPr>
                <w:b/>
                <w:sz w:val="17"/>
              </w:rPr>
              <w:t>31,516</w:t>
            </w:r>
          </w:p>
        </w:tc>
        <w:tc>
          <w:tcPr>
            <w:tcW w:type="dxa" w:w="1440"/>
            <w:shd w:fill="FAFAFA" w:val="clear"/>
          </w:tcPr>
          <w:p>
            <w:r>
              <w:rPr>
                <w:sz w:val="17"/>
              </w:rPr>
              <w:t>33,459</w:t>
            </w:r>
          </w:p>
        </w:tc>
        <w:tc>
          <w:tcPr>
            <w:tcW w:type="dxa" w:w="1440"/>
            <w:shd w:fill="FAFAFA" w:val="clear"/>
          </w:tcPr>
          <w:p>
            <w:r>
              <w:rPr>
                <w:b/>
                <w:color w:val="C00000"/>
                <w:sz w:val="17"/>
              </w:rPr>
              <w:t>-1.2%</w:t>
            </w:r>
          </w:p>
        </w:tc>
      </w:tr>
      <w:tr>
        <w:tc>
          <w:tcPr>
            <w:tcW w:type="dxa" w:w="1440"/>
            <w:shd w:fill="FAFAFA" w:val="clear"/>
          </w:tcPr>
          <w:p>
            <w:r>
              <w:rPr>
                <w:sz w:val="17"/>
              </w:rPr>
              <w:t>J+7  ⭐</w:t>
            </w:r>
          </w:p>
        </w:tc>
        <w:tc>
          <w:tcPr>
            <w:tcW w:type="dxa" w:w="1440"/>
            <w:shd w:fill="FAFAFA" w:val="clear"/>
          </w:tcPr>
          <w:p>
            <w:r>
              <w:rPr>
                <w:sz w:val="17"/>
              </w:rPr>
              <w:t>2026-08-27</w:t>
            </w:r>
          </w:p>
        </w:tc>
        <w:tc>
          <w:tcPr>
            <w:tcW w:type="dxa" w:w="1440"/>
            <w:shd w:fill="FAFAFA" w:val="clear"/>
          </w:tcPr>
          <w:p>
            <w:r>
              <w:rPr>
                <w:sz w:val="17"/>
              </w:rPr>
              <w:t>29,383</w:t>
            </w:r>
          </w:p>
        </w:tc>
        <w:tc>
          <w:tcPr>
            <w:tcW w:type="dxa" w:w="1440"/>
            <w:shd w:fill="FAFAFA" w:val="clear"/>
          </w:tcPr>
          <w:p>
            <w:r>
              <w:rPr>
                <w:b/>
                <w:sz w:val="17"/>
              </w:rPr>
              <w:t>31,480</w:t>
            </w:r>
          </w:p>
        </w:tc>
        <w:tc>
          <w:tcPr>
            <w:tcW w:type="dxa" w:w="1440"/>
            <w:shd w:fill="FAFAFA" w:val="clear"/>
          </w:tcPr>
          <w:p>
            <w:r>
              <w:rPr>
                <w:sz w:val="17"/>
              </w:rPr>
              <w:t>33,577</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2026-08-28</w:t>
            </w:r>
          </w:p>
        </w:tc>
        <w:tc>
          <w:tcPr>
            <w:tcW w:type="dxa" w:w="1440"/>
            <w:shd w:fill="FAFAFA" w:val="clear"/>
          </w:tcPr>
          <w:p>
            <w:r>
              <w:rPr>
                <w:sz w:val="17"/>
              </w:rPr>
              <w:t>29,205</w:t>
            </w:r>
          </w:p>
        </w:tc>
        <w:tc>
          <w:tcPr>
            <w:tcW w:type="dxa" w:w="1440"/>
            <w:shd w:fill="FAFAFA" w:val="clear"/>
          </w:tcPr>
          <w:p>
            <w:r>
              <w:rPr>
                <w:b/>
                <w:sz w:val="17"/>
              </w:rPr>
              <w:t>31,444</w:t>
            </w:r>
          </w:p>
        </w:tc>
        <w:tc>
          <w:tcPr>
            <w:tcW w:type="dxa" w:w="1440"/>
            <w:shd w:fill="FAFAFA" w:val="clear"/>
          </w:tcPr>
          <w:p>
            <w:r>
              <w:rPr>
                <w:sz w:val="17"/>
              </w:rPr>
              <w:t>33,683</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2026-08-31</w:t>
            </w:r>
          </w:p>
        </w:tc>
        <w:tc>
          <w:tcPr>
            <w:tcW w:type="dxa" w:w="1440"/>
            <w:shd w:fill="FAFAFA" w:val="clear"/>
          </w:tcPr>
          <w:p>
            <w:r>
              <w:rPr>
                <w:sz w:val="17"/>
              </w:rPr>
              <w:t>29,037</w:t>
            </w:r>
          </w:p>
        </w:tc>
        <w:tc>
          <w:tcPr>
            <w:tcW w:type="dxa" w:w="1440"/>
            <w:shd w:fill="FAFAFA" w:val="clear"/>
          </w:tcPr>
          <w:p>
            <w:r>
              <w:rPr>
                <w:b/>
                <w:sz w:val="17"/>
              </w:rPr>
              <w:t>31,409</w:t>
            </w:r>
          </w:p>
        </w:tc>
        <w:tc>
          <w:tcPr>
            <w:tcW w:type="dxa" w:w="1440"/>
            <w:shd w:fill="FAFAFA" w:val="clear"/>
          </w:tcPr>
          <w:p>
            <w:r>
              <w:rPr>
                <w:sz w:val="17"/>
              </w:rPr>
              <w:t>33,781</w:t>
            </w:r>
          </w:p>
        </w:tc>
        <w:tc>
          <w:tcPr>
            <w:tcW w:type="dxa" w:w="1440"/>
            <w:shd w:fill="FAFAFA" w:val="clear"/>
          </w:tcPr>
          <w:p>
            <w:r>
              <w:rPr>
                <w:b/>
                <w:color w:val="C00000"/>
                <w:sz w:val="17"/>
              </w:rPr>
              <w:t>-1.5%</w:t>
            </w:r>
          </w:p>
        </w:tc>
      </w:tr>
      <w:tr>
        <w:tc>
          <w:tcPr>
            <w:tcW w:type="dxa" w:w="1440"/>
            <w:shd w:fill="FAFAFA" w:val="clear"/>
          </w:tcPr>
          <w:p>
            <w:r>
              <w:rPr>
                <w:sz w:val="17"/>
              </w:rPr>
              <w:t>J+10  ⭐</w:t>
            </w:r>
          </w:p>
        </w:tc>
        <w:tc>
          <w:tcPr>
            <w:tcW w:type="dxa" w:w="1440"/>
            <w:shd w:fill="FAFAFA" w:val="clear"/>
          </w:tcPr>
          <w:p>
            <w:r>
              <w:rPr>
                <w:sz w:val="17"/>
              </w:rPr>
              <w:t>2026-09-01</w:t>
            </w:r>
          </w:p>
        </w:tc>
        <w:tc>
          <w:tcPr>
            <w:tcW w:type="dxa" w:w="1440"/>
            <w:shd w:fill="FAFAFA" w:val="clear"/>
          </w:tcPr>
          <w:p>
            <w:r>
              <w:rPr>
                <w:sz w:val="17"/>
              </w:rPr>
              <w:t>28,877</w:t>
            </w:r>
          </w:p>
        </w:tc>
        <w:tc>
          <w:tcPr>
            <w:tcW w:type="dxa" w:w="1440"/>
            <w:shd w:fill="FAFAFA" w:val="clear"/>
          </w:tcPr>
          <w:p>
            <w:r>
              <w:rPr>
                <w:b/>
                <w:sz w:val="17"/>
              </w:rPr>
              <w:t>31,374</w:t>
            </w:r>
          </w:p>
        </w:tc>
        <w:tc>
          <w:tcPr>
            <w:tcW w:type="dxa" w:w="1440"/>
            <w:shd w:fill="FAFAFA" w:val="clear"/>
          </w:tcPr>
          <w:p>
            <w:r>
              <w:rPr>
                <w:sz w:val="17"/>
              </w:rPr>
              <w:t>33,872</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17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3 190 milliards FCFA, ce qui en fait la valeur la plus lourde et la plus liquide du marché de la BRVM, représentant une part prépondérante de l'indice. Avec un BPA de 4 136 FCFA, le titre se négocie à un PER de 7,7x, nettement inférieur à la moyenne historique de la BRVM (8-12x), signalant une sous-évaluation relative par rapport aux bénéfices générés. Le P/B de 2,28x indique que le marché accorde une prime de croissance à l'entreprise par rapport à ses capitaux propres comptables, ce qui est cohérent avec sa rentabilité élevée. Enfin, un EV/EBITDA de 3,3x, très inférieur au seuil de 5x, confirme que la valeur totale de l'entreprise (dette incluse) est très bon marché par rapport à sa capacité opérationnelle de génération de cash. Ces ratios combinés suggèrent une valorisation attrayante pour un leader régional des télécoms.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solide de +13,12%, avec une dernière séance stable (0,00%). Le cours a évolué dans une fourchette de 27 160 FCFA (plus bas) à 32 500 FCFA (plus haut), démontrant une dynamique haussière soutenue. La moyenne du cours sur la période (29 423 FCFA) est supérieure à la médiane (28 875 FCFA), et le skewness positif de 0,842 confirme une asymétrie avec des journées plus fréquentes sous la moyenne, mais des mouvements de hausse plus amples. L'écart-type de 1 359 FCFA (CV de 4,6%) indique une dispersion relativement faible, et le kurtosis de -0,732 (mésokurtique) suggère une distribution proche de la normale, sans risque de pics extrêmes. La volatilité annualisée de 25,2% classe le titre dans une zone de volatilité modérée, acceptable pour un investisseur institutionnel.</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(31 900 FCFA) est nettement au-dessus de la MM20 (31 435 FCFA) et de la MM50 (30 220 FCFA), avec une MM20 supérieure à la MM50. Cette configuration en "courbe ascendante" est un signal technique haussier classique, confirmant la tendance de fond positive. La décision "Achat" est justifiée.</w:t>
      </w:r>
    </w:p>
    <w:p>
      <w:pPr>
        <w:spacing w:after="120" w:line="276" w:lineRule="auto"/>
      </w:pPr>
      <w:r>
        <w:t>**Bandes de Bollinger** : Le prix se situe à 31 900 FCFA, proche de la borne supérieure (32 461 FCFA) et bien au-dessus de la borne inférieure (30 408 FCFA). Cette position indique une pression acheteuse soutenue, mais le titre n'est pas encore en zone de surachat extrême. La décision "Neutre" suggère que le marché laisse une marge de progression avant une éventuelle correction.</w:t>
      </w:r>
    </w:p>
    <w:p>
      <w:pPr>
        <w:spacing w:after="120" w:line="276" w:lineRule="auto"/>
      </w:pPr>
      <w:r>
        <w:t>**MACD** : La ligne MACD (402,05) est légèrement au-dessus de sa ligne de signal (397,04), indiquant un momentum positif persistant. Bien que l'écart soit faible, la divergence positive confirme la poursuite de la tendance haussière. La décision "Achat" est cohérente avec la dynamique actuelle.</w:t>
      </w:r>
    </w:p>
    <w:p>
      <w:pPr>
        <w:spacing w:after="120" w:line="276" w:lineRule="auto"/>
      </w:pPr>
      <w:r>
        <w:t>**RSI** : À 62,68, le RSI se situe en zone neutre, en dessous du seuil de surachat (70). Cela indique que le titre dispose encore d'un potentiel de hausse sans pression vendeuse excessive. La décision "Neutre" est appropriée, le titre n'étant ni survendu ni suracheté.</w:t>
      </w:r>
    </w:p>
    <w:p>
      <w:pPr>
        <w:spacing w:after="120" w:line="276" w:lineRule="auto"/>
      </w:pPr>
      <w:r>
        <w:t>**Stochastique** : Le %K (94,44) et le %D (96,20) sont tous deux en zone de surachat extrême (&gt;80). Cette configuration signale un épuisement potentiel de la dynamique haussière à court terme, avec un risque de retournement ou de consolidation. La décision "Vente" est un signal de prudence pour les traders à court terme.</w:t>
      </w:r>
    </w:p>
    <w:p>
      <w:pPr>
        <w:spacing w:after="120" w:line="276" w:lineRule="auto"/>
      </w:pPr>
      <w:r>
        <w:t>**Conclusion technique** : La tendance de fond reste clairement haussière (MM, MACD), mais les oscillateurs de court terme (Stochastique, et dans une moindre mesure RSI) indiquent des conditions de surachat. Un repli technique ou une phase de consolidation est probable avant la poursuite de la tendance haussière de moyen terme.</w:t>
      </w:r>
    </w:p>
    <w:p>
      <w:pPr>
        <w:spacing w:after="120" w:line="276" w:lineRule="auto"/>
      </w:pPr>
      <w:r>
        <w:t>---</w:t>
      </w:r>
    </w:p>
    <w:p>
      <w:pPr>
        <w:spacing w:after="120" w:line="276" w:lineRule="auto"/>
      </w:pPr>
      <w:r>
        <w:t>### PARTIE 3 : ANALYSE FONDAMENTALE (SECTION CRITIQUE)</w:t>
      </w:r>
    </w:p>
    <w:p>
      <w:pPr>
        <w:spacing w:after="120" w:line="276" w:lineRule="auto"/>
      </w:pPr>
      <w:r>
        <w:t>En 2025, Sonatel affiche une performance financière solide. Le chiffre d'affaires consolidé s'établit à 1 923,1 milliards FCFA, en hausse de +8,3% par rapport à 2024 (1 776,4 Mds FCFA). Le résultat net consolidé atteint 413,6 milliards FCFA, en progression de +5,1%, porté par une marge nette de 21,5%. La rentabilité des fonds propres (ROE) est excellente à 29,6%, et le ROA de 12,6% témoigne d'une utilisation efficace des actifs. La structure financière est saine avec une autonomie financière de 42,8% et un BFR négatif de -284,9 milliards FCFA, ce qui est un signe de grande solidité. Le délai fournisseurs (201 jours) est très favorable, indiquant une excellente gestion de la trésorerie. Les rapports trimestriels 2025 confirment cette dynamique : le T1 2025 (+14,9% de résultat net), le S1 2025 (+8,0%) et le T3 2025 (+8,0%) montrent une croissance régulière. Le rapport du S1 2026, publié en juillet 2026, fait état d'un chiffre d'affaires de 1 049,8 milliards FCFA (+9,3%) et d'un résultat net de 230 milliards FCFA (+10,5%), avec une marge d'EBITDAAL en hausse à 48,7%. Sur cette base, on estime que l'exercice 2026 devrait dépasser les 2 100 milliards FCFA de chiffre d'affaires et un résultat net supérieur à 450 milliards FCFA. La notation financière relevée à AAA(wu) par GCR Ratings confirme la solidité du modèle économique.</w:t>
      </w:r>
    </w:p>
    <w:p>
      <w:pPr>
        <w:spacing w:after="120" w:line="276" w:lineRule="auto"/>
      </w:pPr>
      <w:r>
        <w:t>---</w:t>
      </w:r>
    </w:p>
    <w:p>
      <w:pPr>
        <w:spacing w:after="120" w:line="276" w:lineRule="auto"/>
      </w:pPr>
      <w:r>
        <w:t>### PARTIE 4 : CONCLUSION D'INVESTISSEMENT</w:t>
      </w:r>
    </w:p>
    <w:p>
      <w:pPr>
        <w:spacing w:after="120" w:line="276" w:lineRule="auto"/>
      </w:pPr>
      <w:r>
        <w:t>La valorisation de SNTS est très attractive avec un PER de 7,7x et un EV/EBITDA de 3,3x, indiquant une sous-évaluation malgré des fondamentaux excellents. Le comportement du cours sur 100 jours (+13,12%) montre une tendance haussière saine, avec une volatilité modérée et une distribution normale des rendements. Les signaux techniques sont globalement positifs (MM, MACD), mais le Stochastique en surachat suggère un possible repli à court terme, qui pourrait offrir un point d'entrée. Les fondamentaux sont extrêmement solides : croissance à deux chiffres, marges élevées, ROE de 29,6%, et une notation AAA. Les prédictions IA pour les 10 prochains jours (31 716 à 31 553 FCFA) indiquent une légère consolidation, confirmant le scénario technique. La convergence entre la sous-évaluation, la solidité financière et la tendance haussière de fond justifie une recommandation **ACHAT**. Le niveau de confiance est **Élevé**, avec un risque global **Faible** pour un investisseur de long terme. L'horizon d'investissement optimal est le **moyen terme (3-12 mois)**, en capitalisant sur les résultats 2026 attendus et la politique de dividende attractive (1 740 FCFA net par action).</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169.57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5,824 titres</w:t>
            </w:r>
          </w:p>
        </w:tc>
        <w:tc>
          <w:tcPr>
            <w:tcW w:type="dxa" w:w="2268"/>
            <w:shd w:fill="FFF2CC" w:val="clear"/>
          </w:tcPr>
          <w:p>
            <w:r>
              <w:rPr>
                <w:b/>
                <w:color w:val="503200"/>
                <w:sz w:val="16"/>
              </w:rPr>
              <w:t xml:space="preserve">Cours actuel : </w:t>
            </w:r>
            <w:r>
              <w:rPr>
                <w:color w:val="000000"/>
                <w:sz w:val="17"/>
              </w:rPr>
              <w:t>7,850 FCFA</w:t>
            </w:r>
          </w:p>
          <w:p>
            <w:r>
              <w:rPr>
                <w:b/>
                <w:color w:val="503200"/>
                <w:sz w:val="16"/>
              </w:rPr>
              <w:t xml:space="preserve">Var. 100 jours : </w:t>
            </w:r>
            <w:r>
              <w:rPr>
                <w:b/>
                <w:color w:val="B40000"/>
                <w:sz w:val="17"/>
              </w:rPr>
              <w:t>-7.65%</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39.0%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4.84% (Faible) — μ=7,972 FCFA, σ=386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β=0.4129 (Défensif) — Cov=0.000013, Var(idx)=0.000031, ρ=0.094,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2026-08-18</w:t>
            </w:r>
          </w:p>
        </w:tc>
        <w:tc>
          <w:tcPr>
            <w:tcW w:type="dxa" w:w="1440"/>
            <w:shd w:fill="FAFAFA" w:val="clear"/>
          </w:tcPr>
          <w:p>
            <w:r>
              <w:rPr>
                <w:sz w:val="17"/>
              </w:rPr>
              <w:t>7,482</w:t>
            </w:r>
          </w:p>
        </w:tc>
        <w:tc>
          <w:tcPr>
            <w:tcW w:type="dxa" w:w="1440"/>
            <w:shd w:fill="FAFAFA" w:val="clear"/>
          </w:tcPr>
          <w:p>
            <w:r>
              <w:rPr>
                <w:b/>
                <w:sz w:val="17"/>
              </w:rPr>
              <w:t>7,828</w:t>
            </w:r>
          </w:p>
        </w:tc>
        <w:tc>
          <w:tcPr>
            <w:tcW w:type="dxa" w:w="1440"/>
            <w:shd w:fill="FAFAFA" w:val="clear"/>
          </w:tcPr>
          <w:p>
            <w:r>
              <w:rPr>
                <w:sz w:val="17"/>
              </w:rPr>
              <w:t>8,174</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2026-08-19</w:t>
            </w:r>
          </w:p>
        </w:tc>
        <w:tc>
          <w:tcPr>
            <w:tcW w:type="dxa" w:w="1440"/>
            <w:shd w:fill="FAFAFA" w:val="clear"/>
          </w:tcPr>
          <w:p>
            <w:r>
              <w:rPr>
                <w:sz w:val="17"/>
              </w:rPr>
              <w:t>7,353</w:t>
            </w:r>
          </w:p>
        </w:tc>
        <w:tc>
          <w:tcPr>
            <w:tcW w:type="dxa" w:w="1440"/>
            <w:shd w:fill="FAFAFA" w:val="clear"/>
          </w:tcPr>
          <w:p>
            <w:r>
              <w:rPr>
                <w:b/>
                <w:sz w:val="17"/>
              </w:rPr>
              <w:t>7,844</w:t>
            </w:r>
          </w:p>
        </w:tc>
        <w:tc>
          <w:tcPr>
            <w:tcW w:type="dxa" w:w="1440"/>
            <w:shd w:fill="FAFAFA" w:val="clear"/>
          </w:tcPr>
          <w:p>
            <w:r>
              <w:rPr>
                <w:sz w:val="17"/>
              </w:rPr>
              <w:t>8,334</w:t>
            </w:r>
          </w:p>
        </w:tc>
        <w:tc>
          <w:tcPr>
            <w:tcW w:type="dxa" w:w="1440"/>
            <w:shd w:fill="FAFAFA" w:val="clear"/>
          </w:tcPr>
          <w:p>
            <w:r>
              <w:rPr>
                <w:b/>
                <w:color w:val="C00000"/>
                <w:sz w:val="17"/>
              </w:rPr>
              <w:t>-0.1%</w:t>
            </w:r>
          </w:p>
        </w:tc>
      </w:tr>
      <w:tr>
        <w:tc>
          <w:tcPr>
            <w:tcW w:type="dxa" w:w="1440"/>
            <w:shd w:fill="FAFAFA" w:val="clear"/>
          </w:tcPr>
          <w:p>
            <w:r>
              <w:rPr>
                <w:sz w:val="17"/>
              </w:rPr>
              <w:t>J+3  Moyenne</w:t>
            </w:r>
          </w:p>
        </w:tc>
        <w:tc>
          <w:tcPr>
            <w:tcW w:type="dxa" w:w="1440"/>
            <w:shd w:fill="FAFAFA" w:val="clear"/>
          </w:tcPr>
          <w:p>
            <w:r>
              <w:rPr>
                <w:sz w:val="17"/>
              </w:rPr>
              <w:t>2026-08-20</w:t>
            </w:r>
          </w:p>
        </w:tc>
        <w:tc>
          <w:tcPr>
            <w:tcW w:type="dxa" w:w="1440"/>
            <w:shd w:fill="FAFAFA" w:val="clear"/>
          </w:tcPr>
          <w:p>
            <w:r>
              <w:rPr>
                <w:sz w:val="17"/>
              </w:rPr>
              <w:t>7,254</w:t>
            </w:r>
          </w:p>
        </w:tc>
        <w:tc>
          <w:tcPr>
            <w:tcW w:type="dxa" w:w="1440"/>
            <w:shd w:fill="FAFAFA" w:val="clear"/>
          </w:tcPr>
          <w:p>
            <w:r>
              <w:rPr>
                <w:b/>
                <w:sz w:val="17"/>
              </w:rPr>
              <w:t>7,856</w:t>
            </w:r>
          </w:p>
        </w:tc>
        <w:tc>
          <w:tcPr>
            <w:tcW w:type="dxa" w:w="1440"/>
            <w:shd w:fill="FAFAFA" w:val="clear"/>
          </w:tcPr>
          <w:p>
            <w:r>
              <w:rPr>
                <w:sz w:val="17"/>
              </w:rPr>
              <w:t>8,457</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2026-08-21</w:t>
            </w:r>
          </w:p>
        </w:tc>
        <w:tc>
          <w:tcPr>
            <w:tcW w:type="dxa" w:w="1440"/>
            <w:shd w:fill="FAFAFA" w:val="clear"/>
          </w:tcPr>
          <w:p>
            <w:r>
              <w:rPr>
                <w:sz w:val="17"/>
              </w:rPr>
              <w:t>7,173</w:t>
            </w:r>
          </w:p>
        </w:tc>
        <w:tc>
          <w:tcPr>
            <w:tcW w:type="dxa" w:w="1440"/>
            <w:shd w:fill="FAFAFA" w:val="clear"/>
          </w:tcPr>
          <w:p>
            <w:r>
              <w:rPr>
                <w:b/>
                <w:sz w:val="17"/>
              </w:rPr>
              <w:t>7,869</w:t>
            </w:r>
          </w:p>
        </w:tc>
        <w:tc>
          <w:tcPr>
            <w:tcW w:type="dxa" w:w="1440"/>
            <w:shd w:fill="FAFAFA" w:val="clear"/>
          </w:tcPr>
          <w:p>
            <w:r>
              <w:rPr>
                <w:sz w:val="17"/>
              </w:rPr>
              <w:t>8,565</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2026-08-24</w:t>
            </w:r>
          </w:p>
        </w:tc>
        <w:tc>
          <w:tcPr>
            <w:tcW w:type="dxa" w:w="1440"/>
            <w:shd w:fill="FAFAFA" w:val="clear"/>
          </w:tcPr>
          <w:p>
            <w:r>
              <w:rPr>
                <w:sz w:val="17"/>
              </w:rPr>
              <w:t>7,103</w:t>
            </w:r>
          </w:p>
        </w:tc>
        <w:tc>
          <w:tcPr>
            <w:tcW w:type="dxa" w:w="1440"/>
            <w:shd w:fill="FAFAFA" w:val="clear"/>
          </w:tcPr>
          <w:p>
            <w:r>
              <w:rPr>
                <w:b/>
                <w:sz w:val="17"/>
              </w:rPr>
              <w:t>7,883</w:t>
            </w:r>
          </w:p>
        </w:tc>
        <w:tc>
          <w:tcPr>
            <w:tcW w:type="dxa" w:w="1440"/>
            <w:shd w:fill="FAFAFA" w:val="clear"/>
          </w:tcPr>
          <w:p>
            <w:r>
              <w:rPr>
                <w:sz w:val="17"/>
              </w:rPr>
              <w:t>8,662</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2026-08-25</w:t>
            </w:r>
          </w:p>
        </w:tc>
        <w:tc>
          <w:tcPr>
            <w:tcW w:type="dxa" w:w="1440"/>
            <w:shd w:fill="FAFAFA" w:val="clear"/>
          </w:tcPr>
          <w:p>
            <w:r>
              <w:rPr>
                <w:sz w:val="17"/>
              </w:rPr>
              <w:t>7,041</w:t>
            </w:r>
          </w:p>
        </w:tc>
        <w:tc>
          <w:tcPr>
            <w:tcW w:type="dxa" w:w="1440"/>
            <w:shd w:fill="FAFAFA" w:val="clear"/>
          </w:tcPr>
          <w:p>
            <w:r>
              <w:rPr>
                <w:b/>
                <w:sz w:val="17"/>
              </w:rPr>
              <w:t>7,897</w:t>
            </w:r>
          </w:p>
        </w:tc>
        <w:tc>
          <w:tcPr>
            <w:tcW w:type="dxa" w:w="1440"/>
            <w:shd w:fill="FAFAFA" w:val="clear"/>
          </w:tcPr>
          <w:p>
            <w:r>
              <w:rPr>
                <w:sz w:val="17"/>
              </w:rPr>
              <w:t>8,752</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2026-08-27</w:t>
            </w:r>
          </w:p>
        </w:tc>
        <w:tc>
          <w:tcPr>
            <w:tcW w:type="dxa" w:w="1440"/>
            <w:shd w:fill="FAFAFA" w:val="clear"/>
          </w:tcPr>
          <w:p>
            <w:r>
              <w:rPr>
                <w:sz w:val="17"/>
              </w:rPr>
              <w:t>6,985</w:t>
            </w:r>
          </w:p>
        </w:tc>
        <w:tc>
          <w:tcPr>
            <w:tcW w:type="dxa" w:w="1440"/>
            <w:shd w:fill="FAFAFA" w:val="clear"/>
          </w:tcPr>
          <w:p>
            <w:r>
              <w:rPr>
                <w:b/>
                <w:sz w:val="17"/>
              </w:rPr>
              <w:t>7,911</w:t>
            </w:r>
          </w:p>
        </w:tc>
        <w:tc>
          <w:tcPr>
            <w:tcW w:type="dxa" w:w="1440"/>
            <w:shd w:fill="FAFAFA" w:val="clear"/>
          </w:tcPr>
          <w:p>
            <w:r>
              <w:rPr>
                <w:sz w:val="17"/>
              </w:rPr>
              <w:t>8,836</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2026-08-28</w:t>
            </w:r>
          </w:p>
        </w:tc>
        <w:tc>
          <w:tcPr>
            <w:tcW w:type="dxa" w:w="1440"/>
            <w:shd w:fill="FAFAFA" w:val="clear"/>
          </w:tcPr>
          <w:p>
            <w:r>
              <w:rPr>
                <w:sz w:val="17"/>
              </w:rPr>
              <w:t>6,933</w:t>
            </w:r>
          </w:p>
        </w:tc>
        <w:tc>
          <w:tcPr>
            <w:tcW w:type="dxa" w:w="1440"/>
            <w:shd w:fill="FAFAFA" w:val="clear"/>
          </w:tcPr>
          <w:p>
            <w:r>
              <w:rPr>
                <w:b/>
                <w:sz w:val="17"/>
              </w:rPr>
              <w:t>7,924</w:t>
            </w:r>
          </w:p>
        </w:tc>
        <w:tc>
          <w:tcPr>
            <w:tcW w:type="dxa" w:w="1440"/>
            <w:shd w:fill="FAFAFA" w:val="clear"/>
          </w:tcPr>
          <w:p>
            <w:r>
              <w:rPr>
                <w:sz w:val="17"/>
              </w:rPr>
              <w:t>8,915</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2026-08-31</w:t>
            </w:r>
          </w:p>
        </w:tc>
        <w:tc>
          <w:tcPr>
            <w:tcW w:type="dxa" w:w="1440"/>
            <w:shd w:fill="FAFAFA" w:val="clear"/>
          </w:tcPr>
          <w:p>
            <w:r>
              <w:rPr>
                <w:sz w:val="17"/>
              </w:rPr>
              <w:t>6,885</w:t>
            </w:r>
          </w:p>
        </w:tc>
        <w:tc>
          <w:tcPr>
            <w:tcW w:type="dxa" w:w="1440"/>
            <w:shd w:fill="FAFAFA" w:val="clear"/>
          </w:tcPr>
          <w:p>
            <w:r>
              <w:rPr>
                <w:b/>
                <w:sz w:val="17"/>
              </w:rPr>
              <w:t>7,938</w:t>
            </w:r>
          </w:p>
        </w:tc>
        <w:tc>
          <w:tcPr>
            <w:tcW w:type="dxa" w:w="1440"/>
            <w:shd w:fill="FAFAFA" w:val="clear"/>
          </w:tcPr>
          <w:p>
            <w:r>
              <w:rPr>
                <w:sz w:val="17"/>
              </w:rPr>
              <w:t>8,991</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2026-09-01</w:t>
            </w:r>
          </w:p>
        </w:tc>
        <w:tc>
          <w:tcPr>
            <w:tcW w:type="dxa" w:w="1440"/>
            <w:shd w:fill="FAFAFA" w:val="clear"/>
          </w:tcPr>
          <w:p>
            <w:r>
              <w:rPr>
                <w:sz w:val="17"/>
              </w:rPr>
              <w:t>6,839</w:t>
            </w:r>
          </w:p>
        </w:tc>
        <w:tc>
          <w:tcPr>
            <w:tcW w:type="dxa" w:w="1440"/>
            <w:shd w:fill="FAFAFA" w:val="clear"/>
          </w:tcPr>
          <w:p>
            <w:r>
              <w:rPr>
                <w:b/>
                <w:sz w:val="17"/>
              </w:rPr>
              <w:t>7,951</w:t>
            </w:r>
          </w:p>
        </w:tc>
        <w:tc>
          <w:tcPr>
            <w:tcW w:type="dxa" w:w="1440"/>
            <w:shd w:fill="FAFAFA" w:val="clear"/>
          </w:tcPr>
          <w:p>
            <w:r>
              <w:rPr>
                <w:sz w:val="17"/>
              </w:rPr>
              <w:t>9,063</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Absolument. Voici un rapport d'analyse financière professionnel structuré en 4 parties,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169,57 milliards FCFA, ce qui en fait une valeur de première importance sur la BRVM. Avec un BPA de 578 FCFA, le titre se négocie à un PER de 13,6x, légèrement au-dessus de la moyenne historique du marché (8-12x), ce qui suggère que les investisseurs sont prêts à payer une prime pour la qualité des actifs et la croissance passée. Le P/B de 2,48x confirme cette prime, le marché valorisant la société à 2,5 fois ses capitaux propres, signe d'une rentabilité des fonds propres (ROE) élevée. Enfin, un EV/EBITDA de 7,0x indique que la valeur de l'entreprise (dette incluse) reste raisonnable par rapport à sa capacité bénéficiaire opérationnelle, offrant une marge de sécurité appréciable.</w:t>
      </w:r>
    </w:p>
    <w:p>
      <w:pPr>
        <w:spacing w:after="120" w:line="276" w:lineRule="auto"/>
      </w:pPr>
      <w:r>
        <w:t>### **PARTIE 1 : ANALYSE DU COURS — STATISTIQUES ET ÉVOLUTION (100 derniers jours)**</w:t>
      </w:r>
    </w:p>
    <w:p>
      <w:pPr>
        <w:spacing w:after="120" w:line="276" w:lineRule="auto"/>
      </w:pPr>
      <w:r>
        <w:t>Sur les 100 derniers jours, l'action SOGC a enregistré une baisse de 7,65%, avec une dernière séance stable (+0,00%). Le cours a évolué dans une fourchette de 7 100 à 8 600 FCFA, démontrant une amplitude de trading significative. La tendance générale est baissière, le titre ayant quitté ses plus hauts pour se rapprocher de ses plus bas. Les statistiques descriptives révèlent un cours moyen de 7 972 FCFA, très proche de la médiane (7 990 FCFA), indiquant une distribution relativement symétrique, confirmée par un skewness de -0,294. L'écart-type de 388 FCFA (CV=4,9%) montre une dispersion modérée des prix autour de la moyenne. Le kurtosis de -0,972 (mésokurtique) suggère l'absence de variations extrêmes ou de pics de volatilité inhabituels. La volatilité annualisée de 39,0% classe le titre comme très volatil, un niveau élevé qui reflète les incertitudes du secteur des matières premières.</w:t>
      </w:r>
    </w:p>
    <w:p>
      <w:pPr>
        <w:spacing w:after="120" w:line="276" w:lineRule="auto"/>
      </w:pPr>
      <w:r>
        <w:t>### **PARTIE 2 : ANALYSE TECHNIQUE DÉTAILLÉE**</w:t>
      </w:r>
    </w:p>
    <w:p>
      <w:pPr>
        <w:spacing w:after="120" w:line="276" w:lineRule="auto"/>
      </w:pPr>
      <w:r>
        <w:t>**Moyennes Mobiles** : Le cours actuel (7 850 FCFA) est inférieur à la MM20 (8 061 FCFA) et à la MM50 (8 233,5 FCFA). Cette configuration baissière, où le prix évolue sous les deux moyennes clés, confirme une dynamique de court et moyen terme négative, justifiant la décision de "Vente".</w:t>
      </w:r>
    </w:p>
    <w:p>
      <w:pPr>
        <w:spacing w:after="120" w:line="276" w:lineRule="auto"/>
      </w:pPr>
      <w:r>
        <w:t>**Bandes de Bollinger** : Le prix se situe dans la partie inférieure des bandes, entre la borne inférieure (7 554 FCFA) et la moyenne mobile. La position du cours, proche de la borne basse, indique une pression vendeuse, mais sans signal de surachat ou de survente extrême. La décision "Neutre" suggère une stabilisation potentielle après la baisse.</w:t>
      </w:r>
    </w:p>
    <w:p>
      <w:pPr>
        <w:spacing w:after="120" w:line="276" w:lineRule="auto"/>
      </w:pPr>
      <w:r>
        <w:t>**MACD** : Le MACD (-123,93) est négatif et inférieur à sa ligne de signal (-79,35). Cette divergence baissière indique un momentum négatif persistant. La dynamique de vente reste dominante, ce qui justifie la décision de "Vente".</w:t>
      </w:r>
    </w:p>
    <w:p>
      <w:pPr>
        <w:spacing w:after="120" w:line="276" w:lineRule="auto"/>
      </w:pPr>
      <w:r>
        <w:t>**RSI** : Le RSI s'établit à 45,78, une valeur dans la zone neutre (30-70). Cela indique que le titre n'est ni suracheté ni survendu, laissant place à une possible continuation de la tendance ou à un retournement, sans signal fort. La décision est donc "Neutre".</w:t>
      </w:r>
    </w:p>
    <w:p>
      <w:pPr>
        <w:spacing w:after="120" w:line="276" w:lineRule="auto"/>
      </w:pPr>
      <w:r>
        <w:t>**Stochastique** : Le %K (49,31) est supérieur au %D (32,87), ce qui peut être un signe précoce de retournement haussier, mais les deux restent en zone neutre. Ce croisement haussier, bien que faible, suggère une possible fin de la phase de décélération, d'où la décision "Neutre".</w:t>
      </w:r>
    </w:p>
    <w:p>
      <w:pPr>
        <w:spacing w:after="120" w:line="276" w:lineRule="auto"/>
      </w:pPr>
      <w:r>
        <w:t>**Conclusion technique** : La tendance de fond est baissière, confirmée par les moyennes mobiles et le MACD. Cependant, les oscillateurs (RSI et Stochastique) sont en zone neutre, indiquant une absence de dynamique forte. Le titre semble chercher un point d'équilibre après une phase de correction, mais les signaux de vente restent prédominants.</w:t>
      </w:r>
    </w:p>
    <w:p>
      <w:pPr>
        <w:spacing w:after="120" w:line="276" w:lineRule="auto"/>
      </w:pPr>
      <w:r>
        <w:t>### **PARTIE 3 : ANALYSE FONDAMENTALE (SECTION CRITIQUE)**</w:t>
      </w:r>
    </w:p>
    <w:p>
      <w:pPr>
        <w:spacing w:after="120" w:line="276" w:lineRule="auto"/>
      </w:pPr>
      <w:r>
        <w:t>En 2025, la SOGC a réalisé un chiffre d'affaires de 98,98 milliards FCFA, en hausse de 10,7% par rapport à 2024, et un résultat net de 12,49 milliards FCFA (en baisse de 5% vs 2024). La rentabilité reste excellente avec un ROE de 18,26% et un ROA de 13,84%. La structure financière est saine avec une autonomie financière de 75,8% et une solvabilité générale de 413%. Le BFR de 7,12 milliards FCFA est positif, mais les délais de paiement clients (29,6 jours) et fournisseurs (31,7 jours) sont bien gérés, et la durée de stockage (97,7 jours) est élevée, typique du secteur agricole. Les rapports trimestriels de 2025 montrent une performance exceptionnelle au T1 (CA +63%, RN +263%), suivie d'un ralentissement progressif au S1 (CA +51,9%, RN +151,6%) et sur 9 mois (CA +21,3%, RN +39,5%), en raison de la baisse des cours du caoutchouc et d'une concurrence accrue. Le rapport annuel 2025 confirme cette tendance avec une hausse des coûts des matières premières de 15%, qui a comprimé les marges. La société propose un dividende de 570 FCFA par action pour 2025, soit un rendement très attractif. En conclusion, la SOGC est une entreprise financièrement solide et rentable, mais confrontée à un environnement de prix moins favorable.</w:t>
      </w:r>
    </w:p>
    <w:p>
      <w:pPr>
        <w:spacing w:after="120" w:line="276" w:lineRule="auto"/>
      </w:pPr>
      <w:r>
        <w:t>### **PARTIE 4 : CONCLUSION D'INVESTISSEMENT**</w:t>
      </w:r>
    </w:p>
    <w:p>
      <w:pPr>
        <w:spacing w:after="120" w:line="276" w:lineRule="auto"/>
      </w:pPr>
      <w:r>
        <w:t>La valorisation de SOGC (PER 13,6x, P/B 2,48x) est modérée, mais la prime de croissance semble justifiée par un ROE de 18,26%. Le comportement du cours est préoccupant à court terme avec une tendance baissière et une volatilité élevée (39%), bien que les statistiques (kurtosis, skewness) montrent une distribution normale des rendements. Les signaux techniques sont majoritairement vendeurs (MM, MACD), mais les oscillateurs neutres suggèrent une possible stabilisation. Les fondamentaux sont solides, avec une croissance du CA et une rentabilité élevée, mais les perspectives 2026 sont prudentes en raison de la pression sur les coûts et de la volatilité des prix. Les prédictions IA (7 828 à 7 883 FCFA sur 10 jours) suggèrent une stabilisation du cours autour des niveaux actuels, contredisant légèrement la tendance baissière. En synthèse, le potentiel de hausse à moyen terme est limité par le contexte sectoriel, mais le titre offre un rendement de dividende élevé et une valorisation raisonnable.</w:t>
      </w:r>
    </w:p>
    <w:p>
      <w:pPr>
        <w:spacing w:after="120" w:line="276" w:lineRule="auto"/>
      </w:pPr>
      <w:r>
        <w:t>**Recommandation finale : CONSERVER**</w:t>
        <w:br/>
        <w:t>Cette recommandation est justifiée par la convergence entre des fondamentaux solides (croissance, rentabilité) et une valorisation correcte, contrebalancée par des signaux techniques baissiers et des perspectives sectorielles mitigées. Le niveau de confiance est **Moyen**, le risque global est **Moyen**. L'horizon d'investissement optimal est le **moyen terme (3-12 mois)**, en attendant une amélioration des conditions de marché ou une stabilisation des prix des matières premières.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214.69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4,633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+16.02%</w:t>
            </w:r>
          </w:p>
          <w:p>
            <w:r>
              <w:rPr>
                <w:b/>
                <w:color w:val="503200"/>
                <w:sz w:val="16"/>
              </w:rPr>
              <w:t xml:space="preserve">Plus haut 100j : </w:t>
            </w:r>
            <w:r>
              <w:rPr>
                <w:color w:val="000000"/>
                <w:sz w:val="17"/>
              </w:rPr>
              <w:t>8,400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15.1/100 → Faible</w:t>
      </w:r>
    </w:p>
    <w:p>
      <w:pPr>
        <w:spacing w:before="40" w:after="80"/>
      </w:pPr>
      <w:r>
        <w:rPr>
          <w:rFonts w:ascii="Courier New" w:hAnsi="Courier New"/>
          <w:color w:val="006400"/>
          <w:sz w:val="18"/>
        </w:rPr>
        <w:t>███░░░░░░░░░░░░░░░░░  15.1/100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4.46% (Faible) — μ=7,392 FCFA, σ=329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β=0.8793 (Neutre (suit le marché)) — Cov=0.000027, Var(idx)=0.000031, ρ=0.218,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4,633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7,825</w:t>
            </w:r>
          </w:p>
        </w:tc>
        <w:tc>
          <w:tcPr>
            <w:tcW w:type="dxa" w:w="1440"/>
            <w:shd w:fill="FFDCE0" w:val="clear"/>
          </w:tcPr>
          <w:p>
            <w:r>
              <w:rPr>
                <w:b/>
                <w:sz w:val="17"/>
              </w:rPr>
              <w:t>8,118</w:t>
            </w:r>
          </w:p>
        </w:tc>
        <w:tc>
          <w:tcPr>
            <w:tcW w:type="dxa" w:w="1440"/>
            <w:shd w:fill="FFDCE0" w:val="clear"/>
          </w:tcPr>
          <w:p>
            <w:r>
              <w:rPr>
                <w:sz w:val="17"/>
              </w:rPr>
              <w:t>8,411</w:t>
            </w:r>
          </w:p>
        </w:tc>
        <w:tc>
          <w:tcPr>
            <w:tcW w:type="dxa" w:w="1440"/>
            <w:shd w:fill="FFDCE0" w:val="clear"/>
          </w:tcPr>
          <w:p>
            <w:r>
              <w:rPr>
                <w:b/>
                <w:color w:val="C00000"/>
                <w:sz w:val="17"/>
              </w:rPr>
              <w:t>-3.4%</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7,702</w:t>
            </w:r>
          </w:p>
        </w:tc>
        <w:tc>
          <w:tcPr>
            <w:tcW w:type="dxa" w:w="1440"/>
            <w:shd w:fill="FFDCE0" w:val="clear"/>
          </w:tcPr>
          <w:p>
            <w:r>
              <w:rPr>
                <w:b/>
                <w:sz w:val="17"/>
              </w:rPr>
              <w:t>8,116</w:t>
            </w:r>
          </w:p>
        </w:tc>
        <w:tc>
          <w:tcPr>
            <w:tcW w:type="dxa" w:w="1440"/>
            <w:shd w:fill="FFDCE0" w:val="clear"/>
          </w:tcPr>
          <w:p>
            <w:r>
              <w:rPr>
                <w:sz w:val="17"/>
              </w:rPr>
              <w:t>8,530</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7,587</w:t>
            </w:r>
          </w:p>
        </w:tc>
        <w:tc>
          <w:tcPr>
            <w:tcW w:type="dxa" w:w="1440"/>
            <w:shd w:fill="FFDCE0" w:val="clear"/>
          </w:tcPr>
          <w:p>
            <w:r>
              <w:rPr>
                <w:b/>
                <w:sz w:val="17"/>
              </w:rPr>
              <w:t>8,092</w:t>
            </w:r>
          </w:p>
        </w:tc>
        <w:tc>
          <w:tcPr>
            <w:tcW w:type="dxa" w:w="1440"/>
            <w:shd w:fill="FFDCE0" w:val="clear"/>
          </w:tcPr>
          <w:p>
            <w:r>
              <w:rPr>
                <w:sz w:val="17"/>
              </w:rPr>
              <w:t>8,597</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7,490</w:t>
            </w:r>
          </w:p>
        </w:tc>
        <w:tc>
          <w:tcPr>
            <w:tcW w:type="dxa" w:w="1440"/>
            <w:shd w:fill="FFDCE0" w:val="clear"/>
          </w:tcPr>
          <w:p>
            <w:r>
              <w:rPr>
                <w:b/>
                <w:sz w:val="17"/>
              </w:rPr>
              <w:t>8,071</w:t>
            </w:r>
          </w:p>
        </w:tc>
        <w:tc>
          <w:tcPr>
            <w:tcW w:type="dxa" w:w="1440"/>
            <w:shd w:fill="FFDCE0" w:val="clear"/>
          </w:tcPr>
          <w:p>
            <w:r>
              <w:rPr>
                <w:sz w:val="17"/>
              </w:rPr>
              <w:t>8,653</w:t>
            </w:r>
          </w:p>
        </w:tc>
        <w:tc>
          <w:tcPr>
            <w:tcW w:type="dxa" w:w="1440"/>
            <w:shd w:fill="FFDCE0" w:val="clear"/>
          </w:tcPr>
          <w:p>
            <w:r>
              <w:rPr>
                <w:b/>
                <w:color w:val="C00000"/>
                <w:sz w:val="17"/>
              </w:rPr>
              <w:t>-3.9%</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7,403</w:t>
            </w:r>
          </w:p>
        </w:tc>
        <w:tc>
          <w:tcPr>
            <w:tcW w:type="dxa" w:w="1440"/>
            <w:shd w:fill="FFDCE0" w:val="clear"/>
          </w:tcPr>
          <w:p>
            <w:r>
              <w:rPr>
                <w:b/>
                <w:sz w:val="17"/>
              </w:rPr>
              <w:t>8,052</w:t>
            </w:r>
          </w:p>
        </w:tc>
        <w:tc>
          <w:tcPr>
            <w:tcW w:type="dxa" w:w="1440"/>
            <w:shd w:fill="FFDCE0" w:val="clear"/>
          </w:tcPr>
          <w:p>
            <w:r>
              <w:rPr>
                <w:sz w:val="17"/>
              </w:rPr>
              <w:t>8,701</w:t>
            </w:r>
          </w:p>
        </w:tc>
        <w:tc>
          <w:tcPr>
            <w:tcW w:type="dxa" w:w="1440"/>
            <w:shd w:fill="FFDCE0" w:val="clear"/>
          </w:tcPr>
          <w:p>
            <w:r>
              <w:rPr>
                <w:b/>
                <w:color w:val="C00000"/>
                <w:sz w:val="17"/>
              </w:rPr>
              <w:t>-4.1%</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7,324</w:t>
            </w:r>
          </w:p>
        </w:tc>
        <w:tc>
          <w:tcPr>
            <w:tcW w:type="dxa" w:w="1440"/>
            <w:shd w:fill="FFDCE0" w:val="clear"/>
          </w:tcPr>
          <w:p>
            <w:r>
              <w:rPr>
                <w:b/>
                <w:sz w:val="17"/>
              </w:rPr>
              <w:t>8,033</w:t>
            </w:r>
          </w:p>
        </w:tc>
        <w:tc>
          <w:tcPr>
            <w:tcW w:type="dxa" w:w="1440"/>
            <w:shd w:fill="FFDCE0" w:val="clear"/>
          </w:tcPr>
          <w:p>
            <w:r>
              <w:rPr>
                <w:sz w:val="17"/>
              </w:rPr>
              <w:t>8,742</w:t>
            </w:r>
          </w:p>
        </w:tc>
        <w:tc>
          <w:tcPr>
            <w:tcW w:type="dxa" w:w="1440"/>
            <w:shd w:fill="FFDCE0" w:val="clear"/>
          </w:tcPr>
          <w:p>
            <w:r>
              <w:rPr>
                <w:b/>
                <w:color w:val="C00000"/>
                <w:sz w:val="17"/>
              </w:rPr>
              <w:t>-4.4%</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7,250</w:t>
            </w:r>
          </w:p>
        </w:tc>
        <w:tc>
          <w:tcPr>
            <w:tcW w:type="dxa" w:w="1440"/>
            <w:shd w:fill="FFDCE0" w:val="clear"/>
          </w:tcPr>
          <w:p>
            <w:r>
              <w:rPr>
                <w:b/>
                <w:sz w:val="17"/>
              </w:rPr>
              <w:t>8,014</w:t>
            </w:r>
          </w:p>
        </w:tc>
        <w:tc>
          <w:tcPr>
            <w:tcW w:type="dxa" w:w="1440"/>
            <w:shd w:fill="FFDCE0" w:val="clear"/>
          </w:tcPr>
          <w:p>
            <w:r>
              <w:rPr>
                <w:sz w:val="17"/>
              </w:rPr>
              <w:t>8,778</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7,180</w:t>
            </w:r>
          </w:p>
        </w:tc>
        <w:tc>
          <w:tcPr>
            <w:tcW w:type="dxa" w:w="1440"/>
            <w:shd w:fill="FFDCE0" w:val="clear"/>
          </w:tcPr>
          <w:p>
            <w:r>
              <w:rPr>
                <w:b/>
                <w:sz w:val="17"/>
              </w:rPr>
              <w:t>7,994</w:t>
            </w:r>
          </w:p>
        </w:tc>
        <w:tc>
          <w:tcPr>
            <w:tcW w:type="dxa" w:w="1440"/>
            <w:shd w:fill="FFDCE0" w:val="clear"/>
          </w:tcPr>
          <w:p>
            <w:r>
              <w:rPr>
                <w:sz w:val="17"/>
              </w:rPr>
              <w:t>8,809</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7,113</w:t>
            </w:r>
          </w:p>
        </w:tc>
        <w:tc>
          <w:tcPr>
            <w:tcW w:type="dxa" w:w="1440"/>
            <w:shd w:fill="FFDCE0" w:val="clear"/>
          </w:tcPr>
          <w:p>
            <w:r>
              <w:rPr>
                <w:b/>
                <w:sz w:val="17"/>
              </w:rPr>
              <w:t>7,975</w:t>
            </w:r>
          </w:p>
        </w:tc>
        <w:tc>
          <w:tcPr>
            <w:tcW w:type="dxa" w:w="1440"/>
            <w:shd w:fill="FFDCE0" w:val="clear"/>
          </w:tcPr>
          <w:p>
            <w:r>
              <w:rPr>
                <w:sz w:val="17"/>
              </w:rPr>
              <w:t>8,837</w:t>
            </w:r>
          </w:p>
        </w:tc>
        <w:tc>
          <w:tcPr>
            <w:tcW w:type="dxa" w:w="1440"/>
            <w:shd w:fill="FFDCE0" w:val="clear"/>
          </w:tcPr>
          <w:p>
            <w:r>
              <w:rPr>
                <w:b/>
                <w:color w:val="C00000"/>
                <w:sz w:val="17"/>
              </w:rPr>
              <w:t>-5.1%</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7,049</w:t>
            </w:r>
          </w:p>
        </w:tc>
        <w:tc>
          <w:tcPr>
            <w:tcW w:type="dxa" w:w="1440"/>
            <w:shd w:fill="FFDCE0" w:val="clear"/>
          </w:tcPr>
          <w:p>
            <w:r>
              <w:rPr>
                <w:b/>
                <w:sz w:val="17"/>
              </w:rPr>
              <w:t>7,956</w:t>
            </w:r>
          </w:p>
        </w:tc>
        <w:tc>
          <w:tcPr>
            <w:tcW w:type="dxa" w:w="1440"/>
            <w:shd w:fill="FFDCE0" w:val="clear"/>
          </w:tcPr>
          <w:p>
            <w:r>
              <w:rPr>
                <w:sz w:val="17"/>
              </w:rPr>
              <w:t>8,862</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 18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214,69 milliards FCFA, un niveau qui la positionne parmi les valeurs moyennes à grandes capitalisations de la BRVM, lui conférant une liquidité et une visibilité notables. Le BPA de 977 FCFA indique que chaque action génère un bénéfice substantiel, justifiant un PER de 8,6x. Ce ratio est inférieur à la moyenne historique du marché BRVM (8-12x), signalant une **sous-évaluation relative** du titre par rapport à ses pairs. Le P/B de 1,56x est également raisonnable, le marché valorisant la société à 1,56 fois ses capitaux propres, ce qui est sain pour une entreprise industrielle. Enfin, un EV/EBITDA de 5,3x est attractif, indiquant que la valeur totale de l'entreprise (dette incluse) reste modérée par rapport à sa capacité à générer du cash opérationnel. L'ensemble de ces ratios suggère une valorisation boursière conservatrice, offrant une marge de sécurité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progression de +16,02%, avec une accélération notable lors de la dernière séance (+4,93%), clôturant à 8 400 FCFA. Le titre a évolué dans une fourchette de 6 720 à 8 400 FCFA, démontrant une dynamique haussière soutenue. La moyenne du cours sur la période (7 392 FCFA) est très proche de la médiane (7 400 FCFA), et le skewness de 0,123 indique une distribution quasi symétrique, sans biais majeur. L'écart-type de 331 FCFA (CV=4,5%) révèle une dispersion relativement faible autour de la moyenne, suggérant une certaine stabilité dans la progression. Le kurtosis de -0,210 (mésokurtique) confirme l'absence de mouvements extrêmes ou de pics de volatilité anormaux. Cependant, la volatilité annualisée de 35,7% classe le titre comme **très volatil**, un niveau élevé qui reflète la sensibilité du secteur du caoutchouc aux cycles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(8 400 FCFA) se situe nettement au-dessus de la MM20 (7 640 FCFA) et de la MM50 (7 635 FCFA). Cette configuration haussière, où les moyennes sont franchies à la hausse, confirme la tendance positive et génère un signal d'**Achat**. La pente ascendante des moyennes renforce la solidité du mouvement.</w:t>
      </w:r>
    </w:p>
    <w:p>
      <w:pPr>
        <w:spacing w:after="120" w:line="276" w:lineRule="auto"/>
      </w:pPr>
      <w:r>
        <w:t>**Bandes de Bollinger :** Le prix a franchi la borne supérieure (8 204 FCFA), ce qui indique une phase de surachat temporaire et une volatilité accrue. Historiquement, un tel dépassement précède souvent une consolidation ou un repli technique. La décision de **Vente** est donc un signal de prudence à court terme, bien que la tendance de fond reste haussière.</w:t>
      </w:r>
    </w:p>
    <w:p>
      <w:pPr>
        <w:spacing w:after="120" w:line="276" w:lineRule="auto"/>
      </w:pPr>
      <w:r>
        <w:t>**MACD :** Le MACD (148,78) est largement au-dessus de sa ligne de signal (69,30), avec un histogramme positif et en expansion. Cette configuration signale un momentum haussier très fort, justifiant la décision d'**Achat**. La vigueur du croisement indique que la pression acheteuse domine actuellement le marché.</w:t>
      </w:r>
    </w:p>
    <w:p>
      <w:pPr>
        <w:spacing w:after="120" w:line="276" w:lineRule="auto"/>
      </w:pPr>
      <w:r>
        <w:t>**RSI :** Le RSI à 90,32 est extrêmement élevé, bien au-delà du seuil de surachat (&gt;70). Cette valeur indique que le titre est survendu à la hausse et qu'une correction technique est hautement probable à très court terme. La décision de **Vente** est donc pertinente pour les traders à horizon court.</w:t>
      </w:r>
    </w:p>
    <w:p>
      <w:pPr>
        <w:spacing w:after="120" w:line="276" w:lineRule="auto"/>
      </w:pPr>
      <w:r>
        <w:t>**Stochastique :** Le %K et le %D sont tous deux à 100, un niveau extrême de surachat. Cela reflète une dynamique d'achat sans faille, mais également un épuisement potentiel du mouvement. La décision de **Vente** est cohérente avec la probabilité d'un retour à des niveaux plus neutres.</w:t>
      </w:r>
    </w:p>
    <w:p>
      <w:pPr>
        <w:spacing w:after="120" w:line="276" w:lineRule="auto"/>
      </w:pPr>
      <w:r>
        <w:t>**Conclusion technique :** Les indicateurs de tendance (MM, MACD) sont résolument haussiers, mais les oscillateurs (RSI, Stochastique, Bollinger) signalent tous un état de surachat extrême. Cette divergence suggère que la tendance de fond est positive, mais qu'un **repli technique de court terme est imminent** avant une possible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font état d'un chiffre d'affaires de 340,83 milliards FCFA, en hausse de 22% par rapport à 2024, et d'un résultat net de 24,97 milliards FCFA (+32,9%). La rentabilité est excellente avec un ROE de 18,1% et un ROA de 11,06%. En tant qu'entreprise industrielle, la structure est saine : l'autonomie financière est de 61,1% et le ratio d'endettement est maîtrisé à 25,8%. Le BFR de 65,39 milliards est positif, ce qui est un point de vigilance, mais la capacité de remboursement est rapide (0,97 an). Les rapports trimestriels confirment cette dynamique : le T1 2025 (+72% de CA) et le S1 2025 (+51%) montraient une croissance explosive, mais le T3 2025 a marqué un ralentissement à +36%. **Sur la base du rapport T1 2026**, qui fait état d'une chute de 24% du CA et de 78% du résultat net due à la baisse des cours mondiaux, on estime que l'exercice 2026 sera difficile, avec une normalisation des marges. La société conserve néanmoins une structure financière robuste et un avantage compétitif sur les normes EUDR. La recommandation fondamentale est de **CONSERVER**, la performance 2025 étant solide mais les perspectives 2026 étant incertaines.</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 profil contrasté. La **valorisation** (Partie 0) est attractive avec un PER de 8,6x et un EV/EBITDA de 5,3x, indiquant une sous-évaluation. Le **comportement du cours** (Partie 1) est haussier sur 100 jours (+16%), mais avec une volatilité élevée (35,7%) et des statistiques de distribution normales. Les **signaux techniques** (Partie 2) sont paradoxaux : une tendance de fond haussière (MM, MACD) mais des oscillateurs en surachat extrême (RSI, Stochastique), annonçant un repli probable. Les **fondamentaux** (Partie 3) sont solides pour 2025, mais les estimations pour 2026, basées sur le T1 2026, sont en nette décélération. Enfin, les **prédictions IA** (J+1 à J+10) prévoient une correction de -4,1% (de 8 400 à 8 052 FCFA), confirmant les signaux de surachat technique. En conclusion, la convergence entre les signaux techniques de court terme et les prédictions IA suggère une **phase de consolidation à venir**, malgré des fondamentaux de qualité. La recommandation finale est de **CONSERVER** le titre, avec un niveau de confiance **Moyen** et un risque global **Élevé** (volatilité). L'horizon d'investissement optimal serait le **moyen terme (3-12 mois)**, en attendant une stabilisation des cours du caoutchouc et une correction technique du prix de l'action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34.20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6,136 titres</w:t>
            </w:r>
          </w:p>
        </w:tc>
        <w:tc>
          <w:tcPr>
            <w:tcW w:type="dxa" w:w="2268"/>
            <w:shd w:fill="FFF2CC" w:val="clear"/>
          </w:tcPr>
          <w:p>
            <w:r>
              <w:rPr>
                <w:b/>
                <w:color w:val="503200"/>
                <w:sz w:val="16"/>
              </w:rPr>
              <w:t xml:space="preserve">Cours actuel : </w:t>
            </w:r>
            <w:r>
              <w:rPr>
                <w:color w:val="000000"/>
                <w:sz w:val="17"/>
              </w:rPr>
              <w:t>2,545 FCFA</w:t>
            </w:r>
          </w:p>
          <w:p>
            <w:r>
              <w:rPr>
                <w:b/>
                <w:color w:val="503200"/>
                <w:sz w:val="16"/>
              </w:rPr>
              <w:t xml:space="preserve">Var. 100 jours : </w:t>
            </w:r>
            <w:r>
              <w:rPr>
                <w:b/>
                <w:color w:val="007800"/>
                <w:sz w:val="17"/>
              </w:rPr>
              <w:t>+3.88%</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2,310 FCFA</w:t>
            </w:r>
          </w:p>
          <w:p>
            <w:r>
              <w:rPr>
                <w:b/>
                <w:color w:val="503200"/>
                <w:sz w:val="16"/>
              </w:rPr>
              <w:t xml:space="preserve">Volatilité ann. : </w:t>
            </w:r>
            <w:r>
              <w:rPr>
                <w:color w:val="000000"/>
                <w:sz w:val="17"/>
              </w:rPr>
              <w:t>67.8%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11.49% (Moyenne) — μ=3,030 FCFA, σ=348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β=-0.9239 (Contre-cyclique) — Cov=-0.000029, Var(idx)=0.000031, ρ=-0.121,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σ_j=4.27%/j (Modérée) — Vol. annualisée≈67.8%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2,274</w:t>
            </w:r>
          </w:p>
        </w:tc>
        <w:tc>
          <w:tcPr>
            <w:tcW w:type="dxa" w:w="1440"/>
            <w:shd w:fill="FFDCE0" w:val="clear"/>
          </w:tcPr>
          <w:p>
            <w:r>
              <w:rPr>
                <w:b/>
                <w:sz w:val="17"/>
              </w:rPr>
              <w:t>2,394</w:t>
            </w:r>
          </w:p>
        </w:tc>
        <w:tc>
          <w:tcPr>
            <w:tcW w:type="dxa" w:w="1440"/>
            <w:shd w:fill="FFDCE0" w:val="clear"/>
          </w:tcPr>
          <w:p>
            <w:r>
              <w:rPr>
                <w:sz w:val="17"/>
              </w:rPr>
              <w:t>2,515</w:t>
            </w:r>
          </w:p>
        </w:tc>
        <w:tc>
          <w:tcPr>
            <w:tcW w:type="dxa" w:w="1440"/>
            <w:shd w:fill="FFDCE0" w:val="clear"/>
          </w:tcPr>
          <w:p>
            <w:r>
              <w:rPr>
                <w:b/>
                <w:color w:val="C00000"/>
                <w:sz w:val="17"/>
              </w:rPr>
              <w:t>-5.9%</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2,085</w:t>
            </w:r>
          </w:p>
        </w:tc>
        <w:tc>
          <w:tcPr>
            <w:tcW w:type="dxa" w:w="1440"/>
            <w:shd w:fill="FFDCE0" w:val="clear"/>
          </w:tcPr>
          <w:p>
            <w:r>
              <w:rPr>
                <w:b/>
                <w:sz w:val="17"/>
              </w:rPr>
              <w:t>2,245</w:t>
            </w:r>
          </w:p>
        </w:tc>
        <w:tc>
          <w:tcPr>
            <w:tcW w:type="dxa" w:w="1440"/>
            <w:shd w:fill="FFDCE0" w:val="clear"/>
          </w:tcPr>
          <w:p>
            <w:r>
              <w:rPr>
                <w:sz w:val="17"/>
              </w:rPr>
              <w:t>2,405</w:t>
            </w:r>
          </w:p>
        </w:tc>
        <w:tc>
          <w:tcPr>
            <w:tcW w:type="dxa" w:w="1440"/>
            <w:shd w:fill="FFDCE0" w:val="clear"/>
          </w:tcPr>
          <w:p>
            <w:r>
              <w:rPr>
                <w:b/>
                <w:color w:val="C00000"/>
                <w:sz w:val="17"/>
              </w:rPr>
              <w:t>-11.8%</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1,918</w:t>
            </w:r>
          </w:p>
        </w:tc>
        <w:tc>
          <w:tcPr>
            <w:tcW w:type="dxa" w:w="1440"/>
            <w:shd w:fill="FFDCE0" w:val="clear"/>
          </w:tcPr>
          <w:p>
            <w:r>
              <w:rPr>
                <w:b/>
                <w:sz w:val="17"/>
              </w:rPr>
              <w:t>2,101</w:t>
            </w:r>
          </w:p>
        </w:tc>
        <w:tc>
          <w:tcPr>
            <w:tcW w:type="dxa" w:w="1440"/>
            <w:shd w:fill="FFDCE0" w:val="clear"/>
          </w:tcPr>
          <w:p>
            <w:r>
              <w:rPr>
                <w:sz w:val="17"/>
              </w:rPr>
              <w:t>2,285</w:t>
            </w:r>
          </w:p>
        </w:tc>
        <w:tc>
          <w:tcPr>
            <w:tcW w:type="dxa" w:w="1440"/>
            <w:shd w:fill="FFDCE0" w:val="clear"/>
          </w:tcPr>
          <w:p>
            <w:r>
              <w:rPr>
                <w:b/>
                <w:color w:val="C00000"/>
                <w:sz w:val="17"/>
              </w:rPr>
              <w:t>-17.4%</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1,778</w:t>
            </w:r>
          </w:p>
        </w:tc>
        <w:tc>
          <w:tcPr>
            <w:tcW w:type="dxa" w:w="1440"/>
            <w:shd w:fill="FFDCE0" w:val="clear"/>
          </w:tcPr>
          <w:p>
            <w:r>
              <w:rPr>
                <w:b/>
                <w:sz w:val="17"/>
              </w:rPr>
              <w:t>1,977</w:t>
            </w:r>
          </w:p>
        </w:tc>
        <w:tc>
          <w:tcPr>
            <w:tcW w:type="dxa" w:w="1440"/>
            <w:shd w:fill="FFDCE0" w:val="clear"/>
          </w:tcPr>
          <w:p>
            <w:r>
              <w:rPr>
                <w:sz w:val="17"/>
              </w:rPr>
              <w:t>2,176</w:t>
            </w:r>
          </w:p>
        </w:tc>
        <w:tc>
          <w:tcPr>
            <w:tcW w:type="dxa" w:w="1440"/>
            <w:shd w:fill="FFDCE0" w:val="clear"/>
          </w:tcPr>
          <w:p>
            <w:r>
              <w:rPr>
                <w:b/>
                <w:color w:val="C00000"/>
                <w:sz w:val="17"/>
              </w:rPr>
              <w:t>-22.3%</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1,663</w:t>
            </w:r>
          </w:p>
        </w:tc>
        <w:tc>
          <w:tcPr>
            <w:tcW w:type="dxa" w:w="1440"/>
            <w:shd w:fill="FFDCE0" w:val="clear"/>
          </w:tcPr>
          <w:p>
            <w:r>
              <w:rPr>
                <w:b/>
                <w:sz w:val="17"/>
              </w:rPr>
              <w:t>1,874</w:t>
            </w:r>
          </w:p>
        </w:tc>
        <w:tc>
          <w:tcPr>
            <w:tcW w:type="dxa" w:w="1440"/>
            <w:shd w:fill="FFDCE0" w:val="clear"/>
          </w:tcPr>
          <w:p>
            <w:r>
              <w:rPr>
                <w:sz w:val="17"/>
              </w:rPr>
              <w:t>2,085</w:t>
            </w:r>
          </w:p>
        </w:tc>
        <w:tc>
          <w:tcPr>
            <w:tcW w:type="dxa" w:w="1440"/>
            <w:shd w:fill="FFDCE0" w:val="clear"/>
          </w:tcPr>
          <w:p>
            <w:r>
              <w:rPr>
                <w:b/>
                <w:color w:val="C00000"/>
                <w:sz w:val="17"/>
              </w:rPr>
              <w:t>-26.4%</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1,570</w:t>
            </w:r>
          </w:p>
        </w:tc>
        <w:tc>
          <w:tcPr>
            <w:tcW w:type="dxa" w:w="1440"/>
            <w:shd w:fill="FFDCE0" w:val="clear"/>
          </w:tcPr>
          <w:p>
            <w:r>
              <w:rPr>
                <w:b/>
                <w:sz w:val="17"/>
              </w:rPr>
              <w:t>1,791</w:t>
            </w:r>
          </w:p>
        </w:tc>
        <w:tc>
          <w:tcPr>
            <w:tcW w:type="dxa" w:w="1440"/>
            <w:shd w:fill="FFDCE0" w:val="clear"/>
          </w:tcPr>
          <w:p>
            <w:r>
              <w:rPr>
                <w:sz w:val="17"/>
              </w:rPr>
              <w:t>2,012</w:t>
            </w:r>
          </w:p>
        </w:tc>
        <w:tc>
          <w:tcPr>
            <w:tcW w:type="dxa" w:w="1440"/>
            <w:shd w:fill="FFDCE0" w:val="clear"/>
          </w:tcPr>
          <w:p>
            <w:r>
              <w:rPr>
                <w:b/>
                <w:color w:val="C00000"/>
                <w:sz w:val="17"/>
              </w:rPr>
              <w:t>-29.6%</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1,493</w:t>
            </w:r>
          </w:p>
        </w:tc>
        <w:tc>
          <w:tcPr>
            <w:tcW w:type="dxa" w:w="1440"/>
            <w:shd w:fill="FFDCE0" w:val="clear"/>
          </w:tcPr>
          <w:p>
            <w:r>
              <w:rPr>
                <w:b/>
                <w:sz w:val="17"/>
              </w:rPr>
              <w:t>1,723</w:t>
            </w:r>
          </w:p>
        </w:tc>
        <w:tc>
          <w:tcPr>
            <w:tcW w:type="dxa" w:w="1440"/>
            <w:shd w:fill="FFDCE0" w:val="clear"/>
          </w:tcPr>
          <w:p>
            <w:r>
              <w:rPr>
                <w:sz w:val="17"/>
              </w:rPr>
              <w:t>1,952</w:t>
            </w:r>
          </w:p>
        </w:tc>
        <w:tc>
          <w:tcPr>
            <w:tcW w:type="dxa" w:w="1440"/>
            <w:shd w:fill="FFDCE0" w:val="clear"/>
          </w:tcPr>
          <w:p>
            <w:r>
              <w:rPr>
                <w:b/>
                <w:color w:val="C00000"/>
                <w:sz w:val="17"/>
              </w:rPr>
              <w:t>-32.3%</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1,429</w:t>
            </w:r>
          </w:p>
        </w:tc>
        <w:tc>
          <w:tcPr>
            <w:tcW w:type="dxa" w:w="1440"/>
            <w:shd w:fill="FFDCE0" w:val="clear"/>
          </w:tcPr>
          <w:p>
            <w:r>
              <w:rPr>
                <w:b/>
                <w:sz w:val="17"/>
              </w:rPr>
              <w:t>1,666</w:t>
            </w:r>
          </w:p>
        </w:tc>
        <w:tc>
          <w:tcPr>
            <w:tcW w:type="dxa" w:w="1440"/>
            <w:shd w:fill="FFDCE0" w:val="clear"/>
          </w:tcPr>
          <w:p>
            <w:r>
              <w:rPr>
                <w:sz w:val="17"/>
              </w:rPr>
              <w:t>1,904</w:t>
            </w:r>
          </w:p>
        </w:tc>
        <w:tc>
          <w:tcPr>
            <w:tcW w:type="dxa" w:w="1440"/>
            <w:shd w:fill="FFDCE0" w:val="clear"/>
          </w:tcPr>
          <w:p>
            <w:r>
              <w:rPr>
                <w:b/>
                <w:color w:val="C00000"/>
                <w:sz w:val="17"/>
              </w:rPr>
              <w:t>-34.5%</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1,374</w:t>
            </w:r>
          </w:p>
        </w:tc>
        <w:tc>
          <w:tcPr>
            <w:tcW w:type="dxa" w:w="1440"/>
            <w:shd w:fill="FFDCE0" w:val="clear"/>
          </w:tcPr>
          <w:p>
            <w:r>
              <w:rPr>
                <w:b/>
                <w:sz w:val="17"/>
              </w:rPr>
              <w:t>1,619</w:t>
            </w:r>
          </w:p>
        </w:tc>
        <w:tc>
          <w:tcPr>
            <w:tcW w:type="dxa" w:w="1440"/>
            <w:shd w:fill="FFDCE0" w:val="clear"/>
          </w:tcPr>
          <w:p>
            <w:r>
              <w:rPr>
                <w:sz w:val="17"/>
              </w:rPr>
              <w:t>1,863</w:t>
            </w:r>
          </w:p>
        </w:tc>
        <w:tc>
          <w:tcPr>
            <w:tcW w:type="dxa" w:w="1440"/>
            <w:shd w:fill="FFDCE0" w:val="clear"/>
          </w:tcPr>
          <w:p>
            <w:r>
              <w:rPr>
                <w:b/>
                <w:color w:val="C00000"/>
                <w:sz w:val="17"/>
              </w:rPr>
              <w:t>-36.4%</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1,326</w:t>
            </w:r>
          </w:p>
        </w:tc>
        <w:tc>
          <w:tcPr>
            <w:tcW w:type="dxa" w:w="1440"/>
            <w:shd w:fill="FFDCE0" w:val="clear"/>
          </w:tcPr>
          <w:p>
            <w:r>
              <w:rPr>
                <w:b/>
                <w:sz w:val="17"/>
              </w:rPr>
              <w:t>1,577</w:t>
            </w:r>
          </w:p>
        </w:tc>
        <w:tc>
          <w:tcPr>
            <w:tcW w:type="dxa" w:w="1440"/>
            <w:shd w:fill="FFDCE0" w:val="clear"/>
          </w:tcPr>
          <w:p>
            <w:r>
              <w:rPr>
                <w:sz w:val="17"/>
              </w:rPr>
              <w:t>1,829</w:t>
            </w:r>
          </w:p>
        </w:tc>
        <w:tc>
          <w:tcPr>
            <w:tcW w:type="dxa" w:w="1440"/>
            <w:shd w:fill="FFDCE0" w:val="clear"/>
          </w:tcPr>
          <w:p>
            <w:r>
              <w:rPr>
                <w:b/>
                <w:color w:val="C00000"/>
                <w:sz w:val="17"/>
              </w:rPr>
              <w:t>-38.0%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**Marché :** BRVM (Bourse Régionale des Valeurs Mobilières)</w:t>
        <w:br/>
        <w:t>**Date de l'analyse :**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34,20 milliards FCFA, un niveau significatif pour une entreprise de taille moyenne sur la BRVM, mais qui contraste fortement avec ses fondamentaux actuels. Le BPA est négatif à -7 FCFA, ce qui rend le PER non pertinent (-354,2x) et signale une société déficitaire. Le P/B de 95,88x est extrêmement élevé, indiquant que le marché valorise l'actif net à une prime considérable, probablement sur des anticipations de redressement futur. En l'absence d'EBITDA positif (l'EBE est déficitaire), le ratio EV/EBITDA ne peut être calculé, ce qui reflète l'incapacité de l'entreprise à générer des flux opérationnels positifs. Ces ratios témoignent d'une valorisation spéculative, fondée sur des espoirs de retournement plutôt que sur les performances actuelles.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+3,88%, mais a subi une forte baisse de -3,42% lors de la dernière séance, signe d'une volatilité récente. Le cours a évolué dans une fourchette très large, entre un plus bas de 2 310 FCFA et un plus haut de 3 895 FCFA, illustrant des mouvements erratiques. La moyenne du cours sur la période est de 3 030 FCFA, proche de la médiane (2 990 FCFA) et du mode (3 000 FCFA), ce qui indique une distribution relativement symétrique, confirmée par un skewness de 0,243. L'écart-type de 350 FCFA (CV = 11,5%) montre une dispersion modérée autour de la moyenne. Le kurtosis de -0,731 (mésokurtique) suggère l'absence de pics extrêmes fréquents, mais la volatilité annualisée de 67,8% est extrêmement élevée, classant le titre comme très risqué. La tendance générale est baissière depuis les plus hauts, avec un cours actuel de 2 545 FCFA, nettement sous la moyenne mobile à 50 jours.</w:t>
      </w:r>
    </w:p>
    <w:p>
      <w:pPr>
        <w:spacing w:after="120" w:line="276" w:lineRule="auto"/>
      </w:pPr>
      <w:r>
        <w:t>---</w:t>
      </w:r>
    </w:p>
    <w:p>
      <w:pPr>
        <w:spacing w:after="120" w:line="276" w:lineRule="auto"/>
      </w:pPr>
      <w:r>
        <w:t>### PARTIE 2 : ANALYSE TECHNIQUE DÉTAILLÉE</w:t>
      </w:r>
    </w:p>
    <w:p>
      <w:pPr>
        <w:spacing w:after="120" w:line="276" w:lineRule="auto"/>
      </w:pPr>
      <w:r>
        <w:t>**Moyennes Mobiles :** La MM20 à 2 789,75 FCFA et la MM50 à 3 137,2 FCFA sont toutes deux nettement supérieures au cours actuel de 2 545 FCFA. Cette configuration en "death cross" (croix de la mort) est un signal baissier fort, confirmant la tendance négative à court et moyen terme. La décision de "Vente" est justifiée.</w:t>
      </w:r>
    </w:p>
    <w:p>
      <w:pPr>
        <w:spacing w:after="120" w:line="276" w:lineRule="auto"/>
      </w:pPr>
      <w:r>
        <w:t>**Bandes de Bollinger :** Le cours se situe dans la partie inférieure des bandes, proche de la borne basse à 2 440 FCFA (borne supérieure à 3 139 FCFA). Cette position indique une pression vendeuse persistante, mais le fait de ne pas franchir la borne basse suggère une possible stabilisation temporaire. La décision "Neutre" est cohérente avec cette zone de surachat technique à la baisse.</w:t>
      </w:r>
    </w:p>
    <w:p>
      <w:pPr>
        <w:spacing w:after="120" w:line="276" w:lineRule="auto"/>
      </w:pPr>
      <w:r>
        <w:t>**MACD :** Le MACD (-144,351) est inférieur à son signal (-136,296), tous deux en territoire négatif. Cette divergence négative confirme un momentum baissier solide et une dynamique de prix défavorable. La décision de "Vente" est justifiée.</w:t>
      </w:r>
    </w:p>
    <w:p>
      <w:pPr>
        <w:spacing w:after="120" w:line="276" w:lineRule="auto"/>
      </w:pPr>
      <w:r>
        <w:t>**RSI :** Le RSI à 40,994 est en zone neutre (30-70), mais proche de la zone de survente. Cela indique que le titre n'est ni suracheté ni survendu, mais la faiblesse du niveau suggère une absence de pression acheteuse significative. La décision "Neutre" est appropriée.</w:t>
      </w:r>
    </w:p>
    <w:p>
      <w:pPr>
        <w:spacing w:after="120" w:line="276" w:lineRule="auto"/>
      </w:pPr>
      <w:r>
        <w:t>**Stochastique :** Le %K à 0,0 et le %D à 3,788 sont en zone de survente extrême. Le croisement potentiel à la hausse pourrait signaler un rebond technique imminent. La décision "Achat" est un signal contrariant, suggérant un possible retournement à très court terme.</w:t>
      </w:r>
    </w:p>
    <w:p>
      <w:pPr>
        <w:spacing w:after="120" w:line="276" w:lineRule="auto"/>
      </w:pPr>
      <w:r>
        <w:t>**Conclusion technique :** Les indicateurs de tendance (MM, MACD) sont unanimement baissiers, tandis que les oscillateurs (RSI, Stochastique) montrent des conditions de survente qui pourraient déclencher un rebond technique. Le signal global est donc mitigé, avec une prédominance baissière à moyen terme, mais un potentiel de correction haussière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très dégradée. Le chiffre d'affaires s'établit à 3,878 milliards FCFA, mais l'entreprise enregistre une perte nette de -96,56 millions FCFA, avec un ROE de -27,07% et un ROA de -1,77%. La marge opérationnelle est profondément négative à -19,90%, et l'EBE est déficitaire à -650 millions FCFA. Le BFR est négatif (-930 millions FCFA), ce qui est un point positif pour une entreprise, mais la structure financière est fragile avec une autonomie financière de seulement 6,55% et un endettement total de 93,45% des capitaux propres. Les rapports trimestriels de 2025 montrent une amélioration progressive : le CA du S1 2025 a bondi de +290% à 2,271 milliards FCFA, et sur 9 mois, il atteint 3,456 milliards FCFA (+176%), porté par le chantier de l'aéroport d'Abidjan. Cependant, la perte nette sur 9 mois reste de -477 millions FCFA, bien que la perte d'exploitation se soit réduite de moitié (-456 millions). On estime que l'exercice 2025 devrait se solder par une perte nette d'environ -500 millions FCFA, malgré un CA prévisionnel de 4 milliards FCFA, car la rentabilité opérationnelle n'est pas encore atteinte. Les rapports de 2024 (S1 et 9 mois) montraient une chute drastique du CA (-88% et -82%), mais les pertes se réduisaient. En 2020, la société avait réalisé des performances exceptionnelles (CA de 15,9 milliards FCFA, résultat net de 2,32 milliards), mais la tendance s'est inversée depuis 2022. La recommandation fondamentale est donc "VENTE", car malgré le rebond d'activité, la société reste structurellement déficitaire et sa survie à moyen terme dépend de la poursuite des contrats et d'une amélioration de la rentabilité.</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(P/B de 95,88x) et ne se justifie pas par les fondamentaux actuels, marqués par des pertes récurrentes et un ROE négatif. Le comportement du cours est très volatil (67,8% annualisé) avec une tendance baissière récente, malgré des statistiques de distribution relativement normales. Les signaux techniques sont majoritairement baissiers (MM, MACD), mais les oscillateurs (Stochastique) suggèrent un rebond technique imminent, créant une divergence. Les fondamentaux montrent une amélioration de l'activité en 2025 grâce au projet aéroportuaire, mais la rentabilité reste négative, et les pertes d'exploitation, bien qu'en réduction, persistent. Les prédictions IA pour les 10 prochains jours indiquent une chute brutale du cours, passant de 2 394 FCFA à 1 874 FCFA, ce qui contredit l'hypothèse d'un rebond technique et confirme la pression vendeuse. En synthèse, la convergence entre la valorisation excessive, la tendance technique baissière, les fondamentaux déficitaires et les prédictions IA négatives est forte. **Recommandation finale : VENTE FORTE.** Le niveau de confiance est **Élevé**, le risque global est **Élevé**, et l'horizon d'investissement optimal est le **court terme (&lt;3 mois)** pour les investisseurs cherchant à limiter leurs pertes, avec une surveillance accrue des annonces de contrats pour tout retournement potentiel.</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412.96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3,454 titres</w:t>
            </w:r>
          </w:p>
        </w:tc>
        <w:tc>
          <w:tcPr>
            <w:tcW w:type="dxa" w:w="2268"/>
            <w:shd w:fill="FFF2CC" w:val="clear"/>
          </w:tcPr>
          <w:p>
            <w:r>
              <w:rPr>
                <w:b/>
                <w:color w:val="503200"/>
                <w:sz w:val="16"/>
              </w:rPr>
              <w:t xml:space="preserve">Cours actuel : </w:t>
            </w:r>
            <w:r>
              <w:rPr>
                <w:color w:val="000000"/>
                <w:sz w:val="17"/>
              </w:rPr>
              <w:t>23,000 FCFA</w:t>
            </w:r>
          </w:p>
          <w:p>
            <w:r>
              <w:rPr>
                <w:b/>
                <w:color w:val="503200"/>
                <w:sz w:val="16"/>
              </w:rPr>
              <w:t xml:space="preserve">Var. 100 jours : </w:t>
            </w:r>
            <w:r>
              <w:rPr>
                <w:b/>
                <w:color w:val="007800"/>
                <w:sz w:val="17"/>
              </w:rPr>
              <w:t>+4.62%</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6.17% (Moyenne) — μ=22,209 FCFA, σ=1,370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β=0.0308 (Défensif) — Cov=0.000001, Var(idx)=0.000031, ρ=0.008,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22,341</w:t>
            </w:r>
          </w:p>
        </w:tc>
        <w:tc>
          <w:tcPr>
            <w:tcW w:type="dxa" w:w="1440"/>
            <w:shd w:fill="FAFAFA" w:val="clear"/>
          </w:tcPr>
          <w:p>
            <w:r>
              <w:rPr>
                <w:b/>
                <w:sz w:val="17"/>
              </w:rPr>
              <w:t>23,439</w:t>
            </w:r>
          </w:p>
        </w:tc>
        <w:tc>
          <w:tcPr>
            <w:tcW w:type="dxa" w:w="1440"/>
            <w:shd w:fill="FAFAFA" w:val="clear"/>
          </w:tcPr>
          <w:p>
            <w:r>
              <w:rPr>
                <w:sz w:val="17"/>
              </w:rPr>
              <w:t>24,536</w:t>
            </w:r>
          </w:p>
        </w:tc>
        <w:tc>
          <w:tcPr>
            <w:tcW w:type="dxa" w:w="1440"/>
            <w:shd w:fill="FAFAFA" w:val="clear"/>
          </w:tcPr>
          <w:p>
            <w:r>
              <w:rPr>
                <w:b/>
                <w:color w:val="008000"/>
                <w:sz w:val="17"/>
              </w:rPr>
              <w:t>+1.9%</w:t>
            </w:r>
          </w:p>
        </w:tc>
      </w:tr>
      <w:tr>
        <w:tc>
          <w:tcPr>
            <w:tcW w:type="dxa" w:w="1440"/>
            <w:shd w:fill="C6EFCE" w:val="clear"/>
          </w:tcPr>
          <w:p>
            <w:r>
              <w:rPr>
                <w:sz w:val="17"/>
              </w:rPr>
              <w:t>J+2  ⭐</w:t>
            </w:r>
          </w:p>
        </w:tc>
        <w:tc>
          <w:tcPr>
            <w:tcW w:type="dxa" w:w="1440"/>
            <w:shd w:fill="C6EFCE" w:val="clear"/>
          </w:tcPr>
          <w:p>
            <w:r>
              <w:rPr>
                <w:sz w:val="17"/>
              </w:rPr>
              <w:t>2026-08-19</w:t>
            </w:r>
          </w:p>
        </w:tc>
        <w:tc>
          <w:tcPr>
            <w:tcW w:type="dxa" w:w="1440"/>
            <w:shd w:fill="C6EFCE" w:val="clear"/>
          </w:tcPr>
          <w:p>
            <w:r>
              <w:rPr>
                <w:sz w:val="17"/>
              </w:rPr>
              <w:t>22,043</w:t>
            </w:r>
          </w:p>
        </w:tc>
        <w:tc>
          <w:tcPr>
            <w:tcW w:type="dxa" w:w="1440"/>
            <w:shd w:fill="C6EFCE" w:val="clear"/>
          </w:tcPr>
          <w:p>
            <w:r>
              <w:rPr>
                <w:b/>
                <w:sz w:val="17"/>
              </w:rPr>
              <w:t>23,607</w:t>
            </w:r>
          </w:p>
        </w:tc>
        <w:tc>
          <w:tcPr>
            <w:tcW w:type="dxa" w:w="1440"/>
            <w:shd w:fill="C6EFCE" w:val="clear"/>
          </w:tcPr>
          <w:p>
            <w:r>
              <w:rPr>
                <w:sz w:val="17"/>
              </w:rPr>
              <w:t>25,170</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2026-08-20</w:t>
            </w:r>
          </w:p>
        </w:tc>
        <w:tc>
          <w:tcPr>
            <w:tcW w:type="dxa" w:w="1440"/>
            <w:shd w:fill="C6EFCE" w:val="clear"/>
          </w:tcPr>
          <w:p>
            <w:r>
              <w:rPr>
                <w:sz w:val="17"/>
              </w:rPr>
              <w:t>21,863</w:t>
            </w:r>
          </w:p>
        </w:tc>
        <w:tc>
          <w:tcPr>
            <w:tcW w:type="dxa" w:w="1440"/>
            <w:shd w:fill="C6EFCE" w:val="clear"/>
          </w:tcPr>
          <w:p>
            <w:r>
              <w:rPr>
                <w:b/>
                <w:sz w:val="17"/>
              </w:rPr>
              <w:t>23,793</w:t>
            </w:r>
          </w:p>
        </w:tc>
        <w:tc>
          <w:tcPr>
            <w:tcW w:type="dxa" w:w="1440"/>
            <w:shd w:fill="C6EFCE" w:val="clear"/>
          </w:tcPr>
          <w:p>
            <w:r>
              <w:rPr>
                <w:sz w:val="17"/>
              </w:rPr>
              <w:t>25,724</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2026-08-21</w:t>
            </w:r>
          </w:p>
        </w:tc>
        <w:tc>
          <w:tcPr>
            <w:tcW w:type="dxa" w:w="1440"/>
            <w:shd w:fill="C6EFCE" w:val="clear"/>
          </w:tcPr>
          <w:p>
            <w:r>
              <w:rPr>
                <w:sz w:val="17"/>
              </w:rPr>
              <w:t>21,741</w:t>
            </w:r>
          </w:p>
        </w:tc>
        <w:tc>
          <w:tcPr>
            <w:tcW w:type="dxa" w:w="1440"/>
            <w:shd w:fill="C6EFCE" w:val="clear"/>
          </w:tcPr>
          <w:p>
            <w:r>
              <w:rPr>
                <w:b/>
                <w:sz w:val="17"/>
              </w:rPr>
              <w:t>23,988</w:t>
            </w:r>
          </w:p>
        </w:tc>
        <w:tc>
          <w:tcPr>
            <w:tcW w:type="dxa" w:w="1440"/>
            <w:shd w:fill="C6EFCE" w:val="clear"/>
          </w:tcPr>
          <w:p>
            <w:r>
              <w:rPr>
                <w:sz w:val="17"/>
              </w:rPr>
              <w:t>26,234</w:t>
            </w:r>
          </w:p>
        </w:tc>
        <w:tc>
          <w:tcPr>
            <w:tcW w:type="dxa" w:w="1440"/>
            <w:shd w:fill="C6EFCE" w:val="clear"/>
          </w:tcPr>
          <w:p>
            <w:r>
              <w:rPr>
                <w:b/>
                <w:color w:val="008000"/>
                <w:sz w:val="17"/>
              </w:rPr>
              <w:t>+4.3%</w:t>
            </w:r>
          </w:p>
        </w:tc>
      </w:tr>
      <w:tr>
        <w:tc>
          <w:tcPr>
            <w:tcW w:type="dxa" w:w="1440"/>
            <w:shd w:fill="C6EFCE" w:val="clear"/>
          </w:tcPr>
          <w:p>
            <w:r>
              <w:rPr>
                <w:sz w:val="17"/>
              </w:rPr>
              <w:t>J+5  ⭐</w:t>
            </w:r>
          </w:p>
        </w:tc>
        <w:tc>
          <w:tcPr>
            <w:tcW w:type="dxa" w:w="1440"/>
            <w:shd w:fill="C6EFCE" w:val="clear"/>
          </w:tcPr>
          <w:p>
            <w:r>
              <w:rPr>
                <w:sz w:val="17"/>
              </w:rPr>
              <w:t>2026-08-24</w:t>
            </w:r>
          </w:p>
        </w:tc>
        <w:tc>
          <w:tcPr>
            <w:tcW w:type="dxa" w:w="1440"/>
            <w:shd w:fill="C6EFCE" w:val="clear"/>
          </w:tcPr>
          <w:p>
            <w:r>
              <w:rPr>
                <w:sz w:val="17"/>
              </w:rPr>
              <w:t>21,664</w:t>
            </w:r>
          </w:p>
        </w:tc>
        <w:tc>
          <w:tcPr>
            <w:tcW w:type="dxa" w:w="1440"/>
            <w:shd w:fill="C6EFCE" w:val="clear"/>
          </w:tcPr>
          <w:p>
            <w:r>
              <w:rPr>
                <w:b/>
                <w:sz w:val="17"/>
              </w:rPr>
              <w:t>24,198</w:t>
            </w:r>
          </w:p>
        </w:tc>
        <w:tc>
          <w:tcPr>
            <w:tcW w:type="dxa" w:w="1440"/>
            <w:shd w:fill="C6EFCE" w:val="clear"/>
          </w:tcPr>
          <w:p>
            <w:r>
              <w:rPr>
                <w:sz w:val="17"/>
              </w:rPr>
              <w:t>26,732</w:t>
            </w:r>
          </w:p>
        </w:tc>
        <w:tc>
          <w:tcPr>
            <w:tcW w:type="dxa" w:w="1440"/>
            <w:shd w:fill="C6EFCE" w:val="clear"/>
          </w:tcPr>
          <w:p>
            <w:r>
              <w:rPr>
                <w:b/>
                <w:color w:val="008000"/>
                <w:sz w:val="17"/>
              </w:rPr>
              <w:t>+5.2%</w:t>
            </w:r>
          </w:p>
        </w:tc>
      </w:tr>
      <w:tr>
        <w:tc>
          <w:tcPr>
            <w:tcW w:type="dxa" w:w="1440"/>
            <w:shd w:fill="C6EFCE" w:val="clear"/>
          </w:tcPr>
          <w:p>
            <w:r>
              <w:rPr>
                <w:sz w:val="17"/>
              </w:rPr>
              <w:t>J+6  ⭐</w:t>
            </w:r>
          </w:p>
        </w:tc>
        <w:tc>
          <w:tcPr>
            <w:tcW w:type="dxa" w:w="1440"/>
            <w:shd w:fill="C6EFCE" w:val="clear"/>
          </w:tcPr>
          <w:p>
            <w:r>
              <w:rPr>
                <w:sz w:val="17"/>
              </w:rPr>
              <w:t>2026-08-25</w:t>
            </w:r>
          </w:p>
        </w:tc>
        <w:tc>
          <w:tcPr>
            <w:tcW w:type="dxa" w:w="1440"/>
            <w:shd w:fill="C6EFCE" w:val="clear"/>
          </w:tcPr>
          <w:p>
            <w:r>
              <w:rPr>
                <w:sz w:val="17"/>
              </w:rPr>
              <w:t>21,621</w:t>
            </w:r>
          </w:p>
        </w:tc>
        <w:tc>
          <w:tcPr>
            <w:tcW w:type="dxa" w:w="1440"/>
            <w:shd w:fill="C6EFCE" w:val="clear"/>
          </w:tcPr>
          <w:p>
            <w:r>
              <w:rPr>
                <w:b/>
                <w:sz w:val="17"/>
              </w:rPr>
              <w:t>24,423</w:t>
            </w:r>
          </w:p>
        </w:tc>
        <w:tc>
          <w:tcPr>
            <w:tcW w:type="dxa" w:w="1440"/>
            <w:shd w:fill="C6EFCE" w:val="clear"/>
          </w:tcPr>
          <w:p>
            <w:r>
              <w:rPr>
                <w:sz w:val="17"/>
              </w:rPr>
              <w:t>27,225</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2026-08-27</w:t>
            </w:r>
          </w:p>
        </w:tc>
        <w:tc>
          <w:tcPr>
            <w:tcW w:type="dxa" w:w="1440"/>
            <w:shd w:fill="C6EFCE" w:val="clear"/>
          </w:tcPr>
          <w:p>
            <w:r>
              <w:rPr>
                <w:sz w:val="17"/>
              </w:rPr>
              <w:t>21,598</w:t>
            </w:r>
          </w:p>
        </w:tc>
        <w:tc>
          <w:tcPr>
            <w:tcW w:type="dxa" w:w="1440"/>
            <w:shd w:fill="C6EFCE" w:val="clear"/>
          </w:tcPr>
          <w:p>
            <w:r>
              <w:rPr>
                <w:b/>
                <w:sz w:val="17"/>
              </w:rPr>
              <w:t>24,653</w:t>
            </w:r>
          </w:p>
        </w:tc>
        <w:tc>
          <w:tcPr>
            <w:tcW w:type="dxa" w:w="1440"/>
            <w:shd w:fill="C6EFCE" w:val="clear"/>
          </w:tcPr>
          <w:p>
            <w:r>
              <w:rPr>
                <w:sz w:val="17"/>
              </w:rPr>
              <w:t>27,708</w:t>
            </w:r>
          </w:p>
        </w:tc>
        <w:tc>
          <w:tcPr>
            <w:tcW w:type="dxa" w:w="1440"/>
            <w:shd w:fill="C6EFCE" w:val="clear"/>
          </w:tcPr>
          <w:p>
            <w:r>
              <w:rPr>
                <w:b/>
                <w:color w:val="008000"/>
                <w:sz w:val="17"/>
              </w:rPr>
              <w:t>+7.2%</w:t>
            </w:r>
          </w:p>
        </w:tc>
      </w:tr>
      <w:tr>
        <w:tc>
          <w:tcPr>
            <w:tcW w:type="dxa" w:w="1440"/>
            <w:shd w:fill="C6EFCE" w:val="clear"/>
          </w:tcPr>
          <w:p>
            <w:r>
              <w:rPr>
                <w:sz w:val="17"/>
              </w:rPr>
              <w:t>J+8  ⭐</w:t>
            </w:r>
          </w:p>
        </w:tc>
        <w:tc>
          <w:tcPr>
            <w:tcW w:type="dxa" w:w="1440"/>
            <w:shd w:fill="C6EFCE" w:val="clear"/>
          </w:tcPr>
          <w:p>
            <w:r>
              <w:rPr>
                <w:sz w:val="17"/>
              </w:rPr>
              <w:t>2026-08-28</w:t>
            </w:r>
          </w:p>
        </w:tc>
        <w:tc>
          <w:tcPr>
            <w:tcW w:type="dxa" w:w="1440"/>
            <w:shd w:fill="C6EFCE" w:val="clear"/>
          </w:tcPr>
          <w:p>
            <w:r>
              <w:rPr>
                <w:sz w:val="17"/>
              </w:rPr>
              <w:t>21,599</w:t>
            </w:r>
          </w:p>
        </w:tc>
        <w:tc>
          <w:tcPr>
            <w:tcW w:type="dxa" w:w="1440"/>
            <w:shd w:fill="C6EFCE" w:val="clear"/>
          </w:tcPr>
          <w:p>
            <w:r>
              <w:rPr>
                <w:b/>
                <w:sz w:val="17"/>
              </w:rPr>
              <w:t>24,897</w:t>
            </w:r>
          </w:p>
        </w:tc>
        <w:tc>
          <w:tcPr>
            <w:tcW w:type="dxa" w:w="1440"/>
            <w:shd w:fill="C6EFCE" w:val="clear"/>
          </w:tcPr>
          <w:p>
            <w:r>
              <w:rPr>
                <w:sz w:val="17"/>
              </w:rPr>
              <w:t>28,195</w:t>
            </w:r>
          </w:p>
        </w:tc>
        <w:tc>
          <w:tcPr>
            <w:tcW w:type="dxa" w:w="1440"/>
            <w:shd w:fill="C6EFCE" w:val="clear"/>
          </w:tcPr>
          <w:p>
            <w:r>
              <w:rPr>
                <w:b/>
                <w:color w:val="008000"/>
                <w:sz w:val="17"/>
              </w:rPr>
              <w:t>+8.2%</w:t>
            </w:r>
          </w:p>
        </w:tc>
      </w:tr>
      <w:tr>
        <w:tc>
          <w:tcPr>
            <w:tcW w:type="dxa" w:w="1440"/>
            <w:shd w:fill="C6EFCE" w:val="clear"/>
          </w:tcPr>
          <w:p>
            <w:r>
              <w:rPr>
                <w:sz w:val="17"/>
              </w:rPr>
              <w:t>J+9  ⭐</w:t>
            </w:r>
          </w:p>
        </w:tc>
        <w:tc>
          <w:tcPr>
            <w:tcW w:type="dxa" w:w="1440"/>
            <w:shd w:fill="C6EFCE" w:val="clear"/>
          </w:tcPr>
          <w:p>
            <w:r>
              <w:rPr>
                <w:sz w:val="17"/>
              </w:rPr>
              <w:t>2026-08-31</w:t>
            </w:r>
          </w:p>
        </w:tc>
        <w:tc>
          <w:tcPr>
            <w:tcW w:type="dxa" w:w="1440"/>
            <w:shd w:fill="C6EFCE" w:val="clear"/>
          </w:tcPr>
          <w:p>
            <w:r>
              <w:rPr>
                <w:sz w:val="17"/>
              </w:rPr>
              <w:t>21,617</w:t>
            </w:r>
          </w:p>
        </w:tc>
        <w:tc>
          <w:tcPr>
            <w:tcW w:type="dxa" w:w="1440"/>
            <w:shd w:fill="C6EFCE" w:val="clear"/>
          </w:tcPr>
          <w:p>
            <w:r>
              <w:rPr>
                <w:b/>
                <w:sz w:val="17"/>
              </w:rPr>
              <w:t>25,151</w:t>
            </w:r>
          </w:p>
        </w:tc>
        <w:tc>
          <w:tcPr>
            <w:tcW w:type="dxa" w:w="1440"/>
            <w:shd w:fill="C6EFCE" w:val="clear"/>
          </w:tcPr>
          <w:p>
            <w:r>
              <w:rPr>
                <w:sz w:val="17"/>
              </w:rPr>
              <w:t>28,685</w:t>
            </w:r>
          </w:p>
        </w:tc>
        <w:tc>
          <w:tcPr>
            <w:tcW w:type="dxa" w:w="1440"/>
            <w:shd w:fill="C6EFCE" w:val="clear"/>
          </w:tcPr>
          <w:p>
            <w:r>
              <w:rPr>
                <w:b/>
                <w:color w:val="008000"/>
                <w:sz w:val="17"/>
              </w:rPr>
              <w:t>+9.4%</w:t>
            </w:r>
          </w:p>
        </w:tc>
      </w:tr>
      <w:tr>
        <w:tc>
          <w:tcPr>
            <w:tcW w:type="dxa" w:w="1440"/>
            <w:shd w:fill="C6EFCE" w:val="clear"/>
          </w:tcPr>
          <w:p>
            <w:r>
              <w:rPr>
                <w:sz w:val="17"/>
              </w:rPr>
              <w:t>J+10  ⭐</w:t>
            </w:r>
          </w:p>
        </w:tc>
        <w:tc>
          <w:tcPr>
            <w:tcW w:type="dxa" w:w="1440"/>
            <w:shd w:fill="C6EFCE" w:val="clear"/>
          </w:tcPr>
          <w:p>
            <w:r>
              <w:rPr>
                <w:sz w:val="17"/>
              </w:rPr>
              <w:t>2026-09-01</w:t>
            </w:r>
          </w:p>
        </w:tc>
        <w:tc>
          <w:tcPr>
            <w:tcW w:type="dxa" w:w="1440"/>
            <w:shd w:fill="C6EFCE" w:val="clear"/>
          </w:tcPr>
          <w:p>
            <w:r>
              <w:rPr>
                <w:sz w:val="17"/>
              </w:rPr>
              <w:t>21,643</w:t>
            </w:r>
          </w:p>
        </w:tc>
        <w:tc>
          <w:tcPr>
            <w:tcW w:type="dxa" w:w="1440"/>
            <w:shd w:fill="C6EFCE" w:val="clear"/>
          </w:tcPr>
          <w:p>
            <w:r>
              <w:rPr>
                <w:b/>
                <w:sz w:val="17"/>
              </w:rPr>
              <w:t>25,406</w:t>
            </w:r>
          </w:p>
        </w:tc>
        <w:tc>
          <w:tcPr>
            <w:tcW w:type="dxa" w:w="1440"/>
            <w:shd w:fill="C6EFCE" w:val="clear"/>
          </w:tcPr>
          <w:p>
            <w:r>
              <w:rPr>
                <w:sz w:val="17"/>
              </w:rPr>
              <w:t>29,169</w:t>
            </w:r>
          </w:p>
        </w:tc>
        <w:tc>
          <w:tcPr>
            <w:tcW w:type="dxa" w:w="1440"/>
            <w:shd w:fill="C6EFCE" w:val="clear"/>
          </w:tcPr>
          <w:p>
            <w:r>
              <w:rPr>
                <w:b/>
                <w:color w:val="008000"/>
                <w:sz w:val="17"/>
              </w:rPr>
              <w:t>+10.5%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412,96 milliards FCFA, ce qui en fait une valeur de première importance sur la BRVM, représentant un poids significatif dans l'indice composite. Avec un BPA de 2 014 FCFA, chaque action génère un bénéfice substantiel pour son détenteur. Le PER de 11,4x se situe dans la fourchette haute de la moyenne du marché BRVM (8-12x), indiquant une valorisation raisonnable mais non décotée, les investisseurs acceptant de payer un prix légèrement supérieur à la moyenne du marché pour la qualité des bénéfices. En revanche, le P/B de 9,11x est particulièrement élevé, traduisant une prime importante par rapport à la valeur comptable des actifs, ce qui reflète la confiance du marché dans la capacité de l'entreprise à générer des rendements supérieurs à son actif net. Enfin, l'EV/EBITDA de 8,2x se situe dans une zone de valorisation raisonnable (5-10x), indiquant que la valeur totale de l'entreprise reste cohérente avec sa capacité opérationnelle de génération de profits.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de +4,62%, avec une dernière séance en repli de -2,11% à 23 000 FCFA. Le titre a évolué dans une fourchette de 19 705 FCFA (plus bas) à 25 000 FCFA (plus haut), démontrant une amplitude de trading de près de 27%, ce qui témoigne d'une volatilité non négligeable. La moyenne du cours sur la période s'établit à 22 209 FCFA, légèrement supérieure à la médiane de 21 900 FCFA, indiquant une distribution légèrement asymétrique vers le haut, confirmée par un skewness positif de 0,444. L'écart-type de 1 377 FCFA, avec un coefficient de variation de 6,2%, révèle une dispersion modérée des prix autour de la moyenne. Le kurtosis de -0,884 indique une distribution mésokurtique, proche de la normale, avec un risque de mouvements extrêmes limité. La volatilité annualisée de 33,1% positionne le titre dans la catégorie des valeurs à volatilité élevée (&gt;30%), ce qui implique des fluctuations de prix importantes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23 000 FCFA se situe en dessous de la MM20 (23 561 FCFA) et de la MM50 (23 332 FCFA), signalant une faiblesse à court terme. Cependant, la décision globale est "Achat", suggérant que la tendance de fond reste positive malgré le repli récent. La configuration des moyennes mobiles indique que le titre pourrait trouver un support autour de la zone des 23 000 FCFA.</w:t>
      </w:r>
    </w:p>
    <w:p>
      <w:pPr>
        <w:spacing w:after="120" w:line="276" w:lineRule="auto"/>
      </w:pPr>
      <w:r>
        <w:t>**Bandes de Bollinger** : Le prix évolue dans la partie inférieure de l'enveloppe, entre la borne inférieure à 22 126 FCFA et la borne supérieure à 24 996 FCFA. La position actuelle du cours, proche de la borne inférieure, suggère une zone de potentiel rebond technique. La décision "Neutre" reflète l'absence de signal directionnel fort, le marché attendant une sortie de cette zone de consolidation.</w:t>
      </w:r>
    </w:p>
    <w:p>
      <w:pPr>
        <w:spacing w:after="120" w:line="276" w:lineRule="auto"/>
      </w:pPr>
      <w:r>
        <w:t>**MACD** : La divergence entre la valeur MACD (1,203) et le signal (128,769) est extrêmement marquée, avec un signal très supérieur à la valeur MACD. Cette configuration indique un momentum baissier significatif, justifiant la décision "Vente". Le croisement baissier suggère que la pression vendeuse pourrait se poursuivre à court terme.</w:t>
      </w:r>
    </w:p>
    <w:p>
      <w:pPr>
        <w:spacing w:after="120" w:line="276" w:lineRule="auto"/>
      </w:pPr>
      <w:r>
        <w:t>**RSI** : Avec une valeur de 48,63, le RSI se situe en zone neutre (30-70), indiquant un équilibre entre pressions acheteuses et vendeuses. Cette valeur ne montre ni surachat ni survente, laissant une marge de manœuvre dans les deux sens. La décision "Neutre" est cohérente avec cette lecture.</w:t>
      </w:r>
    </w:p>
    <w:p>
      <w:pPr>
        <w:spacing w:after="120" w:line="276" w:lineRule="auto"/>
      </w:pPr>
      <w:r>
        <w:t>**Stochastique** : Les valeurs %K (23,81) et %D (22,16) sont proches et en zone de survente (&lt;30), suggérant un potentiel de rebond technique. Le croisement haussier potentiel de ces deux lignes pourrait signaler un retournement à la hausse. La décision "Neutre" reflète toutefois l'attente de confirmation de ce signal.</w:t>
      </w:r>
    </w:p>
    <w:p>
      <w:pPr>
        <w:spacing w:after="120" w:line="276" w:lineRule="auto"/>
      </w:pPr>
      <w:r>
        <w:t>**Conclusion technique** : Les indicateurs techniques présentent un tableau contrasté, avec des signaux baissiers (MACD) contrebalancés par des conditions de survente (Stochastique) et une position proche de la borne inférieure des bandes de Bollinger. La tendance des moyennes mobiles reste positive, mais le momentum à court terme est négatif. L'équilibre global penche vers une consolidation avec un biais légèrement baissier à très court terme, avant un potentiel rebond technique.</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font état d'un chiffre d'affaires de 268,537 milliards FCFA, en croissance de 25,3%, pour un résultat net de 36,158 milliards FCFA. La marge nette s'établit à 13,46%, tandis que le ROE atteint un niveau exceptionnel de 79,75% et le ROA de 48,09%, démontrant une utilisation extrêmement efficace des capitaux propres et des actifs. La structure financière est saine avec une autonomie financière de 60,3% et un endettement quasi nul (dettes financières de seulement 1,4 million FCFA). Le BFR négatif de 5,639 milliards FCFA constitue un avantage compétitif majeur, l'entreprise finançant son exploitation grâce aux délais de paiement de ses fournisseurs. Le délai clients de 42,57 jours reste raisonnable, tandis que la trésorerie nette de 30,763 milliards FCFA offre une marge de sécurité confortable. Les rapports narratifs confirment cette performance : le rapport annuel 2025 (analysé par DEEPSEEK le 26/06/2026) indique une baisse du résultat net de 17,5% par rapport à 2024, principalement due à la hausse des droits d'accise (de 49% à 70%) et à un contrôle fiscal. Le rapport T1 2026 (publié en 2026) montre un chiffre d'affaires de 68,8 milliards FCFA (+12%) avec un résultat net de 9,3 milliards FCFA, stable. Sur la base de ce premier trimestre, on estime que l'exercice 2026 pourrait voir un chiffre d'affaires d'environ 300 milliards FCFA, avec un résultat net potentiel de 36-38 milliards FCFA si la maîtrise des coûts s'améliore. La politique de dividende reste généreuse avec 1 940 FCFA par action proposé pour 2025, soit un taux de distribution de 84,9%. La recommandation fondamentale globale est de conserver le titre, la société affichant une solidité financière remarquable mais subissant une pression fiscale croissante qui érode ses marges.</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contrastée pour STBC. La valorisation (Partie 0) montre un PER raisonnable de 11,4x mais un P/B très élevé de 9,11x, indiquant que le marché valorise déjà des performances exceptionnelles. Le comportement du cours (Partie 1) affiche une tendance positive sur 100 jours (+4,62%) mais avec une volatilité élevée de 33,1% et une distribution relativement normale (kurtosis -0,884), suggérant un risque modéré de mouvements extrêmes. Les signaux techniques (Partie 2) sont mitigés, avec un MACD vendeur contrebalancé par des conditions de survente stochastique et une position favorable dans les bandes de Bollinger. Les fondamentaux (Partie 3) demeurent solides avec un ROE exceptionnel de 79,75%, une croissance du CA de 25,3% et une structure financière saine, mais la pression fiscale croissante et la baisse de rentabilité constituent des points de vigilance. Les prédictions IA pour les 10 prochains jours (23 439 à 24 198 FCFA) suggèrent une trajectoire haussière de +5,2%, confirmant le potentiel de rebond technique identifié. La convergence entre les fondamentaux solides, la valorisation raisonnable et les prédictions IA haussières, malgré des signaux techniques mitigés, conduit à une recommandation **CONSERVER** avec un niveau de confiance **Moyen**. Le risque global est **Moyen**, principalement lié à l'environnement fiscal et réglementaire. L'horizon d'investissement optimal est le **moyen terme (3-12 mois)**, permettant de capturer le potentiel de croissance tout en surveillant l'évolution de la pression fiscale et la capacité de l'entreprise à maintenir ses marges.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202.11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8,331 titres</w:t>
            </w:r>
          </w:p>
        </w:tc>
        <w:tc>
          <w:tcPr>
            <w:tcW w:type="dxa" w:w="2268"/>
            <w:shd w:fill="FFF2CC" w:val="clear"/>
          </w:tcPr>
          <w:p>
            <w:r>
              <w:rPr>
                <w:b/>
                <w:color w:val="503200"/>
                <w:sz w:val="16"/>
              </w:rPr>
              <w:t xml:space="preserve">Cours actuel : </w:t>
            </w:r>
            <w:r>
              <w:rPr>
                <w:color w:val="000000"/>
                <w:sz w:val="17"/>
              </w:rPr>
              <w:t>3,210 FCFA</w:t>
            </w:r>
          </w:p>
          <w:p>
            <w:r>
              <w:rPr>
                <w:b/>
                <w:color w:val="503200"/>
                <w:sz w:val="16"/>
              </w:rPr>
              <w:t xml:space="preserve">Var. 100 jours : </w:t>
            </w:r>
            <w:r>
              <w:rPr>
                <w:b/>
                <w:color w:val="007800"/>
                <w:sz w:val="17"/>
              </w:rPr>
              <w:t>+7.18%</w:t>
            </w:r>
          </w:p>
          <w:p>
            <w:r>
              <w:rPr>
                <w:b/>
                <w:color w:val="503200"/>
                <w:sz w:val="16"/>
              </w:rPr>
              <w:t xml:space="preserve">Plus haut 100j : </w:t>
            </w:r>
            <w:r>
              <w:rPr>
                <w:color w:val="000000"/>
                <w:sz w:val="17"/>
              </w:rPr>
              <w:t>3,210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41.0%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3.69% (Faible) — μ=2,863 FCFA, σ=106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β=0.1784 (Défensif) — Cov=0.000006, Var(idx)=0.000031, ρ=0.039, n=99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8,331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σ_j=2.58%/j (Stable) — Vol. annualisée≈41.0%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3,014</w:t>
            </w:r>
          </w:p>
        </w:tc>
        <w:tc>
          <w:tcPr>
            <w:tcW w:type="dxa" w:w="1440"/>
            <w:shd w:fill="FAFAFA" w:val="clear"/>
          </w:tcPr>
          <w:p>
            <w:r>
              <w:rPr>
                <w:b/>
                <w:sz w:val="17"/>
              </w:rPr>
              <w:t>3,197</w:t>
            </w:r>
          </w:p>
        </w:tc>
        <w:tc>
          <w:tcPr>
            <w:tcW w:type="dxa" w:w="1440"/>
            <w:shd w:fill="FAFAFA" w:val="clear"/>
          </w:tcPr>
          <w:p>
            <w:r>
              <w:rPr>
                <w:sz w:val="17"/>
              </w:rPr>
              <w:t>3,380</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2026-08-19</w:t>
            </w:r>
          </w:p>
        </w:tc>
        <w:tc>
          <w:tcPr>
            <w:tcW w:type="dxa" w:w="1440"/>
            <w:shd w:fill="FAFAFA" w:val="clear"/>
          </w:tcPr>
          <w:p>
            <w:r>
              <w:rPr>
                <w:sz w:val="17"/>
              </w:rPr>
              <w:t>2,925</w:t>
            </w:r>
          </w:p>
        </w:tc>
        <w:tc>
          <w:tcPr>
            <w:tcW w:type="dxa" w:w="1440"/>
            <w:shd w:fill="FAFAFA" w:val="clear"/>
          </w:tcPr>
          <w:p>
            <w:r>
              <w:rPr>
                <w:b/>
                <w:sz w:val="17"/>
              </w:rPr>
              <w:t>3,183</w:t>
            </w:r>
          </w:p>
        </w:tc>
        <w:tc>
          <w:tcPr>
            <w:tcW w:type="dxa" w:w="1440"/>
            <w:shd w:fill="FAFAFA" w:val="clear"/>
          </w:tcPr>
          <w:p>
            <w:r>
              <w:rPr>
                <w:sz w:val="17"/>
              </w:rPr>
              <w:t>3,440</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2026-08-20</w:t>
            </w:r>
          </w:p>
        </w:tc>
        <w:tc>
          <w:tcPr>
            <w:tcW w:type="dxa" w:w="1440"/>
            <w:shd w:fill="FAFAFA" w:val="clear"/>
          </w:tcPr>
          <w:p>
            <w:r>
              <w:rPr>
                <w:sz w:val="17"/>
              </w:rPr>
              <w:t>2,853</w:t>
            </w:r>
          </w:p>
        </w:tc>
        <w:tc>
          <w:tcPr>
            <w:tcW w:type="dxa" w:w="1440"/>
            <w:shd w:fill="FAFAFA" w:val="clear"/>
          </w:tcPr>
          <w:p>
            <w:r>
              <w:rPr>
                <w:b/>
                <w:sz w:val="17"/>
              </w:rPr>
              <w:t>3,167</w:t>
            </w:r>
          </w:p>
        </w:tc>
        <w:tc>
          <w:tcPr>
            <w:tcW w:type="dxa" w:w="1440"/>
            <w:shd w:fill="FAFAFA" w:val="clear"/>
          </w:tcPr>
          <w:p>
            <w:r>
              <w:rPr>
                <w:sz w:val="17"/>
              </w:rPr>
              <w:t>3,480</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2026-08-21</w:t>
            </w:r>
          </w:p>
        </w:tc>
        <w:tc>
          <w:tcPr>
            <w:tcW w:type="dxa" w:w="1440"/>
            <w:shd w:fill="FAFAFA" w:val="clear"/>
          </w:tcPr>
          <w:p>
            <w:r>
              <w:rPr>
                <w:sz w:val="17"/>
              </w:rPr>
              <w:t>2,794</w:t>
            </w:r>
          </w:p>
        </w:tc>
        <w:tc>
          <w:tcPr>
            <w:tcW w:type="dxa" w:w="1440"/>
            <w:shd w:fill="FAFAFA" w:val="clear"/>
          </w:tcPr>
          <w:p>
            <w:r>
              <w:rPr>
                <w:b/>
                <w:sz w:val="17"/>
              </w:rPr>
              <w:t>3,154</w:t>
            </w:r>
          </w:p>
        </w:tc>
        <w:tc>
          <w:tcPr>
            <w:tcW w:type="dxa" w:w="1440"/>
            <w:shd w:fill="FAFAFA" w:val="clear"/>
          </w:tcPr>
          <w:p>
            <w:r>
              <w:rPr>
                <w:sz w:val="17"/>
              </w:rPr>
              <w:t>3,515</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2,742</w:t>
            </w:r>
          </w:p>
        </w:tc>
        <w:tc>
          <w:tcPr>
            <w:tcW w:type="dxa" w:w="1440"/>
            <w:shd w:fill="FFDCE0" w:val="clear"/>
          </w:tcPr>
          <w:p>
            <w:r>
              <w:rPr>
                <w:b/>
                <w:sz w:val="17"/>
              </w:rPr>
              <w:t>3,144</w:t>
            </w:r>
          </w:p>
        </w:tc>
        <w:tc>
          <w:tcPr>
            <w:tcW w:type="dxa" w:w="1440"/>
            <w:shd w:fill="FFDCE0" w:val="clear"/>
          </w:tcPr>
          <w:p>
            <w:r>
              <w:rPr>
                <w:sz w:val="17"/>
              </w:rPr>
              <w:t>3,546</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2,695</w:t>
            </w:r>
          </w:p>
        </w:tc>
        <w:tc>
          <w:tcPr>
            <w:tcW w:type="dxa" w:w="1440"/>
            <w:shd w:fill="FFDCE0" w:val="clear"/>
          </w:tcPr>
          <w:p>
            <w:r>
              <w:rPr>
                <w:b/>
                <w:sz w:val="17"/>
              </w:rPr>
              <w:t>3,134</w:t>
            </w:r>
          </w:p>
        </w:tc>
        <w:tc>
          <w:tcPr>
            <w:tcW w:type="dxa" w:w="1440"/>
            <w:shd w:fill="FFDCE0" w:val="clear"/>
          </w:tcPr>
          <w:p>
            <w:r>
              <w:rPr>
                <w:sz w:val="17"/>
              </w:rPr>
              <w:t>3,573</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2,652</w:t>
            </w:r>
          </w:p>
        </w:tc>
        <w:tc>
          <w:tcPr>
            <w:tcW w:type="dxa" w:w="1440"/>
            <w:shd w:fill="FFDCE0" w:val="clear"/>
          </w:tcPr>
          <w:p>
            <w:r>
              <w:rPr>
                <w:b/>
                <w:sz w:val="17"/>
              </w:rPr>
              <w:t>3,125</w:t>
            </w:r>
          </w:p>
        </w:tc>
        <w:tc>
          <w:tcPr>
            <w:tcW w:type="dxa" w:w="1440"/>
            <w:shd w:fill="FFDCE0" w:val="clear"/>
          </w:tcPr>
          <w:p>
            <w:r>
              <w:rPr>
                <w:sz w:val="17"/>
              </w:rPr>
              <w:t>3,598</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2,612</w:t>
            </w:r>
          </w:p>
        </w:tc>
        <w:tc>
          <w:tcPr>
            <w:tcW w:type="dxa" w:w="1440"/>
            <w:shd w:fill="FFDCE0" w:val="clear"/>
          </w:tcPr>
          <w:p>
            <w:r>
              <w:rPr>
                <w:b/>
                <w:sz w:val="17"/>
              </w:rPr>
              <w:t>3,116</w:t>
            </w:r>
          </w:p>
        </w:tc>
        <w:tc>
          <w:tcPr>
            <w:tcW w:type="dxa" w:w="1440"/>
            <w:shd w:fill="FFDCE0" w:val="clear"/>
          </w:tcPr>
          <w:p>
            <w:r>
              <w:rPr>
                <w:sz w:val="17"/>
              </w:rPr>
              <w:t>3,621</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2,575</w:t>
            </w:r>
          </w:p>
        </w:tc>
        <w:tc>
          <w:tcPr>
            <w:tcW w:type="dxa" w:w="1440"/>
            <w:shd w:fill="FFDCE0" w:val="clear"/>
          </w:tcPr>
          <w:p>
            <w:r>
              <w:rPr>
                <w:b/>
                <w:sz w:val="17"/>
              </w:rPr>
              <w:t>3,108</w:t>
            </w:r>
          </w:p>
        </w:tc>
        <w:tc>
          <w:tcPr>
            <w:tcW w:type="dxa" w:w="1440"/>
            <w:shd w:fill="FFDCE0" w:val="clear"/>
          </w:tcPr>
          <w:p>
            <w:r>
              <w:rPr>
                <w:sz w:val="17"/>
              </w:rPr>
              <w:t>3,641</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2,539</w:t>
            </w:r>
          </w:p>
        </w:tc>
        <w:tc>
          <w:tcPr>
            <w:tcW w:type="dxa" w:w="1440"/>
            <w:shd w:fill="FFDCE0" w:val="clear"/>
          </w:tcPr>
          <w:p>
            <w:r>
              <w:rPr>
                <w:b/>
                <w:sz w:val="17"/>
              </w:rPr>
              <w:t>3,099</w:t>
            </w:r>
          </w:p>
        </w:tc>
        <w:tc>
          <w:tcPr>
            <w:tcW w:type="dxa" w:w="1440"/>
            <w:shd w:fill="FFDCE0" w:val="clear"/>
          </w:tcPr>
          <w:p>
            <w:r>
              <w:rPr>
                <w:sz w:val="17"/>
              </w:rPr>
              <w:t>3,660</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17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202,11 milliards FCFA, ce qui en fait une valeur de première ligne sur la BRVM, représentative du secteur de la distribution d'énergie. Avec un BPA de 144 FCFA, le titre se négocie à un PER de 22,2x, soit un niveau nettement supérieur à la moyenne historique du marché (8-12x). Cette prime reflète une anticipation de croissance future ou une certaine rareté du titre, mais elle expose également l'investisseur à un risque de correction si les résultats déçoivent. Le P/B de 5,58x confirme cette valorisation exigeante, le marché payant plus de 5 fois la valeur comptable des actifs. Enfin, un EV/EBITDA de 11,5x, bien que dans la fourchette haute (10-15x), indique que la valeur d'entreprise reste soutenue par une capacité opérationnelle (EBITDA) solide, justifiant en partie cette prime de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affiché une progression de +7,18%, avec une dernière séance en hausse de +1,90%, clôturant à 3 210 FCFA, son plus haut niveau sur la période. Le titre a évolué dans une fourchette de 2 650 à 3 210 FCFA, démontrant une tendance haussière soutenue. La moyenne (2 863 FCFA) et la médiane (2 870 FCFA) étant très proches, la distribution des prix est quasi symétrique, ce que confirme le skewness de 0,229. L'écart-type de 106 FCFA (CV = 3,7%) indique une dispersion relativement faible autour de la moyenne, suggérant une stabilité relative du cours sur la période. Le kurtosis de 0,319 (mésokurtique) indique une distribution normale sans risque de pics extrêmes. Cependant, la volatilité annualisée de 41,0% classe le titre comme très volatil (&gt;30%), ce qui contraste avec la stabilité intra-période et signale des fluctuations potentielles importantes à long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(3 210 FCFA) se situe nettement au-dessus de la MM20 (2 970,5 FCFA) et de la MM50 (2 913,4 FCFA). Cette configuration haussière, avec des moyennes orientées à la hausse, confirme la dynamique positive du titre. La décision d'achat est justifiée par l'écart croissant entre le prix et les moyennes, signalant une forte pression acheteuse.</w:t>
      </w:r>
    </w:p>
    <w:p>
      <w:pPr>
        <w:spacing w:after="120" w:line="276" w:lineRule="auto"/>
      </w:pPr>
      <w:r>
        <w:t>**Bandes de Bollinger** : Le prix a franchi la borne supérieure (3 167,5 FCFA), indiquant une condition de surachat à court terme. Cette sortie de canal suggère une extension excessive de la hausse, ce qui pourrait précéder un repli technique. La décision de vente est donc prudente, signalant un risque de correction après ce mouvement brusque.</w:t>
      </w:r>
    </w:p>
    <w:p>
      <w:pPr>
        <w:spacing w:after="120" w:line="276" w:lineRule="auto"/>
      </w:pPr>
      <w:r>
        <w:t>**MACD** : Le MACD (48,27) est nettement supérieur à son signal (24,14), avec un écart croissant. Cette divergence positive confirme un momentum haussier fort. La décision d'achat est justifiée par la vigueur du mouvement, bien que l'amplitude de l'écart puisse indiquer une maturité du signal.</w:t>
      </w:r>
    </w:p>
    <w:p>
      <w:pPr>
        <w:spacing w:after="120" w:line="276" w:lineRule="auto"/>
      </w:pPr>
      <w:r>
        <w:t>**RSI** : À 58,53, le RSI se situe en zone neutre (30-70), sans signal de surachat ni de survente. Cette valeur indique un équilibre entre pression acheteuse et vendeuse, laissant une marge de progression avant d'atteindre la zone de surachat (&gt;70). La décision neutre est cohérente avec cette lecture.</w:t>
      </w:r>
    </w:p>
    <w:p>
      <w:pPr>
        <w:spacing w:after="120" w:line="276" w:lineRule="auto"/>
      </w:pPr>
      <w:r>
        <w:t>**Stochastique** : Le %K et le %D sont tous deux à 100, un niveau extrême de surachat. Cette configuration signale que le titre est en territoire très survendu, avec un risque élevé de retournement baissier à très court terme. La décision de vente est donc justifiée par cette situation de surachat extrême.</w:t>
      </w:r>
    </w:p>
    <w:p>
      <w:pPr>
        <w:spacing w:after="120" w:line="276" w:lineRule="auto"/>
      </w:pPr>
      <w:r>
        <w:t>**Conclusion technique** : Les indicateurs de tendance (MM, MACD) sont positifs et confirment une dynamique haussière, mais les oscillateurs de momentum (RSI, Stochastique) et les bandes de Bollinger signalent une condition de surachat imminent. Cette divergence suggère une probable consolidation ou correction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TTLC font état d'un chiffre d'affaires de 588,709 milliards FCFA, en repli de 5,2% par rapport à 2024 (621,042 Mds). Le résultat net s'établit à 9,087 milliards FCFA, en baisse de 3% sur un an, mais la marge nette s'améliore légèrement à 1,54%. La rentabilité des capitaux propres (ROE) est excellente à 25,1%, et le ROA ressort à 4,82%. En tant qu'entreprise de distribution, le BFR négatif de -9,662 milliards FCFA est un point très favorable, indiquant que la société finance son exploitation grâce aux délais de paiement de ses fournisseurs (49,72 jours). Cependant, le fonds de roulement est négatif (-31,587 Mds) et la trésorerie nette est déficitaire de -21,926 milliards FCFA, signe d'une dépendance aux crédits bancaires à court terme. Le rapport annuel 2025 (daté du 31/12/2025) souligne une amélioration de l'EBE (+12%) et du résultat d'exploitation (+18%), mais une dégradation du résultat financier (-90%). Sur la base du rapport T1 2026 (daté de 2026), le chiffre d'affaires progresse de 4,3% à 154,392 milliards FCFA et le résultat net de 5,5% à 2,329 milliards FCFA, laissant présager une année 2026 en amélioration. La politique de dividende reste généreuse avec 10 milliards FCFA distribués au titre de 2025, soit un taux de distribution supérieur à 100%, ce qui, combiné à la trésorerie négative, constitue un point de vigilance majeur.</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(PER 22,2x, P/B 5,58x), mais elle est soutenue par une rentabilité opérationnelle solide et une amélioration des marges. Le comportement du cours est haussier sur 100 jours (+7,18%), avec une volatilité annualisée élevée (41%) qui appelle à la prudence. Les signaux techniques sont partagés : la tendance de fond (MM, MACD) est positive, mais les indicateurs de surachat (Bollinger, Stochastique) suggèrent un repli imminent. Les fondamentaux sont globalement sains (ROE &gt; 25%, BFR négatif), mais la dégradation de la trésorerie et le taux de distribution élevé (&gt;100%) sont des signaux d'alerte. Les prédictions IA (3 197 à 3 144 FCFA sur 10 jours) confirment une légère correction à court terme, en ligne avec les signaux techniques de surachat. En synthèse, la convergence entre la valorisation élevée, les signaux techniques de surachat et les prédictions IA suggère une pause dans la hausse. **Recommandation finale : CONSERVER**. Niveau de confiance : **Moyen**. Risque global : **Élevé** (volatilité et trésorerie). Horizon d'investissement optimal : **Moyen terme (3-12 mois)**, en attendant une correction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2,782 titres</w:t>
            </w:r>
          </w:p>
        </w:tc>
        <w:tc>
          <w:tcPr>
            <w:tcW w:type="dxa" w:w="2268"/>
            <w:shd w:fill="FFF2CC" w:val="clear"/>
          </w:tcPr>
          <w:p>
            <w:r>
              <w:rPr>
                <w:b/>
                <w:color w:val="503200"/>
                <w:sz w:val="16"/>
              </w:rPr>
              <w:t xml:space="preserve">Cours actuel : </w:t>
            </w:r>
            <w:r>
              <w:rPr>
                <w:color w:val="000000"/>
                <w:sz w:val="17"/>
              </w:rPr>
              <w:t>3,700 FCFA</w:t>
            </w:r>
          </w:p>
          <w:p>
            <w:r>
              <w:rPr>
                <w:b/>
                <w:color w:val="503200"/>
                <w:sz w:val="16"/>
              </w:rPr>
              <w:t xml:space="preserve">Var. 100 jours : </w:t>
            </w:r>
            <w:r>
              <w:rPr>
                <w:b/>
                <w:color w:val="007800"/>
                <w:sz w:val="17"/>
              </w:rPr>
              <w:t>+22.31%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19.0/100 → Faible</w:t>
      </w:r>
    </w:p>
    <w:p>
      <w:pPr>
        <w:spacing w:before="40" w:after="80"/>
      </w:pPr>
      <w:r>
        <w:rPr>
          <w:rFonts w:ascii="Courier New" w:hAnsi="Courier New"/>
          <w:color w:val="006400"/>
          <w:sz w:val="18"/>
        </w:rPr>
        <w:t>███░░░░░░░░░░░░░░░░░  19.0/100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10.63% (Moyenne) — μ=3,457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β=1.1091 (Neutre (suit le marché)) — Cov=0.000035, Var(idx)=0.000031, ρ=0.202, n=99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2,782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Vente=3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2026-08-18</w:t>
            </w:r>
          </w:p>
        </w:tc>
        <w:tc>
          <w:tcPr>
            <w:tcW w:type="dxa" w:w="1440"/>
            <w:shd w:fill="FFDCE0" w:val="clear"/>
          </w:tcPr>
          <w:p>
            <w:r>
              <w:rPr>
                <w:sz w:val="17"/>
              </w:rPr>
              <w:t>3,334</w:t>
            </w:r>
          </w:p>
        </w:tc>
        <w:tc>
          <w:tcPr>
            <w:tcW w:type="dxa" w:w="1440"/>
            <w:shd w:fill="FFDCE0" w:val="clear"/>
          </w:tcPr>
          <w:p>
            <w:r>
              <w:rPr>
                <w:b/>
                <w:sz w:val="17"/>
              </w:rPr>
              <w:t>3,534</w:t>
            </w:r>
          </w:p>
        </w:tc>
        <w:tc>
          <w:tcPr>
            <w:tcW w:type="dxa" w:w="1440"/>
            <w:shd w:fill="FFDCE0" w:val="clear"/>
          </w:tcPr>
          <w:p>
            <w:r>
              <w:rPr>
                <w:sz w:val="17"/>
              </w:rPr>
              <w:t>3,733</w:t>
            </w:r>
          </w:p>
        </w:tc>
        <w:tc>
          <w:tcPr>
            <w:tcW w:type="dxa" w:w="1440"/>
            <w:shd w:fill="FFDCE0" w:val="clear"/>
          </w:tcPr>
          <w:p>
            <w:r>
              <w:rPr>
                <w:b/>
                <w:color w:val="C00000"/>
                <w:sz w:val="17"/>
              </w:rPr>
              <w:t>-4.5%</w:t>
            </w:r>
          </w:p>
        </w:tc>
      </w:tr>
      <w:tr>
        <w:tc>
          <w:tcPr>
            <w:tcW w:type="dxa" w:w="1440"/>
            <w:shd w:fill="FFDCE0" w:val="clear"/>
          </w:tcPr>
          <w:p>
            <w:r>
              <w:rPr>
                <w:sz w:val="17"/>
              </w:rPr>
              <w:t>J+2  ⭐</w:t>
            </w:r>
          </w:p>
        </w:tc>
        <w:tc>
          <w:tcPr>
            <w:tcW w:type="dxa" w:w="1440"/>
            <w:shd w:fill="FFDCE0" w:val="clear"/>
          </w:tcPr>
          <w:p>
            <w:r>
              <w:rPr>
                <w:sz w:val="17"/>
              </w:rPr>
              <w:t>2026-08-19</w:t>
            </w:r>
          </w:p>
        </w:tc>
        <w:tc>
          <w:tcPr>
            <w:tcW w:type="dxa" w:w="1440"/>
            <w:shd w:fill="FFDCE0" w:val="clear"/>
          </w:tcPr>
          <w:p>
            <w:r>
              <w:rPr>
                <w:sz w:val="17"/>
              </w:rPr>
              <w:t>3,200</w:t>
            </w:r>
          </w:p>
        </w:tc>
        <w:tc>
          <w:tcPr>
            <w:tcW w:type="dxa" w:w="1440"/>
            <w:shd w:fill="FFDCE0" w:val="clear"/>
          </w:tcPr>
          <w:p>
            <w:r>
              <w:rPr>
                <w:b/>
                <w:sz w:val="17"/>
              </w:rPr>
              <w:t>3,477</w:t>
            </w:r>
          </w:p>
        </w:tc>
        <w:tc>
          <w:tcPr>
            <w:tcW w:type="dxa" w:w="1440"/>
            <w:shd w:fill="FFDCE0" w:val="clear"/>
          </w:tcPr>
          <w:p>
            <w:r>
              <w:rPr>
                <w:sz w:val="17"/>
              </w:rPr>
              <w:t>3,754</w:t>
            </w:r>
          </w:p>
        </w:tc>
        <w:tc>
          <w:tcPr>
            <w:tcW w:type="dxa" w:w="1440"/>
            <w:shd w:fill="FFDCE0" w:val="clear"/>
          </w:tcPr>
          <w:p>
            <w:r>
              <w:rPr>
                <w:b/>
                <w:color w:val="C00000"/>
                <w:sz w:val="17"/>
              </w:rPr>
              <w:t>-6.0%</w:t>
            </w:r>
          </w:p>
        </w:tc>
      </w:tr>
      <w:tr>
        <w:tc>
          <w:tcPr>
            <w:tcW w:type="dxa" w:w="1440"/>
            <w:shd w:fill="FFDCE0" w:val="clear"/>
          </w:tcPr>
          <w:p>
            <w:r>
              <w:rPr>
                <w:sz w:val="17"/>
              </w:rPr>
              <w:t>J+3  ⭐</w:t>
            </w:r>
          </w:p>
        </w:tc>
        <w:tc>
          <w:tcPr>
            <w:tcW w:type="dxa" w:w="1440"/>
            <w:shd w:fill="FFDCE0" w:val="clear"/>
          </w:tcPr>
          <w:p>
            <w:r>
              <w:rPr>
                <w:sz w:val="17"/>
              </w:rPr>
              <w:t>2026-08-20</w:t>
            </w:r>
          </w:p>
        </w:tc>
        <w:tc>
          <w:tcPr>
            <w:tcW w:type="dxa" w:w="1440"/>
            <w:shd w:fill="FFDCE0" w:val="clear"/>
          </w:tcPr>
          <w:p>
            <w:r>
              <w:rPr>
                <w:sz w:val="17"/>
              </w:rPr>
              <w:t>3,092</w:t>
            </w:r>
          </w:p>
        </w:tc>
        <w:tc>
          <w:tcPr>
            <w:tcW w:type="dxa" w:w="1440"/>
            <w:shd w:fill="FFDCE0" w:val="clear"/>
          </w:tcPr>
          <w:p>
            <w:r>
              <w:rPr>
                <w:b/>
                <w:sz w:val="17"/>
              </w:rPr>
              <w:t>3,427</w:t>
            </w:r>
          </w:p>
        </w:tc>
        <w:tc>
          <w:tcPr>
            <w:tcW w:type="dxa" w:w="1440"/>
            <w:shd w:fill="FFDCE0" w:val="clear"/>
          </w:tcPr>
          <w:p>
            <w:r>
              <w:rPr>
                <w:sz w:val="17"/>
              </w:rPr>
              <w:t>3,762</w:t>
            </w:r>
          </w:p>
        </w:tc>
        <w:tc>
          <w:tcPr>
            <w:tcW w:type="dxa" w:w="1440"/>
            <w:shd w:fill="FFDCE0" w:val="clear"/>
          </w:tcPr>
          <w:p>
            <w:r>
              <w:rPr>
                <w:b/>
                <w:color w:val="C00000"/>
                <w:sz w:val="17"/>
              </w:rPr>
              <w:t>-7.4%</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3,003</w:t>
            </w:r>
          </w:p>
        </w:tc>
        <w:tc>
          <w:tcPr>
            <w:tcW w:type="dxa" w:w="1440"/>
            <w:shd w:fill="FFDCE0" w:val="clear"/>
          </w:tcPr>
          <w:p>
            <w:r>
              <w:rPr>
                <w:b/>
                <w:sz w:val="17"/>
              </w:rPr>
              <w:t>3,385</w:t>
            </w:r>
          </w:p>
        </w:tc>
        <w:tc>
          <w:tcPr>
            <w:tcW w:type="dxa" w:w="1440"/>
            <w:shd w:fill="FFDCE0" w:val="clear"/>
          </w:tcPr>
          <w:p>
            <w:r>
              <w:rPr>
                <w:sz w:val="17"/>
              </w:rPr>
              <w:t>3,767</w:t>
            </w:r>
          </w:p>
        </w:tc>
        <w:tc>
          <w:tcPr>
            <w:tcW w:type="dxa" w:w="1440"/>
            <w:shd w:fill="FFDCE0" w:val="clear"/>
          </w:tcPr>
          <w:p>
            <w:r>
              <w:rPr>
                <w:b/>
                <w:color w:val="C00000"/>
                <w:sz w:val="17"/>
              </w:rPr>
              <w:t>-8.5%</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2,926</w:t>
            </w:r>
          </w:p>
        </w:tc>
        <w:tc>
          <w:tcPr>
            <w:tcW w:type="dxa" w:w="1440"/>
            <w:shd w:fill="FFDCE0" w:val="clear"/>
          </w:tcPr>
          <w:p>
            <w:r>
              <w:rPr>
                <w:b/>
                <w:sz w:val="17"/>
              </w:rPr>
              <w:t>3,348</w:t>
            </w:r>
          </w:p>
        </w:tc>
        <w:tc>
          <w:tcPr>
            <w:tcW w:type="dxa" w:w="1440"/>
            <w:shd w:fill="FFDCE0" w:val="clear"/>
          </w:tcPr>
          <w:p>
            <w:r>
              <w:rPr>
                <w:sz w:val="17"/>
              </w:rPr>
              <w:t>3,770</w:t>
            </w:r>
          </w:p>
        </w:tc>
        <w:tc>
          <w:tcPr>
            <w:tcW w:type="dxa" w:w="1440"/>
            <w:shd w:fill="FFDCE0" w:val="clear"/>
          </w:tcPr>
          <w:p>
            <w:r>
              <w:rPr>
                <w:b/>
                <w:color w:val="C00000"/>
                <w:sz w:val="17"/>
              </w:rPr>
              <w:t>-9.5%</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2,856</w:t>
            </w:r>
          </w:p>
        </w:tc>
        <w:tc>
          <w:tcPr>
            <w:tcW w:type="dxa" w:w="1440"/>
            <w:shd w:fill="FFDCE0" w:val="clear"/>
          </w:tcPr>
          <w:p>
            <w:r>
              <w:rPr>
                <w:b/>
                <w:sz w:val="17"/>
              </w:rPr>
              <w:t>3,314</w:t>
            </w:r>
          </w:p>
        </w:tc>
        <w:tc>
          <w:tcPr>
            <w:tcW w:type="dxa" w:w="1440"/>
            <w:shd w:fill="FFDCE0" w:val="clear"/>
          </w:tcPr>
          <w:p>
            <w:r>
              <w:rPr>
                <w:sz w:val="17"/>
              </w:rPr>
              <w:t>3,771</w:t>
            </w:r>
          </w:p>
        </w:tc>
        <w:tc>
          <w:tcPr>
            <w:tcW w:type="dxa" w:w="1440"/>
            <w:shd w:fill="FFDCE0" w:val="clear"/>
          </w:tcPr>
          <w:p>
            <w:r>
              <w:rPr>
                <w:b/>
                <w:color w:val="C00000"/>
                <w:sz w:val="17"/>
              </w:rPr>
              <w:t>-10.4%</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2,792</w:t>
            </w:r>
          </w:p>
        </w:tc>
        <w:tc>
          <w:tcPr>
            <w:tcW w:type="dxa" w:w="1440"/>
            <w:shd w:fill="FFDCE0" w:val="clear"/>
          </w:tcPr>
          <w:p>
            <w:r>
              <w:rPr>
                <w:b/>
                <w:sz w:val="17"/>
              </w:rPr>
              <w:t>3,281</w:t>
            </w:r>
          </w:p>
        </w:tc>
        <w:tc>
          <w:tcPr>
            <w:tcW w:type="dxa" w:w="1440"/>
            <w:shd w:fill="FFDCE0" w:val="clear"/>
          </w:tcPr>
          <w:p>
            <w:r>
              <w:rPr>
                <w:sz w:val="17"/>
              </w:rPr>
              <w:t>3,771</w:t>
            </w:r>
          </w:p>
        </w:tc>
        <w:tc>
          <w:tcPr>
            <w:tcW w:type="dxa" w:w="1440"/>
            <w:shd w:fill="FFDCE0" w:val="clear"/>
          </w:tcPr>
          <w:p>
            <w:r>
              <w:rPr>
                <w:b/>
                <w:color w:val="C00000"/>
                <w:sz w:val="17"/>
              </w:rPr>
              <w:t>-11.3%</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2,733</w:t>
            </w:r>
          </w:p>
        </w:tc>
        <w:tc>
          <w:tcPr>
            <w:tcW w:type="dxa" w:w="1440"/>
            <w:shd w:fill="FFDCE0" w:val="clear"/>
          </w:tcPr>
          <w:p>
            <w:r>
              <w:rPr>
                <w:b/>
                <w:sz w:val="17"/>
              </w:rPr>
              <w:t>3,251</w:t>
            </w:r>
          </w:p>
        </w:tc>
        <w:tc>
          <w:tcPr>
            <w:tcW w:type="dxa" w:w="1440"/>
            <w:shd w:fill="FFDCE0" w:val="clear"/>
          </w:tcPr>
          <w:p>
            <w:r>
              <w:rPr>
                <w:sz w:val="17"/>
              </w:rPr>
              <w:t>3,769</w:t>
            </w:r>
          </w:p>
        </w:tc>
        <w:tc>
          <w:tcPr>
            <w:tcW w:type="dxa" w:w="1440"/>
            <w:shd w:fill="FFDCE0" w:val="clear"/>
          </w:tcPr>
          <w:p>
            <w:r>
              <w:rPr>
                <w:b/>
                <w:color w:val="C00000"/>
                <w:sz w:val="17"/>
              </w:rPr>
              <w:t>-12.1%</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2,678</w:t>
            </w:r>
          </w:p>
        </w:tc>
        <w:tc>
          <w:tcPr>
            <w:tcW w:type="dxa" w:w="1440"/>
            <w:shd w:fill="FFDCE0" w:val="clear"/>
          </w:tcPr>
          <w:p>
            <w:r>
              <w:rPr>
                <w:b/>
                <w:sz w:val="17"/>
              </w:rPr>
              <w:t>3,223</w:t>
            </w:r>
          </w:p>
        </w:tc>
        <w:tc>
          <w:tcPr>
            <w:tcW w:type="dxa" w:w="1440"/>
            <w:shd w:fill="FFDCE0" w:val="clear"/>
          </w:tcPr>
          <w:p>
            <w:r>
              <w:rPr>
                <w:sz w:val="17"/>
              </w:rPr>
              <w:t>3,768</w:t>
            </w:r>
          </w:p>
        </w:tc>
        <w:tc>
          <w:tcPr>
            <w:tcW w:type="dxa" w:w="1440"/>
            <w:shd w:fill="FFDCE0" w:val="clear"/>
          </w:tcPr>
          <w:p>
            <w:r>
              <w:rPr>
                <w:b/>
                <w:color w:val="C00000"/>
                <w:sz w:val="17"/>
              </w:rPr>
              <w:t>-12.9%</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2,626</w:t>
            </w:r>
          </w:p>
        </w:tc>
        <w:tc>
          <w:tcPr>
            <w:tcW w:type="dxa" w:w="1440"/>
            <w:shd w:fill="FFDCE0" w:val="clear"/>
          </w:tcPr>
          <w:p>
            <w:r>
              <w:rPr>
                <w:b/>
                <w:sz w:val="17"/>
              </w:rPr>
              <w:t>3,196</w:t>
            </w:r>
          </w:p>
        </w:tc>
        <w:tc>
          <w:tcPr>
            <w:tcW w:type="dxa" w:w="1440"/>
            <w:shd w:fill="FFDCE0" w:val="clear"/>
          </w:tcPr>
          <w:p>
            <w:r>
              <w:rPr>
                <w:sz w:val="17"/>
              </w:rPr>
              <w:t>3,765</w:t>
            </w:r>
          </w:p>
        </w:tc>
        <w:tc>
          <w:tcPr>
            <w:tcW w:type="dxa" w:w="1440"/>
            <w:shd w:fill="FFDCE0" w:val="clear"/>
          </w:tcPr>
          <w:p>
            <w:r>
              <w:rPr>
                <w:b/>
                <w:color w:val="C00000"/>
                <w:sz w:val="17"/>
              </w:rPr>
              <w:t>-13.6%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**Date de l'analyse : 17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120,54 milliards FCFA, un niveau significatif qui en fait une valeur de premier plan sur la BRVM, reflétant la position dominante de l'entreprise sur le marché sénégalais des produits pétroliers. Avec un BPA de 208 FCFA, le PER de 17,8x se situe nettement au-dessus de la moyenne historique de la BRVM (8-12x), indiquant que les investisseurs acceptent de payer une prime substantielle pour la qualité perçue de l'actif. Cette prime est confirmée par le P/B de 4,27x, qui valorise fortement les capitaux propres de l'entreprise, signalant une confiance dans la création de valeur future. L'EV/EBITDA de 7,5x, dans la fourchette raisonnable de 5-10x, tempère toutefois cette lecture, suggérant que la valorisation, bien qu'exigeante sur le plan comptable, reste cohérente avec la capacité opérationnelle de l'entreprise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TTLS affiche une progression remarquable de +22,31%, avec une accélération notable lors de la dernière séance (+3,21%), portant le cours à 3 700 FCFA. Le titre a évolué dans une fourchette large de 2 845 à 4 500 FCFA, démontrant une volatilité significative. La moyenne de 3 457 FCFA, inférieure à la médiane de 3 398 FCFA, révèle une asymétrie positive (skewness de 0,809), indiquant que les journées sous la moyenne ont été plus fréquentes mais compensées par des hausses plus marquées. L'écart-type de 369 FCFA (CV de 10,7%) témoigne d'une dispersion modérée des cours autour de la moyenne. Le kurtosis de 0,245, proche d'une distribution normale, suggère un risque de pics limité. La volatilité annualisée de 48,6% classe le titre dans la catégorie des valeurs à forte volatilité (&gt;30%), un élément crucial pour les investisseurs à horizon court.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3 700 FCFA se positionne sous la MM20 (3 652,25 FCFA) et la MM50 (3 735,7 FCFA), signalant une dynamique baissière à court et moyen terme. La décision de Vente est justifiée par cette configuration, le prix évoluant sous ses moyennes mobiles clés, ce qui indique une pression vendeuse persistante malgré le rebond récent.</w:t>
      </w:r>
    </w:p>
    <w:p>
      <w:pPr>
        <w:spacing w:after="120" w:line="276" w:lineRule="auto"/>
      </w:pPr>
      <w:r>
        <w:t>**Bandes de Bollinger** : Le prix se situe à 3 700 FCFA, dans la partie médiane des bandes (borne inférieure à 3 485,72 et supérieure à 3 818,78 FCFA), suggérant une volatilité modérée. La décision Neutre est cohérente avec une absence de signal directionnel fort, le prix n'ayant pas atteint les extrêmes des bandes, laissant place à une consolidation potentielle.</w:t>
      </w:r>
    </w:p>
    <w:p>
      <w:pPr>
        <w:spacing w:after="120" w:line="276" w:lineRule="auto"/>
      </w:pPr>
      <w:r>
        <w:t>**MACD** : La valeur du MACD à -52,23, inférieure à son signal (-49,97), confirme un momentum baissier. La décision de Vente est justifiée par cette divergence négative, indiquant que la pression vendeuse à moyen terme reste dominante, malgré les tentatives de rebond récentes.</w:t>
      </w:r>
    </w:p>
    <w:p>
      <w:pPr>
        <w:spacing w:after="120" w:line="276" w:lineRule="auto"/>
      </w:pPr>
      <w:r>
        <w:t>**RSI** : Le RSI à 50,0, en zone neutre, reflète un équilibre entre les forces acheteuses et vendeuses. La décision Neutre est appropriée, le titre n'étant ni suracheté ni survendu, laissant place à une évolution directionnelle sans contrainte technique majeure.</w:t>
      </w:r>
    </w:p>
    <w:p>
      <w:pPr>
        <w:spacing w:after="120" w:line="276" w:lineRule="auto"/>
      </w:pPr>
      <w:r>
        <w:t>**Stochastique** : Le %K à 100,0, largement au-dessus du %D à 60,83, signale une condition de surachat extrême. La décision de Vente est justifiée par ce niveau extrême, qui suggère un risque élevé de correction à court terme après une phase d'achat intense.</w:t>
      </w:r>
    </w:p>
    <w:p>
      <w:pPr>
        <w:spacing w:after="120" w:line="276" w:lineRule="auto"/>
      </w:pPr>
      <w:r>
        <w:t>**Conclusion technique** : Les indicateurs techniques sont globalement baissiers à court terme (MM, MACD, Stochastique), tempérés par des signaux neutres (Bollinger, RSI). Cette configuration suggère une consolidation ou une correction technique après le fort rebond récent, avec un risque accru de repli vers les 3 400-3 500 FCFA.</w:t>
      </w:r>
    </w:p>
    <w:p>
      <w:pPr>
        <w:spacing w:after="120" w:line="276" w:lineRule="auto"/>
      </w:pPr>
      <w:r>
        <w:t>---</w:t>
      </w:r>
    </w:p>
    <w:p>
      <w:pPr>
        <w:spacing w:after="120" w:line="276" w:lineRule="auto"/>
      </w:pPr>
      <w:r>
        <w:t>### PARTIE 3 : ANALYSE FONDAMENTALE (SECTION CRITIQUE)</w:t>
      </w:r>
    </w:p>
    <w:p>
      <w:pPr>
        <w:spacing w:after="120" w:line="276" w:lineRule="auto"/>
      </w:pPr>
      <w:r>
        <w:t>En 2025, TTLS a réalisé un chiffre d'affaires de 455,209 milliards FCFA, en baisse de 6,1% par rapport à 2024 (484,945 milliards), principalement due à l'arrêt stratégique de la commercialisation du fuel lourd. Le résultat net s'établit à 6,779 milliards FCFA, en repli de 5,1% par rapport à 2024 (7,140 milliards), avec une marge nette de 1,49%. La rentabilité des fonds propres (ROE) reste excellente à 24,01%, bien au-dessus du seuil de 15%, tandis que le ROA s'établit à 3,95%. La structure financière montre une dépendance financière élevée (83,56%), mais un BFR négatif de -36,9 milliards FCFA, favorable pour la trésorerie, et des délais fournisseurs (97,76 jours) nettement supérieurs aux délais clients (47,43 jours), conférant un avantage de trésorerie. Le rapport T1 2026 (analysé le 04/05/2026) indique un CA de 99,9 milliards FCFA (-10% vs T1 2025), mais un résultat net en hausse de 5% à 1,585 milliards, grâce à l'amélioration des marges sur les lubrifiants. Sur cette base, on estime que l'exercice 2026 pourrait voir un résultat net stable ou en légère progression, entre 6,5 et 7 milliards FCFA, malgré la pression réglementaire sur les prix. Les perspectives restent soutenues par la mise en production de Sangomar et le développement du GPL, mais la dépendance aux décisions de l'État sur les prix constitue un risque majeur.</w:t>
      </w:r>
    </w:p>
    <w:p>
      <w:pPr>
        <w:spacing w:after="120" w:line="276" w:lineRule="auto"/>
      </w:pPr>
      <w:r>
        <w:t>---</w:t>
      </w:r>
    </w:p>
    <w:p>
      <w:pPr>
        <w:spacing w:after="120" w:line="276" w:lineRule="auto"/>
      </w:pPr>
      <w:r>
        <w:t>### PARTIE 4 : CONCLUSION D'INVESTISSEMENT</w:t>
      </w:r>
    </w:p>
    <w:p>
      <w:pPr>
        <w:spacing w:after="120" w:line="276" w:lineRule="auto"/>
      </w:pPr>
      <w:r>
        <w:t>La valorisation de TTLS, avec un PER de 17,8x et un P/B de 4,27x, apparaît exigeante, mais l'EV/EBITDA de 7,5x relativise cette lecture. Le comportement du cours sur 100 jours (+22,31%) montre une dynamique positive, mais la volatilité élevée (48,6%) et l'asymétrie positive suggèrent une prudence. Les signaux techniques sont majoritairement baissiers à court terme (MM, MACD, Stochastique en surachat), contredisant la tendance de fond. Les fondamentaux restent solides avec un ROE de 24%, une trésorerie améliorée (20,57 milliards FCFA) et un BFR négatif favorable, malgré un CA en baisse. Les prédictions IA pour les 10 prochains jours (3 534 à 3 348 FCFA) confirment la perspective de correction technique, en ligne avec les signaux baissiers. La convergence entre la faiblesse technique et les prédictions IA, contrastant avec la solidité fondamentale, suggère une phase de consolidation. **Recommandation : CONSERVER**, avec un niveau de confiance Moyen et un risque global Élevé. L'horizon d'investissement optimal est le moyen terme (3-12 mois), en attendant une clarification sur la politique de dividende et l'évolution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532.55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 titres</w:t>
            </w:r>
          </w:p>
        </w:tc>
        <w:tc>
          <w:tcPr>
            <w:tcW w:type="dxa" w:w="2268"/>
            <w:shd w:fill="FFF2CC" w:val="clear"/>
          </w:tcPr>
          <w:p>
            <w:r>
              <w:rPr>
                <w:b/>
                <w:color w:val="503200"/>
                <w:sz w:val="16"/>
              </w:rPr>
              <w:t xml:space="preserve">Cours actuel : </w:t>
            </w:r>
            <w:r>
              <w:rPr>
                <w:color w:val="000000"/>
                <w:sz w:val="17"/>
              </w:rPr>
              <w:t>57,990 FCFA</w:t>
            </w:r>
          </w:p>
          <w:p>
            <w:r>
              <w:rPr>
                <w:b/>
                <w:color w:val="503200"/>
                <w:sz w:val="16"/>
              </w:rPr>
              <w:t xml:space="preserve">Var. 100 jours : </w:t>
            </w:r>
            <w:r>
              <w:rPr>
                <w:b/>
                <w:color w:val="B40000"/>
                <w:sz w:val="17"/>
              </w:rPr>
              <w:t>-10.78%</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6.38% (Moyenne) — μ=56,898 FCFA, σ=3,631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β=1.5661 (Agressif) — Cov=0.000049, Var(idx)=0.000031, ρ=0.212,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FFEB9C" w:val="clear"/>
          </w:tcPr>
          <w:p>
            <w:r>
              <w:rPr>
                <w:b/>
                <w:sz w:val="15"/>
              </w:rPr>
              <w:t>27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σ_j=4.25%/j (Modérée) — Vol. annualisée≈67.4%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58728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2026-08-18</w:t>
            </w:r>
          </w:p>
        </w:tc>
        <w:tc>
          <w:tcPr>
            <w:tcW w:type="dxa" w:w="1440"/>
            <w:shd w:fill="FAFAFA" w:val="clear"/>
          </w:tcPr>
          <w:p>
            <w:r>
              <w:rPr>
                <w:sz w:val="17"/>
              </w:rPr>
              <w:t>55,460</w:t>
            </w:r>
          </w:p>
        </w:tc>
        <w:tc>
          <w:tcPr>
            <w:tcW w:type="dxa" w:w="1440"/>
            <w:shd w:fill="FAFAFA" w:val="clear"/>
          </w:tcPr>
          <w:p>
            <w:r>
              <w:rPr>
                <w:b/>
                <w:sz w:val="17"/>
              </w:rPr>
              <w:t>59,092</w:t>
            </w:r>
          </w:p>
        </w:tc>
        <w:tc>
          <w:tcPr>
            <w:tcW w:type="dxa" w:w="1440"/>
            <w:shd w:fill="FAFAFA" w:val="clear"/>
          </w:tcPr>
          <w:p>
            <w:r>
              <w:rPr>
                <w:sz w:val="17"/>
              </w:rPr>
              <w:t>62,724</w:t>
            </w:r>
          </w:p>
        </w:tc>
        <w:tc>
          <w:tcPr>
            <w:tcW w:type="dxa" w:w="1440"/>
            <w:shd w:fill="FAFAFA" w:val="clear"/>
          </w:tcPr>
          <w:p>
            <w:r>
              <w:rPr>
                <w:b/>
                <w:color w:val="008000"/>
                <w:sz w:val="17"/>
              </w:rPr>
              <w:t>+1.9%</w:t>
            </w:r>
          </w:p>
        </w:tc>
      </w:tr>
      <w:tr>
        <w:tc>
          <w:tcPr>
            <w:tcW w:type="dxa" w:w="1440"/>
            <w:shd w:fill="C6EFCE" w:val="clear"/>
          </w:tcPr>
          <w:p>
            <w:r>
              <w:rPr>
                <w:sz w:val="17"/>
              </w:rPr>
              <w:t>J+2  ⭐</w:t>
            </w:r>
          </w:p>
        </w:tc>
        <w:tc>
          <w:tcPr>
            <w:tcW w:type="dxa" w:w="1440"/>
            <w:shd w:fill="C6EFCE" w:val="clear"/>
          </w:tcPr>
          <w:p>
            <w:r>
              <w:rPr>
                <w:sz w:val="17"/>
              </w:rPr>
              <w:t>2026-08-19</w:t>
            </w:r>
          </w:p>
        </w:tc>
        <w:tc>
          <w:tcPr>
            <w:tcW w:type="dxa" w:w="1440"/>
            <w:shd w:fill="C6EFCE" w:val="clear"/>
          </w:tcPr>
          <w:p>
            <w:r>
              <w:rPr>
                <w:sz w:val="17"/>
              </w:rPr>
              <w:t>54,521</w:t>
            </w:r>
          </w:p>
        </w:tc>
        <w:tc>
          <w:tcPr>
            <w:tcW w:type="dxa" w:w="1440"/>
            <w:shd w:fill="C6EFCE" w:val="clear"/>
          </w:tcPr>
          <w:p>
            <w:r>
              <w:rPr>
                <w:b/>
                <w:sz w:val="17"/>
              </w:rPr>
              <w:t>59,712</w:t>
            </w:r>
          </w:p>
        </w:tc>
        <w:tc>
          <w:tcPr>
            <w:tcW w:type="dxa" w:w="1440"/>
            <w:shd w:fill="C6EFCE" w:val="clear"/>
          </w:tcPr>
          <w:p>
            <w:r>
              <w:rPr>
                <w:sz w:val="17"/>
              </w:rPr>
              <w:t>64,902</w:t>
            </w:r>
          </w:p>
        </w:tc>
        <w:tc>
          <w:tcPr>
            <w:tcW w:type="dxa" w:w="1440"/>
            <w:shd w:fill="C6EFCE" w:val="clear"/>
          </w:tcPr>
          <w:p>
            <w:r>
              <w:rPr>
                <w:b/>
                <w:color w:val="008000"/>
                <w:sz w:val="17"/>
              </w:rPr>
              <w:t>+3.0%</w:t>
            </w:r>
          </w:p>
        </w:tc>
      </w:tr>
      <w:tr>
        <w:tc>
          <w:tcPr>
            <w:tcW w:type="dxa" w:w="1440"/>
            <w:shd w:fill="C6EFCE" w:val="clear"/>
          </w:tcPr>
          <w:p>
            <w:r>
              <w:rPr>
                <w:sz w:val="17"/>
              </w:rPr>
              <w:t>J+3  ⭐</w:t>
            </w:r>
          </w:p>
        </w:tc>
        <w:tc>
          <w:tcPr>
            <w:tcW w:type="dxa" w:w="1440"/>
            <w:shd w:fill="C6EFCE" w:val="clear"/>
          </w:tcPr>
          <w:p>
            <w:r>
              <w:rPr>
                <w:sz w:val="17"/>
              </w:rPr>
              <w:t>2026-08-20</w:t>
            </w:r>
          </w:p>
        </w:tc>
        <w:tc>
          <w:tcPr>
            <w:tcW w:type="dxa" w:w="1440"/>
            <w:shd w:fill="C6EFCE" w:val="clear"/>
          </w:tcPr>
          <w:p>
            <w:r>
              <w:rPr>
                <w:sz w:val="17"/>
              </w:rPr>
              <w:t>53,935</w:t>
            </w:r>
          </w:p>
        </w:tc>
        <w:tc>
          <w:tcPr>
            <w:tcW w:type="dxa" w:w="1440"/>
            <w:shd w:fill="C6EFCE" w:val="clear"/>
          </w:tcPr>
          <w:p>
            <w:r>
              <w:rPr>
                <w:b/>
                <w:sz w:val="17"/>
              </w:rPr>
              <w:t>60,360</w:t>
            </w:r>
          </w:p>
        </w:tc>
        <w:tc>
          <w:tcPr>
            <w:tcW w:type="dxa" w:w="1440"/>
            <w:shd w:fill="C6EFCE" w:val="clear"/>
          </w:tcPr>
          <w:p>
            <w:r>
              <w:rPr>
                <w:sz w:val="17"/>
              </w:rPr>
              <w:t>66,786</w:t>
            </w:r>
          </w:p>
        </w:tc>
        <w:tc>
          <w:tcPr>
            <w:tcW w:type="dxa" w:w="1440"/>
            <w:shd w:fill="C6EFCE" w:val="clear"/>
          </w:tcPr>
          <w:p>
            <w:r>
              <w:rPr>
                <w:b/>
                <w:color w:val="008000"/>
                <w:sz w:val="17"/>
              </w:rPr>
              <w:t>+4.1%</w:t>
            </w:r>
          </w:p>
        </w:tc>
      </w:tr>
      <w:tr>
        <w:tc>
          <w:tcPr>
            <w:tcW w:type="dxa" w:w="1440"/>
            <w:shd w:fill="C6EFCE" w:val="clear"/>
          </w:tcPr>
          <w:p>
            <w:r>
              <w:rPr>
                <w:sz w:val="17"/>
              </w:rPr>
              <w:t>J+4  ⭐</w:t>
            </w:r>
          </w:p>
        </w:tc>
        <w:tc>
          <w:tcPr>
            <w:tcW w:type="dxa" w:w="1440"/>
            <w:shd w:fill="C6EFCE" w:val="clear"/>
          </w:tcPr>
          <w:p>
            <w:r>
              <w:rPr>
                <w:sz w:val="17"/>
              </w:rPr>
              <w:t>2026-08-21</w:t>
            </w:r>
          </w:p>
        </w:tc>
        <w:tc>
          <w:tcPr>
            <w:tcW w:type="dxa" w:w="1440"/>
            <w:shd w:fill="C6EFCE" w:val="clear"/>
          </w:tcPr>
          <w:p>
            <w:r>
              <w:rPr>
                <w:sz w:val="17"/>
              </w:rPr>
              <w:t>53,516</w:t>
            </w:r>
          </w:p>
        </w:tc>
        <w:tc>
          <w:tcPr>
            <w:tcW w:type="dxa" w:w="1440"/>
            <w:shd w:fill="C6EFCE" w:val="clear"/>
          </w:tcPr>
          <w:p>
            <w:r>
              <w:rPr>
                <w:b/>
                <w:sz w:val="17"/>
              </w:rPr>
              <w:t>61,016</w:t>
            </w:r>
          </w:p>
        </w:tc>
        <w:tc>
          <w:tcPr>
            <w:tcW w:type="dxa" w:w="1440"/>
            <w:shd w:fill="C6EFCE" w:val="clear"/>
          </w:tcPr>
          <w:p>
            <w:r>
              <w:rPr>
                <w:sz w:val="17"/>
              </w:rPr>
              <w:t>68,516</w:t>
            </w:r>
          </w:p>
        </w:tc>
        <w:tc>
          <w:tcPr>
            <w:tcW w:type="dxa" w:w="1440"/>
            <w:shd w:fill="C6EFCE" w:val="clear"/>
          </w:tcPr>
          <w:p>
            <w:r>
              <w:rPr>
                <w:b/>
                <w:color w:val="008000"/>
                <w:sz w:val="17"/>
              </w:rPr>
              <w:t>+5.2%</w:t>
            </w:r>
          </w:p>
        </w:tc>
      </w:tr>
      <w:tr>
        <w:tc>
          <w:tcPr>
            <w:tcW w:type="dxa" w:w="1440"/>
            <w:shd w:fill="C6EFCE" w:val="clear"/>
          </w:tcPr>
          <w:p>
            <w:r>
              <w:rPr>
                <w:sz w:val="17"/>
              </w:rPr>
              <w:t>J+5  ⭐</w:t>
            </w:r>
          </w:p>
        </w:tc>
        <w:tc>
          <w:tcPr>
            <w:tcW w:type="dxa" w:w="1440"/>
            <w:shd w:fill="C6EFCE" w:val="clear"/>
          </w:tcPr>
          <w:p>
            <w:r>
              <w:rPr>
                <w:sz w:val="17"/>
              </w:rPr>
              <w:t>2026-08-24</w:t>
            </w:r>
          </w:p>
        </w:tc>
        <w:tc>
          <w:tcPr>
            <w:tcW w:type="dxa" w:w="1440"/>
            <w:shd w:fill="C6EFCE" w:val="clear"/>
          </w:tcPr>
          <w:p>
            <w:r>
              <w:rPr>
                <w:sz w:val="17"/>
              </w:rPr>
              <w:t>53,198</w:t>
            </w:r>
          </w:p>
        </w:tc>
        <w:tc>
          <w:tcPr>
            <w:tcW w:type="dxa" w:w="1440"/>
            <w:shd w:fill="C6EFCE" w:val="clear"/>
          </w:tcPr>
          <w:p>
            <w:r>
              <w:rPr>
                <w:b/>
                <w:sz w:val="17"/>
              </w:rPr>
              <w:t>61,674</w:t>
            </w:r>
          </w:p>
        </w:tc>
        <w:tc>
          <w:tcPr>
            <w:tcW w:type="dxa" w:w="1440"/>
            <w:shd w:fill="C6EFCE" w:val="clear"/>
          </w:tcPr>
          <w:p>
            <w:r>
              <w:rPr>
                <w:sz w:val="17"/>
              </w:rPr>
              <w:t>70,150</w:t>
            </w:r>
          </w:p>
        </w:tc>
        <w:tc>
          <w:tcPr>
            <w:tcW w:type="dxa" w:w="1440"/>
            <w:shd w:fill="C6EFCE" w:val="clear"/>
          </w:tcPr>
          <w:p>
            <w:r>
              <w:rPr>
                <w:b/>
                <w:color w:val="008000"/>
                <w:sz w:val="17"/>
              </w:rPr>
              <w:t>+6.4%</w:t>
            </w:r>
          </w:p>
        </w:tc>
      </w:tr>
      <w:tr>
        <w:tc>
          <w:tcPr>
            <w:tcW w:type="dxa" w:w="1440"/>
            <w:shd w:fill="C6EFCE" w:val="clear"/>
          </w:tcPr>
          <w:p>
            <w:r>
              <w:rPr>
                <w:sz w:val="17"/>
              </w:rPr>
              <w:t>J+6  ⭐</w:t>
            </w:r>
          </w:p>
        </w:tc>
        <w:tc>
          <w:tcPr>
            <w:tcW w:type="dxa" w:w="1440"/>
            <w:shd w:fill="C6EFCE" w:val="clear"/>
          </w:tcPr>
          <w:p>
            <w:r>
              <w:rPr>
                <w:sz w:val="17"/>
              </w:rPr>
              <w:t>2026-08-25</w:t>
            </w:r>
          </w:p>
        </w:tc>
        <w:tc>
          <w:tcPr>
            <w:tcW w:type="dxa" w:w="1440"/>
            <w:shd w:fill="C6EFCE" w:val="clear"/>
          </w:tcPr>
          <w:p>
            <w:r>
              <w:rPr>
                <w:sz w:val="17"/>
              </w:rPr>
              <w:t>52,950</w:t>
            </w:r>
          </w:p>
        </w:tc>
        <w:tc>
          <w:tcPr>
            <w:tcW w:type="dxa" w:w="1440"/>
            <w:shd w:fill="C6EFCE" w:val="clear"/>
          </w:tcPr>
          <w:p>
            <w:r>
              <w:rPr>
                <w:b/>
                <w:sz w:val="17"/>
              </w:rPr>
              <w:t>62,334</w:t>
            </w:r>
          </w:p>
        </w:tc>
        <w:tc>
          <w:tcPr>
            <w:tcW w:type="dxa" w:w="1440"/>
            <w:shd w:fill="C6EFCE" w:val="clear"/>
          </w:tcPr>
          <w:p>
            <w:r>
              <w:rPr>
                <w:sz w:val="17"/>
              </w:rPr>
              <w:t>71,719</w:t>
            </w:r>
          </w:p>
        </w:tc>
        <w:tc>
          <w:tcPr>
            <w:tcW w:type="dxa" w:w="1440"/>
            <w:shd w:fill="C6EFCE" w:val="clear"/>
          </w:tcPr>
          <w:p>
            <w:r>
              <w:rPr>
                <w:b/>
                <w:color w:val="008000"/>
                <w:sz w:val="17"/>
              </w:rPr>
              <w:t>+7.5%</w:t>
            </w:r>
          </w:p>
        </w:tc>
      </w:tr>
      <w:tr>
        <w:tc>
          <w:tcPr>
            <w:tcW w:type="dxa" w:w="1440"/>
            <w:shd w:fill="C6EFCE" w:val="clear"/>
          </w:tcPr>
          <w:p>
            <w:r>
              <w:rPr>
                <w:sz w:val="17"/>
              </w:rPr>
              <w:t>J+7  ⭐</w:t>
            </w:r>
          </w:p>
        </w:tc>
        <w:tc>
          <w:tcPr>
            <w:tcW w:type="dxa" w:w="1440"/>
            <w:shd w:fill="C6EFCE" w:val="clear"/>
          </w:tcPr>
          <w:p>
            <w:r>
              <w:rPr>
                <w:sz w:val="17"/>
              </w:rPr>
              <w:t>2026-08-27</w:t>
            </w:r>
          </w:p>
        </w:tc>
        <w:tc>
          <w:tcPr>
            <w:tcW w:type="dxa" w:w="1440"/>
            <w:shd w:fill="C6EFCE" w:val="clear"/>
          </w:tcPr>
          <w:p>
            <w:r>
              <w:rPr>
                <w:sz w:val="17"/>
              </w:rPr>
              <w:t>52,751</w:t>
            </w:r>
          </w:p>
        </w:tc>
        <w:tc>
          <w:tcPr>
            <w:tcW w:type="dxa" w:w="1440"/>
            <w:shd w:fill="C6EFCE" w:val="clear"/>
          </w:tcPr>
          <w:p>
            <w:r>
              <w:rPr>
                <w:b/>
                <w:sz w:val="17"/>
              </w:rPr>
              <w:t>62,995</w:t>
            </w:r>
          </w:p>
        </w:tc>
        <w:tc>
          <w:tcPr>
            <w:tcW w:type="dxa" w:w="1440"/>
            <w:shd w:fill="C6EFCE" w:val="clear"/>
          </w:tcPr>
          <w:p>
            <w:r>
              <w:rPr>
                <w:sz w:val="17"/>
              </w:rPr>
              <w:t>73,239</w:t>
            </w:r>
          </w:p>
        </w:tc>
        <w:tc>
          <w:tcPr>
            <w:tcW w:type="dxa" w:w="1440"/>
            <w:shd w:fill="C6EFCE" w:val="clear"/>
          </w:tcPr>
          <w:p>
            <w:r>
              <w:rPr>
                <w:b/>
                <w:color w:val="008000"/>
                <w:sz w:val="17"/>
              </w:rPr>
              <w:t>+8.6%</w:t>
            </w:r>
          </w:p>
        </w:tc>
      </w:tr>
      <w:tr>
        <w:tc>
          <w:tcPr>
            <w:tcW w:type="dxa" w:w="1440"/>
            <w:shd w:fill="C6EFCE" w:val="clear"/>
          </w:tcPr>
          <w:p>
            <w:r>
              <w:rPr>
                <w:sz w:val="17"/>
              </w:rPr>
              <w:t>J+8  ⭐</w:t>
            </w:r>
          </w:p>
        </w:tc>
        <w:tc>
          <w:tcPr>
            <w:tcW w:type="dxa" w:w="1440"/>
            <w:shd w:fill="C6EFCE" w:val="clear"/>
          </w:tcPr>
          <w:p>
            <w:r>
              <w:rPr>
                <w:sz w:val="17"/>
              </w:rPr>
              <w:t>2026-08-28</w:t>
            </w:r>
          </w:p>
        </w:tc>
        <w:tc>
          <w:tcPr>
            <w:tcW w:type="dxa" w:w="1440"/>
            <w:shd w:fill="C6EFCE" w:val="clear"/>
          </w:tcPr>
          <w:p>
            <w:r>
              <w:rPr>
                <w:sz w:val="17"/>
              </w:rPr>
              <w:t>52,590</w:t>
            </w:r>
          </w:p>
        </w:tc>
        <w:tc>
          <w:tcPr>
            <w:tcW w:type="dxa" w:w="1440"/>
            <w:shd w:fill="C6EFCE" w:val="clear"/>
          </w:tcPr>
          <w:p>
            <w:r>
              <w:rPr>
                <w:b/>
                <w:sz w:val="17"/>
              </w:rPr>
              <w:t>63,656</w:t>
            </w:r>
          </w:p>
        </w:tc>
        <w:tc>
          <w:tcPr>
            <w:tcW w:type="dxa" w:w="1440"/>
            <w:shd w:fill="C6EFCE" w:val="clear"/>
          </w:tcPr>
          <w:p>
            <w:r>
              <w:rPr>
                <w:sz w:val="17"/>
              </w:rPr>
              <w:t>74,722</w:t>
            </w:r>
          </w:p>
        </w:tc>
        <w:tc>
          <w:tcPr>
            <w:tcW w:type="dxa" w:w="1440"/>
            <w:shd w:fill="C6EFCE" w:val="clear"/>
          </w:tcPr>
          <w:p>
            <w:r>
              <w:rPr>
                <w:b/>
                <w:color w:val="008000"/>
                <w:sz w:val="17"/>
              </w:rPr>
              <w:t>+9.8%</w:t>
            </w:r>
          </w:p>
        </w:tc>
      </w:tr>
      <w:tr>
        <w:tc>
          <w:tcPr>
            <w:tcW w:type="dxa" w:w="1440"/>
            <w:shd w:fill="C6EFCE" w:val="clear"/>
          </w:tcPr>
          <w:p>
            <w:r>
              <w:rPr>
                <w:sz w:val="17"/>
              </w:rPr>
              <w:t>J+9  ⭐</w:t>
            </w:r>
          </w:p>
        </w:tc>
        <w:tc>
          <w:tcPr>
            <w:tcW w:type="dxa" w:w="1440"/>
            <w:shd w:fill="C6EFCE" w:val="clear"/>
          </w:tcPr>
          <w:p>
            <w:r>
              <w:rPr>
                <w:sz w:val="17"/>
              </w:rPr>
              <w:t>2026-08-31</w:t>
            </w:r>
          </w:p>
        </w:tc>
        <w:tc>
          <w:tcPr>
            <w:tcW w:type="dxa" w:w="1440"/>
            <w:shd w:fill="C6EFCE" w:val="clear"/>
          </w:tcPr>
          <w:p>
            <w:r>
              <w:rPr>
                <w:sz w:val="17"/>
              </w:rPr>
              <w:t>52,459</w:t>
            </w:r>
          </w:p>
        </w:tc>
        <w:tc>
          <w:tcPr>
            <w:tcW w:type="dxa" w:w="1440"/>
            <w:shd w:fill="C6EFCE" w:val="clear"/>
          </w:tcPr>
          <w:p>
            <w:r>
              <w:rPr>
                <w:b/>
                <w:sz w:val="17"/>
              </w:rPr>
              <w:t>64,318</w:t>
            </w:r>
          </w:p>
        </w:tc>
        <w:tc>
          <w:tcPr>
            <w:tcW w:type="dxa" w:w="1440"/>
            <w:shd w:fill="C6EFCE" w:val="clear"/>
          </w:tcPr>
          <w:p>
            <w:r>
              <w:rPr>
                <w:sz w:val="17"/>
              </w:rPr>
              <w:t>76,178</w:t>
            </w:r>
          </w:p>
        </w:tc>
        <w:tc>
          <w:tcPr>
            <w:tcW w:type="dxa" w:w="1440"/>
            <w:shd w:fill="C6EFCE" w:val="clear"/>
          </w:tcPr>
          <w:p>
            <w:r>
              <w:rPr>
                <w:b/>
                <w:color w:val="008000"/>
                <w:sz w:val="17"/>
              </w:rPr>
              <w:t>+10.9%</w:t>
            </w:r>
          </w:p>
        </w:tc>
      </w:tr>
      <w:tr>
        <w:tc>
          <w:tcPr>
            <w:tcW w:type="dxa" w:w="1440"/>
            <w:shd w:fill="C6EFCE" w:val="clear"/>
          </w:tcPr>
          <w:p>
            <w:r>
              <w:rPr>
                <w:sz w:val="17"/>
              </w:rPr>
              <w:t>J+10  ⭐</w:t>
            </w:r>
          </w:p>
        </w:tc>
        <w:tc>
          <w:tcPr>
            <w:tcW w:type="dxa" w:w="1440"/>
            <w:shd w:fill="C6EFCE" w:val="clear"/>
          </w:tcPr>
          <w:p>
            <w:r>
              <w:rPr>
                <w:sz w:val="17"/>
              </w:rPr>
              <w:t>2026-09-01</w:t>
            </w:r>
          </w:p>
        </w:tc>
        <w:tc>
          <w:tcPr>
            <w:tcW w:type="dxa" w:w="1440"/>
            <w:shd w:fill="C6EFCE" w:val="clear"/>
          </w:tcPr>
          <w:p>
            <w:r>
              <w:rPr>
                <w:sz w:val="17"/>
              </w:rPr>
              <w:t>52,351</w:t>
            </w:r>
          </w:p>
        </w:tc>
        <w:tc>
          <w:tcPr>
            <w:tcW w:type="dxa" w:w="1440"/>
            <w:shd w:fill="C6EFCE" w:val="clear"/>
          </w:tcPr>
          <w:p>
            <w:r>
              <w:rPr>
                <w:b/>
                <w:sz w:val="17"/>
              </w:rPr>
              <w:t>64,981</w:t>
            </w:r>
          </w:p>
        </w:tc>
        <w:tc>
          <w:tcPr>
            <w:tcW w:type="dxa" w:w="1440"/>
            <w:shd w:fill="C6EFCE" w:val="clear"/>
          </w:tcPr>
          <w:p>
            <w:r>
              <w:rPr>
                <w:sz w:val="17"/>
              </w:rPr>
              <w:t>77,610</w:t>
            </w:r>
          </w:p>
        </w:tc>
        <w:tc>
          <w:tcPr>
            <w:tcW w:type="dxa" w:w="1440"/>
            <w:shd w:fill="C6EFCE" w:val="clear"/>
          </w:tcPr>
          <w:p>
            <w:r>
              <w:rPr>
                <w:b/>
                <w:color w:val="008000"/>
                <w:sz w:val="17"/>
              </w:rPr>
              <w:t>+12.1%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**Date de l'analyse : 17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**532,55 milliards FCFA**, un niveau significatif qui la positionne parmi les valeurs à grande capitalisation de la BRVM, reflétant la confiance des investisseurs dans ce titre malgré des fondamentaux historiquement fragiles. Le BPA (Bénéfice Par Action) n'est pas calculable en l'absence de données financières structurées récentes dans la base, tout comme le PER, le P/B et l'EV/EBITDA. Cette absence de ratios de valorisation précis constitue une limite majeure pour évaluer si le marché paie un prix excessif ou non par rapport aux bénéfices. Toutefois, avec un cours de 57 990 FCFA et une capitalisation de plus de 532 milliards FCFA, le marché semble anticiper une solide reprise des résultats, alors que la moyenne du PER BRVM se situe entre 8 et 12 fois. Il est impératif de surveiller la publication des prochains états financiers pour calculer ces multiples et valider le niveau de valorisation actuel.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affiche une **variation totale de -10,78%**, avec une dernière séance quasi stable (-0,02%). Le cours a évolué dans une fourchette large, oscillant entre un plus bas de **49 630 FCFA** et un plus haut de **69 005 FCFA**, démontrant une volatilité intra-période importante. La moyenne du cours sur la période (56 898 FCFA) est très proche de la médiane (57 000 FCFA) et du mode (58 000 FCFA), ce qui indique une distribution des prix relativement symétrique et concentrée autour de ces valeurs centrales. L'écart-type de 3 649 FCFA, avec un coefficient de variation de 6,4%, révèle une dispersion modérée des prix autour de la moyenne. Le kurtosis excédentaire de 0,534 (mésokurtique) suggère une distribution proche de la normale, sans risque de pics extrêmes, tandis que le skewness de 0,450 confirme une légère asymétrie positive. La **volatilité annualisée de 67,4%** est extrêmement élevée (bien au-dessus du seuil de 30%), classant UNLC comme un titre à très haut risque, sujet à des fluctuations de prix substantielles sur une base annuelle.</w:t>
      </w:r>
    </w:p>
    <w:p>
      <w:pPr>
        <w:spacing w:after="120" w:line="276" w:lineRule="auto"/>
      </w:pPr>
      <w:r>
        <w:t>---</w:t>
      </w:r>
    </w:p>
    <w:p>
      <w:pPr>
        <w:spacing w:after="120" w:line="276" w:lineRule="auto"/>
      </w:pPr>
      <w:r>
        <w:t>### PARTIE 2 : ANALYSE TECHNIQUE DÉTAILLÉE</w:t>
      </w:r>
    </w:p>
    <w:p>
      <w:pPr>
        <w:spacing w:after="120" w:line="276" w:lineRule="auto"/>
      </w:pPr>
      <w:r>
        <w:t>**Moyennes Mobiles :** La MM20 (53 832 FCFA) et la MM50 (54 953 FCFA) sont toutes deux inférieures au cours actuel de 57 990 FCFA, indiquant une dynamique haussière à court et moyen terme. Le signal de "Vente" généré par le système est toutefois paradoxal, car le prix évolue au-dessus de ces moyennes, ce qui suggère que l'algorithme pourrait se baser sur d'autres critères de croisement ou de momentum à plus long terme. La configuration actuelle est généralement interprétée comme un signe de force relative.</w:t>
      </w:r>
    </w:p>
    <w:p>
      <w:pPr>
        <w:spacing w:after="120" w:line="276" w:lineRule="auto"/>
      </w:pPr>
      <w:r>
        <w:t>**Bandes de Bollinger :** Le cours actuel (57 990 FCFA) se situe près de la borne supérieure (58 798 FCFA), indiquant une pression acheteuse soutenue. La largeur des bandes (écart de près de 10 000 FCFA entre les bornes) reflète la forte volatilité du titre. La décision "Neutre" suggère que le prix, bien qu'élevé, n'a pas encore franchi de manière décisive la borne supérieure, ce qui pourrait précéder soit une poursuite de la hausse, soit un retour vers la moyenne.</w:t>
      </w:r>
    </w:p>
    <w:p>
      <w:pPr>
        <w:spacing w:after="120" w:line="276" w:lineRule="auto"/>
      </w:pPr>
      <w:r>
        <w:t>**MACD :** Le MACD (818,08) est nettement supérieur à sa ligne de signal (88,08), avec un écart positif important. Cette configuration est un signal d'**Achat** classique, indiquant un momentum haussier fort et une accélération de la tendance. La divergence positive croissante renforce la confiance dans la poursuite du mouvement ascendant à court terme.</w:t>
      </w:r>
    </w:p>
    <w:p>
      <w:pPr>
        <w:spacing w:after="120" w:line="276" w:lineRule="auto"/>
      </w:pPr>
      <w:r>
        <w:t>**RSI :** Le RSI s'établit à 66,67, une valeur qui se situe dans la zone neutre (30-70) mais qui se rapproche du seuil de surachat (70). La décision "Neutre" est cohérente, mais ce niveau indique que le titre gagne du terrain sans être encore en territoire extrême. Un dépassement de 70 signalerait une suraccumulation et un risque de correction.</w:t>
      </w:r>
    </w:p>
    <w:p>
      <w:pPr>
        <w:spacing w:after="120" w:line="276" w:lineRule="auto"/>
      </w:pPr>
      <w:r>
        <w:t>**Stochastique :** Le %K (99,85) et le %D (99,95) sont à des niveaux extrêmement élevés, en territoire de surachat très prononcé. La décision de "Vente" est justifiée par ces valeurs, qui suggèrent que le mouvement haussier est arrivé à son paroxysme et qu'un retournement ou une consolidation est très probable à très court terme.</w:t>
      </w:r>
    </w:p>
    <w:p>
      <w:pPr>
        <w:spacing w:after="120" w:line="276" w:lineRule="auto"/>
      </w:pPr>
      <w:r>
        <w:t>**Conclusion technique :** Les indicateurs de momentum (MACD, RSI) soutiennent une tendance haussière, mais les oscillateurs de surachat (Stochastique) et la position aux bornes de Bollinger indiquent un risque élevé de correction technique. Le signal de vente des moyennes mobiles ajoute à la prudence. Le scénario le plus probable est une consolidation à court terme avant une reprise de la tendance, ou un repli technique vers les moyennes mobiles.</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la base ne fournissent pas de chiffres récents, mais les rapports narratifs officiels disponibles permettent de reconstituer la trajectoire financière d'UNLC. En **2023** (rapport daté du 31/12/2024), le chiffre d'affaires s'établissait à **24,336 milliards FCFA**, stable par rapport à 2022, avec un **résultat net de 640 millions FCFA** (marge nette de 2,63%), marquant un retour à la profitabilité après la perte massive de **-6,9 milliards FCFA** en 2022. Le résultat d'exploitation est passé de -6,258 milliards FCFA en 2022 à +3,34 milliards FCFA en 2023, signe d'une amélioration opérationnelle notable, mais les capitaux propres restaient négatifs à -10,658 milliards FCFA. Les rapports de 2022 (datés du 31/12/2023) confirment une année de crise avec un CA de 24,336 milliards FCFA et une perte nette de -6,38 milliards FCFA, tandis que le rapport de 2021 (daté du 31/12/2022) indique un bénéfice de 6,09 milliards FCFA pour un CA identique. Cette évolution montre une **forte instabilité des résultats**, avec une amélioration en 2023 mais des fondamentaux encore précaires. Sur la base de ces rapports anciens (2021-2023), on estime que l'exercice 2024-2025 pourrait poursuivre le redressement si la croissance du CA reprend, mais la faiblesse des marges et l'endettement (4,379 milliards FCFA en 2023) restent des risques majeurs. La recommandation fondamentale est de **CONSERVER avec vigilance**, en attendant une confirmation durable de la rentabilité et une amélioration de la structure bilancielle.</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des signaux contrastés. La **valorisation** (Partie 0) ne peut être évaluée faute de ratios calculables, mais la capitalisation élevée suggère des attentes fortes. Le **comportement du cours** (Partie 1) montre une tendance baissière sur 100 jours (-10,78%) avec une volatilité extrême (67,4%), ce qui est préoccupant pour un investisseur prudent, malgré une distribution statistique stable. Les **signaux techniques** (Partie 2) sont mitigés : le MACD et le RSI sont positifs, mais le Stochastique en surachat extrême et les moyennes mobiles en signal de vente indiquent un risque de correction imminent. Les **fondamentaux** (Partie 3) révèlent une entreprise en redressement fragile, avec des pertes historiques et des capitaux propres négatifs, bien que 2023 ait montré une amélioration. Les **prédictions IA** pour les 10 prochains jours (59 092 à 61 674 FCFA) anticipent une hausse continue, ce qui contredit le signal de vente technique à court terme mais confirme le momentum haussier du MACD. En conclusion, la convergence entre la faiblesse fondamentale, la volatilité élevée et les signaux de surachat technique l'emporte sur les prédictions IA à court terme. La recommandation finale est **CONSERVER**, avec un niveau de confiance **Moyen** et un risque global **Élevé**. L'horizon d'investissement optimal serait le **moyen terme (3-12 mois)**, en attendant une clarification de la situation financière et une stabilisation du cours sous les 60 000 FCFA.</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43.68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12,226 titres</w:t>
            </w:r>
          </w:p>
        </w:tc>
        <w:tc>
          <w:tcPr>
            <w:tcW w:type="dxa" w:w="2268"/>
            <w:shd w:fill="FFF2CC" w:val="clear"/>
          </w:tcPr>
          <w:p>
            <w:r>
              <w:rPr>
                <w:b/>
                <w:color w:val="503200"/>
                <w:sz w:val="16"/>
              </w:rPr>
              <w:t xml:space="preserve">Cours actuel : </w:t>
            </w:r>
            <w:r>
              <w:rPr>
                <w:color w:val="000000"/>
                <w:sz w:val="17"/>
              </w:rPr>
              <w:t>2,105 FCFA</w:t>
            </w:r>
          </w:p>
          <w:p>
            <w:r>
              <w:rPr>
                <w:b/>
                <w:color w:val="503200"/>
                <w:sz w:val="16"/>
              </w:rPr>
              <w:t xml:space="preserve">Var. 100 jours : </w:t>
            </w:r>
            <w:r>
              <w:rPr>
                <w:b/>
                <w:color w:val="007800"/>
                <w:sz w:val="17"/>
              </w:rPr>
              <w:t>+0.48%</w:t>
            </w:r>
          </w:p>
          <w:p>
            <w:r>
              <w:rPr>
                <w:b/>
                <w:color w:val="503200"/>
                <w:sz w:val="16"/>
              </w:rPr>
              <w:t xml:space="preserve">Plus haut 100j : </w:t>
            </w:r>
            <w:r>
              <w:rPr>
                <w:color w:val="000000"/>
                <w:sz w:val="17"/>
              </w:rPr>
              <w:t>2,105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21.6/100 → Moyen</w:t>
      </w:r>
    </w:p>
    <w:p>
      <w:pPr>
        <w:spacing w:before="40" w:after="80"/>
      </w:pPr>
      <w:r>
        <w:rPr>
          <w:rFonts w:ascii="Courier New" w:hAnsi="Courier New"/>
          <w:color w:val="825A00"/>
          <w:sz w:val="18"/>
        </w:rPr>
        <w:t>████░░░░░░░░░░░░░░░░  21.6/100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8.94% (Moyenne) — μ=1,865 FCFA, σ=167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β=-0.4831 (Contre-cyclique) — Cov=-0.000015, Var(idx)=0.000031, ρ=-0.088, n=99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C6EFCE" w:val="clear"/>
          </w:tcPr>
          <w:p>
            <w:r>
              <w:rPr>
                <w:b/>
                <w:sz w:val="15"/>
              </w:rPr>
              <w:t>12,226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2026-08-18</w:t>
            </w:r>
          </w:p>
        </w:tc>
        <w:tc>
          <w:tcPr>
            <w:tcW w:type="dxa" w:w="1440"/>
            <w:shd w:fill="FFDCE0" w:val="clear"/>
          </w:tcPr>
          <w:p>
            <w:r>
              <w:rPr>
                <w:sz w:val="17"/>
              </w:rPr>
              <w:t>1,867</w:t>
            </w:r>
          </w:p>
        </w:tc>
        <w:tc>
          <w:tcPr>
            <w:tcW w:type="dxa" w:w="1440"/>
            <w:shd w:fill="FFDCE0" w:val="clear"/>
          </w:tcPr>
          <w:p>
            <w:r>
              <w:rPr>
                <w:b/>
                <w:sz w:val="17"/>
              </w:rPr>
              <w:t>1,998</w:t>
            </w:r>
          </w:p>
        </w:tc>
        <w:tc>
          <w:tcPr>
            <w:tcW w:type="dxa" w:w="1440"/>
            <w:shd w:fill="FFDCE0" w:val="clear"/>
          </w:tcPr>
          <w:p>
            <w:r>
              <w:rPr>
                <w:sz w:val="17"/>
              </w:rPr>
              <w:t>2,129</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2026-08-19</w:t>
            </w:r>
          </w:p>
        </w:tc>
        <w:tc>
          <w:tcPr>
            <w:tcW w:type="dxa" w:w="1440"/>
            <w:shd w:fill="FFDCE0" w:val="clear"/>
          </w:tcPr>
          <w:p>
            <w:r>
              <w:rPr>
                <w:sz w:val="17"/>
              </w:rPr>
              <w:t>1,812</w:t>
            </w:r>
          </w:p>
        </w:tc>
        <w:tc>
          <w:tcPr>
            <w:tcW w:type="dxa" w:w="1440"/>
            <w:shd w:fill="FFDCE0" w:val="clear"/>
          </w:tcPr>
          <w:p>
            <w:r>
              <w:rPr>
                <w:b/>
                <w:sz w:val="17"/>
              </w:rPr>
              <w:t>1,997</w:t>
            </w:r>
          </w:p>
        </w:tc>
        <w:tc>
          <w:tcPr>
            <w:tcW w:type="dxa" w:w="1440"/>
            <w:shd w:fill="FFDCE0" w:val="clear"/>
          </w:tcPr>
          <w:p>
            <w:r>
              <w:rPr>
                <w:sz w:val="17"/>
              </w:rPr>
              <w:t>2,182</w:t>
            </w:r>
          </w:p>
        </w:tc>
        <w:tc>
          <w:tcPr>
            <w:tcW w:type="dxa" w:w="1440"/>
            <w:shd w:fill="FFDCE0" w:val="clear"/>
          </w:tcPr>
          <w:p>
            <w:r>
              <w:rPr>
                <w:b/>
                <w:color w:val="C00000"/>
                <w:sz w:val="17"/>
              </w:rPr>
              <w:t>-5.1%</w:t>
            </w:r>
          </w:p>
        </w:tc>
      </w:tr>
      <w:tr>
        <w:tc>
          <w:tcPr>
            <w:tcW w:type="dxa" w:w="1440"/>
            <w:shd w:fill="FFDCE0" w:val="clear"/>
          </w:tcPr>
          <w:p>
            <w:r>
              <w:rPr>
                <w:sz w:val="17"/>
              </w:rPr>
              <w:t>J+3  Moyenne</w:t>
            </w:r>
          </w:p>
        </w:tc>
        <w:tc>
          <w:tcPr>
            <w:tcW w:type="dxa" w:w="1440"/>
            <w:shd w:fill="FFDCE0" w:val="clear"/>
          </w:tcPr>
          <w:p>
            <w:r>
              <w:rPr>
                <w:sz w:val="17"/>
              </w:rPr>
              <w:t>2026-08-20</w:t>
            </w:r>
          </w:p>
        </w:tc>
        <w:tc>
          <w:tcPr>
            <w:tcW w:type="dxa" w:w="1440"/>
            <w:shd w:fill="FFDCE0" w:val="clear"/>
          </w:tcPr>
          <w:p>
            <w:r>
              <w:rPr>
                <w:sz w:val="17"/>
              </w:rPr>
              <w:t>1,760</w:t>
            </w:r>
          </w:p>
        </w:tc>
        <w:tc>
          <w:tcPr>
            <w:tcW w:type="dxa" w:w="1440"/>
            <w:shd w:fill="FFDCE0" w:val="clear"/>
          </w:tcPr>
          <w:p>
            <w:r>
              <w:rPr>
                <w:b/>
                <w:sz w:val="17"/>
              </w:rPr>
              <w:t>1,986</w:t>
            </w:r>
          </w:p>
        </w:tc>
        <w:tc>
          <w:tcPr>
            <w:tcW w:type="dxa" w:w="1440"/>
            <w:shd w:fill="FFDCE0" w:val="clear"/>
          </w:tcPr>
          <w:p>
            <w:r>
              <w:rPr>
                <w:sz w:val="17"/>
              </w:rPr>
              <w:t>2,211</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2026-08-21</w:t>
            </w:r>
          </w:p>
        </w:tc>
        <w:tc>
          <w:tcPr>
            <w:tcW w:type="dxa" w:w="1440"/>
            <w:shd w:fill="FFDCE0" w:val="clear"/>
          </w:tcPr>
          <w:p>
            <w:r>
              <w:rPr>
                <w:sz w:val="17"/>
              </w:rPr>
              <w:t>1,715</w:t>
            </w:r>
          </w:p>
        </w:tc>
        <w:tc>
          <w:tcPr>
            <w:tcW w:type="dxa" w:w="1440"/>
            <w:shd w:fill="FFDCE0" w:val="clear"/>
          </w:tcPr>
          <w:p>
            <w:r>
              <w:rPr>
                <w:b/>
                <w:sz w:val="17"/>
              </w:rPr>
              <w:t>1,974</w:t>
            </w:r>
          </w:p>
        </w:tc>
        <w:tc>
          <w:tcPr>
            <w:tcW w:type="dxa" w:w="1440"/>
            <w:shd w:fill="FFDCE0" w:val="clear"/>
          </w:tcPr>
          <w:p>
            <w:r>
              <w:rPr>
                <w:sz w:val="17"/>
              </w:rPr>
              <w:t>2,233</w:t>
            </w:r>
          </w:p>
        </w:tc>
        <w:tc>
          <w:tcPr>
            <w:tcW w:type="dxa" w:w="1440"/>
            <w:shd w:fill="FFDCE0" w:val="clear"/>
          </w:tcPr>
          <w:p>
            <w:r>
              <w:rPr>
                <w:b/>
                <w:color w:val="C00000"/>
                <w:sz w:val="17"/>
              </w:rPr>
              <w:t>-6.2%</w:t>
            </w:r>
          </w:p>
        </w:tc>
      </w:tr>
      <w:tr>
        <w:tc>
          <w:tcPr>
            <w:tcW w:type="dxa" w:w="1440"/>
            <w:shd w:fill="FFDCE0" w:val="clear"/>
          </w:tcPr>
          <w:p>
            <w:r>
              <w:rPr>
                <w:sz w:val="17"/>
              </w:rPr>
              <w:t>J+5  ⭐</w:t>
            </w:r>
          </w:p>
        </w:tc>
        <w:tc>
          <w:tcPr>
            <w:tcW w:type="dxa" w:w="1440"/>
            <w:shd w:fill="FFDCE0" w:val="clear"/>
          </w:tcPr>
          <w:p>
            <w:r>
              <w:rPr>
                <w:sz w:val="17"/>
              </w:rPr>
              <w:t>2026-08-24</w:t>
            </w:r>
          </w:p>
        </w:tc>
        <w:tc>
          <w:tcPr>
            <w:tcW w:type="dxa" w:w="1440"/>
            <w:shd w:fill="FFDCE0" w:val="clear"/>
          </w:tcPr>
          <w:p>
            <w:r>
              <w:rPr>
                <w:sz w:val="17"/>
              </w:rPr>
              <w:t>1,675</w:t>
            </w:r>
          </w:p>
        </w:tc>
        <w:tc>
          <w:tcPr>
            <w:tcW w:type="dxa" w:w="1440"/>
            <w:shd w:fill="FFDCE0" w:val="clear"/>
          </w:tcPr>
          <w:p>
            <w:r>
              <w:rPr>
                <w:b/>
                <w:sz w:val="17"/>
              </w:rPr>
              <w:t>1,963</w:t>
            </w:r>
          </w:p>
        </w:tc>
        <w:tc>
          <w:tcPr>
            <w:tcW w:type="dxa" w:w="1440"/>
            <w:shd w:fill="FFDCE0" w:val="clear"/>
          </w:tcPr>
          <w:p>
            <w:r>
              <w:rPr>
                <w:sz w:val="17"/>
              </w:rPr>
              <w:t>2,252</w:t>
            </w:r>
          </w:p>
        </w:tc>
        <w:tc>
          <w:tcPr>
            <w:tcW w:type="dxa" w:w="1440"/>
            <w:shd w:fill="FFDCE0" w:val="clear"/>
          </w:tcPr>
          <w:p>
            <w:r>
              <w:rPr>
                <w:b/>
                <w:color w:val="C00000"/>
                <w:sz w:val="17"/>
              </w:rPr>
              <w:t>-6.7%</w:t>
            </w:r>
          </w:p>
        </w:tc>
      </w:tr>
      <w:tr>
        <w:tc>
          <w:tcPr>
            <w:tcW w:type="dxa" w:w="1440"/>
            <w:shd w:fill="FFDCE0" w:val="clear"/>
          </w:tcPr>
          <w:p>
            <w:r>
              <w:rPr>
                <w:sz w:val="17"/>
              </w:rPr>
              <w:t>J+6  ⭐</w:t>
            </w:r>
          </w:p>
        </w:tc>
        <w:tc>
          <w:tcPr>
            <w:tcW w:type="dxa" w:w="1440"/>
            <w:shd w:fill="FFDCE0" w:val="clear"/>
          </w:tcPr>
          <w:p>
            <w:r>
              <w:rPr>
                <w:sz w:val="17"/>
              </w:rPr>
              <w:t>2026-08-25</w:t>
            </w:r>
          </w:p>
        </w:tc>
        <w:tc>
          <w:tcPr>
            <w:tcW w:type="dxa" w:w="1440"/>
            <w:shd w:fill="FFDCE0" w:val="clear"/>
          </w:tcPr>
          <w:p>
            <w:r>
              <w:rPr>
                <w:sz w:val="17"/>
              </w:rPr>
              <w:t>1,639</w:t>
            </w:r>
          </w:p>
        </w:tc>
        <w:tc>
          <w:tcPr>
            <w:tcW w:type="dxa" w:w="1440"/>
            <w:shd w:fill="FFDCE0" w:val="clear"/>
          </w:tcPr>
          <w:p>
            <w:r>
              <w:rPr>
                <w:b/>
                <w:sz w:val="17"/>
              </w:rPr>
              <w:t>1,953</w:t>
            </w:r>
          </w:p>
        </w:tc>
        <w:tc>
          <w:tcPr>
            <w:tcW w:type="dxa" w:w="1440"/>
            <w:shd w:fill="FFDCE0" w:val="clear"/>
          </w:tcPr>
          <w:p>
            <w:r>
              <w:rPr>
                <w:sz w:val="17"/>
              </w:rPr>
              <w:t>2,267</w:t>
            </w:r>
          </w:p>
        </w:tc>
        <w:tc>
          <w:tcPr>
            <w:tcW w:type="dxa" w:w="1440"/>
            <w:shd w:fill="FFDCE0" w:val="clear"/>
          </w:tcPr>
          <w:p>
            <w:r>
              <w:rPr>
                <w:b/>
                <w:color w:val="C00000"/>
                <w:sz w:val="17"/>
              </w:rPr>
              <w:t>-7.2%</w:t>
            </w:r>
          </w:p>
        </w:tc>
      </w:tr>
      <w:tr>
        <w:tc>
          <w:tcPr>
            <w:tcW w:type="dxa" w:w="1440"/>
            <w:shd w:fill="FFDCE0" w:val="clear"/>
          </w:tcPr>
          <w:p>
            <w:r>
              <w:rPr>
                <w:sz w:val="17"/>
              </w:rPr>
              <w:t>J+7  ⭐</w:t>
            </w:r>
          </w:p>
        </w:tc>
        <w:tc>
          <w:tcPr>
            <w:tcW w:type="dxa" w:w="1440"/>
            <w:shd w:fill="FFDCE0" w:val="clear"/>
          </w:tcPr>
          <w:p>
            <w:r>
              <w:rPr>
                <w:sz w:val="17"/>
              </w:rPr>
              <w:t>2026-08-27</w:t>
            </w:r>
          </w:p>
        </w:tc>
        <w:tc>
          <w:tcPr>
            <w:tcW w:type="dxa" w:w="1440"/>
            <w:shd w:fill="FFDCE0" w:val="clear"/>
          </w:tcPr>
          <w:p>
            <w:r>
              <w:rPr>
                <w:sz w:val="17"/>
              </w:rPr>
              <w:t>1,606</w:t>
            </w:r>
          </w:p>
        </w:tc>
        <w:tc>
          <w:tcPr>
            <w:tcW w:type="dxa" w:w="1440"/>
            <w:shd w:fill="FFDCE0" w:val="clear"/>
          </w:tcPr>
          <w:p>
            <w:r>
              <w:rPr>
                <w:b/>
                <w:sz w:val="17"/>
              </w:rPr>
              <w:t>1,943</w:t>
            </w:r>
          </w:p>
        </w:tc>
        <w:tc>
          <w:tcPr>
            <w:tcW w:type="dxa" w:w="1440"/>
            <w:shd w:fill="FFDCE0" w:val="clear"/>
          </w:tcPr>
          <w:p>
            <w:r>
              <w:rPr>
                <w:sz w:val="17"/>
              </w:rPr>
              <w:t>2,281</w:t>
            </w:r>
          </w:p>
        </w:tc>
        <w:tc>
          <w:tcPr>
            <w:tcW w:type="dxa" w:w="1440"/>
            <w:shd w:fill="FFDCE0" w:val="clear"/>
          </w:tcPr>
          <w:p>
            <w:r>
              <w:rPr>
                <w:b/>
                <w:color w:val="C00000"/>
                <w:sz w:val="17"/>
              </w:rPr>
              <w:t>-7.7%</w:t>
            </w:r>
          </w:p>
        </w:tc>
      </w:tr>
      <w:tr>
        <w:tc>
          <w:tcPr>
            <w:tcW w:type="dxa" w:w="1440"/>
            <w:shd w:fill="FFDCE0" w:val="clear"/>
          </w:tcPr>
          <w:p>
            <w:r>
              <w:rPr>
                <w:sz w:val="17"/>
              </w:rPr>
              <w:t>J+8  ⭐</w:t>
            </w:r>
          </w:p>
        </w:tc>
        <w:tc>
          <w:tcPr>
            <w:tcW w:type="dxa" w:w="1440"/>
            <w:shd w:fill="FFDCE0" w:val="clear"/>
          </w:tcPr>
          <w:p>
            <w:r>
              <w:rPr>
                <w:sz w:val="17"/>
              </w:rPr>
              <w:t>2026-08-28</w:t>
            </w:r>
          </w:p>
        </w:tc>
        <w:tc>
          <w:tcPr>
            <w:tcW w:type="dxa" w:w="1440"/>
            <w:shd w:fill="FFDCE0" w:val="clear"/>
          </w:tcPr>
          <w:p>
            <w:r>
              <w:rPr>
                <w:sz w:val="17"/>
              </w:rPr>
              <w:t>1,574</w:t>
            </w:r>
          </w:p>
        </w:tc>
        <w:tc>
          <w:tcPr>
            <w:tcW w:type="dxa" w:w="1440"/>
            <w:shd w:fill="FFDCE0" w:val="clear"/>
          </w:tcPr>
          <w:p>
            <w:r>
              <w:rPr>
                <w:b/>
                <w:sz w:val="17"/>
              </w:rPr>
              <w:t>1,933</w:t>
            </w:r>
          </w:p>
        </w:tc>
        <w:tc>
          <w:tcPr>
            <w:tcW w:type="dxa" w:w="1440"/>
            <w:shd w:fill="FFDCE0" w:val="clear"/>
          </w:tcPr>
          <w:p>
            <w:r>
              <w:rPr>
                <w:sz w:val="17"/>
              </w:rPr>
              <w:t>2,292</w:t>
            </w:r>
          </w:p>
        </w:tc>
        <w:tc>
          <w:tcPr>
            <w:tcW w:type="dxa" w:w="1440"/>
            <w:shd w:fill="FFDCE0" w:val="clear"/>
          </w:tcPr>
          <w:p>
            <w:r>
              <w:rPr>
                <w:b/>
                <w:color w:val="C00000"/>
                <w:sz w:val="17"/>
              </w:rPr>
              <w:t>-8.2%</w:t>
            </w:r>
          </w:p>
        </w:tc>
      </w:tr>
      <w:tr>
        <w:tc>
          <w:tcPr>
            <w:tcW w:type="dxa" w:w="1440"/>
            <w:shd w:fill="FFDCE0" w:val="clear"/>
          </w:tcPr>
          <w:p>
            <w:r>
              <w:rPr>
                <w:sz w:val="17"/>
              </w:rPr>
              <w:t>J+9  ⭐</w:t>
            </w:r>
          </w:p>
        </w:tc>
        <w:tc>
          <w:tcPr>
            <w:tcW w:type="dxa" w:w="1440"/>
            <w:shd w:fill="FFDCE0" w:val="clear"/>
          </w:tcPr>
          <w:p>
            <w:r>
              <w:rPr>
                <w:sz w:val="17"/>
              </w:rPr>
              <w:t>2026-08-31</w:t>
            </w:r>
          </w:p>
        </w:tc>
        <w:tc>
          <w:tcPr>
            <w:tcW w:type="dxa" w:w="1440"/>
            <w:shd w:fill="FFDCE0" w:val="clear"/>
          </w:tcPr>
          <w:p>
            <w:r>
              <w:rPr>
                <w:sz w:val="17"/>
              </w:rPr>
              <w:t>1,545</w:t>
            </w:r>
          </w:p>
        </w:tc>
        <w:tc>
          <w:tcPr>
            <w:tcW w:type="dxa" w:w="1440"/>
            <w:shd w:fill="FFDCE0" w:val="clear"/>
          </w:tcPr>
          <w:p>
            <w:r>
              <w:rPr>
                <w:b/>
                <w:sz w:val="17"/>
              </w:rPr>
              <w:t>1,923</w:t>
            </w:r>
          </w:p>
        </w:tc>
        <w:tc>
          <w:tcPr>
            <w:tcW w:type="dxa" w:w="1440"/>
            <w:shd w:fill="FFDCE0" w:val="clear"/>
          </w:tcPr>
          <w:p>
            <w:r>
              <w:rPr>
                <w:sz w:val="17"/>
              </w:rPr>
              <w:t>2,302</w:t>
            </w:r>
          </w:p>
        </w:tc>
        <w:tc>
          <w:tcPr>
            <w:tcW w:type="dxa" w:w="1440"/>
            <w:shd w:fill="FFDCE0" w:val="clear"/>
          </w:tcPr>
          <w:p>
            <w:r>
              <w:rPr>
                <w:b/>
                <w:color w:val="C00000"/>
                <w:sz w:val="17"/>
              </w:rPr>
              <w:t>-8.6%</w:t>
            </w:r>
          </w:p>
        </w:tc>
      </w:tr>
      <w:tr>
        <w:tc>
          <w:tcPr>
            <w:tcW w:type="dxa" w:w="1440"/>
            <w:shd w:fill="FFDCE0" w:val="clear"/>
          </w:tcPr>
          <w:p>
            <w:r>
              <w:rPr>
                <w:sz w:val="17"/>
              </w:rPr>
              <w:t>J+10  ⭐</w:t>
            </w:r>
          </w:p>
        </w:tc>
        <w:tc>
          <w:tcPr>
            <w:tcW w:type="dxa" w:w="1440"/>
            <w:shd w:fill="FFDCE0" w:val="clear"/>
          </w:tcPr>
          <w:p>
            <w:r>
              <w:rPr>
                <w:sz w:val="17"/>
              </w:rPr>
              <w:t>2026-09-01</w:t>
            </w:r>
          </w:p>
        </w:tc>
        <w:tc>
          <w:tcPr>
            <w:tcW w:type="dxa" w:w="1440"/>
            <w:shd w:fill="FFDCE0" w:val="clear"/>
          </w:tcPr>
          <w:p>
            <w:r>
              <w:rPr>
                <w:sz w:val="17"/>
              </w:rPr>
              <w:t>1,516</w:t>
            </w:r>
          </w:p>
        </w:tc>
        <w:tc>
          <w:tcPr>
            <w:tcW w:type="dxa" w:w="1440"/>
            <w:shd w:fill="FFDCE0" w:val="clear"/>
          </w:tcPr>
          <w:p>
            <w:r>
              <w:rPr>
                <w:b/>
                <w:sz w:val="17"/>
              </w:rPr>
              <w:t>1,914</w:t>
            </w:r>
          </w:p>
        </w:tc>
        <w:tc>
          <w:tcPr>
            <w:tcW w:type="dxa" w:w="1440"/>
            <w:shd w:fill="FFDCE0" w:val="clear"/>
          </w:tcPr>
          <w:p>
            <w:r>
              <w:rPr>
                <w:sz w:val="17"/>
              </w:rPr>
              <w:t>2,311</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43,68 milliards FCFA, un niveau intermédiaire sur la BRVM qui reflète un profil de moyenne capitalisation. Le BPA est négatif à -105 FCFA, conséquence directe de la perte nette de 2,189 milliards FCFA enregistrée en 2024, ce qui rend le PER non significatif (-20x) et traduit l'incapacité de la société à générer des bénéfices récurrents sur cet exercice. Le P/B de 2,80x indique que le marché valorise les actifs nets à près de trois fois leur valeur comptable, une prime qui suggère que les investisseurs anticipent un redressement futur plutôt qu'ils ne valident la performance actuelle. En l'absence de données fiables sur l'EBITDA récurrent, le ratio EV/EBITDA ne peut être calculé de manière pertinente, mais la prime de valorisation actuelle semble reposer sur des attentes de retournement qui doivent encore se matérialiser dans les comptes.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affiche une variation totale de +0,48%, mais la dernière séance enregistre un bond spectaculaire de +5,25% pour atteindre 2 105 FCFA, son plus haut niveau de la période, contre un plus bas de 1 250 FCFA. Cette amplitude de 855 FCFA entre le plus haut et le plus bas démontre une forte nervosité du titre. La moyenne de 1 865 FCFA est inférieure à la médiane de 1 900 FCFA, indiquant une distribution légèrement asymétrique, confirmée par un skewness de -1,757 qui révèle que les journées de hausse sont plus fréquentes mais de moindre ampleur que les rares baisses sévères. L'écart-type de 168 FCFA (CV=9,0%) témoigne d'une dispersion modérée autour de la moyenne, mais le kurtosis de 3,480 signale des queues de distribution épaisses, donc un risque de mouvements extrêmes. La volatilité annualisée de 48,9% classe le titre comme très volatil, bien au-delà du seuil de 30% considéré comme élevé, ce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2 105 FCFA se situe nettement au-dessus de la MM20 (1 918,75 FCFA) et de la MM50 (1 824,8 FCFA), configuration haussière classique. L'écart positif entre le prix et les deux moyennes confirme une dynamique de court et moyen terme favorable, justifiant la décision d'achat. La pente ascendante des moyennes renforce ce signal positif.</w:t>
      </w:r>
    </w:p>
    <w:p>
      <w:pPr>
        <w:spacing w:after="120" w:line="276" w:lineRule="auto"/>
      </w:pPr>
      <w:r>
        <w:t>**Bandes de Bollinger** : Le cours à 2 105 FCFA a franchi la borne supérieure (2 037,55 FCFA), signalant une extension excessive du mouvement haussier. Cette sortie de bande indique une volatilité en expansion et un marché potentiellement suracheté à court terme. La décision de vente est donc cohérente avec un risque de correction technique après ce dépassement.</w:t>
      </w:r>
    </w:p>
    <w:p>
      <w:pPr>
        <w:spacing w:after="120" w:line="276" w:lineRule="auto"/>
      </w:pPr>
      <w:r>
        <w:t>**MACD** : La valeur du MACD (63,837) est supérieure à sa ligne de signal (50,228), avec un écart positif de plus de 13 points, confirmant un momentum haussier solide. La divergence positive entre les deux lignes indique que la dynamique d'achat s'accélère, justifiant la décision d'achat. Cette configuration suggère une poursuite possible de la tendance à court terme.</w:t>
      </w:r>
    </w:p>
    <w:p>
      <w:pPr>
        <w:spacing w:after="120" w:line="276" w:lineRule="auto"/>
      </w:pPr>
      <w:r>
        <w:t>**RSI** : À 64,835, le RSI se situe en zone neutre-haute, sous le seuil de surachat de 70. Cette valeur indique une pression acheteuse soutenue mais pas encore excessive, laissant une marge de progression avant d'atteindre une zone de surachat. La décision neutre est appropriée, le titre n'étant ni survendu ni suracheté.</w:t>
      </w:r>
    </w:p>
    <w:p>
      <w:pPr>
        <w:spacing w:after="120" w:line="276" w:lineRule="auto"/>
      </w:pPr>
      <w:r>
        <w:t>**Stochastique** : Le %K à 100,0 et le %D à 91,667 sont tous deux en zone de surachat extrême, avec un %K au plafond absolu. Cette configuration signale un épuisement potentiel du mouvement haussier à très court terme, justifiant la décision de vente. Un croisement baissier du %K sous le %D serait un signal de retournement imminent.</w:t>
      </w:r>
    </w:p>
    <w:p>
      <w:pPr>
        <w:spacing w:after="120" w:line="276" w:lineRule="auto"/>
      </w:pPr>
      <w:r>
        <w:t>**Conclusion technique** : La convergence des indicateurs est mitigée : les moyennes mobiles et le MACD soutiennent une tendance haussière, tandis que les bandes de Bollinger et le stochastique signalent des conditions de surachat. Le RSI reste neutre. Cette divergence suggère une poursuite possible de la tendance à moyen terme, mais avec un risque accru de correction technique à très court terme. La prudence est recommandée à l'approche des 2 105 FCFA.</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révèlent une situation financière contrastée pour UNXC. Le chiffre d'affaires s'établit à 27,333 milliards FCFA, en croissance de 15,4% par rapport à 2023, mais le résultat net est une perte de 2,189 milliards FCFA, contre un bénéfice de 4,384 milliards en 2023 selon les rapports disponibles. La marge nette est négative à -8,01%, le ROE dégradé à -14,04% et le ROA à -6,39%, traduisant une rentabilité insuffisante des capitaux propres et des actifs. Le BFR de 2,149 milliards FCFA est positif, ce qui est défavorable pour une entreprise, avec un délai clients de 51 jours et une durée de stockage de 254 jours qui immobilisent la trésorerie, tandis que le délai fournisseurs de 267 jours offre un certain répit. Le rapport du 1er trimestre 2025 (daté de mars 2025) montre un CA de 7,844 milliards FCFA (+14%) mais un résultat des activités ordinaires encore déficitaire de -329 millions, le bénéfice net de 8,206 milliards étant exclusivement dû à la cession-bail du terrain. Le rapport du 3ème trimestre 2025 confirme la tendance avec un CA cumulé de 22,474 milliards FCFA (+13%) et un résultat net de 8,143 milliards, toujours artificiellement gonflé par la plus-value exceptionnelle de 9,993 milliards. Le rapport S1 2026 (daté de 2026) est plus encourageant : le résultat d'exploitation redevient positif à 771 millions FCFA contre -314 millions au S1 2025, et le résultat net atteint 771 millions FCFA, hors éléments exceptionnels. On estime que l'exercice 2026 pourrait confirmer ce retour à l'équilibre opérationnel si la tendance se maintient, avec un EBE redevenu positif à 1,13 milliard selon le rapport annuel 2025. La structure financière reste fragile avec des pertes cumulées de -5,54 milliards, mais l'autonomie financière de 45,53% et la solvabilité générale de 183,60% offrent une marge de sécurité.</w:t>
      </w:r>
    </w:p>
    <w:p>
      <w:pPr>
        <w:spacing w:after="120" w:line="276" w:lineRule="auto" w:before="240"/>
      </w:pPr>
      <w:r>
        <w:rPr>
          <w:b/>
          <w:color w:val="003366"/>
          <w:sz w:val="24"/>
        </w:rPr>
        <w:t>**PARTIE 4 : CONCLUSION D'INVESTISSEMENT**</w:t>
      </w:r>
    </w:p>
    <w:p>
      <w:pPr>
        <w:spacing w:after="120" w:line="276" w:lineRule="auto"/>
      </w:pPr>
      <w:r>
        <w:t>La valorisation d'UNXC apparaît exigeante avec un P/B de 2,80x et un PER négatif, le marché anticipant un redressement qui commence seulement à se matérialiser. Le comportement du cours sur 100 jours montre une tendance globalement stable avec un récent sursaut de +5,25%, mais la volatilité annualisée de 48,9% et le kurtosis élevé signalent un risque de mouvements brusques. Les signaux techniques sont mitigés : les moyennes mobiles et le MACD sont haussiers, mais les bandes de Bollinger et le stochastique indiquent un surachat imminent. Les fondamentaux montrent une amélioration réelle : le résultat d'exploitation est redevenu positif au S1 2026 (771 millions FCFA), le CA progresse régulièrement, et l'EBE est repassé dans le vert, mais la société reste structurellement fragile avec des pertes cumulées importantes. Les prédictions IA pour les 10 prochains jours (1 998 à 1 963 FCFA) suggèrent une correction à la baisse d'environ 6-7% par rapport au cours actuel, contredisant le récent momentum haussier et confirmant les signaux de surachat technique. La convergence entre les signaux de surachat technique, la valorisation exigeante et les prédictions IA baissières conduit à une recommandation de **CONSERVER** avec un niveau de confiance **Moyen**, un risque global **Élevé**, et un horizon d'investissement optimal à **moyen terme (3-12 mois)** pour observer la confirmation du redressement opérationnel sur l'ensemble de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